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18C18466">
      <w:pPr>
        <w:adjustRightInd w:val="0"/>
        <w:snapToGrid w:val="0"/>
        <w:spacing w:line="360" w:lineRule="auto"/>
        <w:ind w:firstLine="710"/>
        <w:jc w:val="center"/>
        <w:rPr>
          <w:rFonts w:hint="eastAsia" w:ascii="黑体" w:hAnsi="黑体" w:eastAsia="黑体" w:cs="宋体"/>
          <w:b/>
          <w:color w:val="000000" w:themeColor="text1"/>
          <w:spacing w:val="30"/>
          <w:w w:val="90"/>
          <w:sz w:val="36"/>
          <w:szCs w:val="36"/>
          <w14:textFill>
            <w14:solidFill>
              <w14:schemeClr w14:val="tx1"/>
            </w14:solidFill>
          </w14:textFill>
        </w:rPr>
      </w:pPr>
      <w:bookmarkStart w:id="0" w:name="_Hlk151054696"/>
      <w:bookmarkEnd w:id="0"/>
      <w:bookmarkStart w:id="1" w:name="_Hlk92223081"/>
      <w:bookmarkStart w:id="826" w:name="_GoBack"/>
      <w:bookmarkEnd w:id="826"/>
      <w:r>
        <w:rPr>
          <w:rFonts w:hint="eastAsia" w:ascii="黑体" w:hAnsi="黑体" w:eastAsia="黑体" w:cs="宋体"/>
          <w:b/>
          <w:color w:val="000000" w:themeColor="text1"/>
          <w:spacing w:val="30"/>
          <w:w w:val="90"/>
          <w:sz w:val="36"/>
          <w:szCs w:val="36"/>
          <w14:textFill>
            <w14:solidFill>
              <w14:schemeClr w14:val="tx1"/>
            </w14:solidFill>
          </w14:textFill>
        </w:rPr>
        <w:t xml:space="preserve">         </w:t>
      </w:r>
    </w:p>
    <w:p w14:paraId="5300EDD5">
      <w:pPr>
        <w:adjustRightInd w:val="0"/>
        <w:snapToGrid w:val="0"/>
        <w:spacing w:line="360" w:lineRule="auto"/>
        <w:ind w:firstLine="723"/>
        <w:jc w:val="center"/>
        <w:rPr>
          <w:rFonts w:hint="eastAsia" w:ascii="黑体" w:hAnsi="黑体" w:eastAsia="黑体" w:cs="宋体"/>
          <w:b/>
          <w:snapToGrid w:val="0"/>
          <w:color w:val="000000" w:themeColor="text1"/>
          <w:kern w:val="0"/>
          <w:sz w:val="36"/>
          <w:szCs w:val="36"/>
          <w14:textFill>
            <w14:solidFill>
              <w14:schemeClr w14:val="tx1"/>
            </w14:solidFill>
          </w14:textFill>
        </w:rPr>
      </w:pPr>
      <w:bookmarkStart w:id="2" w:name="_Hlk147580299"/>
    </w:p>
    <w:p w14:paraId="65B0E7BB">
      <w:pPr>
        <w:adjustRightInd w:val="0"/>
        <w:snapToGrid w:val="0"/>
        <w:spacing w:line="360" w:lineRule="auto"/>
        <w:ind w:firstLine="723"/>
        <w:jc w:val="center"/>
        <w:rPr>
          <w:rFonts w:hint="eastAsia" w:ascii="黑体" w:hAnsi="黑体" w:eastAsia="黑体" w:cs="宋体"/>
          <w:b/>
          <w:snapToGrid w:val="0"/>
          <w:color w:val="000000" w:themeColor="text1"/>
          <w:kern w:val="0"/>
          <w:sz w:val="36"/>
          <w:szCs w:val="36"/>
          <w14:textFill>
            <w14:solidFill>
              <w14:schemeClr w14:val="tx1"/>
            </w14:solidFill>
          </w14:textFill>
        </w:rPr>
      </w:pPr>
      <w:r>
        <w:rPr>
          <w:rFonts w:hint="eastAsia" w:ascii="黑体" w:hAnsi="黑体" w:eastAsia="黑体" w:cs="宋体"/>
          <w:b/>
          <w:snapToGrid w:val="0"/>
          <w:color w:val="000000" w:themeColor="text1"/>
          <w:kern w:val="0"/>
          <w:sz w:val="36"/>
          <w:szCs w:val="36"/>
          <w14:textFill>
            <w14:solidFill>
              <w14:schemeClr w14:val="tx1"/>
            </w14:solidFill>
          </w14:textFill>
        </w:rPr>
        <w:t>吉7井区梧桐沟组油藏2026年更新补钻产能建设项目</w:t>
      </w:r>
    </w:p>
    <w:p w14:paraId="4EB6EB97">
      <w:pPr>
        <w:adjustRightInd w:val="0"/>
        <w:snapToGrid w:val="0"/>
        <w:spacing w:line="360" w:lineRule="auto"/>
        <w:jc w:val="center"/>
        <w:rPr>
          <w:rFonts w:hint="eastAsia" w:ascii="黑体" w:hAnsi="黑体" w:eastAsia="黑体" w:cs="宋体"/>
          <w:b/>
          <w:color w:val="000000" w:themeColor="text1"/>
          <w:sz w:val="84"/>
          <w:szCs w:val="84"/>
          <w14:textFill>
            <w14:solidFill>
              <w14:schemeClr w14:val="tx1"/>
            </w14:solidFill>
          </w14:textFill>
        </w:rPr>
      </w:pPr>
      <w:r>
        <w:rPr>
          <w:rFonts w:hint="eastAsia" w:ascii="黑体" w:hAnsi="黑体" w:eastAsia="黑体" w:cs="宋体"/>
          <w:b/>
          <w:color w:val="000000" w:themeColor="text1"/>
          <w:sz w:val="84"/>
          <w:szCs w:val="84"/>
          <w14:textFill>
            <w14:solidFill>
              <w14:schemeClr w14:val="tx1"/>
            </w14:solidFill>
          </w14:textFill>
        </w:rPr>
        <w:t>环 境 影 响 报 告 书</w:t>
      </w:r>
    </w:p>
    <w:p w14:paraId="5A78E6F5">
      <w:pPr>
        <w:ind w:firstLine="640"/>
        <w:jc w:val="center"/>
        <w:rPr>
          <w:rFonts w:hint="eastAsia" w:ascii="黑体" w:hAnsi="黑体" w:eastAsia="黑体"/>
          <w:bCs/>
          <w:color w:val="000000" w:themeColor="text1"/>
          <w:sz w:val="32"/>
          <w:szCs w:val="32"/>
          <w14:textFill>
            <w14:solidFill>
              <w14:schemeClr w14:val="tx1"/>
            </w14:solidFill>
          </w14:textFill>
        </w:rPr>
      </w:pPr>
      <w:bookmarkStart w:id="3" w:name="_Toc456813558"/>
      <w:bookmarkStart w:id="4" w:name="_Toc375844778"/>
      <w:bookmarkStart w:id="5" w:name="_Toc445996317"/>
      <w:bookmarkStart w:id="6" w:name="_Toc11157"/>
      <w:bookmarkStart w:id="7" w:name="_Toc450909029"/>
      <w:bookmarkStart w:id="8" w:name="_Toc12438"/>
      <w:bookmarkStart w:id="9" w:name="_Toc445996549"/>
      <w:bookmarkStart w:id="10" w:name="_Toc31221"/>
      <w:r>
        <w:rPr>
          <w:rFonts w:hint="eastAsia" w:ascii="黑体" w:hAnsi="黑体" w:eastAsia="黑体"/>
          <w:bCs/>
          <w:color w:val="000000" w:themeColor="text1"/>
          <w:sz w:val="32"/>
          <w:szCs w:val="32"/>
          <w14:textFill>
            <w14:solidFill>
              <w14:schemeClr w14:val="tx1"/>
            </w14:solidFill>
          </w14:textFill>
        </w:rPr>
        <w:t>（</w:t>
      </w:r>
      <w:r>
        <w:rPr>
          <w:rFonts w:hint="eastAsia" w:ascii="黑体" w:hAnsi="黑体" w:eastAsia="黑体"/>
          <w:bCs/>
          <w:color w:val="000000" w:themeColor="text1"/>
          <w:sz w:val="32"/>
          <w:szCs w:val="32"/>
          <w:lang w:val="en-US" w:eastAsia="zh-CN"/>
          <w14:textFill>
            <w14:solidFill>
              <w14:schemeClr w14:val="tx1"/>
            </w14:solidFill>
          </w14:textFill>
        </w:rPr>
        <w:t>报批</w:t>
      </w:r>
      <w:r>
        <w:rPr>
          <w:rFonts w:hint="eastAsia" w:ascii="黑体" w:hAnsi="黑体" w:eastAsia="黑体"/>
          <w:bCs/>
          <w:color w:val="000000" w:themeColor="text1"/>
          <w:sz w:val="32"/>
          <w:szCs w:val="32"/>
          <w14:textFill>
            <w14:solidFill>
              <w14:schemeClr w14:val="tx1"/>
            </w14:solidFill>
          </w14:textFill>
        </w:rPr>
        <w:t>版）</w:t>
      </w:r>
      <w:bookmarkEnd w:id="3"/>
      <w:bookmarkEnd w:id="4"/>
      <w:bookmarkEnd w:id="5"/>
      <w:bookmarkEnd w:id="6"/>
      <w:bookmarkEnd w:id="7"/>
      <w:bookmarkEnd w:id="8"/>
      <w:bookmarkEnd w:id="9"/>
      <w:bookmarkEnd w:id="10"/>
    </w:p>
    <w:p w14:paraId="6B411C71">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3BED1A48">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1216001F">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710F4F12">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73594D03">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43EC6673">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5F231514">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5FEC8F28">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113CEB25">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69159659">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7C35BF1A">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34F1426E">
      <w:pPr>
        <w:spacing w:line="520" w:lineRule="exact"/>
        <w:ind w:firstLine="482"/>
        <w:jc w:val="center"/>
        <w:rPr>
          <w:rFonts w:hint="eastAsia" w:ascii="黑体" w:hAnsi="黑体" w:eastAsia="黑体" w:cs="Chiller"/>
          <w:b/>
          <w:color w:val="000000" w:themeColor="text1"/>
          <w:sz w:val="24"/>
          <w14:textFill>
            <w14:solidFill>
              <w14:schemeClr w14:val="tx1"/>
            </w14:solidFill>
          </w14:textFill>
        </w:rPr>
      </w:pPr>
    </w:p>
    <w:p w14:paraId="268E44B6">
      <w:pPr>
        <w:ind w:left="2536" w:leftChars="598" w:hanging="1280" w:hangingChars="400"/>
        <w:rPr>
          <w:rFonts w:hint="eastAsia" w:ascii="黑体" w:hAnsi="黑体" w:eastAsia="黑体"/>
          <w:bCs/>
          <w:color w:val="000000" w:themeColor="text1"/>
          <w:sz w:val="32"/>
          <w:szCs w:val="32"/>
          <w14:textFill>
            <w14:solidFill>
              <w14:schemeClr w14:val="tx1"/>
            </w14:solidFill>
          </w14:textFill>
        </w:rPr>
      </w:pPr>
      <w:r>
        <w:rPr>
          <w:rFonts w:hint="eastAsia" w:ascii="黑体" w:hAnsi="黑体" w:eastAsia="黑体"/>
          <w:bCs/>
          <w:color w:val="000000" w:themeColor="text1"/>
          <w:sz w:val="32"/>
          <w:szCs w:val="32"/>
          <w14:textFill>
            <w14:solidFill>
              <w14:schemeClr w14:val="tx1"/>
            </w14:solidFill>
          </w14:textFill>
        </w:rPr>
        <w:t>建设单位：</w:t>
      </w:r>
      <w:r>
        <w:rPr>
          <w:rFonts w:ascii="黑体" w:hAnsi="黑体" w:eastAsia="黑体"/>
          <w:bCs/>
          <w:color w:val="000000" w:themeColor="text1"/>
          <w:sz w:val="32"/>
          <w:szCs w:val="32"/>
          <w14:textFill>
            <w14:solidFill>
              <w14:schemeClr w14:val="tx1"/>
            </w14:solidFill>
          </w14:textFill>
        </w:rPr>
        <w:t>中国石油天然气股份有限公司新疆油田分公司（中国石油新疆油田分公司吉庆油田作业区）</w:t>
      </w:r>
    </w:p>
    <w:p w14:paraId="3AEED049">
      <w:pPr>
        <w:ind w:firstLine="1273" w:firstLineChars="398"/>
        <w:rPr>
          <w:rFonts w:hint="eastAsia" w:ascii="黑体" w:hAnsi="黑体" w:eastAsia="黑体"/>
          <w:bCs/>
          <w:color w:val="000000" w:themeColor="text1"/>
          <w:sz w:val="32"/>
          <w:szCs w:val="32"/>
          <w14:textFill>
            <w14:solidFill>
              <w14:schemeClr w14:val="tx1"/>
            </w14:solidFill>
          </w14:textFill>
        </w:rPr>
      </w:pPr>
      <w:r>
        <w:rPr>
          <w:rFonts w:hint="eastAsia" w:ascii="黑体" w:hAnsi="黑体" w:eastAsia="黑体"/>
          <w:bCs/>
          <w:color w:val="000000" w:themeColor="text1"/>
          <w:sz w:val="32"/>
          <w:szCs w:val="32"/>
          <w14:textFill>
            <w14:solidFill>
              <w14:schemeClr w14:val="tx1"/>
            </w14:solidFill>
          </w14:textFill>
        </w:rPr>
        <w:t>编制单位：中勘冶金勘察设计研究院有限责任公司</w:t>
      </w:r>
    </w:p>
    <w:p w14:paraId="76B95602">
      <w:pPr>
        <w:ind w:firstLine="1273" w:firstLineChars="398"/>
        <w:rPr>
          <w:rFonts w:hint="eastAsia" w:ascii="黑体" w:hAnsi="黑体" w:eastAsia="黑体" w:cs="Chiller"/>
          <w:b/>
          <w:color w:val="000000" w:themeColor="text1"/>
          <w:sz w:val="24"/>
          <w14:textFill>
            <w14:solidFill>
              <w14:schemeClr w14:val="tx1"/>
            </w14:solidFill>
          </w14:textFill>
        </w:rPr>
      </w:pPr>
      <w:r>
        <w:rPr>
          <w:rFonts w:hint="eastAsia" w:ascii="黑体" w:hAnsi="黑体" w:eastAsia="黑体"/>
          <w:color w:val="000000" w:themeColor="text1"/>
          <w:sz w:val="32"/>
          <w:szCs w:val="32"/>
          <w14:textFill>
            <w14:solidFill>
              <w14:schemeClr w14:val="tx1"/>
            </w14:solidFill>
          </w14:textFill>
        </w:rPr>
        <w:t>编制时间：二</w:t>
      </w:r>
      <w:r>
        <w:rPr>
          <w:rFonts w:hint="eastAsia" w:ascii="黑体" w:hAnsi="黑体" w:eastAsia="黑体" w:cs="宋体"/>
          <w:color w:val="000000" w:themeColor="text1"/>
          <w:sz w:val="32"/>
          <w:szCs w:val="32"/>
          <w14:textFill>
            <w14:solidFill>
              <w14:schemeClr w14:val="tx1"/>
            </w14:solidFill>
          </w14:textFill>
        </w:rPr>
        <w:t>〇</w:t>
      </w:r>
      <w:r>
        <w:rPr>
          <w:rFonts w:hint="eastAsia" w:ascii="黑体" w:hAnsi="黑体" w:eastAsia="黑体"/>
          <w:color w:val="000000" w:themeColor="text1"/>
          <w:sz w:val="32"/>
          <w:szCs w:val="32"/>
          <w14:textFill>
            <w14:solidFill>
              <w14:schemeClr w14:val="tx1"/>
            </w14:solidFill>
          </w14:textFill>
        </w:rPr>
        <w:t>二</w:t>
      </w:r>
      <w:r>
        <w:rPr>
          <w:rFonts w:hint="eastAsia" w:ascii="黑体" w:hAnsi="黑体" w:eastAsia="黑体" w:cs="宋体"/>
          <w:color w:val="000000" w:themeColor="text1"/>
          <w:sz w:val="32"/>
          <w:szCs w:val="32"/>
          <w14:textFill>
            <w14:solidFill>
              <w14:schemeClr w14:val="tx1"/>
            </w14:solidFill>
          </w14:textFill>
        </w:rPr>
        <w:t>六年</w:t>
      </w:r>
      <w:r>
        <w:rPr>
          <w:rFonts w:hint="eastAsia" w:ascii="黑体" w:hAnsi="黑体" w:eastAsia="黑体" w:cs="宋体"/>
          <w:color w:val="000000" w:themeColor="text1"/>
          <w:sz w:val="32"/>
          <w:szCs w:val="32"/>
          <w:lang w:val="en-US" w:eastAsia="zh-CN"/>
          <w14:textFill>
            <w14:solidFill>
              <w14:schemeClr w14:val="tx1"/>
            </w14:solidFill>
          </w14:textFill>
        </w:rPr>
        <w:t>六</w:t>
      </w:r>
      <w:r>
        <w:rPr>
          <w:rFonts w:hint="eastAsia" w:ascii="黑体" w:hAnsi="黑体" w:eastAsia="黑体" w:cs="宋体"/>
          <w:color w:val="000000" w:themeColor="text1"/>
          <w:sz w:val="32"/>
          <w:szCs w:val="32"/>
          <w14:textFill>
            <w14:solidFill>
              <w14:schemeClr w14:val="tx1"/>
            </w14:solidFill>
          </w14:textFill>
        </w:rPr>
        <w:t>月</w:t>
      </w:r>
      <w:bookmarkEnd w:id="2"/>
    </w:p>
    <w:p w14:paraId="3F259498">
      <w:pPr>
        <w:spacing w:line="520" w:lineRule="exact"/>
        <w:ind w:firstLine="480"/>
        <w:rPr>
          <w:color w:val="000000" w:themeColor="text1"/>
          <w14:textFill>
            <w14:solidFill>
              <w14:schemeClr w14:val="tx1"/>
            </w14:solidFill>
          </w14:textFill>
        </w:rPr>
      </w:pPr>
    </w:p>
    <w:p w14:paraId="1FC26D74">
      <w:pPr>
        <w:pStyle w:val="462"/>
        <w:spacing w:line="240" w:lineRule="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901690" cy="8345805"/>
            <wp:effectExtent l="0" t="0" r="3810" b="17145"/>
            <wp:docPr id="116" name="图片 116" descr="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Page0003"/>
                    <pic:cNvPicPr>
                      <a:picLocks noChangeAspect="1"/>
                    </pic:cNvPicPr>
                  </pic:nvPicPr>
                  <pic:blipFill>
                    <a:blip r:embed="rId11"/>
                    <a:stretch>
                      <a:fillRect/>
                    </a:stretch>
                  </pic:blipFill>
                  <pic:spPr>
                    <a:xfrm>
                      <a:off x="0" y="0"/>
                      <a:ext cx="5901690" cy="8345805"/>
                    </a:xfrm>
                    <a:prstGeom prst="rect">
                      <a:avLst/>
                    </a:prstGeom>
                  </pic:spPr>
                </pic:pic>
              </a:graphicData>
            </a:graphic>
          </wp:inline>
        </w:drawing>
      </w:r>
    </w:p>
    <w:p w14:paraId="00EDB3A4">
      <w:pPr>
        <w:pStyle w:val="462"/>
        <w:rPr>
          <w:rFonts w:hint="eastAsia"/>
          <w:color w:val="000000" w:themeColor="text1"/>
          <w14:textFill>
            <w14:solidFill>
              <w14:schemeClr w14:val="tx1"/>
            </w14:solidFill>
          </w14:textFill>
        </w:rPr>
      </w:pPr>
    </w:p>
    <w:p w14:paraId="3A114C68">
      <w:pPr>
        <w:pStyle w:val="462"/>
        <w:rPr>
          <w:rFonts w:hint="eastAsia"/>
          <w:color w:val="000000" w:themeColor="text1"/>
          <w14:textFill>
            <w14:solidFill>
              <w14:schemeClr w14:val="tx1"/>
            </w14:solidFill>
          </w14:textFill>
        </w:rPr>
        <w:sectPr>
          <w:type w:val="continuous"/>
          <w:pgSz w:w="11906" w:h="16838"/>
          <w:pgMar w:top="1418" w:right="1304" w:bottom="1418" w:left="1304" w:header="1021" w:footer="1021" w:gutter="0"/>
          <w:cols w:space="720" w:num="1"/>
          <w:docGrid w:type="lines" w:linePitch="312" w:charSpace="0"/>
        </w:sectPr>
      </w:pPr>
    </w:p>
    <w:p w14:paraId="44AD039B">
      <w:pPr>
        <w:pStyle w:val="462"/>
        <w:spacing w:line="240" w:lineRule="auto"/>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114300" distR="114300">
            <wp:extent cx="3215005" cy="2411095"/>
            <wp:effectExtent l="0" t="0" r="4445" b="8255"/>
            <wp:docPr id="86" name="图片 86" descr="IMG_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5818"/>
                    <pic:cNvPicPr>
                      <a:picLocks noChangeAspect="1"/>
                    </pic:cNvPicPr>
                  </pic:nvPicPr>
                  <pic:blipFill>
                    <a:blip r:embed="rId12"/>
                    <a:stretch>
                      <a:fillRect/>
                    </a:stretch>
                  </pic:blipFill>
                  <pic:spPr>
                    <a:xfrm rot="10800000">
                      <a:off x="0" y="0"/>
                      <a:ext cx="3215005" cy="2411095"/>
                    </a:xfrm>
                    <a:prstGeom prst="rect">
                      <a:avLst/>
                    </a:prstGeom>
                  </pic:spPr>
                </pic:pic>
              </a:graphicData>
            </a:graphic>
          </wp:inline>
        </w:drawing>
      </w: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114300" distR="114300">
            <wp:extent cx="3215640" cy="2411730"/>
            <wp:effectExtent l="0" t="0" r="3810" b="7620"/>
            <wp:docPr id="100" name="图片 100" descr="IMG_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G_5810"/>
                    <pic:cNvPicPr>
                      <a:picLocks noChangeAspect="1"/>
                    </pic:cNvPicPr>
                  </pic:nvPicPr>
                  <pic:blipFill>
                    <a:blip r:embed="rId13"/>
                    <a:stretch>
                      <a:fillRect/>
                    </a:stretch>
                  </pic:blipFill>
                  <pic:spPr>
                    <a:xfrm rot="10800000">
                      <a:off x="0" y="0"/>
                      <a:ext cx="3215640" cy="2411730"/>
                    </a:xfrm>
                    <a:prstGeom prst="rect">
                      <a:avLst/>
                    </a:prstGeom>
                  </pic:spPr>
                </pic:pic>
              </a:graphicData>
            </a:graphic>
          </wp:inline>
        </w:drawing>
      </w:r>
    </w:p>
    <w:p w14:paraId="3C701DBC">
      <w:pPr>
        <w:pStyle w:val="462"/>
        <w:spacing w:line="240" w:lineRule="auto"/>
        <w:ind w:firstLine="2650" w:firstLineChars="1100"/>
        <w:rPr>
          <w:rFonts w:hint="eastAsia"/>
          <w:color w:val="000000" w:themeColor="text1"/>
          <w:lang w:val="en-US"/>
          <w14:textFill>
            <w14:solidFill>
              <w14:schemeClr w14:val="tx1"/>
            </w14:solidFill>
          </w14:textFill>
        </w:rPr>
      </w:pPr>
      <w:r>
        <w:rPr>
          <w:rFonts w:hint="eastAsia"/>
          <w:b/>
          <w:bCs/>
          <w:color w:val="000000" w:themeColor="text1"/>
          <w14:textFill>
            <w14:solidFill>
              <w14:schemeClr w14:val="tx1"/>
            </w14:solidFill>
          </w14:textFill>
        </w:rPr>
        <w:t>J9100A</w:t>
      </w:r>
      <w:r>
        <w:rPr>
          <w:rFonts w:hint="eastAsia"/>
          <w:b/>
          <w:bCs/>
          <w:color w:val="000000" w:themeColor="text1"/>
          <w:lang w:val="en-US"/>
          <w14:textFill>
            <w14:solidFill>
              <w14:schemeClr w14:val="tx1"/>
            </w14:solidFill>
          </w14:textFill>
        </w:rPr>
        <w:t xml:space="preserve">井位处                               </w:t>
      </w:r>
      <w:r>
        <w:rPr>
          <w:rFonts w:hint="eastAsia"/>
          <w:b/>
          <w:bCs/>
          <w:color w:val="000000" w:themeColor="text1"/>
          <w14:textFill>
            <w14:solidFill>
              <w14:schemeClr w14:val="tx1"/>
            </w14:solidFill>
          </w14:textFill>
        </w:rPr>
        <w:t>J9100A</w:t>
      </w:r>
      <w:r>
        <w:rPr>
          <w:rFonts w:hint="eastAsia"/>
          <w:b/>
          <w:bCs/>
          <w:color w:val="000000" w:themeColor="text1"/>
          <w:lang w:val="en-US"/>
          <w14:textFill>
            <w14:solidFill>
              <w14:schemeClr w14:val="tx1"/>
            </w14:solidFill>
          </w14:textFill>
        </w:rPr>
        <w:t>井旁边永久基本农田</w:t>
      </w:r>
    </w:p>
    <w:p w14:paraId="343199A0">
      <w:pPr>
        <w:pStyle w:val="462"/>
        <w:spacing w:line="240" w:lineRule="auto"/>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114300" distR="114300">
            <wp:extent cx="3215640" cy="2411730"/>
            <wp:effectExtent l="0" t="0" r="3810" b="7620"/>
            <wp:docPr id="94" name="图片 94" descr="IMG_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IMG_5837"/>
                    <pic:cNvPicPr>
                      <a:picLocks noChangeAspect="1"/>
                    </pic:cNvPicPr>
                  </pic:nvPicPr>
                  <pic:blipFill>
                    <a:blip r:embed="rId14"/>
                    <a:stretch>
                      <a:fillRect/>
                    </a:stretch>
                  </pic:blipFill>
                  <pic:spPr>
                    <a:xfrm rot="10800000">
                      <a:off x="0" y="0"/>
                      <a:ext cx="3215640" cy="2411730"/>
                    </a:xfrm>
                    <a:prstGeom prst="rect">
                      <a:avLst/>
                    </a:prstGeom>
                  </pic:spPr>
                </pic:pic>
              </a:graphicData>
            </a:graphic>
          </wp:inline>
        </w:drawing>
      </w: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114300" distR="114300">
            <wp:extent cx="3215640" cy="2411730"/>
            <wp:effectExtent l="0" t="0" r="3810" b="7620"/>
            <wp:docPr id="96" name="图片 96" descr="IMG_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5840"/>
                    <pic:cNvPicPr>
                      <a:picLocks noChangeAspect="1"/>
                    </pic:cNvPicPr>
                  </pic:nvPicPr>
                  <pic:blipFill>
                    <a:blip r:embed="rId15"/>
                    <a:stretch>
                      <a:fillRect/>
                    </a:stretch>
                  </pic:blipFill>
                  <pic:spPr>
                    <a:xfrm rot="10800000">
                      <a:off x="0" y="0"/>
                      <a:ext cx="3215640" cy="2411730"/>
                    </a:xfrm>
                    <a:prstGeom prst="rect">
                      <a:avLst/>
                    </a:prstGeom>
                  </pic:spPr>
                </pic:pic>
              </a:graphicData>
            </a:graphic>
          </wp:inline>
        </w:drawing>
      </w:r>
    </w:p>
    <w:p w14:paraId="6DDF7147">
      <w:pPr>
        <w:pStyle w:val="462"/>
        <w:spacing w:line="240" w:lineRule="auto"/>
        <w:ind w:firstLine="2409" w:firstLineChars="1000"/>
        <w:rPr>
          <w:rFonts w:hint="eastAsia"/>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项目区已有巡检道路                                   J6093A井位处</w:t>
      </w:r>
    </w:p>
    <w:p w14:paraId="3009AF0C">
      <w:pPr>
        <w:pStyle w:val="462"/>
        <w:spacing w:line="240" w:lineRule="auto"/>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114300" distR="114300">
            <wp:extent cx="3215640" cy="2411730"/>
            <wp:effectExtent l="0" t="0" r="3810" b="7620"/>
            <wp:docPr id="97" name="图片 97" descr="IMG_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5870"/>
                    <pic:cNvPicPr>
                      <a:picLocks noChangeAspect="1"/>
                    </pic:cNvPicPr>
                  </pic:nvPicPr>
                  <pic:blipFill>
                    <a:blip r:embed="rId16"/>
                    <a:stretch>
                      <a:fillRect/>
                    </a:stretch>
                  </pic:blipFill>
                  <pic:spPr>
                    <a:xfrm>
                      <a:off x="0" y="0"/>
                      <a:ext cx="3215640" cy="2411730"/>
                    </a:xfrm>
                    <a:prstGeom prst="rect">
                      <a:avLst/>
                    </a:prstGeom>
                  </pic:spPr>
                </pic:pic>
              </a:graphicData>
            </a:graphic>
          </wp:inline>
        </w:drawing>
      </w: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114300" distR="114300">
            <wp:extent cx="3216910" cy="2411730"/>
            <wp:effectExtent l="0" t="0" r="2540" b="7620"/>
            <wp:docPr id="98" name="图片 98" descr="1b9e5eb03ba25df68ed55db0e990c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b9e5eb03ba25df68ed55db0e990c502"/>
                    <pic:cNvPicPr>
                      <a:picLocks noChangeAspect="1"/>
                    </pic:cNvPicPr>
                  </pic:nvPicPr>
                  <pic:blipFill>
                    <a:blip r:embed="rId17"/>
                    <a:stretch>
                      <a:fillRect/>
                    </a:stretch>
                  </pic:blipFill>
                  <pic:spPr>
                    <a:xfrm>
                      <a:off x="0" y="0"/>
                      <a:ext cx="3216910" cy="2411730"/>
                    </a:xfrm>
                    <a:prstGeom prst="rect">
                      <a:avLst/>
                    </a:prstGeom>
                  </pic:spPr>
                </pic:pic>
              </a:graphicData>
            </a:graphic>
          </wp:inline>
        </w:drawing>
      </w:r>
    </w:p>
    <w:p w14:paraId="7E8D3BBE">
      <w:pPr>
        <w:pStyle w:val="462"/>
        <w:spacing w:line="240" w:lineRule="auto"/>
        <w:ind w:firstLine="2168" w:firstLineChars="900"/>
        <w:rPr>
          <w:rFonts w:hint="eastAsia"/>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项目区植被分布情况                                   已建2号计量站</w:t>
      </w:r>
    </w:p>
    <w:p w14:paraId="0B39E6CE">
      <w:pPr>
        <w:pStyle w:val="462"/>
        <w:spacing w:line="240" w:lineRule="auto"/>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114300" distR="114300">
            <wp:extent cx="3216910" cy="2411730"/>
            <wp:effectExtent l="0" t="0" r="2540" b="7620"/>
            <wp:docPr id="99" name="图片 99" descr="eec957ca2508ec531f630eeb1882eb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eec957ca2508ec531f630eeb1882ebf4"/>
                    <pic:cNvPicPr>
                      <a:picLocks noChangeAspect="1"/>
                    </pic:cNvPicPr>
                  </pic:nvPicPr>
                  <pic:blipFill>
                    <a:blip r:embed="rId18"/>
                    <a:stretch>
                      <a:fillRect/>
                    </a:stretch>
                  </pic:blipFill>
                  <pic:spPr>
                    <a:xfrm>
                      <a:off x="0" y="0"/>
                      <a:ext cx="3216910" cy="2411730"/>
                    </a:xfrm>
                    <a:prstGeom prst="rect">
                      <a:avLst/>
                    </a:prstGeom>
                  </pic:spPr>
                </pic:pic>
              </a:graphicData>
            </a:graphic>
          </wp:inline>
        </w:drawing>
      </w: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drawing>
          <wp:inline distT="0" distB="0" distL="114300" distR="114300">
            <wp:extent cx="3215640" cy="2411730"/>
            <wp:effectExtent l="0" t="0" r="3810" b="7620"/>
            <wp:docPr id="93" name="图片 93" descr="IMG_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G_5836"/>
                    <pic:cNvPicPr>
                      <a:picLocks noChangeAspect="1"/>
                    </pic:cNvPicPr>
                  </pic:nvPicPr>
                  <pic:blipFill>
                    <a:blip r:embed="rId19"/>
                    <a:stretch>
                      <a:fillRect/>
                    </a:stretch>
                  </pic:blipFill>
                  <pic:spPr>
                    <a:xfrm rot="10800000">
                      <a:off x="0" y="0"/>
                      <a:ext cx="3215640" cy="2411730"/>
                    </a:xfrm>
                    <a:prstGeom prst="rect">
                      <a:avLst/>
                    </a:prstGeom>
                  </pic:spPr>
                </pic:pic>
              </a:graphicData>
            </a:graphic>
          </wp:inline>
        </w:drawing>
      </w:r>
    </w:p>
    <w:p w14:paraId="47582D33">
      <w:pPr>
        <w:pStyle w:val="462"/>
        <w:spacing w:line="240" w:lineRule="auto"/>
        <w:ind w:firstLine="2168" w:firstLineChars="900"/>
        <w:rPr>
          <w:rFonts w:hint="eastAsia"/>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已建14号计量站                                 JD8664A井所在的其他园地</w:t>
      </w:r>
    </w:p>
    <w:p w14:paraId="1CCAD87E">
      <w:pPr>
        <w:pStyle w:val="462"/>
        <w:ind w:firstLine="5783" w:firstLineChars="2400"/>
        <w:rPr>
          <w:rFonts w:hint="eastAsia"/>
          <w:color w:val="000000" w:themeColor="text1"/>
          <w14:textFill>
            <w14:solidFill>
              <w14:schemeClr w14:val="tx1"/>
            </w14:solidFill>
          </w14:textFill>
        </w:rPr>
      </w:pPr>
      <w:r>
        <w:rPr>
          <w:rFonts w:hint="eastAsia"/>
          <w:b/>
          <w:bCs/>
          <w:color w:val="000000" w:themeColor="text1"/>
          <w:lang w:val="en-US"/>
          <w14:textFill>
            <w14:solidFill>
              <w14:schemeClr w14:val="tx1"/>
            </w14:solidFill>
          </w14:textFill>
        </w:rPr>
        <w:t>现场踏勘照片</w:t>
      </w:r>
    </w:p>
    <w:p w14:paraId="2CE020E2">
      <w:pPr>
        <w:pStyle w:val="7"/>
        <w:rPr>
          <w:rFonts w:hint="eastAsia"/>
          <w:color w:val="000000" w:themeColor="text1"/>
          <w14:textFill>
            <w14:solidFill>
              <w14:schemeClr w14:val="tx1"/>
            </w14:solidFill>
          </w14:textFill>
        </w:rPr>
        <w:sectPr>
          <w:pgSz w:w="16838" w:h="11906" w:orient="landscape"/>
          <w:pgMar w:top="1304" w:right="1418" w:bottom="1304" w:left="1418" w:header="1021" w:footer="1021" w:gutter="0"/>
          <w:cols w:space="720" w:num="1"/>
          <w:docGrid w:type="lines" w:linePitch="312" w:charSpace="0"/>
        </w:sectPr>
      </w:pPr>
    </w:p>
    <w:bookmarkEnd w:id="1"/>
    <w:p w14:paraId="2D5A400A">
      <w:pPr>
        <w:pStyle w:val="193"/>
        <w:ind w:firstLine="3855" w:firstLineChars="1600"/>
        <w:rPr>
          <w:rFonts w:hint="eastAsia"/>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目 </w:t>
      </w:r>
      <w:r>
        <w:rPr>
          <w:b/>
          <w:bCs/>
          <w:color w:val="000000" w:themeColor="text1"/>
          <w14:textFill>
            <w14:solidFill>
              <w14:schemeClr w14:val="tx1"/>
            </w14:solidFill>
          </w14:textFill>
        </w:rPr>
        <w:t xml:space="preserve"> </w:t>
      </w:r>
      <w:r>
        <w:rPr>
          <w:rFonts w:hint="eastAsia"/>
          <w:b/>
          <w:bCs/>
          <w:color w:val="000000" w:themeColor="text1"/>
          <w14:textFill>
            <w14:solidFill>
              <w14:schemeClr w14:val="tx1"/>
            </w14:solidFill>
          </w14:textFill>
        </w:rPr>
        <w:t>录</w:t>
      </w:r>
    </w:p>
    <w:p w14:paraId="07463D1B">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cs="宋体"/>
          <w:b w:val="0"/>
          <w:color w:val="000000" w:themeColor="text1"/>
          <w:szCs w:val="24"/>
          <w14:textFill>
            <w14:solidFill>
              <w14:schemeClr w14:val="tx1"/>
            </w14:solidFill>
          </w14:textFill>
        </w:rPr>
        <w:fldChar w:fldCharType="begin"/>
      </w:r>
      <w:r>
        <w:rPr>
          <w:rFonts w:hint="eastAsia" w:cs="宋体"/>
          <w:b w:val="0"/>
          <w:color w:val="000000" w:themeColor="text1"/>
          <w:szCs w:val="24"/>
          <w14:textFill>
            <w14:solidFill>
              <w14:schemeClr w14:val="tx1"/>
            </w14:solidFill>
          </w14:textFill>
        </w:rPr>
        <w:instrText xml:space="preserve"> TOC \o "1-2" \h \z \u </w:instrText>
      </w:r>
      <w:r>
        <w:rPr>
          <w:rFonts w:hint="eastAsia" w:cs="宋体"/>
          <w:b w:val="0"/>
          <w:color w:val="000000" w:themeColor="text1"/>
          <w:szCs w:val="24"/>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fldChar w:fldCharType="begin"/>
      </w:r>
      <w:r>
        <w:rPr>
          <w:rFonts w:hint="eastAsia" w:ascii="宋体" w:hAnsi="宋体" w:eastAsia="宋体" w:cs="宋体"/>
          <w:color w:val="000000" w:themeColor="text1"/>
          <w:szCs w:val="24"/>
          <w14:textFill>
            <w14:solidFill>
              <w14:schemeClr w14:val="tx1"/>
            </w14:solidFill>
          </w14:textFill>
        </w:rPr>
        <w:instrText xml:space="preserve"> HYPERLINK \l _Toc27208 </w:instrText>
      </w:r>
      <w:r>
        <w:rPr>
          <w:rFonts w:hint="eastAsia" w:ascii="宋体" w:hAnsi="宋体" w:eastAsia="宋体" w:cs="宋体"/>
          <w:color w:val="000000" w:themeColor="text1"/>
          <w:szCs w:val="24"/>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1 </w:t>
      </w:r>
      <w:r>
        <w:rPr>
          <w:rFonts w:hint="eastAsia" w:ascii="宋体" w:hAnsi="宋体" w:eastAsia="宋体" w:cs="宋体"/>
          <w:color w:val="000000" w:themeColor="text1"/>
          <w14:textFill>
            <w14:solidFill>
              <w14:schemeClr w14:val="tx1"/>
            </w14:solidFill>
          </w14:textFill>
        </w:rPr>
        <w:t>概述</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_Toc27208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szCs w:val="24"/>
          <w14:textFill>
            <w14:solidFill>
              <w14:schemeClr w14:val="tx1"/>
            </w14:solidFill>
          </w14:textFill>
        </w:rPr>
        <w:fldChar w:fldCharType="end"/>
      </w:r>
    </w:p>
    <w:p w14:paraId="2944B7CD">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_Toc12900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1.1 </w:t>
      </w:r>
      <w:r>
        <w:rPr>
          <w:rFonts w:hint="eastAsia" w:ascii="宋体" w:hAnsi="宋体" w:eastAsia="宋体" w:cs="宋体"/>
          <w:color w:val="000000" w:themeColor="text1"/>
          <w14:textFill>
            <w14:solidFill>
              <w14:schemeClr w14:val="tx1"/>
            </w14:solidFill>
          </w14:textFill>
        </w:rPr>
        <w:t>项目背景</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_Toc12900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19D4600">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_Toc31238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1.2 </w:t>
      </w:r>
      <w:r>
        <w:rPr>
          <w:rFonts w:hint="eastAsia" w:ascii="宋体" w:hAnsi="宋体" w:eastAsia="宋体" w:cs="宋体"/>
          <w:color w:val="000000" w:themeColor="text1"/>
          <w14:textFill>
            <w14:solidFill>
              <w14:schemeClr w14:val="tx1"/>
            </w14:solidFill>
          </w14:textFill>
        </w:rPr>
        <w:t>建设项目主要特点</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_Toc31238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FEBACE6">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_Toc5618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1.3 </w:t>
      </w:r>
      <w:r>
        <w:rPr>
          <w:rFonts w:hint="eastAsia" w:ascii="宋体" w:hAnsi="宋体" w:eastAsia="宋体" w:cs="宋体"/>
          <w:color w:val="000000" w:themeColor="text1"/>
          <w14:textFill>
            <w14:solidFill>
              <w14:schemeClr w14:val="tx1"/>
            </w14:solidFill>
          </w14:textFill>
        </w:rPr>
        <w:t>环境影响评价的工作过程</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_Toc5618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3F24D90">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_Toc12713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1.4 </w:t>
      </w:r>
      <w:r>
        <w:rPr>
          <w:rFonts w:hint="eastAsia" w:ascii="宋体" w:hAnsi="宋体" w:eastAsia="宋体" w:cs="宋体"/>
          <w:color w:val="000000" w:themeColor="text1"/>
          <w:lang w:val="zh-CN"/>
          <w14:textFill>
            <w14:solidFill>
              <w14:schemeClr w14:val="tx1"/>
            </w14:solidFill>
          </w14:textFill>
        </w:rPr>
        <w:t>关注的主要环境问题及环境影响</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_Toc12713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4F169CB2">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_Toc30782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1.5 </w:t>
      </w:r>
      <w:r>
        <w:rPr>
          <w:rFonts w:hint="eastAsia" w:ascii="宋体" w:hAnsi="宋体" w:eastAsia="宋体" w:cs="宋体"/>
          <w:color w:val="000000" w:themeColor="text1"/>
          <w14:textFill>
            <w14:solidFill>
              <w14:schemeClr w14:val="tx1"/>
            </w14:solidFill>
          </w14:textFill>
        </w:rPr>
        <w:t>分析判定相关情况</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_Toc30782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75D3163">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_Toc24256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1.6 </w:t>
      </w:r>
      <w:r>
        <w:rPr>
          <w:rFonts w:hint="eastAsia" w:ascii="宋体" w:hAnsi="宋体" w:eastAsia="宋体" w:cs="宋体"/>
          <w:color w:val="000000" w:themeColor="text1"/>
          <w14:textFill>
            <w14:solidFill>
              <w14:schemeClr w14:val="tx1"/>
            </w14:solidFill>
          </w14:textFill>
        </w:rPr>
        <w:t>环境影响评价的主要结论</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_Toc24256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5</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3F56B3FF">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_Toc9774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2 </w:t>
      </w:r>
      <w:r>
        <w:rPr>
          <w:rFonts w:hint="eastAsia" w:ascii="宋体" w:hAnsi="宋体" w:eastAsia="宋体" w:cs="宋体"/>
          <w:color w:val="000000" w:themeColor="text1"/>
          <w14:textFill>
            <w14:solidFill>
              <w14:schemeClr w14:val="tx1"/>
            </w14:solidFill>
          </w14:textFill>
        </w:rPr>
        <w:t>总则</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_Toc9774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3E9ED9BE">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_Toc8695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2.1 </w:t>
      </w:r>
      <w:r>
        <w:rPr>
          <w:rFonts w:hint="eastAsia" w:ascii="宋体" w:hAnsi="宋体" w:eastAsia="宋体" w:cs="宋体"/>
          <w:color w:val="000000" w:themeColor="text1"/>
          <w:lang w:val="zh-CN"/>
          <w14:textFill>
            <w14:solidFill>
              <w14:schemeClr w14:val="tx1"/>
            </w14:solidFill>
          </w14:textFill>
        </w:rPr>
        <w:t>编制依据</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_Toc8695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8283A24">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_Toc12177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2.2 </w:t>
      </w:r>
      <w:r>
        <w:rPr>
          <w:rFonts w:hint="eastAsia" w:ascii="宋体" w:hAnsi="宋体" w:eastAsia="宋体" w:cs="宋体"/>
          <w:color w:val="000000" w:themeColor="text1"/>
          <w:lang w:val="zh-CN"/>
          <w14:textFill>
            <w14:solidFill>
              <w14:schemeClr w14:val="tx1"/>
            </w14:solidFill>
          </w14:textFill>
        </w:rPr>
        <w:t>评价目的与原则</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_Toc12177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13</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B4469D4">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_Toc24151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2.3 </w:t>
      </w:r>
      <w:r>
        <w:rPr>
          <w:rFonts w:hint="eastAsia" w:ascii="宋体" w:hAnsi="宋体" w:eastAsia="宋体" w:cs="宋体"/>
          <w:color w:val="000000" w:themeColor="text1"/>
          <w:lang w:val="zh-CN"/>
          <w14:textFill>
            <w14:solidFill>
              <w14:schemeClr w14:val="tx1"/>
            </w14:solidFill>
          </w14:textFill>
        </w:rPr>
        <w:t>评价时段</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_Toc24151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14</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23D6F129">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_Toc31735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2.4 </w:t>
      </w:r>
      <w:r>
        <w:rPr>
          <w:rFonts w:hint="eastAsia" w:ascii="宋体" w:hAnsi="宋体" w:eastAsia="宋体" w:cs="宋体"/>
          <w:color w:val="000000" w:themeColor="text1"/>
          <w:lang w:val="zh-CN"/>
          <w14:textFill>
            <w14:solidFill>
              <w14:schemeClr w14:val="tx1"/>
            </w14:solidFill>
          </w14:textFill>
        </w:rPr>
        <w:t>环境影响因素识别与评价因子确定</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_Toc31735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14</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735E3DE">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_Toc21293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2.5 </w:t>
      </w:r>
      <w:r>
        <w:rPr>
          <w:rFonts w:hint="eastAsia" w:ascii="宋体" w:hAnsi="宋体" w:eastAsia="宋体" w:cs="宋体"/>
          <w:color w:val="000000" w:themeColor="text1"/>
          <w:lang w:val="zh-CN"/>
          <w14:textFill>
            <w14:solidFill>
              <w14:schemeClr w14:val="tx1"/>
            </w14:solidFill>
          </w14:textFill>
        </w:rPr>
        <w:t>环境功能区划与评价标准</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_Toc21293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17</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B1684FE">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_Toc29557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2.6 </w:t>
      </w:r>
      <w:r>
        <w:rPr>
          <w:rFonts w:hint="eastAsia" w:ascii="宋体" w:hAnsi="宋体" w:eastAsia="宋体" w:cs="宋体"/>
          <w:color w:val="000000" w:themeColor="text1"/>
          <w:lang w:val="zh-CN"/>
          <w14:textFill>
            <w14:solidFill>
              <w14:schemeClr w14:val="tx1"/>
            </w14:solidFill>
          </w14:textFill>
        </w:rPr>
        <w:t>评价等级与</w:t>
      </w:r>
      <w:r>
        <w:rPr>
          <w:rFonts w:hint="eastAsia" w:ascii="宋体" w:hAnsi="宋体" w:eastAsia="宋体" w:cs="宋体"/>
          <w:color w:val="000000" w:themeColor="text1"/>
          <w14:textFill>
            <w14:solidFill>
              <w14:schemeClr w14:val="tx1"/>
            </w14:solidFill>
          </w14:textFill>
        </w:rPr>
        <w:t>评价范围</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_Toc29557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8A21791">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_Toc15957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2.7 </w:t>
      </w:r>
      <w:r>
        <w:rPr>
          <w:rFonts w:hint="eastAsia" w:ascii="宋体" w:hAnsi="宋体" w:eastAsia="宋体" w:cs="宋体"/>
          <w:color w:val="000000" w:themeColor="text1"/>
          <w14:textFill>
            <w14:solidFill>
              <w14:schemeClr w14:val="tx1"/>
            </w14:solidFill>
          </w14:textFill>
        </w:rPr>
        <w:t>环境保护目标</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_Toc15957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28</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E766B2B">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_Toc16961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2.8 </w:t>
      </w:r>
      <w:r>
        <w:rPr>
          <w:rFonts w:hint="eastAsia" w:ascii="宋体" w:hAnsi="宋体" w:eastAsia="宋体" w:cs="宋体"/>
          <w:color w:val="000000" w:themeColor="text1"/>
          <w14:textFill>
            <w14:solidFill>
              <w14:schemeClr w14:val="tx1"/>
            </w14:solidFill>
          </w14:textFill>
        </w:rPr>
        <w:t>评价内容和评价重点</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_Toc16961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281F401A">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_Toc4548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2.9 </w:t>
      </w:r>
      <w:r>
        <w:rPr>
          <w:rFonts w:hint="eastAsia" w:ascii="宋体" w:hAnsi="宋体" w:eastAsia="宋体" w:cs="宋体"/>
          <w:color w:val="000000" w:themeColor="text1"/>
          <w:lang w:val="zh-CN"/>
          <w14:textFill>
            <w14:solidFill>
              <w14:schemeClr w14:val="tx1"/>
            </w14:solidFill>
          </w14:textFill>
        </w:rPr>
        <w:t>相关规划</w:t>
      </w:r>
      <w:r>
        <w:rPr>
          <w:rFonts w:hint="eastAsia" w:ascii="宋体" w:hAnsi="宋体" w:eastAsia="宋体" w:cs="宋体"/>
          <w:color w:val="000000" w:themeColor="text1"/>
          <w14:textFill>
            <w14:solidFill>
              <w14:schemeClr w14:val="tx1"/>
            </w14:solidFill>
          </w14:textFill>
        </w:rPr>
        <w:t>及政策符合性分析</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_Toc4548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7</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35907D25">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_Toc13973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3 </w:t>
      </w:r>
      <w:r>
        <w:rPr>
          <w:rFonts w:hint="eastAsia" w:ascii="宋体" w:hAnsi="宋体" w:eastAsia="宋体" w:cs="宋体"/>
          <w:color w:val="000000" w:themeColor="text1"/>
          <w14:textFill>
            <w14:solidFill>
              <w14:schemeClr w14:val="tx1"/>
            </w14:solidFill>
          </w14:textFill>
        </w:rPr>
        <w:t>建设项目工程分析</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_Toc13973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41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CE39E50">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_Toc24199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3.1 </w:t>
      </w:r>
      <w:r>
        <w:rPr>
          <w:rFonts w:hint="eastAsia" w:ascii="宋体" w:hAnsi="宋体" w:eastAsia="宋体" w:cs="宋体"/>
          <w:color w:val="000000" w:themeColor="text1"/>
          <w14:textFill>
            <w14:solidFill>
              <w14:schemeClr w14:val="tx1"/>
            </w14:solidFill>
          </w14:textFill>
        </w:rPr>
        <w:t>现有工程概况及环境影响回顾</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_Toc24199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41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0215A0D">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_Toc29236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3.2 </w:t>
      </w:r>
      <w:r>
        <w:rPr>
          <w:rFonts w:hint="eastAsia" w:ascii="宋体" w:hAnsi="宋体" w:eastAsia="宋体" w:cs="宋体"/>
          <w:color w:val="000000" w:themeColor="text1"/>
          <w14:textFill>
            <w14:solidFill>
              <w14:schemeClr w14:val="tx1"/>
            </w14:solidFill>
          </w14:textFill>
        </w:rPr>
        <w:t>改扩建项目工程概况</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_Toc29236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60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5E50B79">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_Toc26767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3.3 </w:t>
      </w:r>
      <w:r>
        <w:rPr>
          <w:rFonts w:hint="eastAsia" w:ascii="宋体" w:hAnsi="宋体" w:eastAsia="宋体" w:cs="宋体"/>
          <w:color w:val="000000" w:themeColor="text1"/>
          <w14:textFill>
            <w14:solidFill>
              <w14:schemeClr w14:val="tx1"/>
            </w14:solidFill>
          </w14:textFill>
        </w:rPr>
        <w:t>污染源源强核算</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_Toc26767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101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4E1D6881">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_Toc13701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3.4 </w:t>
      </w:r>
      <w:r>
        <w:rPr>
          <w:rFonts w:hint="eastAsia" w:ascii="宋体" w:hAnsi="宋体" w:eastAsia="宋体" w:cs="宋体"/>
          <w:color w:val="000000" w:themeColor="text1"/>
          <w14:textFill>
            <w14:solidFill>
              <w14:schemeClr w14:val="tx1"/>
            </w14:solidFill>
          </w14:textFill>
        </w:rPr>
        <w:t>总量控制指标</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_Toc13701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117</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8AF01B5">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_Toc12801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3.5 </w:t>
      </w:r>
      <w:r>
        <w:rPr>
          <w:rFonts w:hint="eastAsia" w:ascii="宋体" w:hAnsi="宋体" w:eastAsia="宋体" w:cs="宋体"/>
          <w:color w:val="000000" w:themeColor="text1"/>
          <w14:textFill>
            <w14:solidFill>
              <w14:schemeClr w14:val="tx1"/>
            </w14:solidFill>
          </w14:textFill>
        </w:rPr>
        <w:t>清洁生产分析</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_Toc12801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118</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DD09640">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_Toc484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4 </w:t>
      </w:r>
      <w:r>
        <w:rPr>
          <w:rFonts w:hint="eastAsia" w:ascii="宋体" w:hAnsi="宋体" w:eastAsia="宋体" w:cs="宋体"/>
          <w:color w:val="000000" w:themeColor="text1"/>
          <w14:textFill>
            <w14:solidFill>
              <w14:schemeClr w14:val="tx1"/>
            </w14:solidFill>
          </w14:textFill>
        </w:rPr>
        <w:t>环境质量现状调查与评价</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_Toc484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124</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0A9E39F7">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_Toc25430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4.1 </w:t>
      </w:r>
      <w:r>
        <w:rPr>
          <w:rFonts w:hint="eastAsia" w:ascii="宋体" w:hAnsi="宋体" w:eastAsia="宋体" w:cs="宋体"/>
          <w:color w:val="000000" w:themeColor="text1"/>
          <w14:textFill>
            <w14:solidFill>
              <w14:schemeClr w14:val="tx1"/>
            </w14:solidFill>
          </w14:textFill>
        </w:rPr>
        <w:t>自然环境现状调查与评价</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_Toc25430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124</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05F10E8C">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_Toc18786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4.2 </w:t>
      </w:r>
      <w:r>
        <w:rPr>
          <w:rFonts w:hint="eastAsia" w:ascii="宋体" w:hAnsi="宋体" w:eastAsia="宋体" w:cs="宋体"/>
          <w:color w:val="000000" w:themeColor="text1"/>
          <w14:textFill>
            <w14:solidFill>
              <w14:schemeClr w14:val="tx1"/>
            </w14:solidFill>
          </w14:textFill>
        </w:rPr>
        <w:t>环境保护目标调查</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_Toc18786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130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35E1108B">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_Toc9412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4.3 </w:t>
      </w:r>
      <w:r>
        <w:rPr>
          <w:rFonts w:hint="eastAsia" w:ascii="宋体" w:hAnsi="宋体" w:eastAsia="宋体" w:cs="宋体"/>
          <w:color w:val="000000" w:themeColor="text1"/>
          <w14:textFill>
            <w14:solidFill>
              <w14:schemeClr w14:val="tx1"/>
            </w14:solidFill>
          </w14:textFill>
        </w:rPr>
        <w:t>环境质量现状调查与评价</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_Toc9412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130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C8B1C2D">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_Toc1128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5 </w:t>
      </w:r>
      <w:r>
        <w:rPr>
          <w:rFonts w:hint="eastAsia" w:ascii="宋体" w:hAnsi="宋体" w:eastAsia="宋体" w:cs="宋体"/>
          <w:color w:val="000000" w:themeColor="text1"/>
          <w14:textFill>
            <w14:solidFill>
              <w14:schemeClr w14:val="tx1"/>
            </w14:solidFill>
          </w14:textFill>
        </w:rPr>
        <w:t>环境影响预测与评价</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_Toc1128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166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403753E">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_Toc21081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5.1 </w:t>
      </w:r>
      <w:r>
        <w:rPr>
          <w:rFonts w:hint="eastAsia" w:ascii="宋体" w:hAnsi="宋体" w:eastAsia="宋体" w:cs="宋体"/>
          <w:color w:val="000000" w:themeColor="text1"/>
          <w14:textFill>
            <w14:solidFill>
              <w14:schemeClr w14:val="tx1"/>
            </w14:solidFill>
          </w14:textFill>
        </w:rPr>
        <w:t>施工期环境影响预测与评价</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_Toc21081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166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090DD1B6">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_Toc16023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5.2 </w:t>
      </w:r>
      <w:r>
        <w:rPr>
          <w:rFonts w:hint="eastAsia" w:ascii="宋体" w:hAnsi="宋体" w:eastAsia="宋体" w:cs="宋体"/>
          <w:color w:val="000000" w:themeColor="text1"/>
          <w14:textFill>
            <w14:solidFill>
              <w14:schemeClr w14:val="tx1"/>
            </w14:solidFill>
          </w14:textFill>
        </w:rPr>
        <w:t>运营期环境影响预测与评价</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_Toc16023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176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DA43561">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_Toc19612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5.3 </w:t>
      </w:r>
      <w:r>
        <w:rPr>
          <w:rFonts w:hint="eastAsia" w:ascii="宋体" w:hAnsi="宋体" w:eastAsia="宋体" w:cs="宋体"/>
          <w:color w:val="000000" w:themeColor="text1"/>
          <w14:textFill>
            <w14:solidFill>
              <w14:schemeClr w14:val="tx1"/>
            </w14:solidFill>
          </w14:textFill>
        </w:rPr>
        <w:t>退役期影响分析</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_Toc19612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200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6590B37">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_Toc27520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5.4 </w:t>
      </w:r>
      <w:r>
        <w:rPr>
          <w:rFonts w:hint="eastAsia" w:ascii="宋体" w:hAnsi="宋体" w:eastAsia="宋体" w:cs="宋体"/>
          <w:color w:val="000000" w:themeColor="text1"/>
          <w14:textFill>
            <w14:solidFill>
              <w14:schemeClr w14:val="tx1"/>
            </w14:solidFill>
          </w14:textFill>
        </w:rPr>
        <w:t>环境风险分析</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_Toc27520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200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CB381D8">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_Toc12392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6 </w:t>
      </w:r>
      <w:r>
        <w:rPr>
          <w:rFonts w:hint="eastAsia" w:ascii="宋体" w:hAnsi="宋体" w:eastAsia="宋体" w:cs="宋体"/>
          <w:color w:val="000000" w:themeColor="text1"/>
          <w:lang w:val="zh-CN"/>
          <w14:textFill>
            <w14:solidFill>
              <w14:schemeClr w14:val="tx1"/>
            </w14:solidFill>
          </w14:textFill>
        </w:rPr>
        <w:t>环境保护措施及其可行性论证</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_Toc12392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211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E446635">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_Toc18343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6.1 </w:t>
      </w:r>
      <w:r>
        <w:rPr>
          <w:rFonts w:hint="eastAsia" w:ascii="宋体" w:hAnsi="宋体" w:eastAsia="宋体" w:cs="宋体"/>
          <w:color w:val="000000" w:themeColor="text1"/>
          <w:lang w:val="zh-CN"/>
          <w14:textFill>
            <w14:solidFill>
              <w14:schemeClr w14:val="tx1"/>
            </w14:solidFill>
          </w14:textFill>
        </w:rPr>
        <w:t>施工期环境保护措施及其可行性论证</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_Toc18343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211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0933B14B">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_Toc12277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6.2 </w:t>
      </w:r>
      <w:r>
        <w:rPr>
          <w:rFonts w:hint="eastAsia" w:ascii="宋体" w:hAnsi="宋体" w:eastAsia="宋体" w:cs="宋体"/>
          <w:color w:val="000000" w:themeColor="text1"/>
          <w:lang w:val="zh-CN"/>
          <w14:textFill>
            <w14:solidFill>
              <w14:schemeClr w14:val="tx1"/>
            </w14:solidFill>
          </w14:textFill>
        </w:rPr>
        <w:t>运营期环境保护措施</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_Toc12277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224</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23E150A7">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_Toc3354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6.3 </w:t>
      </w:r>
      <w:r>
        <w:rPr>
          <w:rFonts w:hint="eastAsia" w:ascii="宋体" w:hAnsi="宋体" w:eastAsia="宋体" w:cs="宋体"/>
          <w:color w:val="000000" w:themeColor="text1"/>
          <w14:textFill>
            <w14:solidFill>
              <w14:schemeClr w14:val="tx1"/>
            </w14:solidFill>
          </w14:textFill>
        </w:rPr>
        <w:t>温室气体管控措施</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_Toc3354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235</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676B6A8">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_Toc4840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6.4 </w:t>
      </w:r>
      <w:r>
        <w:rPr>
          <w:rFonts w:hint="eastAsia" w:ascii="宋体" w:hAnsi="宋体" w:eastAsia="宋体" w:cs="宋体"/>
          <w:color w:val="000000" w:themeColor="text1"/>
          <w:lang w:val="zh-CN"/>
          <w14:textFill>
            <w14:solidFill>
              <w14:schemeClr w14:val="tx1"/>
            </w14:solidFill>
          </w14:textFill>
        </w:rPr>
        <w:t>环境风险事故防范措施</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_Toc4840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236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B7E7ED1">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_Toc19321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lang w:val="zh-CN"/>
          <w14:textFill>
            <w14:solidFill>
              <w14:schemeClr w14:val="tx1"/>
            </w14:solidFill>
          </w14:textFill>
        </w:rPr>
        <w:t xml:space="preserve">6.5 </w:t>
      </w:r>
      <w:r>
        <w:rPr>
          <w:rFonts w:hint="eastAsia" w:ascii="宋体" w:hAnsi="宋体" w:eastAsia="宋体" w:cs="宋体"/>
          <w:color w:val="000000" w:themeColor="text1"/>
          <w:lang w:val="zh-CN"/>
          <w14:textFill>
            <w14:solidFill>
              <w14:schemeClr w14:val="tx1"/>
            </w14:solidFill>
          </w14:textFill>
        </w:rPr>
        <w:t>退役期环境保护措施</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_Toc19321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245</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29E77A4">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_Toc7882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6.6 </w:t>
      </w:r>
      <w:r>
        <w:rPr>
          <w:rFonts w:hint="eastAsia" w:ascii="宋体" w:hAnsi="宋体" w:eastAsia="宋体" w:cs="宋体"/>
          <w:color w:val="000000" w:themeColor="text1"/>
          <w14:textFill>
            <w14:solidFill>
              <w14:schemeClr w14:val="tx1"/>
            </w14:solidFill>
          </w14:textFill>
        </w:rPr>
        <w:t>环境保护措施可行性分析</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_Toc7882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248</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5A43EAD">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_Toc23809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6.7 </w:t>
      </w:r>
      <w:r>
        <w:rPr>
          <w:rFonts w:hint="eastAsia" w:ascii="宋体" w:hAnsi="宋体" w:eastAsia="宋体" w:cs="宋体"/>
          <w:color w:val="000000" w:themeColor="text1"/>
          <w14:textFill>
            <w14:solidFill>
              <w14:schemeClr w14:val="tx1"/>
            </w14:solidFill>
          </w14:textFill>
        </w:rPr>
        <w:t>环保投资分析</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_Toc23809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248</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44DD397B">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_Toc11342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7 </w:t>
      </w:r>
      <w:r>
        <w:rPr>
          <w:rFonts w:hint="eastAsia" w:ascii="宋体" w:hAnsi="宋体" w:eastAsia="宋体" w:cs="宋体"/>
          <w:color w:val="000000" w:themeColor="text1"/>
          <w14:textFill>
            <w14:solidFill>
              <w14:schemeClr w14:val="tx1"/>
            </w14:solidFill>
          </w14:textFill>
        </w:rPr>
        <w:t>环境管理与监测计划</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_Toc11342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250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4894F787">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_Toc18751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7.1 </w:t>
      </w:r>
      <w:r>
        <w:rPr>
          <w:rFonts w:hint="eastAsia" w:ascii="宋体" w:hAnsi="宋体" w:eastAsia="宋体" w:cs="宋体"/>
          <w:color w:val="000000" w:themeColor="text1"/>
          <w14:textFill>
            <w14:solidFill>
              <w14:schemeClr w14:val="tx1"/>
            </w14:solidFill>
          </w14:textFill>
        </w:rPr>
        <w:t>环境管理机构</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_Toc18751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250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9336634">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_Toc6096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7.2 </w:t>
      </w:r>
      <w:r>
        <w:rPr>
          <w:rFonts w:hint="eastAsia" w:ascii="宋体" w:hAnsi="宋体" w:eastAsia="宋体" w:cs="宋体"/>
          <w:color w:val="000000" w:themeColor="text1"/>
          <w14:textFill>
            <w14:solidFill>
              <w14:schemeClr w14:val="tx1"/>
            </w14:solidFill>
          </w14:textFill>
        </w:rPr>
        <w:t>生产区环境管理</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_Toc6096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250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3DE10FEB">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_Toc10780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7.3 </w:t>
      </w:r>
      <w:r>
        <w:rPr>
          <w:rFonts w:hint="eastAsia" w:ascii="宋体" w:hAnsi="宋体" w:eastAsia="宋体" w:cs="宋体"/>
          <w:color w:val="000000" w:themeColor="text1"/>
          <w14:textFill>
            <w14:solidFill>
              <w14:schemeClr w14:val="tx1"/>
            </w14:solidFill>
          </w14:textFill>
        </w:rPr>
        <w:t>污染物排放的管理要求</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_Toc10780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253</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48677A30">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_Toc28332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7.4 </w:t>
      </w:r>
      <w:r>
        <w:rPr>
          <w:rFonts w:hint="eastAsia" w:ascii="宋体" w:hAnsi="宋体" w:eastAsia="宋体" w:cs="宋体"/>
          <w:color w:val="000000" w:themeColor="text1"/>
          <w14:textFill>
            <w14:solidFill>
              <w14:schemeClr w14:val="tx1"/>
            </w14:solidFill>
          </w14:textFill>
        </w:rPr>
        <w:t>企业环境信息公开</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_Toc28332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253</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4DBE5BF">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_Toc3664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7.5 </w:t>
      </w:r>
      <w:r>
        <w:rPr>
          <w:rFonts w:hint="eastAsia" w:ascii="宋体" w:hAnsi="宋体" w:eastAsia="宋体" w:cs="宋体"/>
          <w:color w:val="000000" w:themeColor="text1"/>
          <w14:textFill>
            <w14:solidFill>
              <w14:schemeClr w14:val="tx1"/>
            </w14:solidFill>
          </w14:textFill>
        </w:rPr>
        <w:t>环境监测与监控</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_Toc3664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255</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0F51721">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_Toc2138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8 </w:t>
      </w:r>
      <w:r>
        <w:rPr>
          <w:rFonts w:hint="eastAsia" w:ascii="宋体" w:hAnsi="宋体" w:eastAsia="宋体" w:cs="宋体"/>
          <w:color w:val="000000" w:themeColor="text1"/>
          <w14:textFill>
            <w14:solidFill>
              <w14:schemeClr w14:val="tx1"/>
            </w14:solidFill>
          </w14:textFill>
        </w:rPr>
        <w:t>环境影响经济损益分析</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_Toc2138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0111B9C1">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_Toc27787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8.1 </w:t>
      </w:r>
      <w:r>
        <w:rPr>
          <w:rFonts w:hint="eastAsia" w:ascii="宋体" w:hAnsi="宋体" w:eastAsia="宋体" w:cs="宋体"/>
          <w:color w:val="000000" w:themeColor="text1"/>
          <w14:textFill>
            <w14:solidFill>
              <w14:schemeClr w14:val="tx1"/>
            </w14:solidFill>
          </w14:textFill>
        </w:rPr>
        <w:t>环境社会效益分析</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_Toc27787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350CAFB">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_Toc29051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8.2 </w:t>
      </w:r>
      <w:r>
        <w:rPr>
          <w:rFonts w:hint="eastAsia" w:ascii="宋体" w:hAnsi="宋体" w:eastAsia="宋体" w:cs="宋体"/>
          <w:color w:val="000000" w:themeColor="text1"/>
          <w14:textFill>
            <w14:solidFill>
              <w14:schemeClr w14:val="tx1"/>
            </w14:solidFill>
          </w14:textFill>
        </w:rPr>
        <w:t>环境经济损益分析结论</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_Toc29051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0388F65B">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_Toc5334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9 </w:t>
      </w:r>
      <w:r>
        <w:rPr>
          <w:rFonts w:hint="eastAsia" w:ascii="宋体" w:hAnsi="宋体" w:eastAsia="宋体" w:cs="宋体"/>
          <w:color w:val="000000" w:themeColor="text1"/>
          <w14:textFill>
            <w14:solidFill>
              <w14:schemeClr w14:val="tx1"/>
            </w14:solidFill>
          </w14:textFill>
        </w:rPr>
        <w:t>环境影响评价结论</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_Toc5334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5455CD5">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_Toc53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9.1 </w:t>
      </w:r>
      <w:r>
        <w:rPr>
          <w:rFonts w:hint="eastAsia" w:ascii="宋体" w:hAnsi="宋体" w:eastAsia="宋体" w:cs="宋体"/>
          <w:color w:val="000000" w:themeColor="text1"/>
          <w14:textFill>
            <w14:solidFill>
              <w14:schemeClr w14:val="tx1"/>
            </w14:solidFill>
          </w14:textFill>
        </w:rPr>
        <w:t>建设项目概况</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_Toc53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E6B0A50">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_Toc14835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9.2 </w:t>
      </w:r>
      <w:r>
        <w:rPr>
          <w:rFonts w:hint="eastAsia" w:ascii="宋体" w:hAnsi="宋体" w:eastAsia="宋体" w:cs="宋体"/>
          <w:color w:val="000000" w:themeColor="text1"/>
          <w14:textFill>
            <w14:solidFill>
              <w14:schemeClr w14:val="tx1"/>
            </w14:solidFill>
          </w14:textFill>
        </w:rPr>
        <w:t>环境质量现状</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_Toc14835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261</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FDDBEF1">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_Toc25751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9.3 </w:t>
      </w:r>
      <w:r>
        <w:rPr>
          <w:rFonts w:hint="eastAsia" w:ascii="宋体" w:hAnsi="宋体" w:eastAsia="宋体" w:cs="宋体"/>
          <w:color w:val="000000" w:themeColor="text1"/>
          <w14:textFill>
            <w14:solidFill>
              <w14:schemeClr w14:val="tx1"/>
            </w14:solidFill>
          </w14:textFill>
        </w:rPr>
        <w:t>主要环境影响及环保措施</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_Toc25751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262</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B5AF425">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_Toc15046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9.4 </w:t>
      </w:r>
      <w:r>
        <w:rPr>
          <w:rFonts w:hint="eastAsia" w:ascii="宋体" w:hAnsi="宋体" w:eastAsia="宋体" w:cs="宋体"/>
          <w:color w:val="000000" w:themeColor="text1"/>
          <w14:textFill>
            <w14:solidFill>
              <w14:schemeClr w14:val="tx1"/>
            </w14:solidFill>
          </w14:textFill>
        </w:rPr>
        <w:t>经济损益性分析</w:t>
      </w:r>
      <w:r>
        <w:rPr>
          <w:rFonts w:hint="eastAsia" w:ascii="宋体" w:hAnsi="宋体" w:eastAsia="宋体" w:cs="宋体"/>
          <w:color w:val="000000" w:themeColor="text1"/>
          <w:lang w:eastAsia="zh-Hans"/>
          <w14:textFill>
            <w14:solidFill>
              <w14:schemeClr w14:val="tx1"/>
            </w14:solidFill>
          </w14:textFill>
        </w:rPr>
        <w:t>结论</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_Toc15046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0C41961D">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_Toc23761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9.5 </w:t>
      </w:r>
      <w:r>
        <w:rPr>
          <w:rFonts w:hint="eastAsia" w:ascii="宋体" w:hAnsi="宋体" w:eastAsia="宋体" w:cs="宋体"/>
          <w:color w:val="000000" w:themeColor="text1"/>
          <w14:textFill>
            <w14:solidFill>
              <w14:schemeClr w14:val="tx1"/>
            </w14:solidFill>
          </w14:textFill>
        </w:rPr>
        <w:t>环境管理与监测计划</w:t>
      </w:r>
      <w:r>
        <w:rPr>
          <w:rFonts w:hint="eastAsia" w:ascii="宋体" w:hAnsi="宋体" w:eastAsia="宋体" w:cs="宋体"/>
          <w:color w:val="000000" w:themeColor="text1"/>
          <w:lang w:eastAsia="zh-Hans"/>
          <w14:textFill>
            <w14:solidFill>
              <w14:schemeClr w14:val="tx1"/>
            </w14:solidFill>
          </w14:textFill>
        </w:rPr>
        <w:t>结论</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_Toc23761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9ACD4A9">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_Toc21525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9.6 </w:t>
      </w:r>
      <w:r>
        <w:rPr>
          <w:rFonts w:hint="eastAsia" w:ascii="宋体" w:hAnsi="宋体" w:eastAsia="宋体" w:cs="宋体"/>
          <w:color w:val="000000" w:themeColor="text1"/>
          <w14:textFill>
            <w14:solidFill>
              <w14:schemeClr w14:val="tx1"/>
            </w14:solidFill>
          </w14:textFill>
        </w:rPr>
        <w:t>公众参与</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_Toc21525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02F2A990">
      <w:pPr>
        <w:pStyle w:val="4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_Toc13451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i w:val="0"/>
          <w:color w:val="000000" w:themeColor="text1"/>
          <w14:textFill>
            <w14:solidFill>
              <w14:schemeClr w14:val="tx1"/>
            </w14:solidFill>
          </w14:textFill>
        </w:rPr>
        <w:t xml:space="preserve">9.7 </w:t>
      </w:r>
      <w:r>
        <w:rPr>
          <w:rFonts w:hint="eastAsia" w:ascii="宋体" w:hAnsi="宋体" w:eastAsia="宋体" w:cs="宋体"/>
          <w:color w:val="000000" w:themeColor="text1"/>
          <w14:textFill>
            <w14:solidFill>
              <w14:schemeClr w14:val="tx1"/>
            </w14:solidFill>
          </w14:textFill>
        </w:rPr>
        <w:t>总结论</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_Toc13451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3B5F9B60">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_Toc25878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附件1  环评委托书</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_Toc25878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268</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3CD112BE">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_Toc12194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附件2  现有工程环保手续</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_Toc12194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269</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FF6A637">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_Toc1446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附件3  排污许可登记回执及应急预案备案意见</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_Toc1446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280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7E8E842">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_Toc17423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附件4  环境质量现状监测报告</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_Toc17423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282</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3D5CCB16">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_Toc25386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附件5  大气环境影响自查表</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_Toc25386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335</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80742E1">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_Toc25542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附件6  声环境影响自查表</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_Toc25542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336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6D9FE40D">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_Toc16730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附件7  土壤环境影响自查表</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_Toc16730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337</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1BEBC50">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_Toc24271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附件8  生态环境影响自查表</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_Toc24271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338</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7AAF3EE1">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_Toc9871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附件9  环境风险影响自查表</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_Toc9871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339</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6F6FFE6">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_Toc26344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附件1</w:t>
      </w:r>
      <w:r>
        <w:rPr>
          <w:rFonts w:hint="eastAsia" w:ascii="宋体" w:hAnsi="宋体" w:eastAsia="宋体" w:cs="宋体"/>
          <w:color w:val="000000" w:themeColor="text1"/>
          <w:lang w:val="en-US" w:eastAsia="zh-CN"/>
          <w14:textFill>
            <w14:solidFill>
              <w14:schemeClr w14:val="tx1"/>
            </w14:solidFill>
          </w14:textFill>
        </w:rPr>
        <w:t>0</w:t>
      </w:r>
      <w:r>
        <w:rPr>
          <w:rFonts w:hint="eastAsia" w:ascii="宋体" w:hAnsi="宋体" w:eastAsia="宋体" w:cs="宋体"/>
          <w:color w:val="000000" w:themeColor="text1"/>
          <w14:textFill>
            <w14:solidFill>
              <w14:schemeClr w14:val="tx1"/>
            </w14:solidFill>
          </w14:textFill>
        </w:rPr>
        <w:t xml:space="preserve">  </w:t>
      </w:r>
      <w:r>
        <w:rPr>
          <w:rFonts w:hint="eastAsia" w:ascii="宋体" w:hAnsi="宋体" w:eastAsia="宋体" w:cs="宋体"/>
          <w:color w:val="000000" w:themeColor="text1"/>
          <w:lang w:val="en-US" w:eastAsia="zh-CN"/>
          <w14:textFill>
            <w14:solidFill>
              <w14:schemeClr w14:val="tx1"/>
            </w14:solidFill>
          </w14:textFill>
        </w:rPr>
        <w:t>突发环境事件应急预案备案表</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_Toc26344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340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E04FAEA">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_Toc14147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附件1</w:t>
      </w:r>
      <w:r>
        <w:rPr>
          <w:rFonts w:hint="eastAsia" w:ascii="宋体" w:hAnsi="宋体" w:eastAsia="宋体" w:cs="宋体"/>
          <w:color w:val="000000" w:themeColor="text1"/>
          <w:lang w:val="en-US" w:eastAsia="zh-CN"/>
          <w14:textFill>
            <w14:solidFill>
              <w14:schemeClr w14:val="tx1"/>
            </w14:solidFill>
          </w14:textFill>
        </w:rPr>
        <w:t>1</w:t>
      </w:r>
      <w:r>
        <w:rPr>
          <w:rFonts w:hint="eastAsia" w:ascii="宋体" w:hAnsi="宋体" w:eastAsia="宋体" w:cs="宋体"/>
          <w:color w:val="000000" w:themeColor="text1"/>
          <w14:textFill>
            <w14:solidFill>
              <w14:schemeClr w14:val="tx1"/>
            </w14:solidFill>
          </w14:textFill>
        </w:rPr>
        <w:t xml:space="preserve">  </w:t>
      </w:r>
      <w:r>
        <w:rPr>
          <w:rFonts w:hint="eastAsia" w:ascii="宋体" w:hAnsi="宋体" w:eastAsia="宋体" w:cs="宋体"/>
          <w:color w:val="000000" w:themeColor="text1"/>
          <w:lang w:val="en-US" w:eastAsia="zh-CN"/>
          <w14:textFill>
            <w14:solidFill>
              <w14:schemeClr w14:val="tx1"/>
            </w14:solidFill>
          </w14:textFill>
        </w:rPr>
        <w:t>伴生气组分分析报告</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_Toc14147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342</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51334B1C">
      <w:pPr>
        <w:pStyle w:val="33"/>
        <w:tabs>
          <w:tab w:val="right" w:leader="dot" w:pos="8730"/>
        </w:tabs>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_Toc18798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附件1</w:t>
      </w:r>
      <w:r>
        <w:rPr>
          <w:rFonts w:hint="eastAsia" w:ascii="宋体" w:hAnsi="宋体" w:eastAsia="宋体" w:cs="宋体"/>
          <w:color w:val="000000" w:themeColor="text1"/>
          <w:lang w:val="en-US" w:eastAsia="zh-CN"/>
          <w14:textFill>
            <w14:solidFill>
              <w14:schemeClr w14:val="tx1"/>
            </w14:solidFill>
          </w14:textFill>
        </w:rPr>
        <w:t>2</w:t>
      </w:r>
      <w:r>
        <w:rPr>
          <w:rFonts w:hint="eastAsia" w:ascii="宋体" w:hAnsi="宋体" w:eastAsia="宋体" w:cs="宋体"/>
          <w:color w:val="000000" w:themeColor="text1"/>
          <w14:textFill>
            <w14:solidFill>
              <w14:schemeClr w14:val="tx1"/>
            </w14:solidFill>
          </w14:textFill>
        </w:rPr>
        <w:t xml:space="preserve">  危险废物处置协议</w:t>
      </w: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lang w:val="en-US" w:eastAsia="zh-CN"/>
          <w14:textFill>
            <w14:solidFill>
              <w14:schemeClr w14:val="tx1"/>
            </w14:solidFill>
          </w14:textFill>
        </w:rPr>
        <w:t>节选</w:t>
      </w: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_Toc18798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346</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4BA58F57">
      <w:pPr>
        <w:pStyle w:val="33"/>
        <w:tabs>
          <w:tab w:val="right" w:leader="dot" w:pos="8730"/>
        </w:tabs>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_Toc8939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附件1</w:t>
      </w:r>
      <w:r>
        <w:rPr>
          <w:rFonts w:hint="eastAsia" w:ascii="宋体" w:hAnsi="宋体" w:eastAsia="宋体" w:cs="宋体"/>
          <w:color w:val="000000" w:themeColor="text1"/>
          <w:lang w:val="en-US" w:eastAsia="zh-CN"/>
          <w14:textFill>
            <w14:solidFill>
              <w14:schemeClr w14:val="tx1"/>
            </w14:solidFill>
          </w14:textFill>
        </w:rPr>
        <w:t>3</w:t>
      </w:r>
      <w:r>
        <w:rPr>
          <w:rFonts w:hint="eastAsia" w:ascii="宋体" w:hAnsi="宋体" w:eastAsia="宋体" w:cs="宋体"/>
          <w:color w:val="000000" w:themeColor="text1"/>
          <w14:textFill>
            <w14:solidFill>
              <w14:schemeClr w14:val="tx1"/>
            </w14:solidFill>
          </w14:textFill>
        </w:rPr>
        <w:t xml:space="preserve">  </w:t>
      </w:r>
      <w:r>
        <w:rPr>
          <w:rFonts w:hint="eastAsia" w:ascii="宋体" w:hAnsi="宋体" w:eastAsia="宋体" w:cs="宋体"/>
          <w:color w:val="000000" w:themeColor="text1"/>
          <w:lang w:val="en-US" w:eastAsia="zh-CN"/>
          <w14:textFill>
            <w14:solidFill>
              <w14:schemeClr w14:val="tx1"/>
            </w14:solidFill>
          </w14:textFill>
        </w:rPr>
        <w:t>水基钻井岩屑</w:t>
      </w:r>
      <w:r>
        <w:rPr>
          <w:rFonts w:hint="eastAsia" w:ascii="宋体" w:hAnsi="宋体" w:eastAsia="宋体" w:cs="宋体"/>
          <w:color w:val="000000" w:themeColor="text1"/>
          <w14:textFill>
            <w14:solidFill>
              <w14:schemeClr w14:val="tx1"/>
            </w14:solidFill>
          </w14:textFill>
        </w:rPr>
        <w:t>处置协议</w:t>
      </w: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lang w:val="en-US" w:eastAsia="zh-CN"/>
          <w14:textFill>
            <w14:solidFill>
              <w14:schemeClr w14:val="tx1"/>
            </w14:solidFill>
          </w14:textFill>
        </w:rPr>
        <w:t>节选</w:t>
      </w: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ab/>
      </w: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PAGEREF _Toc8939 \h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14:textFill>
            <w14:solidFill>
              <w14:schemeClr w14:val="tx1"/>
            </w14:solidFill>
          </w14:textFill>
        </w:rPr>
        <w:t>350</w:t>
      </w:r>
      <w:r>
        <w:rPr>
          <w:rFonts w:hint="eastAsia" w:ascii="宋体" w:hAnsi="宋体" w:eastAsia="宋体" w:cs="宋体"/>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14:paraId="1EDC7FC7">
      <w:pPr>
        <w:pStyle w:val="120"/>
        <w:rPr>
          <w:rFonts w:hint="eastAsia"/>
          <w:color w:val="000000" w:themeColor="text1"/>
          <w:sz w:val="28"/>
          <w14:textFill>
            <w14:solidFill>
              <w14:schemeClr w14:val="tx1"/>
            </w14:solidFill>
          </w14:textFill>
        </w:rPr>
      </w:pPr>
      <w:r>
        <w:rPr>
          <w:rFonts w:hint="eastAsia"/>
          <w:color w:val="000000" w:themeColor="text1"/>
          <w14:textFill>
            <w14:solidFill>
              <w14:schemeClr w14:val="tx1"/>
            </w14:solidFill>
          </w14:textFill>
        </w:rPr>
        <w:fldChar w:fldCharType="end"/>
      </w:r>
    </w:p>
    <w:p w14:paraId="0C1EC159">
      <w:pPr>
        <w:pStyle w:val="120"/>
        <w:rPr>
          <w:rFonts w:hint="eastAsia"/>
          <w:color w:val="000000" w:themeColor="text1"/>
          <w14:textFill>
            <w14:solidFill>
              <w14:schemeClr w14:val="tx1"/>
            </w14:solidFill>
          </w14:textFill>
        </w:rPr>
        <w:sectPr>
          <w:headerReference r:id="rId3" w:type="default"/>
          <w:footerReference r:id="rId4" w:type="default"/>
          <w:pgSz w:w="11906" w:h="16838"/>
          <w:pgMar w:top="1418" w:right="1588" w:bottom="1418" w:left="1588" w:header="1020" w:footer="1020" w:gutter="0"/>
          <w:pgNumType w:fmt="upperRoman" w:start="1"/>
          <w:cols w:space="720" w:num="1"/>
          <w:docGrid w:type="lines" w:linePitch="312" w:charSpace="0"/>
        </w:sectPr>
      </w:pPr>
    </w:p>
    <w:p w14:paraId="12EC34D3">
      <w:pPr>
        <w:pStyle w:val="6"/>
        <w:rPr>
          <w:rFonts w:hint="eastAsia"/>
          <w:color w:val="000000" w:themeColor="text1"/>
          <w14:textFill>
            <w14:solidFill>
              <w14:schemeClr w14:val="tx1"/>
            </w14:solidFill>
          </w14:textFill>
        </w:rPr>
      </w:pPr>
      <w:bookmarkStart w:id="11" w:name="_Toc27208"/>
      <w:r>
        <w:rPr>
          <w:rFonts w:hint="eastAsia"/>
          <w:color w:val="000000" w:themeColor="text1"/>
          <w14:textFill>
            <w14:solidFill>
              <w14:schemeClr w14:val="tx1"/>
            </w14:solidFill>
          </w14:textFill>
        </w:rPr>
        <w:t>概述</w:t>
      </w:r>
      <w:bookmarkEnd w:id="11"/>
    </w:p>
    <w:p w14:paraId="0AB32CB1">
      <w:pPr>
        <w:pStyle w:val="7"/>
        <w:rPr>
          <w:rFonts w:hint="eastAsia"/>
          <w:color w:val="000000" w:themeColor="text1"/>
          <w14:textFill>
            <w14:solidFill>
              <w14:schemeClr w14:val="tx1"/>
            </w14:solidFill>
          </w14:textFill>
        </w:rPr>
      </w:pPr>
      <w:bookmarkStart w:id="12" w:name="_Toc12900"/>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背景</w:t>
      </w:r>
      <w:bookmarkEnd w:id="12"/>
    </w:p>
    <w:p w14:paraId="16C631F5">
      <w:pPr>
        <w:pStyle w:val="120"/>
        <w:rPr>
          <w:rFonts w:hint="eastAsia"/>
          <w:color w:val="000000" w:themeColor="text1"/>
          <w14:textFill>
            <w14:solidFill>
              <w14:schemeClr w14:val="tx1"/>
            </w14:solidFill>
          </w14:textFill>
        </w:rPr>
      </w:pPr>
      <w:bookmarkStart w:id="13" w:name="_Hlk78995800"/>
      <w:r>
        <w:rPr>
          <w:rFonts w:hint="eastAsia"/>
          <w:color w:val="000000" w:themeColor="text1"/>
          <w14:textFill>
            <w14:solidFill>
              <w14:schemeClr w14:val="tx1"/>
            </w14:solidFill>
          </w14:textFill>
        </w:rPr>
        <w:t>吉庆油田吉7井区位于准噶尔盆地东部吉木萨尔凹陷东斜坡，行政隶属新疆维吾尔自治区吉木萨尔县，在吉木萨尔县城北约14km，距北三台油田北16井区53.4km，该区地表为草原耕地，地面平坦，地面海拔650m～680m。油区有多条公路穿过，交通较为便利。</w:t>
      </w:r>
      <w:bookmarkStart w:id="14" w:name="_Hlk168582805"/>
    </w:p>
    <w:p w14:paraId="4C774B8F">
      <w:pPr>
        <w:pStyle w:val="120"/>
        <w:rPr>
          <w:rFonts w:hint="eastAsia"/>
          <w:color w:val="000000" w:themeColor="text1"/>
          <w14:textFill>
            <w14:solidFill>
              <w14:schemeClr w14:val="tx1"/>
            </w14:solidFill>
          </w14:textFill>
        </w:rPr>
      </w:pPr>
      <w:r>
        <w:rPr>
          <w:snapToGrid w:val="0"/>
          <w:color w:val="000000" w:themeColor="text1"/>
          <w14:textFill>
            <w14:solidFill>
              <w14:schemeClr w14:val="tx1"/>
            </w14:solidFill>
          </w14:textFill>
        </w:rPr>
        <w:t>吉7井区梧桐沟组油藏于2012年上报探明石油地质储量7205.86×10</w:t>
      </w:r>
      <w:r>
        <w:rPr>
          <w:snapToGrid w:val="0"/>
          <w:color w:val="000000" w:themeColor="text1"/>
          <w:vertAlign w:val="superscript"/>
          <w14:textFill>
            <w14:solidFill>
              <w14:schemeClr w14:val="tx1"/>
            </w14:solidFill>
          </w14:textFill>
        </w:rPr>
        <w:t>4</w:t>
      </w:r>
      <w:r>
        <w:rPr>
          <w:snapToGrid w:val="0"/>
          <w:color w:val="000000" w:themeColor="text1"/>
          <w14:textFill>
            <w14:solidFill>
              <w14:schemeClr w14:val="tx1"/>
            </w14:solidFill>
          </w14:textFill>
        </w:rPr>
        <w:t>t，2018年复算石油地质储量7068.83×10</w:t>
      </w:r>
      <w:r>
        <w:rPr>
          <w:snapToGrid w:val="0"/>
          <w:color w:val="000000" w:themeColor="text1"/>
          <w:vertAlign w:val="superscript"/>
          <w14:textFill>
            <w14:solidFill>
              <w14:schemeClr w14:val="tx1"/>
            </w14:solidFill>
          </w14:textFill>
        </w:rPr>
        <w:t>4</w:t>
      </w:r>
      <w:r>
        <w:rPr>
          <w:snapToGrid w:val="0"/>
          <w:color w:val="000000" w:themeColor="text1"/>
          <w14:textFill>
            <w14:solidFill>
              <w14:schemeClr w14:val="tx1"/>
            </w14:solidFill>
          </w14:textFill>
        </w:rPr>
        <w:t>t，其中吉101井断块地质储量1255.18×10</w:t>
      </w:r>
      <w:r>
        <w:rPr>
          <w:snapToGrid w:val="0"/>
          <w:color w:val="000000" w:themeColor="text1"/>
          <w:vertAlign w:val="superscript"/>
          <w14:textFill>
            <w14:solidFill>
              <w14:schemeClr w14:val="tx1"/>
            </w14:solidFill>
          </w14:textFill>
        </w:rPr>
        <w:t>4</w:t>
      </w:r>
      <w:r>
        <w:rPr>
          <w:snapToGrid w:val="0"/>
          <w:color w:val="000000" w:themeColor="text1"/>
          <w14:textFill>
            <w14:solidFill>
              <w14:schemeClr w14:val="tx1"/>
            </w14:solidFill>
          </w14:textFill>
        </w:rPr>
        <w:t>t；吉7井区八道湾组油藏于2021年申报石油地质储量632.54×10</w:t>
      </w:r>
      <w:r>
        <w:rPr>
          <w:snapToGrid w:val="0"/>
          <w:color w:val="000000" w:themeColor="text1"/>
          <w:vertAlign w:val="superscript"/>
          <w14:textFill>
            <w14:solidFill>
              <w14:schemeClr w14:val="tx1"/>
            </w14:solidFill>
          </w14:textFill>
        </w:rPr>
        <w:t>4</w:t>
      </w:r>
      <w:r>
        <w:rPr>
          <w:snapToGrid w:val="0"/>
          <w:color w:val="000000" w:themeColor="text1"/>
          <w14:textFill>
            <w14:solidFill>
              <w14:schemeClr w14:val="tx1"/>
            </w14:solidFill>
          </w14:textFill>
        </w:rPr>
        <w:t>t，同年复算地质储量603.11×10</w:t>
      </w:r>
      <w:r>
        <w:rPr>
          <w:snapToGrid w:val="0"/>
          <w:color w:val="000000" w:themeColor="text1"/>
          <w:vertAlign w:val="superscript"/>
          <w14:textFill>
            <w14:solidFill>
              <w14:schemeClr w14:val="tx1"/>
            </w14:solidFill>
          </w14:textFill>
        </w:rPr>
        <w:t>4</w:t>
      </w:r>
      <w:r>
        <w:rPr>
          <w:snapToGrid w:val="0"/>
          <w:color w:val="000000" w:themeColor="text1"/>
          <w14:textFill>
            <w14:solidFill>
              <w14:schemeClr w14:val="tx1"/>
            </w14:solidFill>
          </w14:textFill>
        </w:rPr>
        <w:t>t。</w:t>
      </w:r>
    </w:p>
    <w:p w14:paraId="179A98B3">
      <w:pPr>
        <w:pStyle w:val="193"/>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为探索</w:t>
      </w:r>
      <w:r>
        <w:rPr>
          <w:snapToGrid w:val="0"/>
          <w:color w:val="000000" w:themeColor="text1"/>
          <w14:textFill>
            <w14:solidFill>
              <w14:schemeClr w14:val="tx1"/>
            </w14:solidFill>
          </w14:textFill>
        </w:rPr>
        <w:t>吉7井区梧桐沟组油藏</w:t>
      </w:r>
      <w:r>
        <w:rPr>
          <w:rFonts w:hint="eastAsia" w:cs="宋体"/>
          <w:color w:val="000000" w:themeColor="text1"/>
          <w14:textFill>
            <w14:solidFill>
              <w14:schemeClr w14:val="tx1"/>
            </w14:solidFill>
          </w14:textFill>
        </w:rPr>
        <w:t>整体效益开发的技术路线，</w:t>
      </w:r>
      <w:r>
        <w:rPr>
          <w:rFonts w:hint="eastAsia"/>
          <w:color w:val="000000" w:themeColor="text1"/>
          <w14:textFill>
            <w14:solidFill>
              <w14:schemeClr w14:val="tx1"/>
            </w14:solidFill>
          </w14:textFill>
        </w:rPr>
        <w:t>中国石油新疆油田分公司吉庆油田作业区拟在吉庆油田吉7井区实施吉7井区梧桐沟组油藏2026年更新补钻产能建设项目。</w:t>
      </w:r>
    </w:p>
    <w:p w14:paraId="20E0C62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在吉7井区拟部署采油井6口，2口注水井，钻井总进尺14411m，新建单井采油井场1座，2井式</w:t>
      </w:r>
      <w:r>
        <w:rPr>
          <w:color w:val="000000" w:themeColor="text1"/>
          <w14:textFill>
            <w14:solidFill>
              <w14:schemeClr w14:val="tx1"/>
            </w14:solidFill>
          </w14:textFill>
        </w:rPr>
        <w:t>平台井场</w:t>
      </w:r>
      <w:r>
        <w:rPr>
          <w:rFonts w:hint="eastAsia"/>
          <w:color w:val="000000" w:themeColor="text1"/>
          <w14:textFill>
            <w14:solidFill>
              <w14:schemeClr w14:val="tx1"/>
            </w14:solidFill>
          </w14:textFill>
        </w:rPr>
        <w:t>3座（其中2井式采油平台井场2座，注水井、采油井合建2井式平台井场1座），注水井场1座，新建单井采油管线1.82km，单井掺热水管道1.82km，单井注水管线1.92km。配套建设给排水，供电、防腐、消防、油区道路等工程，井口采出液就近接入已建计量站。本次新建产能0.64</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w:t>
      </w:r>
    </w:p>
    <w:bookmarkEnd w:id="13"/>
    <w:bookmarkEnd w:id="14"/>
    <w:p w14:paraId="6A1E5F57">
      <w:pPr>
        <w:pStyle w:val="7"/>
        <w:rPr>
          <w:rFonts w:hint="eastAsia"/>
          <w:color w:val="000000" w:themeColor="text1"/>
          <w14:textFill>
            <w14:solidFill>
              <w14:schemeClr w14:val="tx1"/>
            </w14:solidFill>
          </w14:textFill>
        </w:rPr>
      </w:pPr>
      <w:bookmarkStart w:id="15" w:name="_Toc31238"/>
      <w:r>
        <w:rPr>
          <w:rFonts w:hint="eastAsia"/>
          <w:color w:val="000000" w:themeColor="text1"/>
          <w14:textFill>
            <w14:solidFill>
              <w14:schemeClr w14:val="tx1"/>
            </w14:solidFill>
          </w14:textFill>
        </w:rPr>
        <w:t>建设项目主要特点</w:t>
      </w:r>
      <w:bookmarkEnd w:id="15"/>
    </w:p>
    <w:p w14:paraId="2A3C8E02">
      <w:pPr>
        <w:pStyle w:val="120"/>
        <w:rPr>
          <w:rFonts w:hint="eastAsia"/>
          <w:color w:val="000000" w:themeColor="text1"/>
          <w14:textFill>
            <w14:solidFill>
              <w14:schemeClr w14:val="tx1"/>
            </w14:solidFill>
          </w14:textFill>
        </w:rPr>
      </w:pPr>
      <w:bookmarkStart w:id="16" w:name="_Toc475624453"/>
      <w:bookmarkStart w:id="17" w:name="_Toc469749398"/>
      <w:bookmarkStart w:id="18" w:name="_Toc469048934"/>
      <w:bookmarkStart w:id="19" w:name="_Hlk73979272"/>
      <w:r>
        <w:rPr>
          <w:rFonts w:hint="eastAsia"/>
          <w:color w:val="000000" w:themeColor="text1"/>
          <w14:textFill>
            <w14:solidFill>
              <w14:schemeClr w14:val="tx1"/>
            </w14:solidFill>
          </w14:textFill>
        </w:rPr>
        <w:t>本项目具有如下特点：</w:t>
      </w:r>
    </w:p>
    <w:p w14:paraId="7020B0C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项目采用平台井和单井相结合的方式布设，采用注水开发；油气集输采用管线密闭集输工艺，减少了油气集输过程中的废气产生；伴生气中含有硫化氢，伴生气处理依托吉祥联合站伴生气处理系统处理，井口不设脱硫装置。</w:t>
      </w:r>
    </w:p>
    <w:p w14:paraId="312B8CA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（2）项目是典型的生态影响型和污染影响型兼有型项目。</w:t>
      </w:r>
    </w:p>
    <w:p w14:paraId="6EBFB6F6">
      <w:pPr>
        <w:pStyle w:val="120"/>
        <w:rPr>
          <w:rFonts w:hint="eastAsia"/>
          <w:color w:val="000000" w:themeColor="text1"/>
          <w14:textFill>
            <w14:solidFill>
              <w14:schemeClr w14:val="tx1"/>
            </w14:solidFill>
          </w14:textFill>
        </w:rPr>
      </w:pPr>
      <w:r>
        <w:rPr>
          <w:rFonts w:hint="eastAsia" w:cs="宋体"/>
          <w:color w:val="000000" w:themeColor="text1"/>
          <w:kern w:val="0"/>
          <w14:textFill>
            <w14:solidFill>
              <w14:schemeClr w14:val="tx1"/>
            </w14:solidFill>
          </w14:textFill>
        </w:rPr>
        <w:t>（3）</w:t>
      </w:r>
      <w:r>
        <w:rPr>
          <w:rFonts w:hint="eastAsia"/>
          <w:color w:val="000000" w:themeColor="text1"/>
          <w14:textFill>
            <w14:solidFill>
              <w14:schemeClr w14:val="tx1"/>
            </w14:solidFill>
          </w14:textFill>
        </w:rPr>
        <w:t>项目不占用永久基本农田，但土壤评价范围涉及永久基本农田；大气评价范围内有居民。</w:t>
      </w:r>
    </w:p>
    <w:p w14:paraId="4BDAE278">
      <w:pPr>
        <w:pStyle w:val="120"/>
        <w:rPr>
          <w:rFonts w:hint="eastAsia"/>
          <w:color w:val="000000" w:themeColor="text1"/>
          <w:lang w:val="en-US"/>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4</w:t>
      </w: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为降低井口采出液黏度，便于管输，本项目在新部署采油井井口采出物中混掺吉祥联合站采出水处理系统处理达标的加热后的净化水，单井掺热水管线掺水量1.57×10</w:t>
      </w:r>
      <w:r>
        <w:rPr>
          <w:rFonts w:hint="eastAsia"/>
          <w:color w:val="000000" w:themeColor="text1"/>
          <w:vertAlign w:val="superscript"/>
          <w:lang w:val="en-US"/>
          <w14:textFill>
            <w14:solidFill>
              <w14:schemeClr w14:val="tx1"/>
            </w14:solidFill>
          </w14:textFill>
        </w:rPr>
        <w:t>4</w:t>
      </w:r>
      <w:r>
        <w:rPr>
          <w:rFonts w:hint="eastAsia"/>
          <w:color w:val="000000" w:themeColor="text1"/>
          <w:lang w:val="en-US"/>
          <w14:textFill>
            <w14:solidFill>
              <w14:schemeClr w14:val="tx1"/>
            </w14:solidFill>
          </w14:textFill>
        </w:rPr>
        <w:t>m</w:t>
      </w:r>
      <w:r>
        <w:rPr>
          <w:rFonts w:hint="eastAsia"/>
          <w:color w:val="000000" w:themeColor="text1"/>
          <w:vertAlign w:val="superscript"/>
          <w:lang w:val="en-US"/>
          <w14:textFill>
            <w14:solidFill>
              <w14:schemeClr w14:val="tx1"/>
            </w14:solidFill>
          </w14:textFill>
        </w:rPr>
        <w:t>3</w:t>
      </w:r>
      <w:r>
        <w:rPr>
          <w:rFonts w:hint="eastAsia"/>
          <w:color w:val="000000" w:themeColor="text1"/>
          <w:lang w:val="en-US"/>
          <w14:textFill>
            <w14:solidFill>
              <w14:schemeClr w14:val="tx1"/>
            </w14:solidFill>
          </w14:textFill>
        </w:rPr>
        <w:t>/a。</w:t>
      </w:r>
    </w:p>
    <w:p w14:paraId="272EED09">
      <w:pPr>
        <w:pStyle w:val="7"/>
        <w:rPr>
          <w:rFonts w:hint="eastAsia"/>
          <w:color w:val="000000" w:themeColor="text1"/>
          <w14:textFill>
            <w14:solidFill>
              <w14:schemeClr w14:val="tx1"/>
            </w14:solidFill>
          </w14:textFill>
        </w:rPr>
      </w:pPr>
      <w:bookmarkStart w:id="20" w:name="_Toc5618"/>
      <w:r>
        <w:rPr>
          <w:color w:val="000000" w:themeColor="text1"/>
          <w14:textFill>
            <w14:solidFill>
              <w14:schemeClr w14:val="tx1"/>
            </w14:solidFill>
          </w14:textFill>
        </w:rPr>
        <w:t>环境影响评价</w:t>
      </w:r>
      <w:r>
        <w:rPr>
          <w:rFonts w:hint="eastAsia"/>
          <w:color w:val="000000" w:themeColor="text1"/>
          <w14:textFill>
            <w14:solidFill>
              <w14:schemeClr w14:val="tx1"/>
            </w14:solidFill>
          </w14:textFill>
        </w:rPr>
        <w:t>的工作</w:t>
      </w:r>
      <w:r>
        <w:rPr>
          <w:color w:val="000000" w:themeColor="text1"/>
          <w14:textFill>
            <w14:solidFill>
              <w14:schemeClr w14:val="tx1"/>
            </w14:solidFill>
          </w14:textFill>
        </w:rPr>
        <w:t>过程</w:t>
      </w:r>
      <w:bookmarkEnd w:id="16"/>
      <w:bookmarkEnd w:id="17"/>
      <w:bookmarkEnd w:id="18"/>
      <w:bookmarkEnd w:id="20"/>
    </w:p>
    <w:bookmarkEnd w:id="19"/>
    <w:p w14:paraId="4E484B22">
      <w:pPr>
        <w:pStyle w:val="120"/>
        <w:rPr>
          <w:rFonts w:hint="eastAsia"/>
          <w:color w:val="000000" w:themeColor="text1"/>
          <w14:textFill>
            <w14:solidFill>
              <w14:schemeClr w14:val="tx1"/>
            </w14:solidFill>
          </w14:textFill>
        </w:rPr>
      </w:pPr>
      <w:bookmarkStart w:id="21" w:name="_Hlk33006390"/>
      <w:r>
        <w:rPr>
          <w:rFonts w:hint="eastAsia"/>
          <w:color w:val="000000" w:themeColor="text1"/>
          <w14:textFill>
            <w14:solidFill>
              <w14:schemeClr w14:val="tx1"/>
            </w14:solidFill>
          </w14:textFill>
        </w:rPr>
        <w:t>拟部署井所在区块已确定产能规模，为已确定产能的老区块，但土壤评价范围涉及永久基本农田，大气评价范围内有居民点，涉及环境敏感区，属于《建设项目环境影响评价分类管理名录（2021年版）》“五、石油和天然气开采业—</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、陆地石油开采—石油开采新区块、页岩油开采、涉及环境敏感区的（含内部集输管线建设）”类别</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应编制环境影响报告书。</w:t>
      </w:r>
    </w:p>
    <w:p w14:paraId="4677418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影响评价工作分为三个阶段，第一阶段包括资料收集、工程分析和影响识别等工作，第二阶段包括生态环境现状监测、现状调查与评价、环境影响预测与评价等工作，第三阶段包括提出预防或减缓不利影响的环境保护措施、制定环境监测计划、从生态环境影响的角度给出工程建设项目是否可行的结论等工作，具体流程见图</w:t>
      </w:r>
      <w:r>
        <w:rPr>
          <w:color w:val="000000" w:themeColor="text1"/>
          <w14:textFill>
            <w14:solidFill>
              <w14:schemeClr w14:val="tx1"/>
            </w14:solidFill>
          </w14:textFill>
        </w:rPr>
        <w:t>1.3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。中国石油新疆油田分公司吉庆油田作业区于</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月委托中勘冶金勘察设计研究院有限责任公司承担本项目的环境影响评价工作</w:t>
      </w:r>
      <w:r>
        <w:rPr>
          <w:rFonts w:hint="eastAsia"/>
          <w:color w:val="000000" w:themeColor="text1"/>
          <w14:textFill>
            <w14:solidFill>
              <w14:schemeClr w14:val="tx1"/>
            </w14:solidFill>
          </w14:textFill>
        </w:rPr>
        <w:t>（附件1）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环评单位接受委托后进行了现场踏勘并收集了有关资料，在此基础上严格按照环境影响评价相关技术导则、规范要求编制完成了《吉7井区梧桐沟组油藏2026年更新补钻产能建设项目环境影响报告书》。</w:t>
      </w:r>
    </w:p>
    <w:p w14:paraId="68199A47">
      <w:pPr>
        <w:pStyle w:val="7"/>
        <w:rPr>
          <w:rFonts w:hint="eastAsia"/>
          <w:color w:val="000000" w:themeColor="text1"/>
          <w:lang w:val="zh-CN"/>
          <w14:textFill>
            <w14:solidFill>
              <w14:schemeClr w14:val="tx1"/>
            </w14:solidFill>
          </w14:textFill>
        </w:rPr>
      </w:pPr>
      <w:bookmarkStart w:id="22" w:name="_Toc469749399"/>
      <w:bookmarkStart w:id="23" w:name="_Toc469048935"/>
      <w:bookmarkStart w:id="24" w:name="_Toc475624454"/>
      <w:bookmarkStart w:id="25" w:name="_Toc12713"/>
      <w:r>
        <w:rPr>
          <w:rFonts w:hint="eastAsia"/>
          <w:color w:val="000000" w:themeColor="text1"/>
          <w:lang w:val="zh-CN"/>
          <w14:textFill>
            <w14:solidFill>
              <w14:schemeClr w14:val="tx1"/>
            </w14:solidFill>
          </w14:textFill>
        </w:rPr>
        <w:t>关注的主要环境问题</w:t>
      </w:r>
      <w:bookmarkEnd w:id="22"/>
      <w:bookmarkEnd w:id="23"/>
      <w:bookmarkEnd w:id="24"/>
      <w:r>
        <w:rPr>
          <w:rFonts w:hint="eastAsia"/>
          <w:color w:val="000000" w:themeColor="text1"/>
          <w:lang w:val="zh-CN"/>
          <w14:textFill>
            <w14:solidFill>
              <w14:schemeClr w14:val="tx1"/>
            </w14:solidFill>
          </w14:textFill>
        </w:rPr>
        <w:t>及环境影响</w:t>
      </w:r>
      <w:bookmarkEnd w:id="25"/>
    </w:p>
    <w:p w14:paraId="3940858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本次</w:t>
      </w:r>
      <w:r>
        <w:rPr>
          <w:color w:val="000000" w:themeColor="text1"/>
          <w14:textFill>
            <w14:solidFill>
              <w14:schemeClr w14:val="tx1"/>
            </w14:solidFill>
          </w14:textFill>
        </w:rPr>
        <w:t>评价针对</w:t>
      </w:r>
      <w:r>
        <w:rPr>
          <w:rFonts w:hint="eastAsia"/>
          <w:color w:val="000000" w:themeColor="text1"/>
          <w14:textFill>
            <w14:solidFill>
              <w14:schemeClr w14:val="tx1"/>
            </w14:solidFill>
          </w14:textFill>
        </w:rPr>
        <w:t>施工期和运营期产生的废气、废水、噪声的达标排放情况，固体废物的妥善处置情况以及提出的生态减缓措施是否将生态影响降至最低进行分析和论述，并针对以上环境影响所采取的污染防治措施、环境保护措施及风险防范措施的可行性进行分析。</w:t>
      </w:r>
    </w:p>
    <w:p w14:paraId="7B4EC5C2">
      <w:pPr>
        <w:pStyle w:val="120"/>
        <w:spacing w:line="48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施工期产生</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废气、</w:t>
      </w:r>
      <w:r>
        <w:rPr>
          <w:rFonts w:hint="eastAsia"/>
          <w:color w:val="000000" w:themeColor="text1"/>
          <w14:textFill>
            <w14:solidFill>
              <w14:schemeClr w14:val="tx1"/>
            </w14:solidFill>
          </w14:textFill>
        </w:rPr>
        <w:t>废水、噪声、固体废物以及工程</w:t>
      </w:r>
      <w:r>
        <w:rPr>
          <w:color w:val="000000" w:themeColor="text1"/>
          <w14:textFill>
            <w14:solidFill>
              <w14:schemeClr w14:val="tx1"/>
            </w14:solidFill>
          </w14:textFill>
        </w:rPr>
        <w:t>占地带来的生态影响</w:t>
      </w:r>
      <w:r>
        <w:rPr>
          <w:rFonts w:hint="eastAsia"/>
          <w:color w:val="000000" w:themeColor="text1"/>
          <w14:textFill>
            <w14:solidFill>
              <w14:schemeClr w14:val="tx1"/>
            </w14:solidFill>
          </w14:textFill>
        </w:rPr>
        <w:t>，尤其是对周边永久基本农田、天然牧草地</w:t>
      </w:r>
      <w:r>
        <w:rPr>
          <w:rFonts w:hint="eastAsia"/>
          <w:color w:val="000000" w:themeColor="text1"/>
          <w:lang w:val="en-US"/>
          <w14:textFill>
            <w14:solidFill>
              <w14:schemeClr w14:val="tx1"/>
            </w14:solidFill>
          </w14:textFill>
        </w:rPr>
        <w:t>和其他园地</w:t>
      </w:r>
      <w:r>
        <w:rPr>
          <w:rFonts w:hint="eastAsia"/>
          <w:color w:val="000000" w:themeColor="text1"/>
          <w14:textFill>
            <w14:solidFill>
              <w14:schemeClr w14:val="tx1"/>
            </w14:solidFill>
          </w14:textFill>
        </w:rPr>
        <w:t>的影响；运营期</w:t>
      </w:r>
      <w:bookmarkStart w:id="26" w:name="_Hlk35961104"/>
      <w:r>
        <w:rPr>
          <w:rFonts w:hint="eastAsia"/>
          <w:color w:val="000000" w:themeColor="text1"/>
          <w14:textFill>
            <w14:solidFill>
              <w14:schemeClr w14:val="tx1"/>
            </w14:solidFill>
          </w14:textFill>
        </w:rPr>
        <w:t>产生的无组织挥发性有机物、硫化氢、</w:t>
      </w:r>
      <w:bookmarkEnd w:id="26"/>
      <w:r>
        <w:rPr>
          <w:rFonts w:hint="eastAsia"/>
          <w:color w:val="000000" w:themeColor="text1"/>
          <w14:textFill>
            <w14:solidFill>
              <w14:schemeClr w14:val="tx1"/>
            </w14:solidFill>
          </w14:textFill>
        </w:rPr>
        <w:t>噪声、井下作业废液、废润滑油、废润滑油桶和沾油废防渗材料等环境影响及事故状态对环境的影响分析</w:t>
      </w:r>
      <w:r>
        <w:rPr>
          <w:color w:val="000000" w:themeColor="text1"/>
          <w14:textFill>
            <w14:solidFill>
              <w14:schemeClr w14:val="tx1"/>
            </w14:solidFill>
          </w14:textFill>
        </w:rPr>
        <w:t>。</w:t>
      </w:r>
    </w:p>
    <w:p w14:paraId="1805952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（2）运营期无组织排放的非甲烷总烃和硫化氢对居民点的影响。</w:t>
      </w:r>
    </w:p>
    <w:p w14:paraId="2937750C">
      <w:pPr>
        <w:pStyle w:val="120"/>
        <w:spacing w:line="240" w:lineRule="auto"/>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94605" cy="6266180"/>
            <wp:effectExtent l="0" t="0" r="0" b="1270"/>
            <wp:docPr id="1724271145" name="图片 172427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71145" name="图片 1724271145"/>
                    <pic:cNvPicPr>
                      <a:picLocks noChangeAspect="1"/>
                    </pic:cNvPicPr>
                  </pic:nvPicPr>
                  <pic:blipFill>
                    <a:blip r:embed="rId20"/>
                    <a:stretch>
                      <a:fillRect/>
                    </a:stretch>
                  </pic:blipFill>
                  <pic:spPr>
                    <a:xfrm>
                      <a:off x="0" y="0"/>
                      <a:ext cx="5095238" cy="6266667"/>
                    </a:xfrm>
                    <a:prstGeom prst="rect">
                      <a:avLst/>
                    </a:prstGeom>
                  </pic:spPr>
                </pic:pic>
              </a:graphicData>
            </a:graphic>
          </wp:inline>
        </w:drawing>
      </w:r>
    </w:p>
    <w:p w14:paraId="4F922793">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1.3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  环境影响评价工作程序图</w:t>
      </w:r>
    </w:p>
    <w:p w14:paraId="3505008E">
      <w:pPr>
        <w:pStyle w:val="7"/>
        <w:rPr>
          <w:rFonts w:hint="eastAsia"/>
          <w:color w:val="000000" w:themeColor="text1"/>
          <w14:textFill>
            <w14:solidFill>
              <w14:schemeClr w14:val="tx1"/>
            </w14:solidFill>
          </w14:textFill>
        </w:rPr>
      </w:pPr>
      <w:bookmarkStart w:id="27" w:name="_Toc30782"/>
      <w:r>
        <w:rPr>
          <w:rFonts w:hint="eastAsia"/>
          <w:color w:val="000000" w:themeColor="text1"/>
          <w14:textFill>
            <w14:solidFill>
              <w14:schemeClr w14:val="tx1"/>
            </w14:solidFill>
          </w14:textFill>
        </w:rPr>
        <w:t>分析判定相关情况</w:t>
      </w:r>
      <w:bookmarkEnd w:id="27"/>
    </w:p>
    <w:p w14:paraId="1BF30C5F">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产业政策相符性分析</w:t>
      </w:r>
    </w:p>
    <w:p w14:paraId="562E689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本项目属于</w:t>
      </w:r>
      <w:r>
        <w:rPr>
          <w:color w:val="000000" w:themeColor="text1"/>
          <w14:textFill>
            <w14:solidFill>
              <w14:schemeClr w14:val="tx1"/>
            </w14:solidFill>
          </w14:textFill>
        </w:rPr>
        <w:t>《产业结构调整指导目录（2024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鼓励类中的</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七、石油、天然气——</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.石油天然气开采：常规石油、天然气勘探与开采，页岩气、页岩油、致密油（气）、油砂、天然气水合物等非常规资源勘探开发</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符合国家产业政策。</w:t>
      </w:r>
    </w:p>
    <w:bookmarkEnd w:id="21"/>
    <w:p w14:paraId="4D70092E">
      <w:pPr>
        <w:pStyle w:val="8"/>
        <w:rPr>
          <w:rFonts w:hint="eastAsia"/>
          <w:color w:val="000000" w:themeColor="text1"/>
          <w:lang w:val="zh-CN"/>
          <w14:textFill>
            <w14:solidFill>
              <w14:schemeClr w14:val="tx1"/>
            </w14:solidFill>
          </w14:textFill>
        </w:rPr>
      </w:pPr>
      <w:bookmarkStart w:id="28" w:name="_Hlk175250954"/>
      <w:r>
        <w:rPr>
          <w:rFonts w:hint="eastAsia"/>
          <w:color w:val="000000" w:themeColor="text1"/>
          <w:lang w:val="zh-CN"/>
          <w14:textFill>
            <w14:solidFill>
              <w14:schemeClr w14:val="tx1"/>
            </w14:solidFill>
          </w14:textFill>
        </w:rPr>
        <w:t>选址选线合理性分析</w:t>
      </w:r>
    </w:p>
    <w:bookmarkEnd w:id="28"/>
    <w:p w14:paraId="5E1D01C0">
      <w:pPr>
        <w:pStyle w:val="120"/>
        <w:rPr>
          <w:rFonts w:hint="eastAsia"/>
          <w:color w:val="000000" w:themeColor="text1"/>
          <w14:textFill>
            <w14:solidFill>
              <w14:schemeClr w14:val="tx1"/>
            </w14:solidFill>
          </w14:textFill>
        </w:rPr>
      </w:pPr>
      <w:bookmarkStart w:id="29" w:name="_Hlk175250979"/>
      <w:bookmarkStart w:id="30" w:name="_Hlk80207063"/>
      <w:r>
        <w:rPr>
          <w:rFonts w:hint="eastAsia" w:cstheme="minorEastAsia"/>
          <w:color w:val="000000" w:themeColor="text1"/>
          <w14:textFill>
            <w14:solidFill>
              <w14:schemeClr w14:val="tx1"/>
            </w14:solidFill>
          </w14:textFill>
        </w:rPr>
        <w:t>本项目评价范围内除涉及永久基本农田和居民点外，不涉及其他环境敏感区</w:t>
      </w:r>
      <w:r>
        <w:rPr>
          <w:rFonts w:hint="eastAsia" w:cs="宋体"/>
          <w:color w:val="000000" w:themeColor="text1"/>
          <w14:textFill>
            <w14:solidFill>
              <w14:schemeClr w14:val="tx1"/>
            </w14:solidFill>
          </w14:textFill>
        </w:rPr>
        <w:t>，井场选址、管线选线均不占用永久基本农田且尽可能远离居民点布设；施工期及运营期各项环保措施，对生态环境恢复可以起到积极作用</w:t>
      </w:r>
      <w:r>
        <w:rPr>
          <w:rFonts w:hint="eastAsia" w:cstheme="minorEastAsia"/>
          <w:color w:val="000000" w:themeColor="text1"/>
          <w14:textFill>
            <w14:solidFill>
              <w14:schemeClr w14:val="tx1"/>
            </w14:solidFill>
          </w14:textFill>
        </w:rPr>
        <w:t>；</w:t>
      </w:r>
      <w:r>
        <w:rPr>
          <w:rFonts w:hint="eastAsia"/>
          <w:color w:val="000000" w:themeColor="text1"/>
          <w14:textFill>
            <w14:solidFill>
              <w14:schemeClr w14:val="tx1"/>
            </w14:solidFill>
          </w14:textFill>
        </w:rPr>
        <w:t>项目周围植被稀疏，野生动物较少，且各井场选址、各类管线沿线均位于植被比较稀疏区域，野生动物较少，对周围生态环境影响较小；管线力求线路顺直，缩短线路长度，减少管线占地；采油井井口处为空地，与高压线及其他永久性设施的距离大于7</w:t>
      </w:r>
      <w:r>
        <w:rPr>
          <w:color w:val="000000" w:themeColor="text1"/>
          <w14:textFill>
            <w14:solidFill>
              <w14:schemeClr w14:val="tx1"/>
            </w14:solidFill>
          </w14:textFill>
        </w:rPr>
        <w:t>5m</w:t>
      </w:r>
      <w:r>
        <w:rPr>
          <w:rFonts w:hint="eastAsia"/>
          <w:color w:val="000000" w:themeColor="text1"/>
          <w14:textFill>
            <w14:solidFill>
              <w14:schemeClr w14:val="tx1"/>
            </w14:solidFill>
          </w14:textFill>
        </w:rPr>
        <w:t>，周边200m内无铁路、高速公路、学校、医院和大型油库等人口密集性、高危性场所，选址符合《钻前工程及井场布置技术要求》（S</w:t>
      </w:r>
      <w:r>
        <w:rPr>
          <w:color w:val="000000" w:themeColor="text1"/>
          <w14:textFill>
            <w14:solidFill>
              <w14:schemeClr w14:val="tx1"/>
            </w14:solidFill>
          </w14:textFill>
        </w:rPr>
        <w:t>Y/T 5466-2013</w:t>
      </w:r>
      <w:r>
        <w:rPr>
          <w:rFonts w:hint="eastAsia"/>
          <w:color w:val="000000" w:themeColor="text1"/>
          <w14:textFill>
            <w14:solidFill>
              <w14:schemeClr w14:val="tx1"/>
            </w14:solidFill>
          </w14:textFill>
        </w:rPr>
        <w:t>）的相关要求。尽量减少单井采油管线/单井掺热水管线和单井注水管线的长度，各类管线尽量趋直，尽量避开植被茂密区域。新建2井式平台井场、单井采油井场、注水井场、各类集输管线、架空线路</w:t>
      </w:r>
      <w:r>
        <w:rPr>
          <w:rFonts w:hint="eastAsia"/>
          <w:color w:val="000000" w:themeColor="text1"/>
          <w:lang w:val="en-US"/>
          <w14:textFill>
            <w14:solidFill>
              <w14:schemeClr w14:val="tx1"/>
            </w14:solidFill>
          </w14:textFill>
        </w:rPr>
        <w:t>和巡检道路</w:t>
      </w:r>
      <w:r>
        <w:rPr>
          <w:rFonts w:hint="eastAsia"/>
          <w:color w:val="000000" w:themeColor="text1"/>
          <w14:textFill>
            <w14:solidFill>
              <w14:schemeClr w14:val="tx1"/>
            </w14:solidFill>
          </w14:textFill>
        </w:rPr>
        <w:t>均避绕农田区域，不占用农田，新建</w:t>
      </w:r>
      <w:r>
        <w:rPr>
          <w:rFonts w:hint="eastAsia"/>
          <w:color w:val="000000" w:themeColor="text1"/>
          <w:lang w:val="en-US"/>
          <w14:textFill>
            <w14:solidFill>
              <w14:schemeClr w14:val="tx1"/>
            </w14:solidFill>
          </w14:textFill>
        </w:rPr>
        <w:t>巡检</w:t>
      </w:r>
      <w:r>
        <w:rPr>
          <w:rFonts w:hint="eastAsia"/>
          <w:color w:val="000000" w:themeColor="text1"/>
          <w14:textFill>
            <w14:solidFill>
              <w14:schemeClr w14:val="tx1"/>
            </w14:solidFill>
          </w14:textFill>
        </w:rPr>
        <w:t>道路临时占地位于永久占地范围内，同时严格控制各类管线的施工作业带宽度，减少施工作业占地，减少对周围生态环境影响；</w:t>
      </w:r>
      <w:r>
        <w:rPr>
          <w:rFonts w:hint="eastAsia"/>
          <w:color w:val="000000" w:themeColor="text1"/>
          <w:kern w:val="0"/>
          <w14:textFill>
            <w14:solidFill>
              <w14:schemeClr w14:val="tx1"/>
            </w14:solidFill>
          </w14:textFill>
        </w:rPr>
        <w:t>项目区周边分布有张家庄子村、张家庄子中村、张家庄子上村，项目区距</w:t>
      </w:r>
      <w:r>
        <w:rPr>
          <w:rFonts w:hint="eastAsia"/>
          <w:color w:val="000000" w:themeColor="text1"/>
          <w:kern w:val="0"/>
          <w:lang w:val="en-US"/>
          <w14:textFill>
            <w14:solidFill>
              <w14:schemeClr w14:val="tx1"/>
            </w14:solidFill>
          </w14:textFill>
        </w:rPr>
        <w:t>村庄</w:t>
      </w:r>
      <w:r>
        <w:rPr>
          <w:rFonts w:hint="eastAsia"/>
          <w:color w:val="000000" w:themeColor="text1"/>
          <w:kern w:val="0"/>
          <w14:textFill>
            <w14:solidFill>
              <w14:schemeClr w14:val="tx1"/>
            </w14:solidFill>
          </w14:textFill>
        </w:rPr>
        <w:t>的最近距离为</w:t>
      </w:r>
      <w:r>
        <w:rPr>
          <w:rFonts w:hint="eastAsia"/>
          <w:color w:val="000000" w:themeColor="text1"/>
          <w:kern w:val="0"/>
          <w:lang w:val="en-US"/>
          <w14:textFill>
            <w14:solidFill>
              <w14:schemeClr w14:val="tx1"/>
            </w14:solidFill>
          </w14:textFill>
        </w:rPr>
        <w:t>1.9</w:t>
      </w:r>
      <w:r>
        <w:rPr>
          <w:rFonts w:hint="eastAsia"/>
          <w:color w:val="000000" w:themeColor="text1"/>
          <w:kern w:val="0"/>
          <w14:textFill>
            <w14:solidFill>
              <w14:schemeClr w14:val="tx1"/>
            </w14:solidFill>
          </w14:textFill>
        </w:rPr>
        <w:t>km，</w:t>
      </w:r>
      <w:r>
        <w:rPr>
          <w:rFonts w:hint="eastAsia"/>
          <w:color w:val="000000" w:themeColor="text1"/>
          <w14:textFill>
            <w14:solidFill>
              <w14:schemeClr w14:val="tx1"/>
            </w14:solidFill>
          </w14:textFill>
        </w:rPr>
        <w:t>无组织废气和噪声均可实现达标排放，废水和固体废物均可得到妥善处置，加上区域大气扩散条件好，项目实施对附近居民的影响不大；项目区周围</w:t>
      </w:r>
      <w:r>
        <w:rPr>
          <w:rFonts w:hint="eastAsia"/>
          <w:color w:val="000000" w:themeColor="text1"/>
          <w:kern w:val="0"/>
          <w14:textFill>
            <w14:solidFill>
              <w14:schemeClr w14:val="tx1"/>
            </w14:solidFill>
          </w14:textFill>
        </w:rPr>
        <w:t>无自然保护区、风景名胜区、医院、学校等其他环境保护目标，</w:t>
      </w:r>
      <w:r>
        <w:rPr>
          <w:rFonts w:hint="eastAsia"/>
          <w:color w:val="000000" w:themeColor="text1"/>
          <w14:textFill>
            <w14:solidFill>
              <w14:schemeClr w14:val="tx1"/>
            </w14:solidFill>
          </w14:textFill>
        </w:rPr>
        <w:t>不涉及生态保护红线</w:t>
      </w:r>
      <w:r>
        <w:rPr>
          <w:rFonts w:hint="eastAsia"/>
          <w:color w:val="000000" w:themeColor="text1"/>
          <w:kern w:val="0"/>
          <w14:textFill>
            <w14:solidFill>
              <w14:schemeClr w14:val="tx1"/>
            </w14:solidFill>
          </w14:textFill>
        </w:rPr>
        <w:t>。</w:t>
      </w:r>
      <w:r>
        <w:rPr>
          <w:rFonts w:hint="eastAsia"/>
          <w:color w:val="000000" w:themeColor="text1"/>
          <w14:textFill>
            <w14:solidFill>
              <w14:schemeClr w14:val="tx1"/>
            </w14:solidFill>
          </w14:textFill>
        </w:rPr>
        <w:t>综上所述，项目选址选线合理</w:t>
      </w:r>
      <w:r>
        <w:rPr>
          <w:rFonts w:hint="eastAsia"/>
          <w:color w:val="000000" w:themeColor="text1"/>
          <w:kern w:val="0"/>
          <w14:textFill>
            <w14:solidFill>
              <w14:schemeClr w14:val="tx1"/>
            </w14:solidFill>
          </w14:textFill>
        </w:rPr>
        <w:t>。</w:t>
      </w:r>
    </w:p>
    <w:bookmarkEnd w:id="29"/>
    <w:p w14:paraId="19D90D00">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相关规划及政策符合性分析</w:t>
      </w:r>
      <w:bookmarkStart w:id="31" w:name="_Hlk129099377"/>
      <w:bookmarkStart w:id="32" w:name="_Hlk148005706"/>
      <w:bookmarkStart w:id="33" w:name="_Hlk168577282"/>
    </w:p>
    <w:p w14:paraId="36D48235">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项目建设符合</w:t>
      </w:r>
      <w:r>
        <w:rPr>
          <w:color w:val="000000" w:themeColor="text1"/>
          <w:lang w:bidi="ar"/>
          <w14:textFill>
            <w14:solidFill>
              <w14:schemeClr w14:val="tx1"/>
            </w14:solidFill>
          </w14:textFill>
        </w:rPr>
        <w:t>《新疆维吾尔自治区国民经济和社会发展第十五个五年规划纲要》《昌吉回族自治州国民经济和社会发展第十五个五年规划纲要》</w:t>
      </w:r>
      <w:r>
        <w:rPr>
          <w:rFonts w:hint="eastAsia"/>
          <w:color w:val="000000" w:themeColor="text1"/>
          <w:lang w:bidi="ar"/>
          <w14:textFill>
            <w14:solidFill>
              <w14:schemeClr w14:val="tx1"/>
            </w14:solidFill>
          </w14:textFill>
        </w:rPr>
        <w:t>《新疆维吾尔自治区主体功能区规划》《新疆维吾尔自治区矿产资源总体规划（</w:t>
      </w:r>
      <w:r>
        <w:rPr>
          <w:color w:val="000000" w:themeColor="text1"/>
          <w:lang w:bidi="ar"/>
          <w14:textFill>
            <w14:solidFill>
              <w14:schemeClr w14:val="tx1"/>
            </w14:solidFill>
          </w14:textFill>
        </w:rPr>
        <w:t>2021</w:t>
      </w: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2025</w:t>
      </w:r>
      <w:r>
        <w:rPr>
          <w:rFonts w:hint="eastAsia"/>
          <w:color w:val="000000" w:themeColor="text1"/>
          <w:lang w:bidi="ar"/>
          <w14:textFill>
            <w14:solidFill>
              <w14:schemeClr w14:val="tx1"/>
            </w14:solidFill>
          </w14:textFill>
        </w:rPr>
        <w:t>年）》《新疆维吾尔自治区矿产资源总体规划（</w:t>
      </w:r>
      <w:r>
        <w:rPr>
          <w:color w:val="000000" w:themeColor="text1"/>
          <w:lang w:bidi="ar"/>
          <w14:textFill>
            <w14:solidFill>
              <w14:schemeClr w14:val="tx1"/>
            </w14:solidFill>
          </w14:textFill>
        </w:rPr>
        <w:t>2021</w:t>
      </w: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2025</w:t>
      </w:r>
      <w:r>
        <w:rPr>
          <w:rFonts w:hint="eastAsia"/>
          <w:color w:val="000000" w:themeColor="text1"/>
          <w:lang w:bidi="ar"/>
          <w14:textFill>
            <w14:solidFill>
              <w14:schemeClr w14:val="tx1"/>
            </w14:solidFill>
          </w14:textFill>
        </w:rPr>
        <w:t>年）环境影响报告书》《新疆生态环境保护“十四五”规划》《昌吉回族自治州生态环境保护与建设“十四五”规划》《新疆维吾尔自治区生态环境分区管控动态更新成果》《昌吉回族自治州生态环境分区管控动态更新成果》《石油天然气开采业污染防治技术政策》《陆上石油天然气开采业绿色矿山建设规范》《关于进一步加强石油天然气行业环境影响评价管理的通知》《新疆维吾尔自治区重点行业生态环境准入条件（</w:t>
      </w:r>
      <w:r>
        <w:rPr>
          <w:color w:val="000000" w:themeColor="text1"/>
          <w:lang w:bidi="ar"/>
          <w14:textFill>
            <w14:solidFill>
              <w14:schemeClr w14:val="tx1"/>
            </w14:solidFill>
          </w14:textFill>
        </w:rPr>
        <w:t>2024</w:t>
      </w:r>
      <w:r>
        <w:rPr>
          <w:rFonts w:hint="eastAsia"/>
          <w:color w:val="000000" w:themeColor="text1"/>
          <w:lang w:bidi="ar"/>
          <w14:textFill>
            <w14:solidFill>
              <w14:schemeClr w14:val="tx1"/>
            </w14:solidFill>
          </w14:textFill>
        </w:rPr>
        <w:t>年）》《石油天然气项目土地复垦与生态修复技术规范》（</w:t>
      </w:r>
      <w:r>
        <w:rPr>
          <w:color w:val="000000" w:themeColor="text1"/>
          <w:lang w:bidi="ar"/>
          <w14:textFill>
            <w14:solidFill>
              <w14:schemeClr w14:val="tx1"/>
            </w14:solidFill>
          </w14:textFill>
        </w:rPr>
        <w:t>GB/T43936-2024</w:t>
      </w:r>
      <w:r>
        <w:rPr>
          <w:rFonts w:hint="eastAsia"/>
          <w:color w:val="000000" w:themeColor="text1"/>
          <w:lang w:bidi="ar"/>
          <w14:textFill>
            <w14:solidFill>
              <w14:schemeClr w14:val="tx1"/>
            </w14:solidFill>
          </w14:textFill>
        </w:rPr>
        <w:t>）等规划及政策中的相关要求。</w:t>
      </w:r>
    </w:p>
    <w:bookmarkEnd w:id="30"/>
    <w:bookmarkEnd w:id="31"/>
    <w:bookmarkEnd w:id="32"/>
    <w:bookmarkEnd w:id="33"/>
    <w:p w14:paraId="1193F07E">
      <w:pPr>
        <w:pStyle w:val="7"/>
        <w:rPr>
          <w:rFonts w:hint="eastAsia"/>
          <w:color w:val="000000" w:themeColor="text1"/>
          <w14:textFill>
            <w14:solidFill>
              <w14:schemeClr w14:val="tx1"/>
            </w14:solidFill>
          </w14:textFill>
        </w:rPr>
      </w:pPr>
      <w:bookmarkStart w:id="34" w:name="_Toc24256"/>
      <w:r>
        <w:rPr>
          <w:rFonts w:hint="eastAsia"/>
          <w:color w:val="000000" w:themeColor="text1"/>
          <w14:textFill>
            <w14:solidFill>
              <w14:schemeClr w14:val="tx1"/>
            </w14:solidFill>
          </w14:textFill>
        </w:rPr>
        <w:t>环境影响评价的</w:t>
      </w:r>
      <w:r>
        <w:rPr>
          <w:color w:val="000000" w:themeColor="text1"/>
          <w14:textFill>
            <w14:solidFill>
              <w14:schemeClr w14:val="tx1"/>
            </w14:solidFill>
          </w14:textFill>
        </w:rPr>
        <w:t>主要结论</w:t>
      </w:r>
      <w:bookmarkEnd w:id="34"/>
    </w:p>
    <w:p w14:paraId="737DBEF4">
      <w:pPr>
        <w:pStyle w:val="120"/>
        <w:rPr>
          <w:rFonts w:hint="eastAsia"/>
          <w:color w:val="000000" w:themeColor="text1"/>
          <w14:textFill>
            <w14:solidFill>
              <w14:schemeClr w14:val="tx1"/>
            </w14:solidFill>
          </w14:textFill>
        </w:rPr>
      </w:pPr>
      <w:bookmarkStart w:id="35" w:name="_Hlk17801527"/>
      <w:r>
        <w:rPr>
          <w:rFonts w:hint="eastAsia"/>
          <w:color w:val="000000" w:themeColor="text1"/>
          <w14:textFill>
            <w14:solidFill>
              <w14:schemeClr w14:val="tx1"/>
            </w14:solidFill>
          </w14:textFill>
        </w:rPr>
        <w:t>项目符合国家相关规划、环保政策及“三线一单”的要求，项目选址选线合理。运营期废气、噪声能实现达标排放，废水和固体废物均可实现妥善处置，建成后区域环境质量仍可以满足相应功能区要求；开发活动对生态环境的影响较小，不会对区域生态系统或生物多样性产生较大影响；运行过程中存在一定的环境风险，但采取相应的环境风险防范措施后，其影响是可防可控的；项目进行了三次网上公示、1次张贴公告、2次报纸公示，公示期间均未收到公众反馈意见。从生态环境保护角度论证建设可行。</w:t>
      </w:r>
    </w:p>
    <w:bookmarkEnd w:id="35"/>
    <w:p w14:paraId="3A1384C9">
      <w:pPr>
        <w:pStyle w:val="6"/>
        <w:rPr>
          <w:rFonts w:hint="eastAsia"/>
          <w:color w:val="000000" w:themeColor="text1"/>
          <w14:textFill>
            <w14:solidFill>
              <w14:schemeClr w14:val="tx1"/>
            </w14:solidFill>
          </w14:textFill>
        </w:rPr>
      </w:pPr>
      <w:r>
        <w:rPr>
          <w:color w:val="000000" w:themeColor="text1"/>
          <w14:textFill>
            <w14:solidFill>
              <w14:schemeClr w14:val="tx1"/>
            </w14:solidFill>
          </w14:textFill>
        </w:rPr>
        <w:br w:type="page"/>
      </w:r>
      <w:bookmarkStart w:id="36" w:name="_Toc9774"/>
      <w:r>
        <w:rPr>
          <w:rFonts w:hint="eastAsia"/>
          <w:color w:val="000000" w:themeColor="text1"/>
          <w14:textFill>
            <w14:solidFill>
              <w14:schemeClr w14:val="tx1"/>
            </w14:solidFill>
          </w14:textFill>
        </w:rPr>
        <w:t>总则</w:t>
      </w:r>
      <w:bookmarkEnd w:id="36"/>
    </w:p>
    <w:p w14:paraId="19D9ED76">
      <w:pPr>
        <w:pStyle w:val="7"/>
        <w:rPr>
          <w:rFonts w:hint="eastAsia"/>
          <w:color w:val="000000" w:themeColor="text1"/>
          <w:lang w:val="zh-CN"/>
          <w14:textFill>
            <w14:solidFill>
              <w14:schemeClr w14:val="tx1"/>
            </w14:solidFill>
          </w14:textFill>
        </w:rPr>
      </w:pPr>
      <w:bookmarkStart w:id="37" w:name="_Toc459026553"/>
      <w:bookmarkStart w:id="38" w:name="_Toc8695"/>
      <w:bookmarkStart w:id="39" w:name="_Toc445841957"/>
      <w:bookmarkStart w:id="40" w:name="_Toc445996320"/>
      <w:bookmarkStart w:id="41" w:name="_Toc17814"/>
      <w:bookmarkStart w:id="42" w:name="_Toc475624459"/>
      <w:bookmarkStart w:id="43" w:name="_Toc445840369"/>
      <w:bookmarkStart w:id="44" w:name="_Hlk175259478"/>
      <w:r>
        <w:rPr>
          <w:rFonts w:hint="eastAsia"/>
          <w:color w:val="000000" w:themeColor="text1"/>
          <w:lang w:val="zh-CN"/>
          <w14:textFill>
            <w14:solidFill>
              <w14:schemeClr w14:val="tx1"/>
            </w14:solidFill>
          </w14:textFill>
        </w:rPr>
        <w:t>编制</w:t>
      </w:r>
      <w:r>
        <w:rPr>
          <w:color w:val="000000" w:themeColor="text1"/>
          <w:lang w:val="zh-CN"/>
          <w14:textFill>
            <w14:solidFill>
              <w14:schemeClr w14:val="tx1"/>
            </w14:solidFill>
          </w14:textFill>
        </w:rPr>
        <w:t>依据</w:t>
      </w:r>
      <w:bookmarkEnd w:id="37"/>
      <w:bookmarkEnd w:id="38"/>
      <w:bookmarkEnd w:id="39"/>
      <w:bookmarkEnd w:id="40"/>
      <w:bookmarkEnd w:id="41"/>
      <w:bookmarkEnd w:id="42"/>
      <w:bookmarkEnd w:id="43"/>
    </w:p>
    <w:bookmarkEnd w:id="44"/>
    <w:p w14:paraId="5877848F">
      <w:pPr>
        <w:pStyle w:val="8"/>
        <w:rPr>
          <w:rFonts w:hint="eastAsia"/>
          <w:color w:val="000000" w:themeColor="text1"/>
          <w14:textFill>
            <w14:solidFill>
              <w14:schemeClr w14:val="tx1"/>
            </w14:solidFill>
          </w14:textFill>
        </w:rPr>
      </w:pPr>
      <w:bookmarkStart w:id="45" w:name="_Hlk33041053"/>
      <w:r>
        <w:rPr>
          <w:rFonts w:hint="eastAsia"/>
          <w:color w:val="000000" w:themeColor="text1"/>
          <w14:textFill>
            <w14:solidFill>
              <w14:schemeClr w14:val="tx1"/>
            </w14:solidFill>
          </w14:textFill>
        </w:rPr>
        <w:t>国家环保法律</w:t>
      </w:r>
    </w:p>
    <w:p w14:paraId="7C2540BB">
      <w:pPr>
        <w:pStyle w:val="120"/>
        <w:rPr>
          <w:rFonts w:hint="eastAsia"/>
          <w:color w:val="000000" w:themeColor="text1"/>
          <w14:textFill>
            <w14:solidFill>
              <w14:schemeClr w14:val="tx1"/>
            </w14:solidFill>
          </w14:textFill>
        </w:rPr>
      </w:pPr>
      <w:bookmarkStart w:id="46" w:name="_Hlk175259517"/>
      <w:r>
        <w:rPr>
          <w:rFonts w:hint="eastAsia"/>
          <w:color w:val="000000" w:themeColor="text1"/>
          <w14:textFill>
            <w14:solidFill>
              <w14:schemeClr w14:val="tx1"/>
            </w14:solidFill>
          </w14:textFill>
        </w:rPr>
        <w:t>（1）《中华人民共和国环境保护法》，2015年01月01日；</w:t>
      </w:r>
    </w:p>
    <w:p w14:paraId="3C313D8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（2）《中华人民共和国环境影响评价法》，2018年12月29日；</w:t>
      </w:r>
    </w:p>
    <w:p w14:paraId="4811ED4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（3）《中华人民共和国大气污染防治法》，2018年10月26日；</w:t>
      </w:r>
    </w:p>
    <w:p w14:paraId="72C7E3E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（4）《中华人民共和国水污染防治法》，2018年01月01日；</w:t>
      </w:r>
    </w:p>
    <w:p w14:paraId="797FEAF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（5）《中华人民共和国土壤污染防治法》，2019年01月01日；</w:t>
      </w:r>
    </w:p>
    <w:p w14:paraId="3B65E6E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（6）《中华人民共和国噪声污染防治法》，20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年0</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月0</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日；</w:t>
      </w:r>
    </w:p>
    <w:p w14:paraId="4F58691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（7）《中华人民共和国固体废物污染环境防治法》，2020年09月01日；</w:t>
      </w:r>
    </w:p>
    <w:p w14:paraId="0DC549A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（8）《中华人民共和国环境保护税法》，2018年01月01日；</w:t>
      </w:r>
    </w:p>
    <w:p w14:paraId="64A7C73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（9）《中华人民共和国野生动物保护法》（2</w:t>
      </w:r>
      <w:r>
        <w:rPr>
          <w:color w:val="000000" w:themeColor="text1"/>
          <w14:textFill>
            <w14:solidFill>
              <w14:schemeClr w14:val="tx1"/>
            </w14:solidFill>
          </w14:textFill>
        </w:rPr>
        <w:t>022</w:t>
      </w:r>
      <w:r>
        <w:rPr>
          <w:rFonts w:hint="eastAsia"/>
          <w:color w:val="000000" w:themeColor="text1"/>
          <w14:textFill>
            <w14:solidFill>
              <w14:schemeClr w14:val="tx1"/>
            </w14:solidFill>
          </w14:textFill>
        </w:rPr>
        <w:t>年修正），20</w:t>
      </w:r>
      <w:r>
        <w:rPr>
          <w:color w:val="000000" w:themeColor="text1"/>
          <w14:textFill>
            <w14:solidFill>
              <w14:schemeClr w14:val="tx1"/>
            </w14:solidFill>
          </w14:textFill>
        </w:rPr>
        <w:t>23</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05</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01</w:t>
      </w:r>
      <w:r>
        <w:rPr>
          <w:rFonts w:hint="eastAsia"/>
          <w:color w:val="000000" w:themeColor="text1"/>
          <w14:textFill>
            <w14:solidFill>
              <w14:schemeClr w14:val="tx1"/>
            </w14:solidFill>
          </w14:textFill>
        </w:rPr>
        <w:t>日；</w:t>
      </w:r>
    </w:p>
    <w:p w14:paraId="1392554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（10）《中华人民共和国防沙治沙法》，2018年10月26日；</w:t>
      </w:r>
    </w:p>
    <w:p w14:paraId="6FDD9B5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（11）《中华人民共和国水土保持法》</w:t>
      </w:r>
      <w:r>
        <w:rPr>
          <w:color w:val="000000" w:themeColor="text1"/>
          <w14:textFill>
            <w14:solidFill>
              <w14:schemeClr w14:val="tx1"/>
            </w14:solidFill>
          </w14:textFill>
        </w:rPr>
        <w:t>（2010年修订）</w:t>
      </w:r>
      <w:r>
        <w:rPr>
          <w:rFonts w:hint="eastAsia"/>
          <w:color w:val="000000" w:themeColor="text1"/>
          <w14:textFill>
            <w14:solidFill>
              <w14:schemeClr w14:val="tx1"/>
            </w14:solidFill>
          </w14:textFill>
        </w:rPr>
        <w:t>，2011年03月01日；</w:t>
      </w:r>
    </w:p>
    <w:p w14:paraId="239E4F8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w:t>
      </w:r>
      <w:r>
        <w:rPr>
          <w:color w:val="000000" w:themeColor="text1"/>
          <w14:textFill>
            <w14:solidFill>
              <w14:schemeClr w14:val="tx1"/>
            </w14:solidFill>
          </w14:textFill>
        </w:rPr>
        <w:t>中华人民共和国清洁生产促进法（2012年修订）</w:t>
      </w:r>
      <w:r>
        <w:rPr>
          <w:rFonts w:hint="eastAsia"/>
          <w:color w:val="000000" w:themeColor="text1"/>
          <w14:textFill>
            <w14:solidFill>
              <w14:schemeClr w14:val="tx1"/>
            </w14:solidFill>
          </w14:textFill>
        </w:rPr>
        <w:t>》，2012年07月01日；</w:t>
      </w:r>
    </w:p>
    <w:p w14:paraId="0B5E8501">
      <w:pPr>
        <w:pStyle w:val="120"/>
        <w:rPr>
          <w:rFonts w:hint="eastAsia"/>
          <w:color w:val="000000" w:themeColor="text1"/>
          <w14:textFill>
            <w14:solidFill>
              <w14:schemeClr w14:val="tx1"/>
            </w14:solidFill>
          </w14:textFill>
        </w:rPr>
      </w:pPr>
      <w:bookmarkStart w:id="47" w:name="_Hlk177303022"/>
      <w:r>
        <w:rPr>
          <w:rFonts w:hint="eastAsia"/>
          <w:color w:val="000000" w:themeColor="text1"/>
          <w14:textFill>
            <w14:solidFill>
              <w14:schemeClr w14:val="tx1"/>
            </w14:solidFill>
          </w14:textFill>
        </w:rPr>
        <w:t>（13）《中华人民共和国矿产资源法</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2024年修订</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2025</w:t>
      </w:r>
      <w:r>
        <w:rPr>
          <w:rFonts w:hint="eastAsia"/>
          <w:color w:val="000000" w:themeColor="text1"/>
          <w14:textFill>
            <w14:solidFill>
              <w14:schemeClr w14:val="tx1"/>
            </w14:solidFill>
          </w14:textFill>
        </w:rPr>
        <w:t>年</w:t>
      </w:r>
      <w:r>
        <w:rPr>
          <w:rFonts w:hint="eastAsia"/>
          <w:color w:val="000000" w:themeColor="text1"/>
          <w:lang w:val="en-US"/>
          <w14:textFill>
            <w14:solidFill>
              <w14:schemeClr w14:val="tx1"/>
            </w14:solidFill>
          </w14:textFill>
        </w:rPr>
        <w:t>07</w:t>
      </w:r>
      <w:r>
        <w:rPr>
          <w:rFonts w:hint="eastAsia"/>
          <w:color w:val="000000" w:themeColor="text1"/>
          <w14:textFill>
            <w14:solidFill>
              <w14:schemeClr w14:val="tx1"/>
            </w14:solidFill>
          </w14:textFill>
        </w:rPr>
        <w:t>月</w:t>
      </w:r>
      <w:r>
        <w:rPr>
          <w:rFonts w:hint="eastAsia"/>
          <w:color w:val="000000" w:themeColor="text1"/>
          <w:lang w:val="en-US"/>
          <w14:textFill>
            <w14:solidFill>
              <w14:schemeClr w14:val="tx1"/>
            </w14:solidFill>
          </w14:textFill>
        </w:rPr>
        <w:t>01</w:t>
      </w:r>
      <w:r>
        <w:rPr>
          <w:rFonts w:hint="eastAsia"/>
          <w:color w:val="000000" w:themeColor="text1"/>
          <w14:textFill>
            <w14:solidFill>
              <w14:schemeClr w14:val="tx1"/>
            </w14:solidFill>
          </w14:textFill>
        </w:rPr>
        <w:t>日；</w:t>
      </w:r>
    </w:p>
    <w:p w14:paraId="4421345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（14）《中华人民共和国突发事件应对法》（2024年06月28日修订），2024年11月01日；</w:t>
      </w:r>
    </w:p>
    <w:p w14:paraId="3BADADC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（15）《中华人民共和国生态环境法典》，2026年8月15日。</w:t>
      </w:r>
    </w:p>
    <w:bookmarkEnd w:id="47"/>
    <w:p w14:paraId="48E25B5A">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环境保护规章</w:t>
      </w:r>
    </w:p>
    <w:bookmarkEnd w:id="46"/>
    <w:p w14:paraId="2ED772CC">
      <w:pPr>
        <w:pStyle w:val="120"/>
        <w:rPr>
          <w:rFonts w:hint="eastAsia"/>
          <w:color w:val="000000" w:themeColor="text1"/>
          <w14:textFill>
            <w14:solidFill>
              <w14:schemeClr w14:val="tx1"/>
            </w14:solidFill>
          </w14:textFill>
        </w:rPr>
      </w:pPr>
      <w:bookmarkStart w:id="48" w:name="_Hlk92217233"/>
      <w:bookmarkStart w:id="49" w:name="OLE_LINK124"/>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）《建设项目环境保护管理条例》，国务院令第682号，2017年10月01日；</w:t>
      </w:r>
    </w:p>
    <w:p w14:paraId="1A5BD38E">
      <w:pPr>
        <w:pStyle w:val="120"/>
        <w:rPr>
          <w:rFonts w:hint="eastAsia"/>
          <w:color w:val="000000" w:themeColor="text1"/>
          <w14:textFill>
            <w14:solidFill>
              <w14:schemeClr w14:val="tx1"/>
            </w14:solidFill>
          </w14:textFill>
        </w:rPr>
      </w:pPr>
      <w:bookmarkStart w:id="50" w:name="_Hlk177303028"/>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）《排污许可管理办法》，生态环境部</w:t>
      </w: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t>部令第32号，2024年07月01日；</w:t>
      </w:r>
    </w:p>
    <w:bookmarkEnd w:id="50"/>
    <w:p w14:paraId="4FCFA11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）《建设项目环境影响评价分类管理名录（2021年版）》，生态环境部令第16号，2021年01月01日；</w:t>
      </w:r>
    </w:p>
    <w:p w14:paraId="6B63B32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）《环境影响评价公众参与办法》，生态环境部令第4号，2019年01月01日；</w:t>
      </w:r>
    </w:p>
    <w:p w14:paraId="6ADD3AD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）《国家危险废物名录（2025年版）》，生态环境部、国家发展和改革委员会、公安部、交通运输部和国家卫生健康委员会部令第36号，2025年01月01日；</w:t>
      </w:r>
    </w:p>
    <w:p w14:paraId="4427D34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）《产业结构调整指导目录（2024年本）》，中华人民共和国国家发展和改革委员会令第7号，2024年02月01日；</w:t>
      </w:r>
    </w:p>
    <w:p w14:paraId="46E11E0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）《石油天然气开采业污染防治技术政策》，2012年第18号，2012年03月07日；</w:t>
      </w:r>
    </w:p>
    <w:p w14:paraId="454A37E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（8）《关于进一步加强石油天然气行业环境影响评价管理的通知》，环办环评函〔2019〕910号，2019年12月13日；</w:t>
      </w:r>
    </w:p>
    <w:p w14:paraId="4B4F83B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（9）《国家重点保护野生植物名录》，国家林业和草原局 农业农村部公告2021年第15号，2021年09月07日；</w:t>
      </w:r>
    </w:p>
    <w:p w14:paraId="447BF0E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（10）《国家重点保护野生动物名录》，国家林业和草原局 农业农村部公告2021年第3号，2021年02月01日；</w:t>
      </w:r>
    </w:p>
    <w:p w14:paraId="61D65C7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（11）《中华人民共和国野生植物保护条例》，国务院令第204号，2017年10月07日；</w:t>
      </w:r>
    </w:p>
    <w:p w14:paraId="77A6D73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（12）《排污许可管理条例》，国务院令第7</w:t>
      </w:r>
      <w:r>
        <w:rPr>
          <w:color w:val="000000" w:themeColor="text1"/>
          <w14:textFill>
            <w14:solidFill>
              <w14:schemeClr w14:val="tx1"/>
            </w14:solidFill>
          </w14:textFill>
        </w:rPr>
        <w:t>36</w:t>
      </w:r>
      <w:r>
        <w:rPr>
          <w:rFonts w:hint="eastAsia"/>
          <w:color w:val="000000" w:themeColor="text1"/>
          <w14:textFill>
            <w14:solidFill>
              <w14:schemeClr w14:val="tx1"/>
            </w14:solidFill>
          </w14:textFill>
        </w:rPr>
        <w:t>号，2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年03月01日；</w:t>
      </w:r>
    </w:p>
    <w:p w14:paraId="569B2E79">
      <w:pPr>
        <w:pStyle w:val="120"/>
        <w:rPr>
          <w:rFonts w:hint="eastAsia" w:cs="宋体"/>
          <w:color w:val="000000" w:themeColor="text1"/>
          <w:kern w:val="0"/>
          <w:szCs w:val="21"/>
          <w14:textFill>
            <w14:solidFill>
              <w14:schemeClr w14:val="tx1"/>
            </w14:solidFill>
          </w14:textFill>
        </w:rPr>
      </w:pPr>
      <w:r>
        <w:rPr>
          <w:rFonts w:hint="eastAsia"/>
          <w:color w:val="000000" w:themeColor="text1"/>
          <w14:textFill>
            <w14:solidFill>
              <w14:schemeClr w14:val="tx1"/>
            </w14:solidFill>
          </w14:textFill>
        </w:rPr>
        <w:t>（13）</w:t>
      </w:r>
      <w:r>
        <w:rPr>
          <w:rFonts w:hint="eastAsia" w:cs="宋体"/>
          <w:color w:val="000000" w:themeColor="text1"/>
          <w:kern w:val="0"/>
          <w:szCs w:val="21"/>
          <w14:textFill>
            <w14:solidFill>
              <w14:schemeClr w14:val="tx1"/>
            </w14:solidFill>
          </w14:textFill>
        </w:rPr>
        <w:t>《关于做好环境影响评价制度与排污许可制衔接相关工作的通知》（环办环评〔2017〕84号），2017年11月14日；</w:t>
      </w:r>
    </w:p>
    <w:p w14:paraId="1A52BB8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（14）《建设项目危险废物环境影响评价指南》（原环境保护部公告2017第43号），2017年10月01日；</w:t>
      </w:r>
    </w:p>
    <w:p w14:paraId="72F15FF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（15）《关于以改善环境质量为核心加强环境影响评价管理的通知》（环环评〔2016〕150号），2016年10月26日；</w:t>
      </w:r>
    </w:p>
    <w:p w14:paraId="30FB87D5">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r>
        <w:rPr>
          <w:rFonts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6）《危险废物转移管理办法》（生态环境部、公安部、交通运输部 部令第2</w:t>
      </w:r>
      <w:r>
        <w:rPr>
          <w:rFonts w:ascii="宋体" w:hAnsi="宋体" w:cs="宋体"/>
          <w:color w:val="000000" w:themeColor="text1"/>
          <w:sz w:val="24"/>
          <w:szCs w:val="24"/>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号），2</w:t>
      </w:r>
      <w:r>
        <w:rPr>
          <w:rFonts w:ascii="宋体" w:hAnsi="宋体" w:cs="宋体"/>
          <w:color w:val="000000" w:themeColor="text1"/>
          <w:sz w:val="24"/>
          <w:szCs w:val="24"/>
          <w14:textFill>
            <w14:solidFill>
              <w14:schemeClr w14:val="tx1"/>
            </w14:solidFill>
          </w14:textFill>
        </w:rPr>
        <w:t>021</w:t>
      </w:r>
      <w:r>
        <w:rPr>
          <w:rFonts w:hint="eastAsia" w:ascii="宋体" w:hAnsi="宋体" w:cs="宋体"/>
          <w:color w:val="000000" w:themeColor="text1"/>
          <w:sz w:val="24"/>
          <w:szCs w:val="24"/>
          <w14:textFill>
            <w14:solidFill>
              <w14:schemeClr w14:val="tx1"/>
            </w14:solidFill>
          </w14:textFill>
        </w:rPr>
        <w:t>年1</w:t>
      </w:r>
      <w:r>
        <w:rPr>
          <w:rFonts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月3</w:t>
      </w:r>
      <w:r>
        <w:rPr>
          <w:rFonts w:ascii="宋体" w:hAnsi="宋体" w:cs="宋体"/>
          <w:color w:val="000000" w:themeColor="text1"/>
          <w:sz w:val="24"/>
          <w:szCs w:val="24"/>
          <w14:textFill>
            <w14:solidFill>
              <w14:schemeClr w14:val="tx1"/>
            </w14:solidFill>
          </w14:textFill>
        </w:rPr>
        <w:t>0</w:t>
      </w:r>
      <w:r>
        <w:rPr>
          <w:rFonts w:hint="eastAsia" w:ascii="宋体" w:hAnsi="宋体" w:cs="宋体"/>
          <w:color w:val="000000" w:themeColor="text1"/>
          <w:sz w:val="24"/>
          <w:szCs w:val="24"/>
          <w14:textFill>
            <w14:solidFill>
              <w14:schemeClr w14:val="tx1"/>
            </w14:solidFill>
          </w14:textFill>
        </w:rPr>
        <w:t>日；</w:t>
      </w:r>
    </w:p>
    <w:p w14:paraId="3C96CF05">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r>
        <w:rPr>
          <w:rFonts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7）《关于印发〈企业环境信息依法披露格式准则〉的通知》（环办综合〔2021〕32号），2</w:t>
      </w:r>
      <w:r>
        <w:rPr>
          <w:rFonts w:ascii="宋体" w:hAnsi="宋体" w:cs="宋体"/>
          <w:color w:val="000000" w:themeColor="text1"/>
          <w:sz w:val="24"/>
          <w:szCs w:val="24"/>
          <w14:textFill>
            <w14:solidFill>
              <w14:schemeClr w14:val="tx1"/>
            </w14:solidFill>
          </w14:textFill>
        </w:rPr>
        <w:t>021</w:t>
      </w:r>
      <w:r>
        <w:rPr>
          <w:rFonts w:hint="eastAsia" w:ascii="宋体" w:hAnsi="宋体" w:cs="宋体"/>
          <w:color w:val="000000" w:themeColor="text1"/>
          <w:sz w:val="24"/>
          <w:szCs w:val="24"/>
          <w14:textFill>
            <w14:solidFill>
              <w14:schemeClr w14:val="tx1"/>
            </w14:solidFill>
          </w14:textFill>
        </w:rPr>
        <w:t>年1</w:t>
      </w:r>
      <w:r>
        <w:rPr>
          <w:rFonts w:ascii="宋体" w:hAnsi="宋体" w:cs="宋体"/>
          <w:color w:val="000000" w:themeColor="text1"/>
          <w:sz w:val="24"/>
          <w:szCs w:val="24"/>
          <w14:textFill>
            <w14:solidFill>
              <w14:schemeClr w14:val="tx1"/>
            </w14:solidFill>
          </w14:textFill>
        </w:rPr>
        <w:t>2</w:t>
      </w:r>
      <w:r>
        <w:rPr>
          <w:rFonts w:hint="eastAsia" w:ascii="宋体" w:hAnsi="宋体" w:cs="宋体"/>
          <w:color w:val="000000" w:themeColor="text1"/>
          <w:sz w:val="24"/>
          <w:szCs w:val="24"/>
          <w14:textFill>
            <w14:solidFill>
              <w14:schemeClr w14:val="tx1"/>
            </w14:solidFill>
          </w14:textFill>
        </w:rPr>
        <w:t>月3</w:t>
      </w:r>
      <w:r>
        <w:rPr>
          <w:rFonts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日；</w:t>
      </w:r>
    </w:p>
    <w:p w14:paraId="0090C817">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（18）《企业环境信息依法披露管理办法》（生态环境部 部令第2</w:t>
      </w:r>
      <w:r>
        <w:rPr>
          <w:rFonts w:ascii="宋体" w:hAnsi="宋体" w:cs="宋体"/>
          <w:color w:val="000000" w:themeColor="text1"/>
          <w:sz w:val="24"/>
          <w:szCs w:val="24"/>
          <w14:textFill>
            <w14:solidFill>
              <w14:schemeClr w14:val="tx1"/>
            </w14:solidFill>
          </w14:textFill>
        </w:rPr>
        <w:t>4</w:t>
      </w:r>
      <w:r>
        <w:rPr>
          <w:rFonts w:hint="eastAsia" w:ascii="宋体" w:hAnsi="宋体" w:cs="宋体"/>
          <w:color w:val="000000" w:themeColor="text1"/>
          <w:sz w:val="24"/>
          <w:szCs w:val="24"/>
          <w14:textFill>
            <w14:solidFill>
              <w14:schemeClr w14:val="tx1"/>
            </w14:solidFill>
          </w14:textFill>
        </w:rPr>
        <w:t>号），2</w:t>
      </w:r>
      <w:r>
        <w:rPr>
          <w:rFonts w:ascii="宋体" w:hAnsi="宋体" w:cs="宋体"/>
          <w:color w:val="000000" w:themeColor="text1"/>
          <w:sz w:val="24"/>
          <w:szCs w:val="24"/>
          <w14:textFill>
            <w14:solidFill>
              <w14:schemeClr w14:val="tx1"/>
            </w14:solidFill>
          </w14:textFill>
        </w:rPr>
        <w:t>021</w:t>
      </w:r>
      <w:r>
        <w:rPr>
          <w:rFonts w:hint="eastAsia" w:ascii="宋体" w:hAnsi="宋体" w:cs="宋体"/>
          <w:color w:val="000000" w:themeColor="text1"/>
          <w:sz w:val="24"/>
          <w:szCs w:val="24"/>
          <w14:textFill>
            <w14:solidFill>
              <w14:schemeClr w14:val="tx1"/>
            </w14:solidFill>
          </w14:textFill>
        </w:rPr>
        <w:t>年1</w:t>
      </w:r>
      <w:r>
        <w:rPr>
          <w:rFonts w:ascii="宋体" w:hAnsi="宋体" w:cs="宋体"/>
          <w:color w:val="000000" w:themeColor="text1"/>
          <w:sz w:val="24"/>
          <w:szCs w:val="24"/>
          <w14:textFill>
            <w14:solidFill>
              <w14:schemeClr w14:val="tx1"/>
            </w14:solidFill>
          </w14:textFill>
        </w:rPr>
        <w:t>2</w:t>
      </w:r>
      <w:r>
        <w:rPr>
          <w:rFonts w:hint="eastAsia" w:ascii="宋体" w:hAnsi="宋体" w:cs="宋体"/>
          <w:color w:val="000000" w:themeColor="text1"/>
          <w:sz w:val="24"/>
          <w:szCs w:val="24"/>
          <w14:textFill>
            <w14:solidFill>
              <w14:schemeClr w14:val="tx1"/>
            </w14:solidFill>
          </w14:textFill>
        </w:rPr>
        <w:t>月2</w:t>
      </w:r>
      <w:r>
        <w:rPr>
          <w:rFonts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日；</w:t>
      </w:r>
    </w:p>
    <w:p w14:paraId="4D58C297">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（19）《关于印发〈“十四五”噪声污染防治行动计划〉的通知》，（环大气〔202</w:t>
      </w:r>
      <w:r>
        <w:rPr>
          <w:rFonts w:ascii="宋体" w:hAnsi="宋体" w:cs="宋体"/>
          <w:color w:val="000000" w:themeColor="text1"/>
          <w:sz w:val="24"/>
          <w:szCs w:val="24"/>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w:t>
      </w:r>
      <w:r>
        <w:rPr>
          <w:rFonts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号），</w:t>
      </w:r>
      <w:r>
        <w:rPr>
          <w:rFonts w:ascii="宋体" w:hAnsi="宋体" w:cs="宋体"/>
          <w:color w:val="000000" w:themeColor="text1"/>
          <w:sz w:val="24"/>
          <w:szCs w:val="24"/>
          <w14:textFill>
            <w14:solidFill>
              <w14:schemeClr w14:val="tx1"/>
            </w14:solidFill>
          </w14:textFill>
        </w:rPr>
        <w:t>2023</w:t>
      </w:r>
      <w:r>
        <w:rPr>
          <w:rFonts w:hint="eastAsia" w:ascii="宋体" w:hAnsi="宋体" w:cs="宋体"/>
          <w:color w:val="000000" w:themeColor="text1"/>
          <w:sz w:val="24"/>
          <w:szCs w:val="24"/>
          <w14:textFill>
            <w14:solidFill>
              <w14:schemeClr w14:val="tx1"/>
            </w14:solidFill>
          </w14:textFill>
        </w:rPr>
        <w:t>年0</w:t>
      </w:r>
      <w:r>
        <w:rPr>
          <w:rFonts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月0</w:t>
      </w:r>
      <w:r>
        <w:rPr>
          <w:rFonts w:ascii="宋体" w:hAnsi="宋体" w:cs="宋体"/>
          <w:color w:val="000000" w:themeColor="text1"/>
          <w:sz w:val="24"/>
          <w:szCs w:val="24"/>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日；</w:t>
      </w:r>
    </w:p>
    <w:p w14:paraId="612E0973">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（20）《地下水管理条例》（国务院令第7</w:t>
      </w:r>
      <w:r>
        <w:rPr>
          <w:rFonts w:ascii="宋体" w:hAnsi="宋体" w:cs="宋体"/>
          <w:color w:val="000000" w:themeColor="text1"/>
          <w:sz w:val="24"/>
          <w:szCs w:val="24"/>
          <w14:textFill>
            <w14:solidFill>
              <w14:schemeClr w14:val="tx1"/>
            </w14:solidFill>
          </w14:textFill>
        </w:rPr>
        <w:t>48</w:t>
      </w:r>
      <w:r>
        <w:rPr>
          <w:rFonts w:hint="eastAsia" w:ascii="宋体" w:hAnsi="宋体" w:cs="宋体"/>
          <w:color w:val="000000" w:themeColor="text1"/>
          <w:sz w:val="24"/>
          <w:szCs w:val="24"/>
          <w14:textFill>
            <w14:solidFill>
              <w14:schemeClr w14:val="tx1"/>
            </w14:solidFill>
          </w14:textFill>
        </w:rPr>
        <w:t>号），2</w:t>
      </w:r>
      <w:r>
        <w:rPr>
          <w:rFonts w:ascii="宋体" w:hAnsi="宋体" w:cs="宋体"/>
          <w:color w:val="000000" w:themeColor="text1"/>
          <w:sz w:val="24"/>
          <w:szCs w:val="24"/>
          <w14:textFill>
            <w14:solidFill>
              <w14:schemeClr w14:val="tx1"/>
            </w14:solidFill>
          </w14:textFill>
        </w:rPr>
        <w:t>021</w:t>
      </w:r>
      <w:r>
        <w:rPr>
          <w:rFonts w:hint="eastAsia" w:ascii="宋体" w:hAnsi="宋体" w:cs="宋体"/>
          <w:color w:val="000000" w:themeColor="text1"/>
          <w:sz w:val="24"/>
          <w:szCs w:val="24"/>
          <w14:textFill>
            <w14:solidFill>
              <w14:schemeClr w14:val="tx1"/>
            </w14:solidFill>
          </w14:textFill>
        </w:rPr>
        <w:t>年1</w:t>
      </w:r>
      <w:r>
        <w:rPr>
          <w:rFonts w:ascii="宋体" w:hAnsi="宋体" w:cs="宋体"/>
          <w:color w:val="000000" w:themeColor="text1"/>
          <w:sz w:val="24"/>
          <w:szCs w:val="24"/>
          <w14:textFill>
            <w14:solidFill>
              <w14:schemeClr w14:val="tx1"/>
            </w14:solidFill>
          </w14:textFill>
        </w:rPr>
        <w:t>0</w:t>
      </w:r>
      <w:r>
        <w:rPr>
          <w:rFonts w:hint="eastAsia" w:ascii="宋体" w:hAnsi="宋体" w:cs="宋体"/>
          <w:color w:val="000000" w:themeColor="text1"/>
          <w:sz w:val="24"/>
          <w:szCs w:val="24"/>
          <w14:textFill>
            <w14:solidFill>
              <w14:schemeClr w14:val="tx1"/>
            </w14:solidFill>
          </w14:textFill>
        </w:rPr>
        <w:t>月2</w:t>
      </w:r>
      <w:r>
        <w:rPr>
          <w:rFonts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日；</w:t>
      </w:r>
    </w:p>
    <w:p w14:paraId="3E2D69FA">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（21）《甲烷排放控制行动方案》（环气候〔202</w:t>
      </w:r>
      <w:r>
        <w:rPr>
          <w:rFonts w:ascii="宋体" w:hAnsi="宋体" w:cs="宋体"/>
          <w:color w:val="000000" w:themeColor="text1"/>
          <w:sz w:val="24"/>
          <w:szCs w:val="24"/>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w:t>
      </w:r>
      <w:r>
        <w:rPr>
          <w:rFonts w:ascii="宋体" w:hAnsi="宋体" w:cs="宋体"/>
          <w:color w:val="000000" w:themeColor="text1"/>
          <w:sz w:val="24"/>
          <w:szCs w:val="24"/>
          <w14:textFill>
            <w14:solidFill>
              <w14:schemeClr w14:val="tx1"/>
            </w14:solidFill>
          </w14:textFill>
        </w:rPr>
        <w:t>67</w:t>
      </w:r>
      <w:r>
        <w:rPr>
          <w:rFonts w:hint="eastAsia" w:ascii="宋体" w:hAnsi="宋体" w:cs="宋体"/>
          <w:color w:val="000000" w:themeColor="text1"/>
          <w:sz w:val="24"/>
          <w:szCs w:val="24"/>
          <w14:textFill>
            <w14:solidFill>
              <w14:schemeClr w14:val="tx1"/>
            </w14:solidFill>
          </w14:textFill>
        </w:rPr>
        <w:t>号），2</w:t>
      </w:r>
      <w:r>
        <w:rPr>
          <w:rFonts w:ascii="宋体" w:hAnsi="宋体" w:cs="宋体"/>
          <w:color w:val="000000" w:themeColor="text1"/>
          <w:sz w:val="24"/>
          <w:szCs w:val="24"/>
          <w14:textFill>
            <w14:solidFill>
              <w14:schemeClr w14:val="tx1"/>
            </w14:solidFill>
          </w14:textFill>
        </w:rPr>
        <w:t>023</w:t>
      </w:r>
      <w:r>
        <w:rPr>
          <w:rFonts w:hint="eastAsia" w:ascii="宋体" w:hAnsi="宋体" w:cs="宋体"/>
          <w:color w:val="000000" w:themeColor="text1"/>
          <w:sz w:val="24"/>
          <w:szCs w:val="24"/>
          <w14:textFill>
            <w14:solidFill>
              <w14:schemeClr w14:val="tx1"/>
            </w14:solidFill>
          </w14:textFill>
        </w:rPr>
        <w:t>年1</w:t>
      </w:r>
      <w:r>
        <w:rPr>
          <w:rFonts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月0</w:t>
      </w:r>
      <w:r>
        <w:rPr>
          <w:rFonts w:ascii="宋体" w:hAnsi="宋体" w:cs="宋体"/>
          <w:color w:val="000000" w:themeColor="text1"/>
          <w:sz w:val="24"/>
          <w:szCs w:val="24"/>
          <w14:textFill>
            <w14:solidFill>
              <w14:schemeClr w14:val="tx1"/>
            </w14:solidFill>
          </w14:textFill>
        </w:rPr>
        <w:t>7</w:t>
      </w:r>
      <w:r>
        <w:rPr>
          <w:rFonts w:hint="eastAsia" w:ascii="宋体" w:hAnsi="宋体" w:cs="宋体"/>
          <w:color w:val="000000" w:themeColor="text1"/>
          <w:sz w:val="24"/>
          <w:szCs w:val="24"/>
          <w14:textFill>
            <w14:solidFill>
              <w14:schemeClr w14:val="tx1"/>
            </w14:solidFill>
          </w14:textFill>
        </w:rPr>
        <w:t>日；</w:t>
      </w:r>
    </w:p>
    <w:p w14:paraId="6F47768E">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（22）《关于印发〈空气质量持续改善行动计划〉的通知》（国发〔202</w:t>
      </w:r>
      <w:r>
        <w:rPr>
          <w:rFonts w:ascii="宋体" w:hAnsi="宋体" w:cs="宋体"/>
          <w:color w:val="000000" w:themeColor="text1"/>
          <w:sz w:val="24"/>
          <w:szCs w:val="24"/>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〕24号），2023年12月07日；</w:t>
      </w:r>
    </w:p>
    <w:p w14:paraId="239C2484">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（23）《生态保护补偿条例》，国务院令第779号，2024年06月01日；</w:t>
      </w:r>
    </w:p>
    <w:p w14:paraId="3831AA67">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（24）《突发事件应急预案管理办法》，国办发〔2024〕5号，2024年01月31日；</w:t>
      </w:r>
    </w:p>
    <w:p w14:paraId="64631213">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（25）</w:t>
      </w:r>
      <w:bookmarkStart w:id="51" w:name="_Hlk173401710"/>
      <w:r>
        <w:rPr>
          <w:rFonts w:hint="eastAsia" w:ascii="宋体" w:hAnsi="宋体" w:cs="宋体"/>
          <w:color w:val="000000" w:themeColor="text1"/>
          <w:sz w:val="24"/>
          <w:szCs w:val="24"/>
          <w14:textFill>
            <w14:solidFill>
              <w14:schemeClr w14:val="tx1"/>
            </w14:solidFill>
          </w14:textFill>
        </w:rPr>
        <w:t>《关于发布〈固体废物分类与代码目录〉的公告》</w:t>
      </w:r>
      <w:bookmarkEnd w:id="51"/>
      <w:r>
        <w:rPr>
          <w:rFonts w:hint="eastAsia" w:ascii="宋体" w:hAnsi="宋体" w:cs="宋体"/>
          <w:color w:val="000000" w:themeColor="text1"/>
          <w:sz w:val="24"/>
          <w:szCs w:val="24"/>
          <w14:textFill>
            <w14:solidFill>
              <w14:schemeClr w14:val="tx1"/>
            </w14:solidFill>
          </w14:textFill>
        </w:rPr>
        <w:t>，生态环境部公告2024年第4号，2024年01月22日；</w:t>
      </w:r>
    </w:p>
    <w:p w14:paraId="47B948E1">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（26）《关于印发〈固体废物污染环境防治信息发布指南〉的通知》（环办固体</w:t>
      </w:r>
      <w:r>
        <w:rPr>
          <w:rFonts w:hint="eastAsia" w:ascii="宋体" w:hAnsi="宋体" w:cs="宋体"/>
          <w:color w:val="000000" w:themeColor="text1"/>
          <w:sz w:val="24"/>
          <w:szCs w:val="24"/>
          <w14:textFill>
            <w14:solidFill>
              <w14:schemeClr w14:val="tx1"/>
            </w14:solidFill>
          </w14:textFill>
        </w:rPr>
        <w:t>函〔2024〕37号），2024年02月04日；</w:t>
      </w:r>
    </w:p>
    <w:p w14:paraId="2A2DC1BF">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（27）《关于发布〈一般工业固体废物管理台账制定指南（试行）〉的公告》，生态环境部公告2021年第82号，2021年12月31日；</w:t>
      </w:r>
    </w:p>
    <w:p w14:paraId="386E8657">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（28）《危险废物环境管理指南 陆上石油天然气开采》，生态环境部公告，2</w:t>
      </w:r>
      <w:r>
        <w:rPr>
          <w:rFonts w:ascii="宋体" w:hAnsi="宋体" w:cs="宋体"/>
          <w:color w:val="000000" w:themeColor="text1"/>
          <w:sz w:val="24"/>
          <w:szCs w:val="24"/>
          <w14:textFill>
            <w14:solidFill>
              <w14:schemeClr w14:val="tx1"/>
            </w14:solidFill>
          </w14:textFill>
        </w:rPr>
        <w:t>021</w:t>
      </w:r>
      <w:r>
        <w:rPr>
          <w:rFonts w:hint="eastAsia" w:ascii="宋体" w:hAnsi="宋体" w:cs="宋体"/>
          <w:color w:val="000000" w:themeColor="text1"/>
          <w:sz w:val="24"/>
          <w:szCs w:val="24"/>
          <w14:textFill>
            <w14:solidFill>
              <w14:schemeClr w14:val="tx1"/>
            </w14:solidFill>
          </w14:textFill>
        </w:rPr>
        <w:t>年第7</w:t>
      </w:r>
      <w:r>
        <w:rPr>
          <w:rFonts w:ascii="宋体" w:hAnsi="宋体" w:cs="宋体"/>
          <w:color w:val="000000" w:themeColor="text1"/>
          <w:sz w:val="24"/>
          <w:szCs w:val="24"/>
          <w14:textFill>
            <w14:solidFill>
              <w14:schemeClr w14:val="tx1"/>
            </w14:solidFill>
          </w14:textFill>
        </w:rPr>
        <w:t>4</w:t>
      </w:r>
      <w:r>
        <w:rPr>
          <w:rFonts w:hint="eastAsia" w:ascii="宋体" w:hAnsi="宋体" w:cs="宋体"/>
          <w:color w:val="000000" w:themeColor="text1"/>
          <w:sz w:val="24"/>
          <w:szCs w:val="24"/>
          <w14:textFill>
            <w14:solidFill>
              <w14:schemeClr w14:val="tx1"/>
            </w14:solidFill>
          </w14:textFill>
        </w:rPr>
        <w:t>号，2</w:t>
      </w:r>
      <w:r>
        <w:rPr>
          <w:rFonts w:ascii="宋体" w:hAnsi="宋体" w:cs="宋体"/>
          <w:color w:val="000000" w:themeColor="text1"/>
          <w:sz w:val="24"/>
          <w:szCs w:val="24"/>
          <w14:textFill>
            <w14:solidFill>
              <w14:schemeClr w14:val="tx1"/>
            </w14:solidFill>
          </w14:textFill>
        </w:rPr>
        <w:t>021</w:t>
      </w:r>
      <w:r>
        <w:rPr>
          <w:rFonts w:hint="eastAsia" w:ascii="宋体" w:hAnsi="宋体" w:cs="宋体"/>
          <w:color w:val="000000" w:themeColor="text1"/>
          <w:sz w:val="24"/>
          <w:szCs w:val="24"/>
          <w14:textFill>
            <w14:solidFill>
              <w14:schemeClr w14:val="tx1"/>
            </w14:solidFill>
          </w14:textFill>
        </w:rPr>
        <w:t>年1</w:t>
      </w:r>
      <w:r>
        <w:rPr>
          <w:rFonts w:ascii="宋体" w:hAnsi="宋体" w:cs="宋体"/>
          <w:color w:val="000000" w:themeColor="text1"/>
          <w:sz w:val="24"/>
          <w:szCs w:val="24"/>
          <w14:textFill>
            <w14:solidFill>
              <w14:schemeClr w14:val="tx1"/>
            </w14:solidFill>
          </w14:textFill>
        </w:rPr>
        <w:t>2</w:t>
      </w:r>
      <w:r>
        <w:rPr>
          <w:rFonts w:hint="eastAsia" w:ascii="宋体" w:hAnsi="宋体" w:cs="宋体"/>
          <w:color w:val="000000" w:themeColor="text1"/>
          <w:sz w:val="24"/>
          <w:szCs w:val="24"/>
          <w14:textFill>
            <w14:solidFill>
              <w14:schemeClr w14:val="tx1"/>
            </w14:solidFill>
          </w14:textFill>
        </w:rPr>
        <w:t>月2</w:t>
      </w:r>
      <w:r>
        <w:rPr>
          <w:rFonts w:ascii="宋体" w:hAnsi="宋体" w:cs="宋体"/>
          <w:color w:val="000000" w:themeColor="text1"/>
          <w:sz w:val="24"/>
          <w:szCs w:val="24"/>
          <w14:textFill>
            <w14:solidFill>
              <w14:schemeClr w14:val="tx1"/>
            </w14:solidFill>
          </w14:textFill>
        </w:rPr>
        <w:t>2</w:t>
      </w:r>
      <w:r>
        <w:rPr>
          <w:rFonts w:hint="eastAsia" w:ascii="宋体" w:hAnsi="宋体" w:cs="宋体"/>
          <w:color w:val="000000" w:themeColor="text1"/>
          <w:sz w:val="24"/>
          <w:szCs w:val="24"/>
          <w14:textFill>
            <w14:solidFill>
              <w14:schemeClr w14:val="tx1"/>
            </w14:solidFill>
          </w14:textFill>
        </w:rPr>
        <w:t>日；</w:t>
      </w:r>
    </w:p>
    <w:p w14:paraId="03249C2A">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（29）《中国石油天然气生产企业温室气体排放核算方法与报告指南（试行）》，发改办气候〔2014〕2920号，2014年12月03日；</w:t>
      </w:r>
    </w:p>
    <w:p w14:paraId="2E87A198">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（30）《石油天然气开采企业二氧化碳排放计算方法》，2017年05月01日；</w:t>
      </w:r>
    </w:p>
    <w:p w14:paraId="244F0FC0">
      <w:pPr>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（31）《自然资源部关于规范临时用地管理的通知》（自然资规〔2021〕2号），2021年11月04日；</w:t>
      </w:r>
    </w:p>
    <w:p w14:paraId="081C06D4">
      <w:pPr>
        <w:pStyle w:val="120"/>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w:t>
      </w:r>
      <w:r>
        <w:rPr>
          <w:rFonts w:hint="eastAsia" w:cs="宋体"/>
          <w:color w:val="000000" w:themeColor="text1"/>
          <w:lang w:val="en-US"/>
          <w14:textFill>
            <w14:solidFill>
              <w14:schemeClr w14:val="tx1"/>
            </w14:solidFill>
          </w14:textFill>
        </w:rPr>
        <w:t>32</w:t>
      </w:r>
      <w:r>
        <w:rPr>
          <w:rFonts w:hint="eastAsia" w:cs="宋体"/>
          <w:color w:val="000000" w:themeColor="text1"/>
          <w14:textFill>
            <w14:solidFill>
              <w14:schemeClr w14:val="tx1"/>
            </w14:solidFill>
          </w14:textFill>
        </w:rPr>
        <w:t>）《关于加快解决当前挥发性有机物治理突出问题的通知》（环大气〔</w:t>
      </w:r>
      <w:r>
        <w:rPr>
          <w:rFonts w:cs="宋体"/>
          <w:color w:val="000000" w:themeColor="text1"/>
          <w14:textFill>
            <w14:solidFill>
              <w14:schemeClr w14:val="tx1"/>
            </w14:solidFill>
          </w14:textFill>
        </w:rPr>
        <w:t>2021</w:t>
      </w:r>
      <w:r>
        <w:rPr>
          <w:rFonts w:hint="eastAsia" w:cs="宋体"/>
          <w:color w:val="000000" w:themeColor="text1"/>
          <w14:textFill>
            <w14:solidFill>
              <w14:schemeClr w14:val="tx1"/>
            </w14:solidFill>
          </w14:textFill>
        </w:rPr>
        <w:t>〕</w:t>
      </w:r>
      <w:r>
        <w:rPr>
          <w:rFonts w:cs="宋体"/>
          <w:color w:val="000000" w:themeColor="text1"/>
          <w14:textFill>
            <w14:solidFill>
              <w14:schemeClr w14:val="tx1"/>
            </w14:solidFill>
          </w14:textFill>
        </w:rPr>
        <w:t>65</w:t>
      </w:r>
      <w:r>
        <w:rPr>
          <w:rFonts w:hint="eastAsia" w:cs="宋体"/>
          <w:color w:val="000000" w:themeColor="text1"/>
          <w14:textFill>
            <w14:solidFill>
              <w14:schemeClr w14:val="tx1"/>
            </w14:solidFill>
          </w14:textFill>
        </w:rPr>
        <w:t>号），2021年08月04日；</w:t>
      </w:r>
    </w:p>
    <w:p w14:paraId="363EB0D5">
      <w:pPr>
        <w:pStyle w:val="120"/>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（33）</w:t>
      </w:r>
      <w:r>
        <w:rPr>
          <w:rFonts w:cs="宋体"/>
          <w:color w:val="000000" w:themeColor="text1"/>
          <w14:textFill>
            <w14:solidFill>
              <w14:schemeClr w14:val="tx1"/>
            </w14:solidFill>
          </w14:textFill>
        </w:rPr>
        <w:t>《陆上石油天然气开采业绿色矿山建设规范》，2018年10月01日</w:t>
      </w:r>
      <w:r>
        <w:rPr>
          <w:rFonts w:hint="eastAsia" w:cs="宋体"/>
          <w:color w:val="000000" w:themeColor="text1"/>
          <w14:textFill>
            <w14:solidFill>
              <w14:schemeClr w14:val="tx1"/>
            </w14:solidFill>
          </w14:textFill>
        </w:rPr>
        <w:t>；</w:t>
      </w:r>
    </w:p>
    <w:p w14:paraId="1E12AF9A">
      <w:pPr>
        <w:pStyle w:val="12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（34）《关于印发</w:t>
      </w:r>
      <w:r>
        <w:rPr>
          <w:rFonts w:hint="eastAsia" w:cs="宋体"/>
          <w:color w:val="000000" w:themeColor="text1"/>
          <w:kern w:val="0"/>
          <w14:textFill>
            <w14:solidFill>
              <w14:schemeClr w14:val="tx1"/>
            </w14:solidFill>
          </w14:textFill>
        </w:rPr>
        <w:t>〈</w:t>
      </w:r>
      <w:r>
        <w:rPr>
          <w:rFonts w:hint="eastAsia" w:cs="宋体"/>
          <w:color w:val="000000" w:themeColor="text1"/>
          <w14:textFill>
            <w14:solidFill>
              <w14:schemeClr w14:val="tx1"/>
            </w14:solidFill>
          </w14:textFill>
        </w:rPr>
        <w:t>固体废物综合治理行动计划〉的通知》（国发〔2025〕14号），2025年12月27日。</w:t>
      </w:r>
    </w:p>
    <w:bookmarkEnd w:id="48"/>
    <w:bookmarkEnd w:id="49"/>
    <w:p w14:paraId="4DE760B7">
      <w:pPr>
        <w:pStyle w:val="8"/>
        <w:rPr>
          <w:rFonts w:hint="eastAsia"/>
          <w:color w:val="000000" w:themeColor="text1"/>
          <w14:textFill>
            <w14:solidFill>
              <w14:schemeClr w14:val="tx1"/>
            </w14:solidFill>
          </w14:textFill>
        </w:rPr>
      </w:pPr>
      <w:bookmarkStart w:id="52" w:name="_Hlk175259547"/>
      <w:r>
        <w:rPr>
          <w:rFonts w:hint="eastAsia"/>
          <w:color w:val="000000" w:themeColor="text1"/>
          <w14:textFill>
            <w14:solidFill>
              <w14:schemeClr w14:val="tx1"/>
            </w14:solidFill>
          </w14:textFill>
        </w:rPr>
        <w:t>地方有关</w:t>
      </w:r>
      <w:bookmarkStart w:id="53" w:name="_Hlk40731711"/>
      <w:r>
        <w:rPr>
          <w:rFonts w:hint="eastAsia"/>
          <w:color w:val="000000" w:themeColor="text1"/>
          <w14:textFill>
            <w14:solidFill>
              <w14:schemeClr w14:val="tx1"/>
            </w14:solidFill>
          </w14:textFill>
        </w:rPr>
        <w:t>环保法规</w:t>
      </w:r>
    </w:p>
    <w:bookmarkEnd w:id="45"/>
    <w:bookmarkEnd w:id="52"/>
    <w:bookmarkEnd w:id="53"/>
    <w:p w14:paraId="4076280B">
      <w:pPr>
        <w:pStyle w:val="120"/>
        <w:rPr>
          <w:rFonts w:hint="eastAsia"/>
          <w:color w:val="000000" w:themeColor="text1"/>
          <w14:textFill>
            <w14:solidFill>
              <w14:schemeClr w14:val="tx1"/>
            </w14:solidFill>
          </w14:textFill>
        </w:rPr>
      </w:pPr>
      <w:bookmarkStart w:id="54" w:name="_Toc445841959"/>
      <w:bookmarkStart w:id="55" w:name="_Toc445996322"/>
      <w:bookmarkStart w:id="56" w:name="_Toc10413"/>
      <w:r>
        <w:rPr>
          <w:rFonts w:hint="eastAsia"/>
          <w:color w:val="000000" w:themeColor="text1"/>
          <w14:textFill>
            <w14:solidFill>
              <w14:schemeClr w14:val="tx1"/>
            </w14:solidFill>
          </w14:textFill>
        </w:rPr>
        <w:t>（1）《新疆维吾尔自治区环境保护条例》（修订），2018年09月21日；</w:t>
      </w:r>
    </w:p>
    <w:p w14:paraId="0FEB067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（2）《新疆维吾尔自治区大气污染防治条例》，2019年01月01日；</w:t>
      </w:r>
    </w:p>
    <w:p w14:paraId="4664B0B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（3）《新疆生态环境保护“十四五”规划》，2021年12月24日；</w:t>
      </w:r>
    </w:p>
    <w:p w14:paraId="1FDD3FD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（4）《新疆生态功能区划》，2005年07月14日；</w:t>
      </w:r>
    </w:p>
    <w:p w14:paraId="05E7EF2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（5）《新疆维吾尔自治区水环境功能区划》，2002年12月；</w:t>
      </w:r>
    </w:p>
    <w:p w14:paraId="2DCDA9C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（6）《转发〈关于进一步加强石油天然气行业环境影响评价的通知〉的通知》（新环环评发〔2020〕142号），2020年07月30日；</w:t>
      </w:r>
    </w:p>
    <w:p w14:paraId="45F6A9C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（7）《新疆维吾尔自治区水土保持规划（2018—2030年）》，2018年08月； </w:t>
      </w:r>
    </w:p>
    <w:p w14:paraId="22DD295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（8）《新疆维吾尔自治区国民经济和社会发展第十五个五年规划纲要》，20</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年0</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日；</w:t>
      </w:r>
    </w:p>
    <w:p w14:paraId="1988B35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（10）《新疆国家重点保护野生动物名录》，2021年07月28日；</w:t>
      </w:r>
    </w:p>
    <w:p w14:paraId="2C5519A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（11）《新疆维吾尔自治区昌吉回族自治州水土保持规划（2021—2030年）》，2021年07月；</w:t>
      </w:r>
    </w:p>
    <w:p w14:paraId="57C5D79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（12）《昌吉回族自治州生态环境保护与建设“十四五”规划》（2021年11月）；</w:t>
      </w:r>
    </w:p>
    <w:p w14:paraId="5BED617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（13）《昌吉回族自治州国民经济和社会发展第十五个五年规划纲要》，</w:t>
      </w:r>
      <w:r>
        <w:rPr>
          <w:rFonts w:hint="eastAsia"/>
          <w:color w:val="000000" w:themeColor="text1"/>
          <w:lang w:val="en-US" w:eastAsia="zh-CN"/>
          <w14:textFill>
            <w14:solidFill>
              <w14:schemeClr w14:val="tx1"/>
            </w14:solidFill>
          </w14:textFill>
        </w:rPr>
        <w:t>2026</w:t>
      </w:r>
      <w:r>
        <w:rPr>
          <w:rFonts w:hint="eastAsia"/>
          <w:color w:val="000000" w:themeColor="text1"/>
          <w14:textFill>
            <w14:solidFill>
              <w14:schemeClr w14:val="tx1"/>
            </w14:solidFill>
          </w14:textFill>
        </w:rPr>
        <w:t>年0</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13</w:t>
      </w:r>
      <w:r>
        <w:rPr>
          <w:rFonts w:hint="eastAsia"/>
          <w:color w:val="000000" w:themeColor="text1"/>
          <w14:textFill>
            <w14:solidFill>
              <w14:schemeClr w14:val="tx1"/>
            </w14:solidFill>
          </w14:textFill>
        </w:rPr>
        <w:t>日。</w:t>
      </w:r>
    </w:p>
    <w:p w14:paraId="3CC23F9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（14）《关于印发自治区级水土流失重点预防区和重点治理区复核划分成果的通知》（新水〔2019〕4号）；</w:t>
      </w:r>
    </w:p>
    <w:p w14:paraId="030D963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（15）《新疆油田公司“十四五”发展规划》，2022年08月；</w:t>
      </w:r>
    </w:p>
    <w:p w14:paraId="3B495F9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（16）《新疆油田公司“十四五”发展规划环境影响报告书》，2022年08月；</w:t>
      </w:r>
    </w:p>
    <w:p w14:paraId="08E56EB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（17）《新疆维吾尔自治区矿产资源总体规划（2021—2025年）》，2022年08月；</w:t>
      </w:r>
    </w:p>
    <w:p w14:paraId="64D43B5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（18）《新疆维吾尔自治区矿产资源总体规划（2021—2025年）环境影响报告书》，2022年05月；</w:t>
      </w:r>
    </w:p>
    <w:p w14:paraId="3CF4630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（19）《关于印发〈新疆维吾尔自治区七大片区“三线一单”生态环境分区管控要求〉（2021年版）的通知》，（新环环评发〔2021〕162号），2021年07月26日；</w:t>
      </w:r>
    </w:p>
    <w:p w14:paraId="0688AE4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（20）《新疆维吾尔自治区重点保护野生动物名录》（新政发〔2022〕75号），2022年09月18日；</w:t>
      </w:r>
    </w:p>
    <w:p w14:paraId="4492E1B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（21）《新疆维吾尔自治区重点保护野生植物名录》（新政发〔2023〕63号），2023年12月29日；</w:t>
      </w:r>
    </w:p>
    <w:p w14:paraId="51E9EFF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bookmarkStart w:id="57" w:name="OLE_LINK4"/>
      <w:r>
        <w:rPr>
          <w:rFonts w:hint="eastAsia"/>
          <w:color w:val="000000" w:themeColor="text1"/>
          <w14:textFill>
            <w14:solidFill>
              <w14:schemeClr w14:val="tx1"/>
            </w14:solidFill>
          </w14:textFill>
        </w:rPr>
        <w:t>新疆国家重点保护野生植物名录</w:t>
      </w:r>
      <w:bookmarkEnd w:id="57"/>
      <w:r>
        <w:rPr>
          <w:rFonts w:hint="eastAsia"/>
          <w:color w:val="000000" w:themeColor="text1"/>
          <w14:textFill>
            <w14:solidFill>
              <w14:schemeClr w14:val="tx1"/>
            </w14:solidFill>
          </w14:textFill>
        </w:rPr>
        <w:t>》，2022年03月09日；</w:t>
      </w:r>
    </w:p>
    <w:p w14:paraId="16A893D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（23）《新疆维吾尔自治区重点保护野生植物名录》，2024年01月18日；</w:t>
      </w:r>
    </w:p>
    <w:p w14:paraId="5C3BFA7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（24）《新疆维吾尔自治区野生植物保护条例（2018年修正）》，2018年9月21日；</w:t>
      </w:r>
    </w:p>
    <w:p w14:paraId="040487E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（25）《新疆维吾尔自治区实施〈中华人民共和国防沙治沙法〉办法》，2020年09月19日；</w:t>
      </w:r>
    </w:p>
    <w:p w14:paraId="3CDDF57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（26）《关于加强沙区建设项目环境影响评价工作的通知》（新环环评发〔2020〕138号），2020年09月04日；</w:t>
      </w:r>
    </w:p>
    <w:p w14:paraId="2A1DD20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（27）《关于印发〈新疆维吾尔自治区重点行业生态环境准入条件（2024年）〉的通知》（新环环评发〔2024〕93号），2024年06月09日；</w:t>
      </w:r>
    </w:p>
    <w:p w14:paraId="5510536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（28）《关于印发新疆维吾尔自治区大气污染防治行动计划实施方案的通知》 （新政发〔2014〕35号）；</w:t>
      </w:r>
    </w:p>
    <w:p w14:paraId="6E5C7AF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（29）《关于印发新疆维吾尔自治区水污染防治工作方案的通知》（新政发〔2016〕21号），2016年02月04日；</w:t>
      </w:r>
    </w:p>
    <w:p w14:paraId="6CE6732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（30）《关于印发新疆维吾尔自治区土壤污染防治工作方案的通知》（新政发〔2017〕25号），2017年03月01日；</w:t>
      </w:r>
    </w:p>
    <w:p w14:paraId="5FDC912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（31）《新疆维吾尔自治区主体功能区划》，2012年12月27日；</w:t>
      </w:r>
    </w:p>
    <w:p w14:paraId="2BB8A9D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（32）《关于工业固体废物环境管理有关要求的公告》，公告〔2023〕53号，2023年12月05日；</w:t>
      </w:r>
    </w:p>
    <w:p w14:paraId="66581A1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（33）《关于自治区加快解决当前挥发性有机物治理突出问题的通知》（新环大气发〔2021〕211号）；</w:t>
      </w:r>
    </w:p>
    <w:p w14:paraId="5CEE73D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（34）《新疆维吾尔自治区生态环境分区管控动态更新成果》（新环环评发〔2024〕157号），2024年11月15日；</w:t>
      </w:r>
    </w:p>
    <w:p w14:paraId="42DE1C5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（35）《昌吉回族自治州生态环境分区管控动态更新成果》，2025年01月10日。</w:t>
      </w:r>
    </w:p>
    <w:bookmarkEnd w:id="54"/>
    <w:bookmarkEnd w:id="55"/>
    <w:bookmarkEnd w:id="56"/>
    <w:p w14:paraId="5DF27319">
      <w:pPr>
        <w:pStyle w:val="8"/>
        <w:rPr>
          <w:rFonts w:hint="eastAsia"/>
          <w:color w:val="000000" w:themeColor="text1"/>
          <w:lang w:val="zh-CN"/>
          <w14:textFill>
            <w14:solidFill>
              <w14:schemeClr w14:val="tx1"/>
            </w14:solidFill>
          </w14:textFill>
        </w:rPr>
      </w:pPr>
      <w:bookmarkStart w:id="58" w:name="_Hlk175264311"/>
      <w:r>
        <w:rPr>
          <w:rFonts w:hint="eastAsia"/>
          <w:color w:val="000000" w:themeColor="text1"/>
          <w:lang w:val="zh-CN"/>
          <w14:textFill>
            <w14:solidFill>
              <w14:schemeClr w14:val="tx1"/>
            </w14:solidFill>
          </w14:textFill>
        </w:rPr>
        <w:t>相关导则及指南</w:t>
      </w:r>
    </w:p>
    <w:bookmarkEnd w:id="58"/>
    <w:p w14:paraId="39366E15">
      <w:pPr>
        <w:pStyle w:val="120"/>
        <w:rPr>
          <w:rFonts w:hint="eastAsia"/>
          <w:color w:val="000000" w:themeColor="text1"/>
          <w14:textFill>
            <w14:solidFill>
              <w14:schemeClr w14:val="tx1"/>
            </w14:solidFill>
          </w14:textFill>
        </w:rPr>
      </w:pPr>
      <w:bookmarkStart w:id="59" w:name="_Toc445996323"/>
      <w:bookmarkStart w:id="60" w:name="_Toc445841960"/>
      <w:bookmarkStart w:id="61" w:name="_Toc7963"/>
      <w:r>
        <w:rPr>
          <w:rFonts w:hint="eastAsia"/>
          <w:color w:val="000000" w:themeColor="text1"/>
          <w14:textFill>
            <w14:solidFill>
              <w14:schemeClr w14:val="tx1"/>
            </w14:solidFill>
          </w14:textFill>
        </w:rPr>
        <w:t>（1）《建设项目环境影响评价技术导则 总纲》（HJ2.1-2016），2017年01月01日；</w:t>
      </w:r>
    </w:p>
    <w:p w14:paraId="7829F9F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（2）《环境影响评价技术导则 大气环境》（HJ2.2-2018），2018年12月01日；</w:t>
      </w:r>
    </w:p>
    <w:p w14:paraId="7D67468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（3）《环境影响评价技术导则 声环境》（HJ2.4-20</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07</w:t>
      </w:r>
      <w:r>
        <w:rPr>
          <w:rFonts w:hint="eastAsia"/>
          <w:color w:val="000000" w:themeColor="text1"/>
          <w14:textFill>
            <w14:solidFill>
              <w14:schemeClr w14:val="tx1"/>
            </w14:solidFill>
          </w14:textFill>
        </w:rPr>
        <w:t>月01日；</w:t>
      </w:r>
    </w:p>
    <w:p w14:paraId="7E08B1A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（4）《环境影响评价技术导则 土壤环境（试行）》（HJ964-2018），2019年07月01日；</w:t>
      </w:r>
    </w:p>
    <w:p w14:paraId="2E9552E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（5）《环境影响评价技术导则 生态影响》（HJ19-20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07</w:t>
      </w:r>
      <w:r>
        <w:rPr>
          <w:rFonts w:hint="eastAsia"/>
          <w:color w:val="000000" w:themeColor="text1"/>
          <w14:textFill>
            <w14:solidFill>
              <w14:schemeClr w14:val="tx1"/>
            </w14:solidFill>
          </w14:textFill>
        </w:rPr>
        <w:t>月01日；</w:t>
      </w:r>
    </w:p>
    <w:p w14:paraId="319B2B8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（6）《环境影响评价技术导则 地表水环境》（HJ2.3-2018），2019年03月01日；</w:t>
      </w:r>
    </w:p>
    <w:p w14:paraId="28E1EDA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（7）《环境影响评价技术导则 地下水环境》（HJ610-2016），2016年01月07日；</w:t>
      </w:r>
    </w:p>
    <w:p w14:paraId="7E66F30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（8）《建设项目环境风险评价技术导则》（HJ169-2018），2019年03月01日；</w:t>
      </w:r>
    </w:p>
    <w:p w14:paraId="4E878D0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（9）《环境影响评价技术导则 陆地石油天然气开发建设项目》（HJ349-20</w:t>
      </w:r>
      <w:r>
        <w:rPr>
          <w:color w:val="000000" w:themeColor="text1"/>
          <w14:textFill>
            <w14:solidFill>
              <w14:schemeClr w14:val="tx1"/>
            </w14:solidFill>
          </w14:textFill>
        </w:rPr>
        <w:t>23</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24</w:t>
      </w:r>
      <w:r>
        <w:rPr>
          <w:rFonts w:hint="eastAsia"/>
          <w:color w:val="000000" w:themeColor="text1"/>
          <w14:textFill>
            <w14:solidFill>
              <w14:schemeClr w14:val="tx1"/>
            </w14:solidFill>
          </w14:textFill>
        </w:rPr>
        <w:t>年0</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月01日；</w:t>
      </w:r>
    </w:p>
    <w:p w14:paraId="4139DB5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）《危险废物管理计划和管理台账制定技术导则》（H</w:t>
      </w:r>
      <w:r>
        <w:rPr>
          <w:color w:val="000000" w:themeColor="text1"/>
          <w14:textFill>
            <w14:solidFill>
              <w14:schemeClr w14:val="tx1"/>
            </w14:solidFill>
          </w14:textFill>
        </w:rPr>
        <w:t>J1259-2022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2022</w:t>
      </w:r>
      <w:r>
        <w:rPr>
          <w:rFonts w:hint="eastAsia"/>
          <w:color w:val="000000" w:themeColor="text1"/>
          <w14:textFill>
            <w14:solidFill>
              <w14:schemeClr w14:val="tx1"/>
            </w14:solidFill>
          </w14:textFill>
        </w:rPr>
        <w:t>年1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月0</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日。</w:t>
      </w:r>
    </w:p>
    <w:p w14:paraId="63A0B9B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）《排污单位自行监测技术指南 总则》（HJ819-2017），2017年06月01日；</w:t>
      </w:r>
    </w:p>
    <w:p w14:paraId="2800F619">
      <w:pPr>
        <w:pStyle w:val="120"/>
        <w:rPr>
          <w:rFonts w:hint="eastAsia"/>
          <w:color w:val="000000" w:themeColor="text1"/>
          <w14:textFill>
            <w14:solidFill>
              <w14:schemeClr w14:val="tx1"/>
            </w14:solidFill>
          </w14:textFill>
        </w:rPr>
      </w:pPr>
      <w:bookmarkStart w:id="62" w:name="_Hlk78381581"/>
      <w:bookmarkStart w:id="63" w:name="_Hlk33041429"/>
      <w:r>
        <w:rPr>
          <w:rFonts w:hint="eastAsia"/>
          <w:color w:val="000000" w:themeColor="text1"/>
          <w14:textFill>
            <w14:solidFill>
              <w14:schemeClr w14:val="tx1"/>
            </w14:solidFill>
          </w14:textFill>
        </w:rPr>
        <w:t>（1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）《污染源源强核算技术指南</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石油炼制工业》（H</w:t>
      </w:r>
      <w:r>
        <w:rPr>
          <w:color w:val="000000" w:themeColor="text1"/>
          <w14:textFill>
            <w14:solidFill>
              <w14:schemeClr w14:val="tx1"/>
            </w14:solidFill>
          </w14:textFill>
        </w:rPr>
        <w:t>J982-2018</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019</w:t>
      </w:r>
      <w:r>
        <w:rPr>
          <w:rFonts w:hint="eastAsia"/>
          <w:color w:val="000000" w:themeColor="text1"/>
          <w14:textFill>
            <w14:solidFill>
              <w14:schemeClr w14:val="tx1"/>
            </w14:solidFill>
          </w14:textFill>
        </w:rPr>
        <w:t>年01月01日；</w:t>
      </w:r>
    </w:p>
    <w:p w14:paraId="47EDF06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）《石油和天然气开采行业清洁生产评价指标体系（试行）》，2</w:t>
      </w:r>
      <w:r>
        <w:rPr>
          <w:color w:val="000000" w:themeColor="text1"/>
          <w14:textFill>
            <w14:solidFill>
              <w14:schemeClr w14:val="tx1"/>
            </w14:solidFill>
          </w14:textFill>
        </w:rPr>
        <w:t>009</w:t>
      </w:r>
      <w:r>
        <w:rPr>
          <w:rFonts w:hint="eastAsia"/>
          <w:color w:val="000000" w:themeColor="text1"/>
          <w14:textFill>
            <w14:solidFill>
              <w14:schemeClr w14:val="tx1"/>
            </w14:solidFill>
          </w14:textFill>
        </w:rPr>
        <w:t>年02月；</w:t>
      </w:r>
    </w:p>
    <w:p w14:paraId="0E2C78A9">
      <w:pPr>
        <w:pStyle w:val="120"/>
        <w:rPr>
          <w:rFonts w:hint="eastAsia"/>
          <w:color w:val="000000" w:themeColor="text1"/>
          <w14:textFill>
            <w14:solidFill>
              <w14:schemeClr w14:val="tx1"/>
            </w14:solidFill>
          </w14:textFill>
        </w:rPr>
      </w:pPr>
      <w:bookmarkStart w:id="64" w:name="_Hlk92217251"/>
      <w:r>
        <w:rPr>
          <w:rFonts w:hint="eastAsia"/>
          <w:color w:val="000000" w:themeColor="text1"/>
          <w14:textFill>
            <w14:solidFill>
              <w14:schemeClr w14:val="tx1"/>
            </w14:solidFill>
          </w14:textFill>
        </w:rPr>
        <w:t>（1</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）《危险废物环境管理指南</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陆上石油天然气开采》，2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年1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月2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日；</w:t>
      </w:r>
    </w:p>
    <w:p w14:paraId="5B1DABA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）《排污单位自行监测技术指南</w:t>
      </w:r>
      <w:r>
        <w:rPr>
          <w:color w:val="000000" w:themeColor="text1"/>
          <w14:textFill>
            <w14:solidFill>
              <w14:schemeClr w14:val="tx1"/>
            </w14:solidFill>
          </w14:textFill>
        </w:rPr>
        <w:t xml:space="preserve"> </w:t>
      </w:r>
      <w:r>
        <w:rPr>
          <w:rFonts w:hint="eastAsia"/>
          <w:color w:val="000000" w:themeColor="text1"/>
          <w:lang w:val="en-US"/>
          <w14:textFill>
            <w14:solidFill>
              <w14:schemeClr w14:val="tx1"/>
            </w14:solidFill>
          </w14:textFill>
        </w:rPr>
        <w:t xml:space="preserve"> </w:t>
      </w:r>
      <w:r>
        <w:rPr>
          <w:rFonts w:hint="eastAsia"/>
          <w:color w:val="000000" w:themeColor="text1"/>
          <w14:textFill>
            <w14:solidFill>
              <w14:schemeClr w14:val="tx1"/>
            </w14:solidFill>
          </w14:textFill>
        </w:rPr>
        <w:t>陆上石油天然气开采</w:t>
      </w:r>
      <w:r>
        <w:rPr>
          <w:rFonts w:hint="eastAsia"/>
          <w:color w:val="000000" w:themeColor="text1"/>
          <w:lang w:val="en-US"/>
          <w14:textFill>
            <w14:solidFill>
              <w14:schemeClr w14:val="tx1"/>
            </w14:solidFill>
          </w14:textFill>
        </w:rPr>
        <w:t>工业</w:t>
      </w:r>
      <w:r>
        <w:rPr>
          <w:rFonts w:hint="eastAsia"/>
          <w:color w:val="000000" w:themeColor="text1"/>
          <w14:textFill>
            <w14:solidFill>
              <w14:schemeClr w14:val="tx1"/>
            </w14:solidFill>
          </w14:textFill>
        </w:rPr>
        <w:t>》（H</w:t>
      </w:r>
      <w:r>
        <w:rPr>
          <w:color w:val="000000" w:themeColor="text1"/>
          <w14:textFill>
            <w14:solidFill>
              <w14:schemeClr w14:val="tx1"/>
            </w14:solidFill>
          </w14:textFill>
        </w:rPr>
        <w:t>J1248-2022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022</w:t>
      </w:r>
      <w:r>
        <w:rPr>
          <w:rFonts w:hint="eastAsia"/>
          <w:color w:val="000000" w:themeColor="text1"/>
          <w14:textFill>
            <w14:solidFill>
              <w14:schemeClr w14:val="tx1"/>
            </w14:solidFill>
          </w14:textFill>
        </w:rPr>
        <w:t>年07月01日。</w:t>
      </w:r>
    </w:p>
    <w:p w14:paraId="1C502C9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16</w:t>
      </w:r>
      <w:r>
        <w:rPr>
          <w:rFonts w:hint="eastAsia"/>
          <w:color w:val="000000" w:themeColor="text1"/>
          <w14:textFill>
            <w14:solidFill>
              <w14:schemeClr w14:val="tx1"/>
            </w14:solidFill>
          </w14:textFill>
        </w:rPr>
        <w:t>）《危险废物收集 贮存 运输技术规范》（HJ2025-2012），2013年03月01日；</w:t>
      </w:r>
    </w:p>
    <w:p w14:paraId="4ACAA84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（17）《排放源统计调查产排污核算方法和系数手册》（公告20</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年第</w:t>
      </w:r>
      <w:r>
        <w:rPr>
          <w:color w:val="000000" w:themeColor="text1"/>
          <w14:textFill>
            <w14:solidFill>
              <w14:schemeClr w14:val="tx1"/>
            </w14:solidFill>
          </w14:textFill>
        </w:rPr>
        <w:t>24</w:t>
      </w:r>
      <w:r>
        <w:rPr>
          <w:rFonts w:hint="eastAsia"/>
          <w:color w:val="000000" w:themeColor="text1"/>
          <w14:textFill>
            <w14:solidFill>
              <w14:schemeClr w14:val="tx1"/>
            </w14:solidFill>
          </w14:textFill>
        </w:rPr>
        <w:t>号），20</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日；</w:t>
      </w:r>
    </w:p>
    <w:p w14:paraId="5BA620A1">
      <w:pPr>
        <w:pStyle w:val="120"/>
        <w:rPr>
          <w:rFonts w:hint="eastAsia"/>
          <w:color w:val="000000" w:themeColor="text1"/>
          <w14:textFill>
            <w14:solidFill>
              <w14:schemeClr w14:val="tx1"/>
            </w14:solidFill>
          </w14:textFill>
        </w:rPr>
      </w:pPr>
      <w:bookmarkStart w:id="65" w:name="_Hlk175264326"/>
      <w:r>
        <w:rPr>
          <w:rFonts w:hint="eastAsia"/>
          <w:color w:val="000000" w:themeColor="text1"/>
          <w14:textFill>
            <w14:solidFill>
              <w14:schemeClr w14:val="tx1"/>
            </w14:solidFill>
          </w14:textFill>
        </w:rPr>
        <w:t>（18）《危险废物识别标志设置技术规范》（HJ1276-2022），2023年07月01日；</w:t>
      </w:r>
    </w:p>
    <w:bookmarkEnd w:id="65"/>
    <w:p w14:paraId="0F3E97D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w:t>
      </w:r>
      <w:r>
        <w:rPr>
          <w:color w:val="000000" w:themeColor="text1"/>
          <w14:textFill>
            <w14:solidFill>
              <w14:schemeClr w14:val="tx1"/>
            </w14:solidFill>
          </w14:textFill>
        </w:rPr>
        <w:t>《陆上石油天然气开采业绿色矿山建设规范》</w:t>
      </w:r>
      <w:r>
        <w:rPr>
          <w:rFonts w:hint="eastAsia"/>
          <w:color w:val="000000" w:themeColor="text1"/>
          <w14:textFill>
            <w14:solidFill>
              <w14:schemeClr w14:val="tx1"/>
            </w14:solidFill>
          </w14:textFill>
        </w:rPr>
        <w:t>（D</w:t>
      </w:r>
      <w:r>
        <w:rPr>
          <w:color w:val="000000" w:themeColor="text1"/>
          <w14:textFill>
            <w14:solidFill>
              <w14:schemeClr w14:val="tx1"/>
            </w14:solidFill>
          </w14:textFill>
        </w:rPr>
        <w:t>Z/T 0317-2018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，2018年10月01日</w:t>
      </w:r>
      <w:r>
        <w:rPr>
          <w:rFonts w:hint="eastAsia"/>
          <w:color w:val="000000" w:themeColor="text1"/>
          <w14:textFill>
            <w14:solidFill>
              <w14:schemeClr w14:val="tx1"/>
            </w14:solidFill>
          </w14:textFill>
        </w:rPr>
        <w:t>；</w:t>
      </w:r>
    </w:p>
    <w:p w14:paraId="6F547E74">
      <w:pPr>
        <w:pStyle w:val="120"/>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（20）《石油天然气项目土地复垦与生态修复技术规范》（GBT/43936-2024），2024年08月01日；</w:t>
      </w:r>
    </w:p>
    <w:p w14:paraId="17841670">
      <w:pPr>
        <w:pStyle w:val="120"/>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w:t>
      </w:r>
      <w:r>
        <w:rPr>
          <w:rFonts w:hint="eastAsia" w:cs="宋体"/>
          <w:color w:val="000000" w:themeColor="text1"/>
          <w:lang w:val="en-US"/>
          <w14:textFill>
            <w14:solidFill>
              <w14:schemeClr w14:val="tx1"/>
            </w14:solidFill>
          </w14:textFill>
        </w:rPr>
        <w:t>21</w:t>
      </w:r>
      <w:r>
        <w:rPr>
          <w:rFonts w:hint="eastAsia" w:cs="宋体"/>
          <w:color w:val="000000" w:themeColor="text1"/>
          <w14:textFill>
            <w14:solidFill>
              <w14:schemeClr w14:val="tx1"/>
            </w14:solidFill>
          </w14:textFill>
        </w:rPr>
        <w:t>）《石油天然气开采业固体废物污染控制技术规范（试行）》（HJ 1461-2026），2026年07月01日。</w:t>
      </w:r>
    </w:p>
    <w:bookmarkEnd w:id="62"/>
    <w:bookmarkEnd w:id="63"/>
    <w:bookmarkEnd w:id="64"/>
    <w:p w14:paraId="415D888D">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相关文件和技术资料</w:t>
      </w:r>
      <w:bookmarkEnd w:id="59"/>
      <w:bookmarkEnd w:id="60"/>
      <w:bookmarkEnd w:id="61"/>
    </w:p>
    <w:p w14:paraId="3C4C561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（1）《吉7井区梧桐沟组油藏2026年更新补钻产能建设项目环评委托书》，2026年01月；</w:t>
      </w:r>
    </w:p>
    <w:p w14:paraId="578FE4D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（2）《吉7井区梧桐沟组油藏2026年补钻、更新井实施意见-0版》，2025年07月。</w:t>
      </w:r>
    </w:p>
    <w:p w14:paraId="464B955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（3）《吉7井区梧桐沟组油藏2026年更新补钻产能建设项目环境质量现状检验检测报告》，20</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6年03月。</w:t>
      </w:r>
    </w:p>
    <w:p w14:paraId="5CAD77D5">
      <w:pPr>
        <w:pStyle w:val="7"/>
        <w:rPr>
          <w:rFonts w:hint="eastAsia"/>
          <w:color w:val="000000" w:themeColor="text1"/>
          <w:lang w:val="zh-CN"/>
          <w14:textFill>
            <w14:solidFill>
              <w14:schemeClr w14:val="tx1"/>
            </w14:solidFill>
          </w14:textFill>
        </w:rPr>
      </w:pPr>
      <w:bookmarkStart w:id="66" w:name="_Toc475624460"/>
      <w:bookmarkStart w:id="67" w:name="_Toc12177"/>
      <w:r>
        <w:rPr>
          <w:rFonts w:hint="eastAsia"/>
          <w:color w:val="000000" w:themeColor="text1"/>
          <w:lang w:val="zh-CN"/>
          <w14:textFill>
            <w14:solidFill>
              <w14:schemeClr w14:val="tx1"/>
            </w14:solidFill>
          </w14:textFill>
        </w:rPr>
        <w:t>评价目的与原则</w:t>
      </w:r>
      <w:bookmarkEnd w:id="66"/>
      <w:bookmarkEnd w:id="67"/>
    </w:p>
    <w:p w14:paraId="05DB13EE">
      <w:pPr>
        <w:pStyle w:val="8"/>
        <w:rPr>
          <w:rFonts w:hint="eastAsia"/>
          <w:color w:val="000000" w:themeColor="text1"/>
          <w:lang w:val="zh-CN"/>
          <w14:textFill>
            <w14:solidFill>
              <w14:schemeClr w14:val="tx1"/>
            </w14:solidFill>
          </w14:textFill>
        </w:rPr>
      </w:pPr>
      <w:bookmarkStart w:id="68" w:name="_Toc445996325"/>
      <w:bookmarkStart w:id="69" w:name="_Toc19120"/>
      <w:bookmarkStart w:id="70" w:name="_Toc445841963"/>
      <w:r>
        <w:rPr>
          <w:rFonts w:hint="eastAsia"/>
          <w:color w:val="000000" w:themeColor="text1"/>
          <w:lang w:val="zh-CN"/>
          <w14:textFill>
            <w14:solidFill>
              <w14:schemeClr w14:val="tx1"/>
            </w14:solidFill>
          </w14:textFill>
        </w:rPr>
        <w:t>评价目的</w:t>
      </w:r>
      <w:bookmarkEnd w:id="68"/>
      <w:bookmarkEnd w:id="69"/>
      <w:bookmarkEnd w:id="70"/>
    </w:p>
    <w:p w14:paraId="4098340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1）通过</w:t>
      </w:r>
      <w:r>
        <w:rPr>
          <w:rFonts w:hint="eastAsia"/>
          <w:color w:val="000000" w:themeColor="text1"/>
          <w14:textFill>
            <w14:solidFill>
              <w14:schemeClr w14:val="tx1"/>
            </w14:solidFill>
          </w14:textFill>
        </w:rPr>
        <w:t>现场</w:t>
      </w:r>
      <w:r>
        <w:rPr>
          <w:color w:val="000000" w:themeColor="text1"/>
          <w14:textFill>
            <w14:solidFill>
              <w14:schemeClr w14:val="tx1"/>
            </w14:solidFill>
          </w14:textFill>
        </w:rPr>
        <w:t>调查</w:t>
      </w:r>
      <w:r>
        <w:rPr>
          <w:rFonts w:hint="eastAsia"/>
          <w:color w:val="000000" w:themeColor="text1"/>
          <w14:textFill>
            <w14:solidFill>
              <w14:schemeClr w14:val="tx1"/>
            </w14:solidFill>
          </w14:textFill>
        </w:rPr>
        <w:t>和环境质量</w:t>
      </w:r>
      <w:r>
        <w:rPr>
          <w:color w:val="000000" w:themeColor="text1"/>
          <w14:textFill>
            <w14:solidFill>
              <w14:schemeClr w14:val="tx1"/>
            </w14:solidFill>
          </w14:textFill>
        </w:rPr>
        <w:t>现状监测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了解</w:t>
      </w:r>
      <w:r>
        <w:rPr>
          <w:rFonts w:hint="eastAsia"/>
          <w:color w:val="000000" w:themeColor="text1"/>
          <w14:textFill>
            <w14:solidFill>
              <w14:schemeClr w14:val="tx1"/>
            </w14:solidFill>
          </w14:textFill>
        </w:rPr>
        <w:t>建设项目</w:t>
      </w:r>
      <w:r>
        <w:rPr>
          <w:color w:val="000000" w:themeColor="text1"/>
          <w14:textFill>
            <w14:solidFill>
              <w14:schemeClr w14:val="tx1"/>
            </w14:solidFill>
          </w14:textFill>
        </w:rPr>
        <w:t>所在地的自然环境</w:t>
      </w:r>
      <w:r>
        <w:rPr>
          <w:rFonts w:hint="eastAsia"/>
          <w:color w:val="000000" w:themeColor="text1"/>
          <w14:textFill>
            <w14:solidFill>
              <w14:schemeClr w14:val="tx1"/>
            </w14:solidFill>
          </w14:textFill>
        </w:rPr>
        <w:t>、大气环境、水环境、声环境、土壤环境及生态环境情况，掌握区域的环境质量现状。</w:t>
      </w:r>
    </w:p>
    <w:p w14:paraId="2A0FDA17">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（2）通过工程分析，明确施工期、运营期和</w:t>
      </w:r>
      <w:r>
        <w:rPr>
          <w:rFonts w:hint="eastAsia"/>
          <w:color w:val="000000" w:themeColor="text1"/>
          <w14:textFill>
            <w14:solidFill>
              <w14:schemeClr w14:val="tx1"/>
            </w14:solidFill>
          </w14:textFill>
        </w:rPr>
        <w:t>退役期</w:t>
      </w:r>
      <w:r>
        <w:rPr>
          <w:color w:val="000000" w:themeColor="text1"/>
          <w14:textFill>
            <w14:solidFill>
              <w14:schemeClr w14:val="tx1"/>
            </w14:solidFill>
          </w14:textFill>
        </w:rPr>
        <w:t>主要污染源、污染物种类、</w:t>
      </w:r>
      <w:r>
        <w:rPr>
          <w:rFonts w:hint="eastAsia"/>
          <w:color w:val="000000" w:themeColor="text1"/>
          <w14:textFill>
            <w14:solidFill>
              <w14:schemeClr w14:val="tx1"/>
            </w14:solidFill>
          </w14:textFill>
        </w:rPr>
        <w:t>源强、</w:t>
      </w:r>
      <w:r>
        <w:rPr>
          <w:color w:val="000000" w:themeColor="text1"/>
          <w14:textFill>
            <w14:solidFill>
              <w14:schemeClr w14:val="tx1"/>
            </w14:solidFill>
          </w14:textFill>
        </w:rPr>
        <w:t>排放强度</w:t>
      </w:r>
      <w:r>
        <w:rPr>
          <w:rFonts w:hint="eastAsia"/>
          <w:color w:val="000000" w:themeColor="text1"/>
          <w14:textFill>
            <w14:solidFill>
              <w14:schemeClr w14:val="tx1"/>
            </w14:solidFill>
          </w14:textFill>
        </w:rPr>
        <w:t>、排放方式及排放去向</w:t>
      </w:r>
      <w:r>
        <w:rPr>
          <w:color w:val="000000" w:themeColor="text1"/>
          <w14:textFill>
            <w14:solidFill>
              <w14:schemeClr w14:val="tx1"/>
            </w14:solidFill>
          </w14:textFill>
        </w:rPr>
        <w:t>，分析环境污染的影响特征，预测和评价施工期、运营期及</w:t>
      </w:r>
      <w:r>
        <w:rPr>
          <w:rFonts w:hint="eastAsia"/>
          <w:color w:val="000000" w:themeColor="text1"/>
          <w14:textFill>
            <w14:solidFill>
              <w14:schemeClr w14:val="tx1"/>
            </w14:solidFill>
          </w14:textFill>
        </w:rPr>
        <w:t>退役期</w:t>
      </w:r>
      <w:r>
        <w:rPr>
          <w:color w:val="000000" w:themeColor="text1"/>
          <w14:textFill>
            <w14:solidFill>
              <w14:schemeClr w14:val="tx1"/>
            </w14:solidFill>
          </w14:textFill>
        </w:rPr>
        <w:t>对环境的影响程度，</w:t>
      </w:r>
      <w:r>
        <w:rPr>
          <w:rFonts w:hint="eastAsia"/>
          <w:color w:val="000000" w:themeColor="text1"/>
          <w14:textFill>
            <w14:solidFill>
              <w14:schemeClr w14:val="tx1"/>
            </w14:solidFill>
          </w14:textFill>
        </w:rPr>
        <w:t>并对污染物达标排放进行分析</w:t>
      </w:r>
      <w:r>
        <w:rPr>
          <w:color w:val="000000" w:themeColor="text1"/>
          <w14:textFill>
            <w14:solidFill>
              <w14:schemeClr w14:val="tx1"/>
            </w14:solidFill>
          </w14:textFill>
        </w:rPr>
        <w:t>。</w:t>
      </w:r>
    </w:p>
    <w:p w14:paraId="3D2E620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bookmarkStart w:id="71" w:name="_Hlk33042281"/>
      <w:r>
        <w:rPr>
          <w:rFonts w:hint="eastAsia"/>
          <w:color w:val="000000" w:themeColor="text1"/>
          <w14:textFill>
            <w14:solidFill>
              <w14:schemeClr w14:val="tx1"/>
            </w14:solidFill>
          </w14:textFill>
        </w:rPr>
        <w:t>提出预防或者减轻不良环境影响的对策和措施，并论述拟采取的环境保护措施的可行性和合理性。</w:t>
      </w:r>
    </w:p>
    <w:bookmarkEnd w:id="71"/>
    <w:p w14:paraId="37734677">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（4）分析可能存在的</w:t>
      </w:r>
      <w:r>
        <w:rPr>
          <w:rFonts w:hint="eastAsia"/>
          <w:color w:val="000000" w:themeColor="text1"/>
          <w14:textFill>
            <w14:solidFill>
              <w14:schemeClr w14:val="tx1"/>
            </w14:solidFill>
          </w14:textFill>
        </w:rPr>
        <w:t>环境风险</w:t>
      </w:r>
      <w:r>
        <w:rPr>
          <w:color w:val="000000" w:themeColor="text1"/>
          <w14:textFill>
            <w14:solidFill>
              <w14:schemeClr w14:val="tx1"/>
            </w14:solidFill>
          </w14:textFill>
        </w:rPr>
        <w:t>事故隐患，</w:t>
      </w:r>
      <w:r>
        <w:rPr>
          <w:rFonts w:hint="eastAsia"/>
          <w:color w:val="000000" w:themeColor="text1"/>
          <w14:textFill>
            <w14:solidFill>
              <w14:schemeClr w14:val="tx1"/>
            </w14:solidFill>
          </w14:textFill>
        </w:rPr>
        <w:t>分析环境</w:t>
      </w:r>
      <w:r>
        <w:rPr>
          <w:color w:val="000000" w:themeColor="text1"/>
          <w14:textFill>
            <w14:solidFill>
              <w14:schemeClr w14:val="tx1"/>
            </w14:solidFill>
          </w14:textFill>
        </w:rPr>
        <w:t>风险事故可能产生的环境影响程度，提出环境风险防范措施。</w:t>
      </w:r>
    </w:p>
    <w:p w14:paraId="5C63053E">
      <w:pPr>
        <w:pStyle w:val="120"/>
        <w:rPr>
          <w:rFonts w:hint="eastAsia"/>
          <w:color w:val="000000" w:themeColor="text1"/>
          <w14:textFill>
            <w14:solidFill>
              <w14:schemeClr w14:val="tx1"/>
            </w14:solidFill>
          </w14:textFill>
        </w:rPr>
      </w:pPr>
      <w:bookmarkStart w:id="72" w:name="_Hlk33042290"/>
      <w:r>
        <w:rPr>
          <w:rFonts w:hint="eastAsia"/>
          <w:color w:val="000000" w:themeColor="text1"/>
          <w:lang w:bidi="ar"/>
          <w14:textFill>
            <w14:solidFill>
              <w14:schemeClr w14:val="tx1"/>
            </w14:solidFill>
          </w14:textFill>
        </w:rPr>
        <w:t>（5）通过上述评价，论证项目在环境方面的可行性，给出环境影响评价结论，为生态环境主管部门提供决策依据。</w:t>
      </w:r>
    </w:p>
    <w:bookmarkEnd w:id="72"/>
    <w:p w14:paraId="5DCCF656">
      <w:pPr>
        <w:pStyle w:val="8"/>
        <w:rPr>
          <w:rFonts w:hint="eastAsia"/>
          <w:color w:val="000000" w:themeColor="text1"/>
          <w:lang w:val="zh-CN"/>
          <w14:textFill>
            <w14:solidFill>
              <w14:schemeClr w14:val="tx1"/>
            </w14:solidFill>
          </w14:textFill>
        </w:rPr>
      </w:pPr>
      <w:bookmarkStart w:id="73" w:name="_Toc445996326"/>
      <w:bookmarkStart w:id="74" w:name="_Toc27929"/>
      <w:bookmarkStart w:id="75" w:name="_Toc445841964"/>
      <w:r>
        <w:rPr>
          <w:rFonts w:hint="eastAsia"/>
          <w:color w:val="000000" w:themeColor="text1"/>
          <w:lang w:val="zh-CN"/>
          <w14:textFill>
            <w14:solidFill>
              <w14:schemeClr w14:val="tx1"/>
            </w14:solidFill>
          </w14:textFill>
        </w:rPr>
        <w:t>评价原则</w:t>
      </w:r>
      <w:bookmarkEnd w:id="73"/>
      <w:bookmarkEnd w:id="74"/>
      <w:bookmarkEnd w:id="75"/>
    </w:p>
    <w:p w14:paraId="1B1320C7">
      <w:pPr>
        <w:pStyle w:val="120"/>
        <w:rPr>
          <w:rFonts w:hint="eastAsia"/>
          <w:color w:val="000000" w:themeColor="text1"/>
          <w14:textFill>
            <w14:solidFill>
              <w14:schemeClr w14:val="tx1"/>
            </w14:solidFill>
          </w14:textFill>
        </w:rPr>
      </w:pPr>
      <w:bookmarkStart w:id="76" w:name="_Hlk33042321"/>
      <w:r>
        <w:rPr>
          <w:rFonts w:hint="eastAsia"/>
          <w:color w:val="000000" w:themeColor="text1"/>
          <w14:textFill>
            <w14:solidFill>
              <w14:schemeClr w14:val="tx1"/>
            </w14:solidFill>
          </w14:textFill>
        </w:rPr>
        <w:t>突出环境影响评价的源头预防作用，坚持保护和改善环境质量。</w:t>
      </w:r>
    </w:p>
    <w:bookmarkEnd w:id="76"/>
    <w:p w14:paraId="47DD3C7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（1）依法评价</w:t>
      </w:r>
    </w:p>
    <w:p w14:paraId="0D65C10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贯彻执行国家和地方环境保护相关法律法规、标准、政策和规划等，优化项目建设、服务环境管理。</w:t>
      </w:r>
    </w:p>
    <w:p w14:paraId="13ABFA6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（2）科学评价</w:t>
      </w:r>
    </w:p>
    <w:p w14:paraId="47B2CDE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采用规范的环境影响评价方法，科学分析项目建设对环境质量的影响。</w:t>
      </w:r>
    </w:p>
    <w:p w14:paraId="3191505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（3）突出重点</w:t>
      </w:r>
    </w:p>
    <w:p w14:paraId="2EC3C90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根据建设项目的工程内容及其特点，明确与环境要素间的作用效应关系，充分利用符合时效的数据资料及成果，对主要环境影响予以重点分析和评价。</w:t>
      </w:r>
    </w:p>
    <w:p w14:paraId="28043749">
      <w:pPr>
        <w:pStyle w:val="7"/>
        <w:rPr>
          <w:rFonts w:hint="eastAsia"/>
          <w:color w:val="000000" w:themeColor="text1"/>
          <w:lang w:val="zh-CN"/>
          <w14:textFill>
            <w14:solidFill>
              <w14:schemeClr w14:val="tx1"/>
            </w14:solidFill>
          </w14:textFill>
        </w:rPr>
      </w:pPr>
      <w:bookmarkStart w:id="77" w:name="_Toc24151"/>
      <w:r>
        <w:rPr>
          <w:rFonts w:hint="eastAsia"/>
          <w:color w:val="000000" w:themeColor="text1"/>
          <w:lang w:val="zh-CN"/>
          <w14:textFill>
            <w14:solidFill>
              <w14:schemeClr w14:val="tx1"/>
            </w14:solidFill>
          </w14:textFill>
        </w:rPr>
        <w:t>评价时段</w:t>
      </w:r>
      <w:bookmarkEnd w:id="77"/>
    </w:p>
    <w:p w14:paraId="44C9BD4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根据项目特点，确定评价时段为施工期、运营期和退役期，其中以施工期和运营期为主。</w:t>
      </w:r>
    </w:p>
    <w:p w14:paraId="0A6EBA11">
      <w:pPr>
        <w:pStyle w:val="7"/>
        <w:rPr>
          <w:rFonts w:hint="eastAsia"/>
          <w:color w:val="000000" w:themeColor="text1"/>
          <w:lang w:val="zh-CN"/>
          <w14:textFill>
            <w14:solidFill>
              <w14:schemeClr w14:val="tx1"/>
            </w14:solidFill>
          </w14:textFill>
        </w:rPr>
      </w:pPr>
      <w:bookmarkStart w:id="78" w:name="_Toc31735"/>
      <w:r>
        <w:rPr>
          <w:rFonts w:hint="eastAsia"/>
          <w:color w:val="000000" w:themeColor="text1"/>
          <w:lang w:val="zh-CN"/>
          <w14:textFill>
            <w14:solidFill>
              <w14:schemeClr w14:val="tx1"/>
            </w14:solidFill>
          </w14:textFill>
        </w:rPr>
        <w:t>环境影响因素识别与评价因子确定</w:t>
      </w:r>
      <w:bookmarkEnd w:id="78"/>
    </w:p>
    <w:p w14:paraId="54E4C1EA">
      <w:pPr>
        <w:pStyle w:val="120"/>
        <w:spacing w:line="52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影响因素包括：施工期——对环境的影响主要为施工废气主要为柴油机、发电机燃料燃烧烟气、施工机械及施工车辆尾气、施工扬尘、柴油储存卸车无组织废气、水基钻井岩屑暂存扬尘、焊接烟尘和储层改造过程中的无组织废气、管道试压废水、混凝土养护废水、压裂返排液、噪声、废弃钻井液、钻井岩屑、</w:t>
      </w:r>
      <w:bookmarkStart w:id="79" w:name="OLE_LINK220"/>
      <w:r>
        <w:rPr>
          <w:rFonts w:hint="eastAsia"/>
          <w:color w:val="000000" w:themeColor="text1"/>
          <w14:textFill>
            <w14:solidFill>
              <w14:schemeClr w14:val="tx1"/>
            </w14:solidFill>
          </w14:textFill>
        </w:rPr>
        <w:t>废润滑油、废润滑油桶、沾油废防渗材料、建筑垃圾、焊接废渣、</w:t>
      </w:r>
      <w:r>
        <w:rPr>
          <w:rFonts w:hint="eastAsia" w:cs="宋体"/>
          <w:color w:val="000000" w:themeColor="text1"/>
          <w14:textFill>
            <w14:solidFill>
              <w14:schemeClr w14:val="tx1"/>
            </w14:solidFill>
          </w14:textFill>
        </w:rPr>
        <w:t>废危化品包装材料</w:t>
      </w:r>
      <w:r>
        <w:rPr>
          <w:rFonts w:hint="eastAsia"/>
          <w:color w:val="000000" w:themeColor="text1"/>
          <w14:textFill>
            <w14:solidFill>
              <w14:schemeClr w14:val="tx1"/>
            </w14:solidFill>
          </w14:textFill>
        </w:rPr>
        <w:t>及工程</w:t>
      </w:r>
      <w:bookmarkEnd w:id="79"/>
      <w:r>
        <w:rPr>
          <w:rFonts w:hint="eastAsia"/>
          <w:color w:val="000000" w:themeColor="text1"/>
          <w14:textFill>
            <w14:solidFill>
              <w14:schemeClr w14:val="tx1"/>
            </w14:solidFill>
          </w14:textFill>
        </w:rPr>
        <w:t>占地对生态环境的影响；</w:t>
      </w:r>
    </w:p>
    <w:p w14:paraId="66F0207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运营期——对环境的影响主要为无组织挥发性有机物、洗井废水、井下作业废液、危险废物（废润滑油、废润滑油桶、废含油抹布、劳保用品、沾油废防渗材料）等。</w:t>
      </w:r>
    </w:p>
    <w:p w14:paraId="251B96F5">
      <w:pPr>
        <w:pStyle w:val="12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退役期</w:t>
      </w:r>
      <w:r>
        <w:rPr>
          <w:rFonts w:hint="eastAsia"/>
          <w:color w:val="000000" w:themeColor="text1"/>
          <w14:textFill>
            <w14:solidFill>
              <w14:schemeClr w14:val="tx1"/>
            </w14:solidFill>
          </w14:textFill>
        </w:rPr>
        <w:t>——对环境的影响主要为地面管线及设备设施拆除、井筒用水泥灌注封井、设水泥标桩、井场清理、埋地管线封堵等产生的施工扬尘、施工机械及施工车辆尾气、噪声、建筑垃圾、废润滑油、废润滑油桶、沾油废防渗材料和废弃的含油抹布、劳保用品、管线吹扫废水等。</w:t>
      </w:r>
    </w:p>
    <w:p w14:paraId="2E7B014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各要素的影响程度见表2.4-1。</w:t>
      </w:r>
    </w:p>
    <w:p w14:paraId="7419CDEE">
      <w:pPr>
        <w:pStyle w:val="19"/>
        <w:rPr>
          <w:rFonts w:hint="eastAsia"/>
          <w:color w:val="000000" w:themeColor="text1"/>
          <w14:textFill>
            <w14:solidFill>
              <w14:schemeClr w14:val="tx1"/>
            </w14:solidFill>
          </w14:textFill>
        </w:rPr>
      </w:pPr>
    </w:p>
    <w:p w14:paraId="42F5FE3D">
      <w:pPr>
        <w:pStyle w:val="19"/>
        <w:rPr>
          <w:rFonts w:hint="eastAsia"/>
          <w:color w:val="000000" w:themeColor="text1"/>
          <w14:textFill>
            <w14:solidFill>
              <w14:schemeClr w14:val="tx1"/>
            </w14:solidFill>
          </w14:textFill>
        </w:rPr>
      </w:pPr>
    </w:p>
    <w:p w14:paraId="4029B9E5">
      <w:pPr>
        <w:pStyle w:val="19"/>
        <w:rPr>
          <w:rFonts w:hint="eastAsia"/>
          <w:color w:val="000000" w:themeColor="text1"/>
          <w14:textFill>
            <w14:solidFill>
              <w14:schemeClr w14:val="tx1"/>
            </w14:solidFill>
          </w14:textFill>
        </w:rPr>
      </w:pPr>
    </w:p>
    <w:p w14:paraId="17C887ED">
      <w:pPr>
        <w:pStyle w:val="19"/>
        <w:rPr>
          <w:rFonts w:hint="eastAsia"/>
          <w:color w:val="000000" w:themeColor="text1"/>
          <w14:textFill>
            <w14:solidFill>
              <w14:schemeClr w14:val="tx1"/>
            </w14:solidFill>
          </w14:textFill>
        </w:rPr>
      </w:pPr>
    </w:p>
    <w:p w14:paraId="6CC0F60F">
      <w:pPr>
        <w:pStyle w:val="19"/>
        <w:rPr>
          <w:rFonts w:hint="eastAsia"/>
          <w:color w:val="000000" w:themeColor="text1"/>
          <w14:textFill>
            <w14:solidFill>
              <w14:schemeClr w14:val="tx1"/>
            </w14:solidFill>
          </w14:textFill>
        </w:rPr>
      </w:pPr>
    </w:p>
    <w:p w14:paraId="3116A63B">
      <w:pPr>
        <w:pStyle w:val="19"/>
        <w:rPr>
          <w:rFonts w:hint="eastAsia"/>
          <w:color w:val="000000" w:themeColor="text1"/>
          <w14:textFill>
            <w14:solidFill>
              <w14:schemeClr w14:val="tx1"/>
            </w14:solidFill>
          </w14:textFill>
        </w:rPr>
      </w:pPr>
    </w:p>
    <w:p w14:paraId="4FDD07E2">
      <w:pPr>
        <w:pStyle w:val="19"/>
        <w:rPr>
          <w:rFonts w:hint="eastAsia"/>
          <w:color w:val="000000" w:themeColor="text1"/>
          <w14:textFill>
            <w14:solidFill>
              <w14:schemeClr w14:val="tx1"/>
            </w14:solidFill>
          </w14:textFill>
        </w:rPr>
      </w:pPr>
    </w:p>
    <w:p w14:paraId="70D9CBEB">
      <w:pPr>
        <w:pStyle w:val="19"/>
        <w:rPr>
          <w:rFonts w:hint="eastAsia"/>
          <w:color w:val="000000" w:themeColor="text1"/>
          <w14:textFill>
            <w14:solidFill>
              <w14:schemeClr w14:val="tx1"/>
            </w14:solidFill>
          </w14:textFill>
        </w:rPr>
      </w:pPr>
    </w:p>
    <w:p w14:paraId="3FECFD8D">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表2.4-1  环境</w:t>
      </w:r>
      <w:r>
        <w:rPr>
          <w:color w:val="000000" w:themeColor="text1"/>
          <w14:textFill>
            <w14:solidFill>
              <w14:schemeClr w14:val="tx1"/>
            </w14:solidFill>
          </w14:textFill>
        </w:rPr>
        <w:t>影响因素识别一览表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4"/>
        <w:gridCol w:w="751"/>
        <w:gridCol w:w="2309"/>
        <w:gridCol w:w="954"/>
        <w:gridCol w:w="854"/>
        <w:gridCol w:w="849"/>
        <w:gridCol w:w="1135"/>
        <w:gridCol w:w="709"/>
        <w:gridCol w:w="655"/>
      </w:tblGrid>
      <w:tr w14:paraId="02B21B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295" w:type="pct"/>
            <w:vMerge w:val="restart"/>
            <w:vAlign w:val="center"/>
          </w:tcPr>
          <w:p w14:paraId="01C7CE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时段</w:t>
            </w:r>
          </w:p>
        </w:tc>
        <w:tc>
          <w:tcPr>
            <w:tcW w:w="1752" w:type="pct"/>
            <w:gridSpan w:val="2"/>
            <w:vMerge w:val="restart"/>
            <w:vAlign w:val="center"/>
          </w:tcPr>
          <w:p w14:paraId="6940911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影响因素</w:t>
            </w:r>
          </w:p>
        </w:tc>
        <w:tc>
          <w:tcPr>
            <w:tcW w:w="2952" w:type="pct"/>
            <w:gridSpan w:val="6"/>
            <w:vAlign w:val="center"/>
          </w:tcPr>
          <w:p w14:paraId="6D0C0F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环境要素</w:t>
            </w:r>
          </w:p>
        </w:tc>
      </w:tr>
      <w:tr w14:paraId="45A4E8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295" w:type="pct"/>
            <w:vMerge w:val="continue"/>
            <w:vAlign w:val="center"/>
          </w:tcPr>
          <w:p w14:paraId="05E597AF">
            <w:pPr>
              <w:pStyle w:val="280"/>
              <w:rPr>
                <w:rFonts w:hint="eastAsia"/>
                <w:color w:val="000000" w:themeColor="text1"/>
                <w14:textFill>
                  <w14:solidFill>
                    <w14:schemeClr w14:val="tx1"/>
                  </w14:solidFill>
                </w14:textFill>
              </w:rPr>
            </w:pPr>
          </w:p>
        </w:tc>
        <w:tc>
          <w:tcPr>
            <w:tcW w:w="1752" w:type="pct"/>
            <w:gridSpan w:val="2"/>
            <w:vMerge w:val="continue"/>
            <w:vAlign w:val="center"/>
          </w:tcPr>
          <w:p w14:paraId="53F8C67A">
            <w:pPr>
              <w:pStyle w:val="280"/>
              <w:rPr>
                <w:rFonts w:hint="eastAsia"/>
                <w:color w:val="000000" w:themeColor="text1"/>
                <w14:textFill>
                  <w14:solidFill>
                    <w14:schemeClr w14:val="tx1"/>
                  </w14:solidFill>
                </w14:textFill>
              </w:rPr>
            </w:pPr>
          </w:p>
        </w:tc>
        <w:tc>
          <w:tcPr>
            <w:tcW w:w="546" w:type="pct"/>
            <w:vAlign w:val="center"/>
          </w:tcPr>
          <w:p w14:paraId="09E326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环境空气</w:t>
            </w:r>
          </w:p>
        </w:tc>
        <w:tc>
          <w:tcPr>
            <w:tcW w:w="489" w:type="pct"/>
            <w:vAlign w:val="center"/>
          </w:tcPr>
          <w:p w14:paraId="6A39A4A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486" w:type="pct"/>
            <w:vAlign w:val="center"/>
          </w:tcPr>
          <w:p w14:paraId="406ED2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650" w:type="pct"/>
            <w:vAlign w:val="center"/>
          </w:tcPr>
          <w:p w14:paraId="769B6E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土壤环境</w:t>
            </w:r>
          </w:p>
        </w:tc>
        <w:tc>
          <w:tcPr>
            <w:tcW w:w="406" w:type="pct"/>
            <w:vAlign w:val="center"/>
          </w:tcPr>
          <w:p w14:paraId="43DAC54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植被</w:t>
            </w:r>
          </w:p>
        </w:tc>
        <w:tc>
          <w:tcPr>
            <w:tcW w:w="373" w:type="pct"/>
            <w:vAlign w:val="center"/>
          </w:tcPr>
          <w:p w14:paraId="3ACF81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动物</w:t>
            </w:r>
          </w:p>
        </w:tc>
      </w:tr>
      <w:tr w14:paraId="73F5F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restart"/>
            <w:vAlign w:val="center"/>
          </w:tcPr>
          <w:p w14:paraId="6274549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430" w:type="pct"/>
            <w:vAlign w:val="center"/>
          </w:tcPr>
          <w:p w14:paraId="23DD0B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w:t>
            </w:r>
          </w:p>
        </w:tc>
        <w:tc>
          <w:tcPr>
            <w:tcW w:w="1321" w:type="pct"/>
            <w:vAlign w:val="center"/>
          </w:tcPr>
          <w:p w14:paraId="720B48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地表扰动面积及类型、植被覆盖度、生物量损失、物种多样性、生态系统完整性、土壤肥力等</w:t>
            </w:r>
          </w:p>
        </w:tc>
        <w:tc>
          <w:tcPr>
            <w:tcW w:w="546" w:type="pct"/>
            <w:vAlign w:val="center"/>
          </w:tcPr>
          <w:p w14:paraId="35DFDD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9" w:type="pct"/>
            <w:vAlign w:val="center"/>
          </w:tcPr>
          <w:p w14:paraId="684702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6" w:type="pct"/>
            <w:vAlign w:val="center"/>
          </w:tcPr>
          <w:p w14:paraId="0744F4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650" w:type="pct"/>
            <w:vAlign w:val="center"/>
          </w:tcPr>
          <w:p w14:paraId="7B69AE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vAlign w:val="center"/>
          </w:tcPr>
          <w:p w14:paraId="2052F28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292E656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138AC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3F36663E">
            <w:pPr>
              <w:pStyle w:val="280"/>
              <w:rPr>
                <w:rFonts w:hint="eastAsia"/>
                <w:color w:val="000000" w:themeColor="text1"/>
                <w14:textFill>
                  <w14:solidFill>
                    <w14:schemeClr w14:val="tx1"/>
                  </w14:solidFill>
                </w14:textFill>
              </w:rPr>
            </w:pPr>
          </w:p>
        </w:tc>
        <w:tc>
          <w:tcPr>
            <w:tcW w:w="430" w:type="pct"/>
            <w:vAlign w:val="center"/>
          </w:tcPr>
          <w:p w14:paraId="24FD26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1321" w:type="pct"/>
            <w:vAlign w:val="center"/>
          </w:tcPr>
          <w:p w14:paraId="1EC73F6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施工废气主要为柴油机、发电机燃料燃烧烟气、施工机械及施工车辆尾气、施工扬尘、柴油储存卸车无组织废气、水基钻井岩屑暂存扬尘、焊接烟尘和储层改造过程中的无组织废气</w:t>
            </w:r>
          </w:p>
        </w:tc>
        <w:tc>
          <w:tcPr>
            <w:tcW w:w="546" w:type="pct"/>
            <w:vAlign w:val="center"/>
          </w:tcPr>
          <w:p w14:paraId="5CD70DB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89" w:type="pct"/>
            <w:vAlign w:val="center"/>
          </w:tcPr>
          <w:p w14:paraId="4136A03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6" w:type="pct"/>
            <w:vAlign w:val="center"/>
          </w:tcPr>
          <w:p w14:paraId="67AC48C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650" w:type="pct"/>
            <w:vAlign w:val="center"/>
          </w:tcPr>
          <w:p w14:paraId="5771A18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06" w:type="pct"/>
            <w:vAlign w:val="center"/>
          </w:tcPr>
          <w:p w14:paraId="3D4DEB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7151FBE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5E15A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262D22F3">
            <w:pPr>
              <w:pStyle w:val="280"/>
              <w:rPr>
                <w:rFonts w:hint="eastAsia"/>
                <w:color w:val="000000" w:themeColor="text1"/>
                <w14:textFill>
                  <w14:solidFill>
                    <w14:schemeClr w14:val="tx1"/>
                  </w14:solidFill>
                </w14:textFill>
              </w:rPr>
            </w:pPr>
          </w:p>
        </w:tc>
        <w:tc>
          <w:tcPr>
            <w:tcW w:w="430" w:type="pct"/>
            <w:vAlign w:val="center"/>
          </w:tcPr>
          <w:p w14:paraId="2CA28EF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321" w:type="pct"/>
            <w:vAlign w:val="center"/>
          </w:tcPr>
          <w:p w14:paraId="735410B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管道试压废水、混凝土养护废水、压裂返排液</w:t>
            </w:r>
          </w:p>
        </w:tc>
        <w:tc>
          <w:tcPr>
            <w:tcW w:w="546" w:type="pct"/>
            <w:vAlign w:val="center"/>
          </w:tcPr>
          <w:p w14:paraId="7B114A8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9" w:type="pct"/>
            <w:vAlign w:val="center"/>
          </w:tcPr>
          <w:p w14:paraId="616479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6" w:type="pct"/>
            <w:vAlign w:val="center"/>
          </w:tcPr>
          <w:p w14:paraId="668E66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650" w:type="pct"/>
            <w:vAlign w:val="center"/>
          </w:tcPr>
          <w:p w14:paraId="0002DD7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06" w:type="pct"/>
            <w:vAlign w:val="center"/>
          </w:tcPr>
          <w:p w14:paraId="08F5F4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373" w:type="pct"/>
            <w:vAlign w:val="center"/>
          </w:tcPr>
          <w:p w14:paraId="5EA11C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r>
      <w:tr w14:paraId="33195A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114FB878">
            <w:pPr>
              <w:pStyle w:val="280"/>
              <w:rPr>
                <w:rFonts w:hint="eastAsia"/>
                <w:color w:val="000000" w:themeColor="text1"/>
                <w14:textFill>
                  <w14:solidFill>
                    <w14:schemeClr w14:val="tx1"/>
                  </w14:solidFill>
                </w14:textFill>
              </w:rPr>
            </w:pPr>
          </w:p>
        </w:tc>
        <w:tc>
          <w:tcPr>
            <w:tcW w:w="430" w:type="pct"/>
            <w:vAlign w:val="center"/>
          </w:tcPr>
          <w:p w14:paraId="3A64930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tc>
        <w:tc>
          <w:tcPr>
            <w:tcW w:w="1321" w:type="pct"/>
            <w:vAlign w:val="center"/>
          </w:tcPr>
          <w:p w14:paraId="3F6A7A8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废弃钻井液、钻井岩屑、废润滑油、废润滑油桶、沾油废防渗材料、建筑垃圾、焊接废渣、废危化品包装材料</w:t>
            </w:r>
          </w:p>
        </w:tc>
        <w:tc>
          <w:tcPr>
            <w:tcW w:w="546" w:type="pct"/>
            <w:vAlign w:val="center"/>
          </w:tcPr>
          <w:p w14:paraId="72EB128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9" w:type="pct"/>
            <w:vAlign w:val="center"/>
          </w:tcPr>
          <w:p w14:paraId="3F320F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6" w:type="pct"/>
            <w:vAlign w:val="center"/>
          </w:tcPr>
          <w:p w14:paraId="7E856D6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650" w:type="pct"/>
            <w:vAlign w:val="center"/>
          </w:tcPr>
          <w:p w14:paraId="5FC409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vAlign w:val="center"/>
          </w:tcPr>
          <w:p w14:paraId="7EB4F1D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7EAFA35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6D60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6EAB24C0">
            <w:pPr>
              <w:pStyle w:val="280"/>
              <w:rPr>
                <w:rFonts w:hint="eastAsia"/>
                <w:color w:val="000000" w:themeColor="text1"/>
                <w14:textFill>
                  <w14:solidFill>
                    <w14:schemeClr w14:val="tx1"/>
                  </w14:solidFill>
                </w14:textFill>
              </w:rPr>
            </w:pPr>
          </w:p>
        </w:tc>
        <w:tc>
          <w:tcPr>
            <w:tcW w:w="430" w:type="pct"/>
            <w:vAlign w:val="center"/>
          </w:tcPr>
          <w:p w14:paraId="36ADCA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1321" w:type="pct"/>
            <w:vAlign w:val="center"/>
          </w:tcPr>
          <w:p w14:paraId="4441F1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施工车辆、施工设备</w:t>
            </w:r>
          </w:p>
        </w:tc>
        <w:tc>
          <w:tcPr>
            <w:tcW w:w="546" w:type="pct"/>
            <w:vAlign w:val="center"/>
          </w:tcPr>
          <w:p w14:paraId="30ECC59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9" w:type="pct"/>
            <w:vAlign w:val="center"/>
          </w:tcPr>
          <w:p w14:paraId="0665B79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6" w:type="pct"/>
            <w:vAlign w:val="center"/>
          </w:tcPr>
          <w:p w14:paraId="074094A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50" w:type="pct"/>
            <w:vAlign w:val="center"/>
          </w:tcPr>
          <w:p w14:paraId="539406D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06" w:type="pct"/>
            <w:vAlign w:val="center"/>
          </w:tcPr>
          <w:p w14:paraId="70D637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373" w:type="pct"/>
            <w:vAlign w:val="center"/>
          </w:tcPr>
          <w:p w14:paraId="651161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251E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restart"/>
            <w:vAlign w:val="center"/>
          </w:tcPr>
          <w:p w14:paraId="3CA08E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tc>
        <w:tc>
          <w:tcPr>
            <w:tcW w:w="430" w:type="pct"/>
            <w:vAlign w:val="center"/>
          </w:tcPr>
          <w:p w14:paraId="769408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1321" w:type="pct"/>
            <w:vAlign w:val="center"/>
          </w:tcPr>
          <w:p w14:paraId="2816D3C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无组织挥发烃类</w:t>
            </w:r>
          </w:p>
        </w:tc>
        <w:tc>
          <w:tcPr>
            <w:tcW w:w="546" w:type="pct"/>
            <w:vAlign w:val="center"/>
          </w:tcPr>
          <w:p w14:paraId="0EC7DCB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89" w:type="pct"/>
            <w:vAlign w:val="center"/>
          </w:tcPr>
          <w:p w14:paraId="246AA39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6" w:type="pct"/>
            <w:vAlign w:val="center"/>
          </w:tcPr>
          <w:p w14:paraId="2A125BD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650" w:type="pct"/>
            <w:vAlign w:val="center"/>
          </w:tcPr>
          <w:p w14:paraId="1D599F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06" w:type="pct"/>
            <w:vAlign w:val="center"/>
          </w:tcPr>
          <w:p w14:paraId="124A74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4D74BBB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70412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6A5DAC03">
            <w:pPr>
              <w:pStyle w:val="280"/>
              <w:rPr>
                <w:rFonts w:hint="eastAsia"/>
                <w:color w:val="000000" w:themeColor="text1"/>
                <w14:textFill>
                  <w14:solidFill>
                    <w14:schemeClr w14:val="tx1"/>
                  </w14:solidFill>
                </w14:textFill>
              </w:rPr>
            </w:pPr>
          </w:p>
        </w:tc>
        <w:tc>
          <w:tcPr>
            <w:tcW w:w="430" w:type="pct"/>
            <w:vAlign w:val="center"/>
          </w:tcPr>
          <w:p w14:paraId="269CD19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321" w:type="pct"/>
            <w:vAlign w:val="center"/>
          </w:tcPr>
          <w:p w14:paraId="692295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洗井废水、井下作业废液</w:t>
            </w:r>
          </w:p>
        </w:tc>
        <w:tc>
          <w:tcPr>
            <w:tcW w:w="546" w:type="pct"/>
            <w:vAlign w:val="center"/>
          </w:tcPr>
          <w:p w14:paraId="6EC0010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9" w:type="pct"/>
            <w:vAlign w:val="center"/>
          </w:tcPr>
          <w:p w14:paraId="56F56FC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86" w:type="pct"/>
            <w:vAlign w:val="center"/>
          </w:tcPr>
          <w:p w14:paraId="20CDB1C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650" w:type="pct"/>
            <w:vAlign w:val="center"/>
          </w:tcPr>
          <w:p w14:paraId="0E2B12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vAlign w:val="center"/>
          </w:tcPr>
          <w:p w14:paraId="257119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7EE876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EE8CE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324C681C">
            <w:pPr>
              <w:pStyle w:val="280"/>
              <w:rPr>
                <w:rFonts w:hint="eastAsia"/>
                <w:color w:val="000000" w:themeColor="text1"/>
                <w14:textFill>
                  <w14:solidFill>
                    <w14:schemeClr w14:val="tx1"/>
                  </w14:solidFill>
                </w14:textFill>
              </w:rPr>
            </w:pPr>
          </w:p>
        </w:tc>
        <w:tc>
          <w:tcPr>
            <w:tcW w:w="430" w:type="pct"/>
            <w:vAlign w:val="center"/>
          </w:tcPr>
          <w:p w14:paraId="3842D30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tc>
        <w:tc>
          <w:tcPr>
            <w:tcW w:w="1321" w:type="pct"/>
            <w:vAlign w:val="center"/>
          </w:tcPr>
          <w:p w14:paraId="76A6EA7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危险废物（废润滑油、废润滑油桶、废含油抹布、劳保用品、废防渗材料）</w:t>
            </w:r>
          </w:p>
        </w:tc>
        <w:tc>
          <w:tcPr>
            <w:tcW w:w="546" w:type="pct"/>
            <w:vAlign w:val="center"/>
          </w:tcPr>
          <w:p w14:paraId="7C7CD9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9" w:type="pct"/>
            <w:vAlign w:val="center"/>
          </w:tcPr>
          <w:p w14:paraId="5CB6A50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86" w:type="pct"/>
            <w:vAlign w:val="center"/>
          </w:tcPr>
          <w:p w14:paraId="65E5AA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650" w:type="pct"/>
            <w:vAlign w:val="center"/>
          </w:tcPr>
          <w:p w14:paraId="36C7E9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vAlign w:val="center"/>
          </w:tcPr>
          <w:p w14:paraId="2E63D4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46D906D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8AD22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143F82DF">
            <w:pPr>
              <w:pStyle w:val="280"/>
              <w:rPr>
                <w:rFonts w:hint="eastAsia"/>
                <w:color w:val="000000" w:themeColor="text1"/>
                <w14:textFill>
                  <w14:solidFill>
                    <w14:schemeClr w14:val="tx1"/>
                  </w14:solidFill>
                </w14:textFill>
              </w:rPr>
            </w:pPr>
          </w:p>
        </w:tc>
        <w:tc>
          <w:tcPr>
            <w:tcW w:w="430" w:type="pct"/>
            <w:vAlign w:val="center"/>
          </w:tcPr>
          <w:p w14:paraId="638C542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1321" w:type="pct"/>
            <w:vAlign w:val="center"/>
          </w:tcPr>
          <w:p w14:paraId="1984CC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各类机泵</w:t>
            </w:r>
          </w:p>
        </w:tc>
        <w:tc>
          <w:tcPr>
            <w:tcW w:w="546" w:type="pct"/>
            <w:vAlign w:val="center"/>
          </w:tcPr>
          <w:p w14:paraId="16A9525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9" w:type="pct"/>
            <w:vAlign w:val="center"/>
          </w:tcPr>
          <w:p w14:paraId="78C972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6" w:type="pct"/>
            <w:vAlign w:val="center"/>
          </w:tcPr>
          <w:p w14:paraId="63320C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50" w:type="pct"/>
            <w:vAlign w:val="center"/>
          </w:tcPr>
          <w:p w14:paraId="1210843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06" w:type="pct"/>
            <w:vAlign w:val="center"/>
          </w:tcPr>
          <w:p w14:paraId="1EAD935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373" w:type="pct"/>
            <w:vAlign w:val="center"/>
          </w:tcPr>
          <w:p w14:paraId="03FB3F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r>
      <w:tr w14:paraId="406B6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05234583">
            <w:pPr>
              <w:pStyle w:val="280"/>
              <w:rPr>
                <w:rFonts w:hint="eastAsia"/>
                <w:color w:val="000000" w:themeColor="text1"/>
                <w14:textFill>
                  <w14:solidFill>
                    <w14:schemeClr w14:val="tx1"/>
                  </w14:solidFill>
                </w14:textFill>
              </w:rPr>
            </w:pPr>
          </w:p>
        </w:tc>
        <w:tc>
          <w:tcPr>
            <w:tcW w:w="430" w:type="pct"/>
            <w:vAlign w:val="center"/>
          </w:tcPr>
          <w:p w14:paraId="352E55A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环境风险</w:t>
            </w:r>
          </w:p>
        </w:tc>
        <w:tc>
          <w:tcPr>
            <w:tcW w:w="1321" w:type="pct"/>
            <w:vAlign w:val="center"/>
          </w:tcPr>
          <w:p w14:paraId="4D98E8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管线泄漏、套管破损、井喷</w:t>
            </w:r>
          </w:p>
        </w:tc>
        <w:tc>
          <w:tcPr>
            <w:tcW w:w="546" w:type="pct"/>
            <w:vAlign w:val="center"/>
          </w:tcPr>
          <w:p w14:paraId="7E0FA7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89" w:type="pct"/>
            <w:vAlign w:val="center"/>
          </w:tcPr>
          <w:p w14:paraId="398CE58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86" w:type="pct"/>
            <w:vAlign w:val="center"/>
          </w:tcPr>
          <w:p w14:paraId="6D4E3B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650" w:type="pct"/>
            <w:vAlign w:val="center"/>
          </w:tcPr>
          <w:p w14:paraId="6D5A92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vAlign w:val="center"/>
          </w:tcPr>
          <w:p w14:paraId="46A3D7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16A12DE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FC9B0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restart"/>
            <w:vAlign w:val="center"/>
          </w:tcPr>
          <w:p w14:paraId="748003A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退役期</w:t>
            </w:r>
          </w:p>
        </w:tc>
        <w:tc>
          <w:tcPr>
            <w:tcW w:w="430" w:type="pct"/>
            <w:vAlign w:val="center"/>
          </w:tcPr>
          <w:p w14:paraId="6E1936D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1321" w:type="pct"/>
            <w:vAlign w:val="center"/>
          </w:tcPr>
          <w:p w14:paraId="5858FA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施工扬尘、汽车尾气</w:t>
            </w:r>
          </w:p>
        </w:tc>
        <w:tc>
          <w:tcPr>
            <w:tcW w:w="546" w:type="pct"/>
            <w:vAlign w:val="center"/>
          </w:tcPr>
          <w:p w14:paraId="689361A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89" w:type="pct"/>
            <w:vAlign w:val="center"/>
          </w:tcPr>
          <w:p w14:paraId="79153C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6" w:type="pct"/>
            <w:vAlign w:val="center"/>
          </w:tcPr>
          <w:p w14:paraId="3EB8FA8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650" w:type="pct"/>
            <w:vAlign w:val="center"/>
          </w:tcPr>
          <w:p w14:paraId="596FB89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vAlign w:val="center"/>
          </w:tcPr>
          <w:p w14:paraId="2E08CD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22C80D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DE97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278CD12B">
            <w:pPr>
              <w:pStyle w:val="280"/>
              <w:rPr>
                <w:rFonts w:hint="eastAsia"/>
                <w:color w:val="000000" w:themeColor="text1"/>
                <w14:textFill>
                  <w14:solidFill>
                    <w14:schemeClr w14:val="tx1"/>
                  </w14:solidFill>
                </w14:textFill>
              </w:rPr>
            </w:pPr>
          </w:p>
        </w:tc>
        <w:tc>
          <w:tcPr>
            <w:tcW w:w="430" w:type="pct"/>
            <w:vAlign w:val="center"/>
          </w:tcPr>
          <w:p w14:paraId="604128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1321" w:type="pct"/>
            <w:vAlign w:val="center"/>
          </w:tcPr>
          <w:p w14:paraId="3EAD34B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施工车辆及机械</w:t>
            </w:r>
          </w:p>
        </w:tc>
        <w:tc>
          <w:tcPr>
            <w:tcW w:w="546" w:type="pct"/>
            <w:vAlign w:val="center"/>
          </w:tcPr>
          <w:p w14:paraId="15CCD3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9" w:type="pct"/>
            <w:vAlign w:val="center"/>
          </w:tcPr>
          <w:p w14:paraId="6DD539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6" w:type="pct"/>
            <w:vAlign w:val="center"/>
          </w:tcPr>
          <w:p w14:paraId="28137A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50" w:type="pct"/>
            <w:vAlign w:val="center"/>
          </w:tcPr>
          <w:p w14:paraId="0E52E8B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06" w:type="pct"/>
            <w:vAlign w:val="center"/>
          </w:tcPr>
          <w:p w14:paraId="1DB6A9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373" w:type="pct"/>
            <w:vAlign w:val="center"/>
          </w:tcPr>
          <w:p w14:paraId="03A361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D6B4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7083AE05">
            <w:pPr>
              <w:pStyle w:val="280"/>
              <w:rPr>
                <w:rFonts w:hint="eastAsia"/>
                <w:color w:val="000000" w:themeColor="text1"/>
                <w14:textFill>
                  <w14:solidFill>
                    <w14:schemeClr w14:val="tx1"/>
                  </w14:solidFill>
                </w14:textFill>
              </w:rPr>
            </w:pPr>
          </w:p>
        </w:tc>
        <w:tc>
          <w:tcPr>
            <w:tcW w:w="430" w:type="pct"/>
            <w:vAlign w:val="center"/>
          </w:tcPr>
          <w:p w14:paraId="06B7ECC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321" w:type="pct"/>
            <w:vAlign w:val="center"/>
          </w:tcPr>
          <w:p w14:paraId="59045F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管道吹扫废水</w:t>
            </w:r>
          </w:p>
        </w:tc>
        <w:tc>
          <w:tcPr>
            <w:tcW w:w="546" w:type="pct"/>
            <w:vAlign w:val="center"/>
          </w:tcPr>
          <w:p w14:paraId="17CC87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489" w:type="pct"/>
            <w:vAlign w:val="center"/>
          </w:tcPr>
          <w:p w14:paraId="1C6D68C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86" w:type="pct"/>
            <w:vAlign w:val="center"/>
          </w:tcPr>
          <w:p w14:paraId="2C58B1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p>
        </w:tc>
        <w:tc>
          <w:tcPr>
            <w:tcW w:w="650" w:type="pct"/>
            <w:vAlign w:val="center"/>
          </w:tcPr>
          <w:p w14:paraId="619A3E2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vAlign w:val="center"/>
          </w:tcPr>
          <w:p w14:paraId="754ECBB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6AEAD14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BB6F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5" w:type="pct"/>
            <w:vMerge w:val="continue"/>
            <w:vAlign w:val="center"/>
          </w:tcPr>
          <w:p w14:paraId="28630E97">
            <w:pPr>
              <w:pStyle w:val="280"/>
              <w:rPr>
                <w:rFonts w:hint="eastAsia"/>
                <w:color w:val="000000" w:themeColor="text1"/>
                <w14:textFill>
                  <w14:solidFill>
                    <w14:schemeClr w14:val="tx1"/>
                  </w14:solidFill>
                </w14:textFill>
              </w:rPr>
            </w:pPr>
          </w:p>
        </w:tc>
        <w:tc>
          <w:tcPr>
            <w:tcW w:w="430" w:type="pct"/>
            <w:vAlign w:val="center"/>
          </w:tcPr>
          <w:p w14:paraId="7B3377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tc>
        <w:tc>
          <w:tcPr>
            <w:tcW w:w="1321" w:type="pct"/>
            <w:vAlign w:val="center"/>
          </w:tcPr>
          <w:p w14:paraId="008B592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拆卸后的建筑垃圾、废弃管线、废润滑油、废润滑油桶、沾油废防渗材料和废弃的含油抹布、劳保用品</w:t>
            </w:r>
          </w:p>
        </w:tc>
        <w:tc>
          <w:tcPr>
            <w:tcW w:w="546" w:type="pct"/>
            <w:vAlign w:val="center"/>
          </w:tcPr>
          <w:p w14:paraId="7CE7A8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9" w:type="pct"/>
            <w:vAlign w:val="center"/>
          </w:tcPr>
          <w:p w14:paraId="5E474B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6" w:type="pct"/>
            <w:vAlign w:val="center"/>
          </w:tcPr>
          <w:p w14:paraId="70350C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650" w:type="pct"/>
            <w:vAlign w:val="center"/>
          </w:tcPr>
          <w:p w14:paraId="3E261C0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vAlign w:val="center"/>
          </w:tcPr>
          <w:p w14:paraId="570EE1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3" w:type="pct"/>
            <w:vAlign w:val="center"/>
          </w:tcPr>
          <w:p w14:paraId="70E1A65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5556D739">
      <w:pPr>
        <w:spacing w:line="240" w:lineRule="exact"/>
        <w:ind w:firstLine="361"/>
        <w:rPr>
          <w:rFonts w:hint="eastAsia" w:ascii="宋体" w:hAnsi="宋体"/>
          <w:b/>
          <w:color w:val="000000" w:themeColor="text1"/>
          <w:sz w:val="18"/>
          <w:szCs w:val="18"/>
          <w14:textFill>
            <w14:solidFill>
              <w14:schemeClr w14:val="tx1"/>
            </w14:solidFill>
          </w14:textFill>
        </w:rPr>
      </w:pPr>
      <w:r>
        <w:rPr>
          <w:rFonts w:hint="eastAsia" w:ascii="宋体" w:hAnsi="宋体"/>
          <w:b/>
          <w:color w:val="000000" w:themeColor="text1"/>
          <w:sz w:val="18"/>
          <w:szCs w:val="18"/>
          <w14:textFill>
            <w14:solidFill>
              <w14:schemeClr w14:val="tx1"/>
            </w14:solidFill>
          </w14:textFill>
        </w:rPr>
        <w:t>注：</w:t>
      </w:r>
      <w:r>
        <w:rPr>
          <w:rFonts w:ascii="宋体" w:hAnsi="宋体"/>
          <w:b/>
          <w:color w:val="000000" w:themeColor="text1"/>
          <w:sz w:val="18"/>
          <w:szCs w:val="18"/>
          <w14:textFill>
            <w14:solidFill>
              <w14:schemeClr w14:val="tx1"/>
            </w14:solidFill>
          </w14:textFill>
        </w:rPr>
        <w:t>O</w:t>
      </w:r>
      <w:r>
        <w:rPr>
          <w:rFonts w:hint="eastAsia" w:ascii="宋体" w:hAnsi="宋体"/>
          <w:b/>
          <w:color w:val="000000" w:themeColor="text1"/>
          <w:sz w:val="18"/>
          <w:szCs w:val="18"/>
          <w14:textFill>
            <w14:solidFill>
              <w14:schemeClr w14:val="tx1"/>
            </w14:solidFill>
          </w14:textFill>
        </w:rPr>
        <w:t>：无影响；+：短期不利影响；++：长期不利影响。</w:t>
      </w:r>
    </w:p>
    <w:p w14:paraId="7F8B9100">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 陆地石油天然气开发建设项目》（HJ349-2023）中的相关规定并结合项目特点、环境影响因素识别确定本次环境影响评价因子，详见表2.4-2，环境质量现状调查因子见表2.4-3。</w:t>
      </w:r>
    </w:p>
    <w:p w14:paraId="2846B166">
      <w:pPr>
        <w:pStyle w:val="19"/>
        <w:rPr>
          <w:rFonts w:hint="eastAsia"/>
          <w:color w:val="000000" w:themeColor="text1"/>
          <w14:textFill>
            <w14:solidFill>
              <w14:schemeClr w14:val="tx1"/>
            </w14:solidFill>
          </w14:textFill>
        </w:rPr>
      </w:pPr>
      <w:bookmarkStart w:id="80" w:name="_Hlk147580851"/>
      <w:r>
        <w:rPr>
          <w:rFonts w:hint="eastAsia"/>
          <w:color w:val="000000" w:themeColor="text1"/>
          <w14:textFill>
            <w14:solidFill>
              <w14:schemeClr w14:val="tx1"/>
            </w14:solidFill>
          </w14:textFill>
        </w:rPr>
        <w:t>表2.4-2  环境影响评价因子筛选一览表</w:t>
      </w:r>
    </w:p>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30"/>
        <w:gridCol w:w="570"/>
        <w:gridCol w:w="1132"/>
        <w:gridCol w:w="1988"/>
        <w:gridCol w:w="1336"/>
        <w:gridCol w:w="1520"/>
        <w:gridCol w:w="1054"/>
      </w:tblGrid>
      <w:tr w14:paraId="24C6EE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66" w:hRule="atLeast"/>
          <w:jc w:val="center"/>
        </w:trPr>
        <w:tc>
          <w:tcPr>
            <w:tcW w:w="647" w:type="pct"/>
            <w:vAlign w:val="center"/>
          </w:tcPr>
          <w:p w14:paraId="3B106E6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环境要素</w:t>
            </w:r>
          </w:p>
          <w:p w14:paraId="0067F87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单项工程</w:t>
            </w:r>
          </w:p>
        </w:tc>
        <w:tc>
          <w:tcPr>
            <w:tcW w:w="326" w:type="pct"/>
            <w:vAlign w:val="center"/>
          </w:tcPr>
          <w:p w14:paraId="2FB332D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时期</w:t>
            </w:r>
          </w:p>
        </w:tc>
        <w:tc>
          <w:tcPr>
            <w:tcW w:w="648" w:type="pct"/>
            <w:vAlign w:val="center"/>
          </w:tcPr>
          <w:p w14:paraId="08B30F0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w:t>
            </w:r>
          </w:p>
        </w:tc>
        <w:tc>
          <w:tcPr>
            <w:tcW w:w="1138" w:type="pct"/>
            <w:vAlign w:val="center"/>
          </w:tcPr>
          <w:p w14:paraId="585406A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765" w:type="pct"/>
            <w:vAlign w:val="center"/>
          </w:tcPr>
          <w:p w14:paraId="2A90650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w:t>
            </w:r>
          </w:p>
        </w:tc>
        <w:tc>
          <w:tcPr>
            <w:tcW w:w="870" w:type="pct"/>
            <w:vAlign w:val="center"/>
          </w:tcPr>
          <w:p w14:paraId="00816D8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w:t>
            </w:r>
          </w:p>
        </w:tc>
        <w:tc>
          <w:tcPr>
            <w:tcW w:w="603" w:type="pct"/>
            <w:vAlign w:val="center"/>
          </w:tcPr>
          <w:p w14:paraId="0053AAA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r>
      <w:tr w14:paraId="65BE5A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700" w:hRule="atLeast"/>
          <w:jc w:val="center"/>
        </w:trPr>
        <w:tc>
          <w:tcPr>
            <w:tcW w:w="647" w:type="pct"/>
            <w:vAlign w:val="center"/>
          </w:tcPr>
          <w:p w14:paraId="7EB22F8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钻前工程</w:t>
            </w:r>
          </w:p>
        </w:tc>
        <w:tc>
          <w:tcPr>
            <w:tcW w:w="326" w:type="pct"/>
            <w:vAlign w:val="center"/>
          </w:tcPr>
          <w:p w14:paraId="14D5E05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648" w:type="pct"/>
            <w:vAlign w:val="center"/>
          </w:tcPr>
          <w:p w14:paraId="6C0BB64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138" w:type="pct"/>
            <w:vAlign w:val="center"/>
          </w:tcPr>
          <w:p w14:paraId="185CB1B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耗氧量、氨氮、石油类等</w:t>
            </w:r>
          </w:p>
        </w:tc>
        <w:tc>
          <w:tcPr>
            <w:tcW w:w="765" w:type="pct"/>
            <w:vAlign w:val="center"/>
          </w:tcPr>
          <w:p w14:paraId="371B618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c>
          <w:tcPr>
            <w:tcW w:w="870" w:type="pct"/>
            <w:vAlign w:val="center"/>
          </w:tcPr>
          <w:p w14:paraId="30791E8F">
            <w:pPr>
              <w:pStyle w:val="280"/>
              <w:spacing w:line="300" w:lineRule="exact"/>
              <w:rPr>
                <w:rFonts w:hint="eastAsia"/>
                <w:color w:val="000000" w:themeColor="text1"/>
                <w:spacing w:val="-6"/>
                <w14:textFill>
                  <w14:solidFill>
                    <w14:schemeClr w14:val="tx1"/>
                  </w14:solidFill>
                </w14:textFill>
              </w:rPr>
            </w:pPr>
            <w:r>
              <w:rPr>
                <w:rFonts w:hint="eastAsia"/>
                <w:color w:val="000000" w:themeColor="text1"/>
                <w:spacing w:val="-2"/>
                <w14:textFill>
                  <w14:solidFill>
                    <w14:schemeClr w14:val="tx1"/>
                  </w14:solidFill>
                </w14:textFill>
              </w:rPr>
              <w:t>地表扰动面积及</w:t>
            </w:r>
            <w:r>
              <w:rPr>
                <w:rFonts w:hint="eastAsia"/>
                <w:color w:val="000000" w:themeColor="text1"/>
                <w14:textFill>
                  <w14:solidFill>
                    <w14:schemeClr w14:val="tx1"/>
                  </w14:solidFill>
                </w14:textFill>
              </w:rPr>
              <w:t>类型、生态系统完</w:t>
            </w:r>
            <w:r>
              <w:rPr>
                <w:rFonts w:hint="eastAsia"/>
                <w:color w:val="000000" w:themeColor="text1"/>
                <w:spacing w:val="-6"/>
                <w14:textFill>
                  <w14:solidFill>
                    <w14:schemeClr w14:val="tx1"/>
                  </w14:solidFill>
                </w14:textFill>
              </w:rPr>
              <w:t>整性</w:t>
            </w:r>
          </w:p>
        </w:tc>
        <w:tc>
          <w:tcPr>
            <w:tcW w:w="603" w:type="pct"/>
            <w:vAlign w:val="center"/>
          </w:tcPr>
          <w:p w14:paraId="3196155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2EEA3D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167" w:hRule="atLeast"/>
          <w:jc w:val="center"/>
        </w:trPr>
        <w:tc>
          <w:tcPr>
            <w:tcW w:w="647" w:type="pct"/>
            <w:vAlign w:val="center"/>
          </w:tcPr>
          <w:p w14:paraId="5297CA1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钻井工程</w:t>
            </w:r>
          </w:p>
        </w:tc>
        <w:tc>
          <w:tcPr>
            <w:tcW w:w="326" w:type="pct"/>
            <w:vAlign w:val="center"/>
          </w:tcPr>
          <w:p w14:paraId="2431CE7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648" w:type="pct"/>
            <w:vAlign w:val="center"/>
          </w:tcPr>
          <w:p w14:paraId="25C9B452">
            <w:pPr>
              <w:pStyle w:val="280"/>
              <w:spacing w:line="300" w:lineRule="exact"/>
              <w:rPr>
                <w:rFonts w:hint="eastAsia"/>
                <w:color w:val="000000" w:themeColor="text1"/>
                <w:spacing w:val="-2"/>
                <w14:textFill>
                  <w14:solidFill>
                    <w14:schemeClr w14:val="tx1"/>
                  </w14:solidFill>
                </w14:textFill>
              </w:rPr>
            </w:pPr>
            <w:r>
              <w:rPr>
                <w:color w:val="000000" w:themeColor="text1"/>
                <w:position w:val="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position w:val="1"/>
                <w14:textFill>
                  <w14:solidFill>
                    <w14:schemeClr w14:val="tx1"/>
                  </w14:solidFill>
                </w14:textFill>
              </w:rPr>
              <w:t>、</w:t>
            </w:r>
            <w:r>
              <w:rPr>
                <w:color w:val="000000" w:themeColor="text1"/>
                <w:position w:val="1"/>
                <w14:textFill>
                  <w14:solidFill>
                    <w14:schemeClr w14:val="tx1"/>
                  </w14:solidFill>
                </w14:textFill>
              </w:rPr>
              <w:t>NO</w:t>
            </w:r>
            <w:r>
              <w:rPr>
                <w:color w:val="000000" w:themeColor="text1"/>
                <w:vertAlign w:val="subscript"/>
                <w14:textFill>
                  <w14:solidFill>
                    <w14:schemeClr w14:val="tx1"/>
                  </w14:solidFill>
                </w14:textFill>
              </w:rPr>
              <w:t>X</w:t>
            </w:r>
            <w:r>
              <w:rPr>
                <w:rFonts w:hint="eastAsia"/>
                <w:color w:val="000000" w:themeColor="text1"/>
                <w:spacing w:val="-10"/>
                <w:position w:val="1"/>
                <w14:textFill>
                  <w14:solidFill>
                    <w14:schemeClr w14:val="tx1"/>
                  </w14:solidFill>
                </w14:textFill>
              </w:rPr>
              <w:t>、</w:t>
            </w:r>
            <w:r>
              <w:rPr>
                <w:rFonts w:hint="eastAsia"/>
                <w:color w:val="000000" w:themeColor="text1"/>
                <w:spacing w:val="-2"/>
                <w14:textFill>
                  <w14:solidFill>
                    <w14:schemeClr w14:val="tx1"/>
                  </w14:solidFill>
                </w14:textFill>
              </w:rPr>
              <w:t>非甲烷总烃</w:t>
            </w:r>
          </w:p>
        </w:tc>
        <w:tc>
          <w:tcPr>
            <w:tcW w:w="1138" w:type="pct"/>
            <w:vAlign w:val="center"/>
          </w:tcPr>
          <w:p w14:paraId="46177D83">
            <w:pPr>
              <w:pStyle w:val="280"/>
              <w:spacing w:line="300" w:lineRule="exact"/>
              <w:rPr>
                <w:rFonts w:hint="eastAsia"/>
                <w:color w:val="000000" w:themeColor="text1"/>
                <w:spacing w:val="-2"/>
                <w14:textFill>
                  <w14:solidFill>
                    <w14:schemeClr w14:val="tx1"/>
                  </w14:solidFill>
                </w14:textFill>
              </w:rPr>
            </w:pPr>
            <w:r>
              <w:rPr>
                <w:color w:val="000000" w:themeColor="text1"/>
                <w14:textFill>
                  <w14:solidFill>
                    <w14:schemeClr w14:val="tx1"/>
                  </w14:solidFill>
                </w14:textFill>
              </w:rPr>
              <w:t>pH</w:t>
            </w:r>
            <w:r>
              <w:rPr>
                <w:rFonts w:hint="eastAsia"/>
                <w:color w:val="000000" w:themeColor="text1"/>
                <w14:textFill>
                  <w14:solidFill>
                    <w14:schemeClr w14:val="tx1"/>
                  </w14:solidFill>
                </w14:textFill>
              </w:rPr>
              <w:t>值、挥发酚、耗氧量、</w:t>
            </w:r>
            <w:r>
              <w:rPr>
                <w:rFonts w:hint="eastAsia"/>
                <w:color w:val="000000" w:themeColor="text1"/>
                <w:spacing w:val="-2"/>
                <w14:textFill>
                  <w14:solidFill>
                    <w14:schemeClr w14:val="tx1"/>
                  </w14:solidFill>
                </w14:textFill>
              </w:rPr>
              <w:t>氨氮、硫化物、氯化物、石油类、总硬度、溶解性</w:t>
            </w:r>
            <w:r>
              <w:rPr>
                <w:rFonts w:hint="eastAsia"/>
                <w:color w:val="000000" w:themeColor="text1"/>
                <w14:textFill>
                  <w14:solidFill>
                    <w14:schemeClr w14:val="tx1"/>
                  </w14:solidFill>
                </w14:textFill>
              </w:rPr>
              <w:t>总固体、钡、汞、砷、六价铬等</w:t>
            </w:r>
          </w:p>
        </w:tc>
        <w:tc>
          <w:tcPr>
            <w:tcW w:w="765" w:type="pct"/>
            <w:vAlign w:val="center"/>
          </w:tcPr>
          <w:p w14:paraId="0E36EE9F">
            <w:pPr>
              <w:pStyle w:val="280"/>
              <w:spacing w:line="300" w:lineRule="exact"/>
              <w:rPr>
                <w:rFonts w:hint="eastAsia"/>
                <w:color w:val="000000" w:themeColor="text1"/>
                <w:spacing w:val="-7"/>
                <w14:textFill>
                  <w14:solidFill>
                    <w14:schemeClr w14:val="tx1"/>
                  </w14:solidFill>
                </w14:textFill>
              </w:rPr>
            </w:pPr>
            <w:r>
              <w:rPr>
                <w:color w:val="000000" w:themeColor="text1"/>
                <w:spacing w:val="-6"/>
                <w14:textFill>
                  <w14:solidFill>
                    <w14:schemeClr w14:val="tx1"/>
                  </w14:solidFill>
                </w14:textFill>
              </w:rPr>
              <w:t>pH</w:t>
            </w:r>
            <w:r>
              <w:rPr>
                <w:rFonts w:hint="eastAsia"/>
                <w:color w:val="000000" w:themeColor="text1"/>
                <w:spacing w:val="-7"/>
                <w14:textFill>
                  <w14:solidFill>
                    <w14:schemeClr w14:val="tx1"/>
                  </w14:solidFill>
                </w14:textFill>
              </w:rPr>
              <w:t>值、石油类、石油烃</w:t>
            </w:r>
            <w:r>
              <w:rPr>
                <w:rFonts w:hint="eastAsia"/>
                <w:color w:val="000000" w:themeColor="text1"/>
                <w:position w:val="1"/>
                <w14:textFill>
                  <w14:solidFill>
                    <w14:schemeClr w14:val="tx1"/>
                  </w14:solidFill>
                </w14:textFill>
              </w:rPr>
              <w:t>（</w:t>
            </w:r>
            <w:r>
              <w:rPr>
                <w:color w:val="000000" w:themeColor="text1"/>
                <w:position w:val="1"/>
                <w14:textFill>
                  <w14:solidFill>
                    <w14:schemeClr w14:val="tx1"/>
                  </w14:solidFill>
                </w14:textFill>
              </w:rPr>
              <w:t>C</w:t>
            </w:r>
            <w:r>
              <w:rPr>
                <w:color w:val="000000" w:themeColor="text1"/>
                <w:vertAlign w:val="subscript"/>
                <w14:textFill>
                  <w14:solidFill>
                    <w14:schemeClr w14:val="tx1"/>
                  </w14:solidFill>
                </w14:textFill>
              </w:rPr>
              <w:t>6</w:t>
            </w:r>
            <w:r>
              <w:rPr>
                <w:rFonts w:hint="eastAsia"/>
                <w:color w:val="000000" w:themeColor="text1"/>
                <w:position w:val="1"/>
                <w14:textFill>
                  <w14:solidFill>
                    <w14:schemeClr w14:val="tx1"/>
                  </w14:solidFill>
                </w14:textFill>
              </w:rPr>
              <w:t>～</w:t>
            </w:r>
            <w:r>
              <w:rPr>
                <w:color w:val="000000" w:themeColor="text1"/>
                <w:position w:val="1"/>
                <w14:textFill>
                  <w14:solidFill>
                    <w14:schemeClr w14:val="tx1"/>
                  </w14:solidFill>
                </w14:textFill>
              </w:rPr>
              <w:t>C</w:t>
            </w:r>
            <w:r>
              <w:rPr>
                <w:color w:val="000000" w:themeColor="text1"/>
                <w:vertAlign w:val="subscript"/>
                <w14:textFill>
                  <w14:solidFill>
                    <w14:schemeClr w14:val="tx1"/>
                  </w14:solidFill>
                </w14:textFill>
              </w:rPr>
              <w:t>9</w:t>
            </w:r>
            <w:r>
              <w:rPr>
                <w:rFonts w:hint="eastAsia"/>
                <w:color w:val="000000" w:themeColor="text1"/>
                <w:position w:val="1"/>
                <w14:textFill>
                  <w14:solidFill>
                    <w14:schemeClr w14:val="tx1"/>
                  </w14:solidFill>
                </w14:textFill>
              </w:rPr>
              <w:t>）、石油烃（</w:t>
            </w:r>
            <w:r>
              <w:rPr>
                <w:color w:val="000000" w:themeColor="text1"/>
                <w:position w:val="1"/>
                <w14:textFill>
                  <w14:solidFill>
                    <w14:schemeClr w14:val="tx1"/>
                  </w14:solidFill>
                </w14:textFill>
              </w:rPr>
              <w:t>C</w:t>
            </w:r>
            <w:r>
              <w:rPr>
                <w:color w:val="000000" w:themeColor="text1"/>
                <w:vertAlign w:val="subscript"/>
                <w14:textFill>
                  <w14:solidFill>
                    <w14:schemeClr w14:val="tx1"/>
                  </w14:solidFill>
                </w14:textFill>
              </w:rPr>
              <w:t>10</w:t>
            </w:r>
            <w:r>
              <w:rPr>
                <w:rFonts w:hint="eastAsia"/>
                <w:color w:val="000000" w:themeColor="text1"/>
                <w:position w:val="1"/>
                <w14:textFill>
                  <w14:solidFill>
                    <w14:schemeClr w14:val="tx1"/>
                  </w14:solidFill>
                </w14:textFill>
              </w:rPr>
              <w:t>～</w:t>
            </w:r>
            <w:r>
              <w:rPr>
                <w:color w:val="000000" w:themeColor="text1"/>
                <w:position w:val="1"/>
                <w14:textFill>
                  <w14:solidFill>
                    <w14:schemeClr w14:val="tx1"/>
                  </w14:solidFill>
                </w14:textFill>
              </w:rPr>
              <w:t>C</w:t>
            </w:r>
            <w:r>
              <w:rPr>
                <w:color w:val="000000" w:themeColor="text1"/>
                <w:vertAlign w:val="subscript"/>
                <w14:textFill>
                  <w14:solidFill>
                    <w14:schemeClr w14:val="tx1"/>
                  </w14:solidFill>
                </w14:textFill>
              </w:rPr>
              <w:t>40</w:t>
            </w:r>
            <w:r>
              <w:rPr>
                <w:rFonts w:hint="eastAsia"/>
                <w:color w:val="000000" w:themeColor="text1"/>
                <w:position w:val="1"/>
                <w14:textFill>
                  <w14:solidFill>
                    <w14:schemeClr w14:val="tx1"/>
                  </w14:solidFill>
                </w14:textFill>
              </w:rPr>
              <w:t>）、汞、砷、</w:t>
            </w:r>
            <w:r>
              <w:rPr>
                <w:rFonts w:hint="eastAsia"/>
                <w:color w:val="000000" w:themeColor="text1"/>
                <w:spacing w:val="-1"/>
                <w14:textFill>
                  <w14:solidFill>
                    <w14:schemeClr w14:val="tx1"/>
                  </w14:solidFill>
                </w14:textFill>
              </w:rPr>
              <w:t>六价铬、土壤盐分含量</w:t>
            </w:r>
            <w:r>
              <w:rPr>
                <w:rFonts w:hint="eastAsia"/>
                <w:color w:val="000000" w:themeColor="text1"/>
                <w14:textFill>
                  <w14:solidFill>
                    <w14:schemeClr w14:val="tx1"/>
                  </w14:solidFill>
                </w14:textFill>
              </w:rPr>
              <w:t>等</w:t>
            </w:r>
          </w:p>
        </w:tc>
        <w:tc>
          <w:tcPr>
            <w:tcW w:w="870" w:type="pct"/>
            <w:vAlign w:val="center"/>
          </w:tcPr>
          <w:p w14:paraId="6C6D100B">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c>
          <w:tcPr>
            <w:tcW w:w="603" w:type="pct"/>
            <w:vAlign w:val="center"/>
          </w:tcPr>
          <w:p w14:paraId="2F0D5E5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昼间、夜间等效连续A声级</w:t>
            </w:r>
            <w:r>
              <w:rPr>
                <w:rFonts w:hint="eastAsia"/>
                <w:color w:val="000000" w:themeColor="text1"/>
                <w:position w:val="1"/>
                <w14:textFill>
                  <w14:solidFill>
                    <w14:schemeClr w14:val="tx1"/>
                  </w14:solidFill>
                </w14:textFill>
              </w:rPr>
              <w:t>（</w:t>
            </w:r>
            <w:r>
              <w:rPr>
                <w:i/>
                <w:iCs/>
                <w:color w:val="000000" w:themeColor="text1"/>
                <w:position w:val="1"/>
                <w14:textFill>
                  <w14:solidFill>
                    <w14:schemeClr w14:val="tx1"/>
                  </w14:solidFill>
                </w14:textFill>
              </w:rPr>
              <w:t>L</w:t>
            </w:r>
            <w:r>
              <w:rPr>
                <w:color w:val="000000" w:themeColor="text1"/>
                <w:vertAlign w:val="subscript"/>
                <w14:textFill>
                  <w14:solidFill>
                    <w14:schemeClr w14:val="tx1"/>
                  </w14:solidFill>
                </w14:textFill>
              </w:rPr>
              <w:t>d</w:t>
            </w:r>
            <w:r>
              <w:rPr>
                <w:rFonts w:hint="eastAsia"/>
                <w:color w:val="000000" w:themeColor="text1"/>
                <w14:textFill>
                  <w14:solidFill>
                    <w14:schemeClr w14:val="tx1"/>
                  </w14:solidFill>
                </w14:textFill>
              </w:rPr>
              <w:t>、L</w:t>
            </w:r>
            <w:r>
              <w:rPr>
                <w:rFonts w:hint="eastAsia"/>
                <w:color w:val="000000" w:themeColor="text1"/>
                <w:vertAlign w:val="subscript"/>
                <w14:textFill>
                  <w14:solidFill>
                    <w14:schemeClr w14:val="tx1"/>
                  </w14:solidFill>
                </w14:textFill>
              </w:rPr>
              <w:t>n</w:t>
            </w:r>
            <w:r>
              <w:rPr>
                <w:rFonts w:hint="eastAsia"/>
                <w:color w:val="000000" w:themeColor="text1"/>
                <w:position w:val="1"/>
                <w14:textFill>
                  <w14:solidFill>
                    <w14:schemeClr w14:val="tx1"/>
                  </w14:solidFill>
                </w14:textFill>
              </w:rPr>
              <w:t>）</w:t>
            </w:r>
          </w:p>
        </w:tc>
      </w:tr>
      <w:tr w14:paraId="17AC54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770" w:hRule="atLeast"/>
          <w:jc w:val="center"/>
        </w:trPr>
        <w:tc>
          <w:tcPr>
            <w:tcW w:w="647" w:type="pct"/>
            <w:vAlign w:val="center"/>
          </w:tcPr>
          <w:p w14:paraId="6B42588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储层改造工程</w:t>
            </w:r>
          </w:p>
        </w:tc>
        <w:tc>
          <w:tcPr>
            <w:tcW w:w="326" w:type="pct"/>
            <w:vAlign w:val="center"/>
          </w:tcPr>
          <w:p w14:paraId="6B4C2C0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648" w:type="pct"/>
            <w:vAlign w:val="center"/>
          </w:tcPr>
          <w:p w14:paraId="64411C45">
            <w:pPr>
              <w:pStyle w:val="280"/>
              <w:spacing w:line="300" w:lineRule="exact"/>
              <w:rPr>
                <w:rFonts w:hint="eastAsia"/>
                <w:color w:val="000000" w:themeColor="text1"/>
                <w:spacing w:val="-10"/>
                <w:position w:val="1"/>
                <w14:textFill>
                  <w14:solidFill>
                    <w14:schemeClr w14:val="tx1"/>
                  </w14:solidFill>
                </w14:textFill>
              </w:rPr>
            </w:pPr>
            <w:r>
              <w:rPr>
                <w:color w:val="000000" w:themeColor="text1"/>
                <w:position w:val="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position w:val="1"/>
                <w14:textFill>
                  <w14:solidFill>
                    <w14:schemeClr w14:val="tx1"/>
                  </w14:solidFill>
                </w14:textFill>
              </w:rPr>
              <w:t>、</w:t>
            </w:r>
            <w:r>
              <w:rPr>
                <w:color w:val="000000" w:themeColor="text1"/>
                <w:position w:val="1"/>
                <w14:textFill>
                  <w14:solidFill>
                    <w14:schemeClr w14:val="tx1"/>
                  </w14:solidFill>
                </w14:textFill>
              </w:rPr>
              <w:t>NO</w:t>
            </w:r>
            <w:r>
              <w:rPr>
                <w:color w:val="000000" w:themeColor="text1"/>
                <w:vertAlign w:val="subscript"/>
                <w14:textFill>
                  <w14:solidFill>
                    <w14:schemeClr w14:val="tx1"/>
                  </w14:solidFill>
                </w14:textFill>
              </w:rPr>
              <w:t>X</w:t>
            </w:r>
            <w:r>
              <w:rPr>
                <w:rFonts w:hint="eastAsia"/>
                <w:color w:val="000000" w:themeColor="text1"/>
                <w:spacing w:val="-10"/>
                <w:position w:val="1"/>
                <w14:textFill>
                  <w14:solidFill>
                    <w14:schemeClr w14:val="tx1"/>
                  </w14:solidFill>
                </w14:textFill>
              </w:rPr>
              <w:t>、</w:t>
            </w:r>
            <w:r>
              <w:rPr>
                <w:rFonts w:hint="eastAsia"/>
                <w:color w:val="000000" w:themeColor="text1"/>
                <w14:textFill>
                  <w14:solidFill>
                    <w14:schemeClr w14:val="tx1"/>
                  </w14:solidFill>
                </w14:textFill>
              </w:rPr>
              <w:t>非甲烷总烃、硫化氢</w:t>
            </w:r>
          </w:p>
        </w:tc>
        <w:tc>
          <w:tcPr>
            <w:tcW w:w="1138" w:type="pct"/>
            <w:vAlign w:val="center"/>
          </w:tcPr>
          <w:p w14:paraId="30E6714A">
            <w:pPr>
              <w:pStyle w:val="280"/>
              <w:spacing w:line="300" w:lineRule="exact"/>
              <w:rPr>
                <w:rFonts w:hint="eastAsia"/>
                <w:color w:val="000000" w:themeColor="text1"/>
                <w:spacing w:val="-4"/>
                <w14:textFill>
                  <w14:solidFill>
                    <w14:schemeClr w14:val="tx1"/>
                  </w14:solidFill>
                </w14:textFill>
              </w:rPr>
            </w:pPr>
            <w:r>
              <w:rPr>
                <w:color w:val="000000" w:themeColor="text1"/>
                <w:spacing w:val="-4"/>
                <w14:textFill>
                  <w14:solidFill>
                    <w14:schemeClr w14:val="tx1"/>
                  </w14:solidFill>
                </w14:textFill>
              </w:rPr>
              <w:t>pH</w:t>
            </w:r>
            <w:r>
              <w:rPr>
                <w:rFonts w:hint="eastAsia"/>
                <w:color w:val="000000" w:themeColor="text1"/>
                <w:spacing w:val="-4"/>
                <w14:textFill>
                  <w14:solidFill>
                    <w14:schemeClr w14:val="tx1"/>
                  </w14:solidFill>
                </w14:textFill>
              </w:rPr>
              <w:t>值、挥发酚、耗氧量、</w:t>
            </w:r>
            <w:r>
              <w:rPr>
                <w:rFonts w:hint="eastAsia"/>
                <w:color w:val="000000" w:themeColor="text1"/>
                <w14:textFill>
                  <w14:solidFill>
                    <w14:schemeClr w14:val="tx1"/>
                  </w14:solidFill>
                </w14:textFill>
              </w:rPr>
              <w:t>氨氮、硫化物、氯化物、石油类、总硬度、溶解性总固体、钡、汞、砷、六</w:t>
            </w:r>
            <w:r>
              <w:rPr>
                <w:rFonts w:hint="eastAsia"/>
                <w:color w:val="000000" w:themeColor="text1"/>
                <w:spacing w:val="-4"/>
                <w14:textFill>
                  <w14:solidFill>
                    <w14:schemeClr w14:val="tx1"/>
                  </w14:solidFill>
                </w14:textFill>
              </w:rPr>
              <w:t>价铬等</w:t>
            </w:r>
          </w:p>
        </w:tc>
        <w:tc>
          <w:tcPr>
            <w:tcW w:w="765" w:type="pct"/>
            <w:vAlign w:val="center"/>
          </w:tcPr>
          <w:p w14:paraId="1394DEC8">
            <w:pPr>
              <w:pStyle w:val="280"/>
              <w:spacing w:line="300" w:lineRule="exact"/>
              <w:rPr>
                <w:rFonts w:hint="eastAsia"/>
                <w:color w:val="000000" w:themeColor="text1"/>
                <w:spacing w:val="-7"/>
                <w14:textFill>
                  <w14:solidFill>
                    <w14:schemeClr w14:val="tx1"/>
                  </w14:solidFill>
                </w14:textFill>
              </w:rPr>
            </w:pPr>
            <w:r>
              <w:rPr>
                <w:color w:val="000000" w:themeColor="text1"/>
                <w:spacing w:val="-6"/>
                <w14:textFill>
                  <w14:solidFill>
                    <w14:schemeClr w14:val="tx1"/>
                  </w14:solidFill>
                </w14:textFill>
              </w:rPr>
              <w:t>pH</w:t>
            </w:r>
            <w:r>
              <w:rPr>
                <w:rFonts w:hint="eastAsia"/>
                <w:color w:val="000000" w:themeColor="text1"/>
                <w:spacing w:val="-7"/>
                <w14:textFill>
                  <w14:solidFill>
                    <w14:schemeClr w14:val="tx1"/>
                  </w14:solidFill>
                </w14:textFill>
              </w:rPr>
              <w:t>值、石油类、石油烃</w:t>
            </w:r>
            <w:r>
              <w:rPr>
                <w:rFonts w:hint="eastAsia"/>
                <w:color w:val="000000" w:themeColor="text1"/>
                <w:position w:val="1"/>
                <w14:textFill>
                  <w14:solidFill>
                    <w14:schemeClr w14:val="tx1"/>
                  </w14:solidFill>
                </w14:textFill>
              </w:rPr>
              <w:t>（</w:t>
            </w:r>
            <w:r>
              <w:rPr>
                <w:color w:val="000000" w:themeColor="text1"/>
                <w:position w:val="1"/>
                <w14:textFill>
                  <w14:solidFill>
                    <w14:schemeClr w14:val="tx1"/>
                  </w14:solidFill>
                </w14:textFill>
              </w:rPr>
              <w:t>C</w:t>
            </w:r>
            <w:r>
              <w:rPr>
                <w:color w:val="000000" w:themeColor="text1"/>
                <w:vertAlign w:val="subscript"/>
                <w14:textFill>
                  <w14:solidFill>
                    <w14:schemeClr w14:val="tx1"/>
                  </w14:solidFill>
                </w14:textFill>
              </w:rPr>
              <w:t>6</w:t>
            </w:r>
            <w:r>
              <w:rPr>
                <w:rFonts w:hint="eastAsia"/>
                <w:color w:val="000000" w:themeColor="text1"/>
                <w:position w:val="1"/>
                <w14:textFill>
                  <w14:solidFill>
                    <w14:schemeClr w14:val="tx1"/>
                  </w14:solidFill>
                </w14:textFill>
              </w:rPr>
              <w:t>～</w:t>
            </w:r>
            <w:r>
              <w:rPr>
                <w:color w:val="000000" w:themeColor="text1"/>
                <w:position w:val="1"/>
                <w14:textFill>
                  <w14:solidFill>
                    <w14:schemeClr w14:val="tx1"/>
                  </w14:solidFill>
                </w14:textFill>
              </w:rPr>
              <w:t>C</w:t>
            </w:r>
            <w:r>
              <w:rPr>
                <w:color w:val="000000" w:themeColor="text1"/>
                <w:vertAlign w:val="subscript"/>
                <w14:textFill>
                  <w14:solidFill>
                    <w14:schemeClr w14:val="tx1"/>
                  </w14:solidFill>
                </w14:textFill>
              </w:rPr>
              <w:t>9</w:t>
            </w:r>
            <w:r>
              <w:rPr>
                <w:rFonts w:hint="eastAsia"/>
                <w:color w:val="000000" w:themeColor="text1"/>
                <w:position w:val="1"/>
                <w14:textFill>
                  <w14:solidFill>
                    <w14:schemeClr w14:val="tx1"/>
                  </w14:solidFill>
                </w14:textFill>
              </w:rPr>
              <w:t>）、石油烃（</w:t>
            </w:r>
            <w:r>
              <w:rPr>
                <w:color w:val="000000" w:themeColor="text1"/>
                <w:position w:val="1"/>
                <w14:textFill>
                  <w14:solidFill>
                    <w14:schemeClr w14:val="tx1"/>
                  </w14:solidFill>
                </w14:textFill>
              </w:rPr>
              <w:t>C</w:t>
            </w:r>
            <w:r>
              <w:rPr>
                <w:color w:val="000000" w:themeColor="text1"/>
                <w:vertAlign w:val="subscript"/>
                <w14:textFill>
                  <w14:solidFill>
                    <w14:schemeClr w14:val="tx1"/>
                  </w14:solidFill>
                </w14:textFill>
              </w:rPr>
              <w:t>10</w:t>
            </w:r>
            <w:r>
              <w:rPr>
                <w:rFonts w:hint="eastAsia"/>
                <w:color w:val="000000" w:themeColor="text1"/>
                <w:position w:val="1"/>
                <w14:textFill>
                  <w14:solidFill>
                    <w14:schemeClr w14:val="tx1"/>
                  </w14:solidFill>
                </w14:textFill>
              </w:rPr>
              <w:t>～</w:t>
            </w:r>
            <w:r>
              <w:rPr>
                <w:color w:val="000000" w:themeColor="text1"/>
                <w:position w:val="1"/>
                <w14:textFill>
                  <w14:solidFill>
                    <w14:schemeClr w14:val="tx1"/>
                  </w14:solidFill>
                </w14:textFill>
              </w:rPr>
              <w:t>C</w:t>
            </w:r>
            <w:r>
              <w:rPr>
                <w:color w:val="000000" w:themeColor="text1"/>
                <w:vertAlign w:val="subscript"/>
                <w14:textFill>
                  <w14:solidFill>
                    <w14:schemeClr w14:val="tx1"/>
                  </w14:solidFill>
                </w14:textFill>
              </w:rPr>
              <w:t>40</w:t>
            </w:r>
            <w:r>
              <w:rPr>
                <w:rFonts w:hint="eastAsia"/>
                <w:color w:val="000000" w:themeColor="text1"/>
                <w:position w:val="1"/>
                <w14:textFill>
                  <w14:solidFill>
                    <w14:schemeClr w14:val="tx1"/>
                  </w14:solidFill>
                </w14:textFill>
              </w:rPr>
              <w:t>）、汞、砷、</w:t>
            </w:r>
            <w:r>
              <w:rPr>
                <w:rFonts w:hint="eastAsia"/>
                <w:color w:val="000000" w:themeColor="text1"/>
                <w14:textFill>
                  <w14:solidFill>
                    <w14:schemeClr w14:val="tx1"/>
                  </w14:solidFill>
                </w14:textFill>
              </w:rPr>
              <w:t>六价铬、土壤盐分含量</w:t>
            </w:r>
            <w:r>
              <w:rPr>
                <w:rFonts w:hint="eastAsia"/>
                <w:color w:val="000000" w:themeColor="text1"/>
                <w:spacing w:val="-10"/>
                <w14:textFill>
                  <w14:solidFill>
                    <w14:schemeClr w14:val="tx1"/>
                  </w14:solidFill>
                </w14:textFill>
              </w:rPr>
              <w:t>等</w:t>
            </w:r>
          </w:p>
        </w:tc>
        <w:tc>
          <w:tcPr>
            <w:tcW w:w="870" w:type="pct"/>
            <w:vAlign w:val="center"/>
          </w:tcPr>
          <w:p w14:paraId="5133494A">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c>
          <w:tcPr>
            <w:tcW w:w="603" w:type="pct"/>
            <w:vAlign w:val="center"/>
          </w:tcPr>
          <w:p w14:paraId="378F834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昼间、夜间等效连续A声级</w:t>
            </w:r>
            <w:r>
              <w:rPr>
                <w:rFonts w:hint="eastAsia"/>
                <w:color w:val="000000" w:themeColor="text1"/>
                <w:position w:val="1"/>
                <w14:textFill>
                  <w14:solidFill>
                    <w14:schemeClr w14:val="tx1"/>
                  </w14:solidFill>
                </w14:textFill>
              </w:rPr>
              <w:t>（</w:t>
            </w:r>
            <w:r>
              <w:rPr>
                <w:i/>
                <w:iCs/>
                <w:color w:val="000000" w:themeColor="text1"/>
                <w:position w:val="1"/>
                <w14:textFill>
                  <w14:solidFill>
                    <w14:schemeClr w14:val="tx1"/>
                  </w14:solidFill>
                </w14:textFill>
              </w:rPr>
              <w:t>L</w:t>
            </w:r>
            <w:r>
              <w:rPr>
                <w:color w:val="000000" w:themeColor="text1"/>
                <w:vertAlign w:val="subscript"/>
                <w14:textFill>
                  <w14:solidFill>
                    <w14:schemeClr w14:val="tx1"/>
                  </w14:solidFill>
                </w14:textFill>
              </w:rPr>
              <w:t>d</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L</w:t>
            </w:r>
            <w:r>
              <w:rPr>
                <w:rFonts w:hint="eastAsia"/>
                <w:color w:val="000000" w:themeColor="text1"/>
                <w:vertAlign w:val="subscript"/>
                <w14:textFill>
                  <w14:solidFill>
                    <w14:schemeClr w14:val="tx1"/>
                  </w14:solidFill>
                </w14:textFill>
              </w:rPr>
              <w:t>n</w:t>
            </w:r>
            <w:r>
              <w:rPr>
                <w:rFonts w:hint="eastAsia"/>
                <w:color w:val="000000" w:themeColor="text1"/>
                <w:position w:val="1"/>
                <w14:textFill>
                  <w14:solidFill>
                    <w14:schemeClr w14:val="tx1"/>
                  </w14:solidFill>
                </w14:textFill>
              </w:rPr>
              <w:t>）</w:t>
            </w:r>
          </w:p>
        </w:tc>
      </w:tr>
      <w:tr w14:paraId="622B3A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62" w:hRule="atLeast"/>
          <w:jc w:val="center"/>
        </w:trPr>
        <w:tc>
          <w:tcPr>
            <w:tcW w:w="647" w:type="pct"/>
            <w:vMerge w:val="restart"/>
            <w:vAlign w:val="center"/>
          </w:tcPr>
          <w:p w14:paraId="49316E5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油气集输工程</w:t>
            </w:r>
          </w:p>
        </w:tc>
        <w:tc>
          <w:tcPr>
            <w:tcW w:w="326" w:type="pct"/>
            <w:vAlign w:val="center"/>
          </w:tcPr>
          <w:p w14:paraId="0862C4E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648" w:type="pct"/>
            <w:vAlign w:val="center"/>
          </w:tcPr>
          <w:p w14:paraId="50291F8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138" w:type="pct"/>
            <w:vAlign w:val="center"/>
          </w:tcPr>
          <w:p w14:paraId="54AB1B5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耗氧量、氨氮、石油类等</w:t>
            </w:r>
          </w:p>
        </w:tc>
        <w:tc>
          <w:tcPr>
            <w:tcW w:w="765" w:type="pct"/>
            <w:vAlign w:val="center"/>
          </w:tcPr>
          <w:p w14:paraId="4344B34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c>
          <w:tcPr>
            <w:tcW w:w="870" w:type="pct"/>
            <w:vAlign w:val="center"/>
          </w:tcPr>
          <w:p w14:paraId="3D9E2FA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地表扰动面积及类型、植被覆盖度、生物量损失、</w:t>
            </w:r>
            <w:r>
              <w:rPr>
                <w:rFonts w:hint="eastAsia"/>
                <w:color w:val="000000" w:themeColor="text1"/>
                <w:spacing w:val="-9"/>
                <w14:textFill>
                  <w14:solidFill>
                    <w14:schemeClr w14:val="tx1"/>
                  </w14:solidFill>
                </w14:textFill>
              </w:rPr>
              <w:t>物种多样性、生态</w:t>
            </w:r>
            <w:r>
              <w:rPr>
                <w:rFonts w:hint="eastAsia"/>
                <w:color w:val="000000" w:themeColor="text1"/>
                <w14:textFill>
                  <w14:solidFill>
                    <w14:schemeClr w14:val="tx1"/>
                  </w14:solidFill>
                </w14:textFill>
              </w:rPr>
              <w:t>系统完整性等</w:t>
            </w:r>
          </w:p>
        </w:tc>
        <w:tc>
          <w:tcPr>
            <w:tcW w:w="603" w:type="pct"/>
            <w:vAlign w:val="center"/>
          </w:tcPr>
          <w:p w14:paraId="78975F2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54F9B6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763" w:hRule="atLeast"/>
          <w:jc w:val="center"/>
        </w:trPr>
        <w:tc>
          <w:tcPr>
            <w:tcW w:w="647" w:type="pct"/>
            <w:vMerge w:val="continue"/>
            <w:vAlign w:val="center"/>
          </w:tcPr>
          <w:p w14:paraId="2F5F1CE7">
            <w:pPr>
              <w:pStyle w:val="280"/>
              <w:spacing w:line="300" w:lineRule="exact"/>
              <w:rPr>
                <w:rFonts w:hint="eastAsia"/>
                <w:color w:val="000000" w:themeColor="text1"/>
                <w14:textFill>
                  <w14:solidFill>
                    <w14:schemeClr w14:val="tx1"/>
                  </w14:solidFill>
                </w14:textFill>
              </w:rPr>
            </w:pPr>
          </w:p>
        </w:tc>
        <w:tc>
          <w:tcPr>
            <w:tcW w:w="326" w:type="pct"/>
            <w:vAlign w:val="center"/>
          </w:tcPr>
          <w:p w14:paraId="6EE4A062">
            <w:pPr>
              <w:pStyle w:val="280"/>
              <w:spacing w:line="300" w:lineRule="exact"/>
              <w:rPr>
                <w:rFonts w:hint="eastAsia" w:cs="黑体"/>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tc>
        <w:tc>
          <w:tcPr>
            <w:tcW w:w="648" w:type="pct"/>
            <w:vAlign w:val="center"/>
          </w:tcPr>
          <w:p w14:paraId="53E9C0F8">
            <w:pPr>
              <w:pStyle w:val="280"/>
              <w:spacing w:line="300" w:lineRule="exact"/>
              <w:rPr>
                <w:rFonts w:hint="eastAsia"/>
                <w:color w:val="000000" w:themeColor="text1"/>
                <w:spacing w:val="-10"/>
                <w:position w:val="1"/>
                <w14:textFill>
                  <w14:solidFill>
                    <w14:schemeClr w14:val="tx1"/>
                  </w14:solidFill>
                </w14:textFill>
              </w:rPr>
            </w:pPr>
            <w:r>
              <w:rPr>
                <w:color w:val="000000" w:themeColor="text1"/>
                <w:position w:val="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position w:val="1"/>
                <w14:textFill>
                  <w14:solidFill>
                    <w14:schemeClr w14:val="tx1"/>
                  </w14:solidFill>
                </w14:textFill>
              </w:rPr>
              <w:t>、</w:t>
            </w:r>
            <w:r>
              <w:rPr>
                <w:color w:val="000000" w:themeColor="text1"/>
                <w:position w:val="1"/>
                <w14:textFill>
                  <w14:solidFill>
                    <w14:schemeClr w14:val="tx1"/>
                  </w14:solidFill>
                </w14:textFill>
              </w:rPr>
              <w:t>NO</w:t>
            </w:r>
            <w:r>
              <w:rPr>
                <w:color w:val="000000" w:themeColor="text1"/>
                <w:vertAlign w:val="subscript"/>
                <w14:textFill>
                  <w14:solidFill>
                    <w14:schemeClr w14:val="tx1"/>
                  </w14:solidFill>
                </w14:textFill>
              </w:rPr>
              <w:t>X</w:t>
            </w:r>
            <w:r>
              <w:rPr>
                <w:rFonts w:hint="eastAsia"/>
                <w:color w:val="000000" w:themeColor="text1"/>
                <w:spacing w:val="-10"/>
                <w:position w:val="1"/>
                <w14:textFill>
                  <w14:solidFill>
                    <w14:schemeClr w14:val="tx1"/>
                  </w14:solidFill>
                </w14:textFill>
              </w:rPr>
              <w:t>、</w:t>
            </w:r>
            <w:r>
              <w:rPr>
                <w:rFonts w:hint="eastAsia"/>
                <w:color w:val="000000" w:themeColor="text1"/>
                <w:spacing w:val="-2"/>
                <w14:textFill>
                  <w14:solidFill>
                    <w14:schemeClr w14:val="tx1"/>
                  </w14:solidFill>
                </w14:textFill>
              </w:rPr>
              <w:t>硫化氢、非</w:t>
            </w:r>
            <w:r>
              <w:rPr>
                <w:rFonts w:hint="eastAsia"/>
                <w:color w:val="000000" w:themeColor="text1"/>
                <w:spacing w:val="-4"/>
                <w14:textFill>
                  <w14:solidFill>
                    <w14:schemeClr w14:val="tx1"/>
                  </w14:solidFill>
                </w14:textFill>
              </w:rPr>
              <w:t>甲烷总烃</w:t>
            </w:r>
          </w:p>
        </w:tc>
        <w:tc>
          <w:tcPr>
            <w:tcW w:w="1138" w:type="pct"/>
            <w:vAlign w:val="center"/>
          </w:tcPr>
          <w:p w14:paraId="499CBD30">
            <w:pPr>
              <w:pStyle w:val="280"/>
              <w:spacing w:line="300" w:lineRule="exact"/>
              <w:rPr>
                <w:rFonts w:hint="eastAsia" w:cs="黑体"/>
                <w:color w:val="000000" w:themeColor="text1"/>
                <w14:textFill>
                  <w14:solidFill>
                    <w14:schemeClr w14:val="tx1"/>
                  </w14:solidFill>
                </w14:textFill>
              </w:rPr>
            </w:pPr>
            <w:r>
              <w:rPr>
                <w:rFonts w:hint="eastAsia"/>
                <w:color w:val="000000" w:themeColor="text1"/>
                <w14:textFill>
                  <w14:solidFill>
                    <w14:schemeClr w14:val="tx1"/>
                  </w14:solidFill>
                </w14:textFill>
              </w:rPr>
              <w:t>耗氧量、氨氮、石油类等</w:t>
            </w:r>
          </w:p>
        </w:tc>
        <w:tc>
          <w:tcPr>
            <w:tcW w:w="765" w:type="pct"/>
            <w:vAlign w:val="center"/>
          </w:tcPr>
          <w:p w14:paraId="1D12C523">
            <w:pPr>
              <w:pStyle w:val="280"/>
              <w:spacing w:line="300" w:lineRule="exact"/>
              <w:rPr>
                <w:rFonts w:hint="eastAsia" w:cs="黑体"/>
                <w:color w:val="000000" w:themeColor="text1"/>
                <w14:textFill>
                  <w14:solidFill>
                    <w14:schemeClr w14:val="tx1"/>
                  </w14:solidFill>
                </w14:textFill>
              </w:rPr>
            </w:pPr>
            <w:r>
              <w:rPr>
                <w:rFonts w:hint="eastAsia"/>
                <w:color w:val="000000" w:themeColor="text1"/>
                <w14:textFill>
                  <w14:solidFill>
                    <w14:schemeClr w14:val="tx1"/>
                  </w14:solidFill>
                </w14:textFill>
              </w:rPr>
              <w:t>石油烃和含盐量</w:t>
            </w:r>
          </w:p>
        </w:tc>
        <w:tc>
          <w:tcPr>
            <w:tcW w:w="870" w:type="pct"/>
            <w:vAlign w:val="center"/>
          </w:tcPr>
          <w:p w14:paraId="74219C5D">
            <w:pPr>
              <w:pStyle w:val="280"/>
              <w:spacing w:line="300" w:lineRule="exact"/>
              <w:rPr>
                <w:rFonts w:hint="eastAsia" w:cs="黑体"/>
                <w:color w:val="000000" w:themeColor="text1"/>
                <w14:textFill>
                  <w14:solidFill>
                    <w14:schemeClr w14:val="tx1"/>
                  </w14:solidFill>
                </w14:textFill>
              </w:rPr>
            </w:pPr>
            <w:r>
              <w:rPr>
                <w:rFonts w:hint="eastAsia"/>
                <w:color w:val="000000" w:themeColor="text1"/>
                <w:spacing w:val="-2"/>
                <w14:textFill>
                  <w14:solidFill>
                    <w14:schemeClr w14:val="tx1"/>
                  </w14:solidFill>
                </w14:textFill>
              </w:rPr>
              <w:t>土壤肥力</w:t>
            </w:r>
            <w:r>
              <w:rPr>
                <w:rFonts w:hint="eastAsia"/>
                <w:color w:val="000000" w:themeColor="text1"/>
                <w:spacing w:val="-9"/>
                <w14:textFill>
                  <w14:solidFill>
                    <w14:schemeClr w14:val="tx1"/>
                  </w14:solidFill>
                </w14:textFill>
              </w:rPr>
              <w:t>、生物多</w:t>
            </w:r>
            <w:r>
              <w:rPr>
                <w:rFonts w:hint="eastAsia"/>
                <w:color w:val="000000" w:themeColor="text1"/>
                <w14:textFill>
                  <w14:solidFill>
                    <w14:schemeClr w14:val="tx1"/>
                  </w14:solidFill>
                </w14:textFill>
              </w:rPr>
              <w:t>样性、生态系统完</w:t>
            </w:r>
            <w:r>
              <w:rPr>
                <w:rFonts w:hint="eastAsia"/>
                <w:color w:val="000000" w:themeColor="text1"/>
                <w:spacing w:val="-4"/>
                <w14:textFill>
                  <w14:solidFill>
                    <w14:schemeClr w14:val="tx1"/>
                  </w14:solidFill>
                </w14:textFill>
              </w:rPr>
              <w:t>整性等</w:t>
            </w:r>
          </w:p>
        </w:tc>
        <w:tc>
          <w:tcPr>
            <w:tcW w:w="603" w:type="pct"/>
            <w:vAlign w:val="center"/>
          </w:tcPr>
          <w:p w14:paraId="4878950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昼间、夜间等效连续A声级</w:t>
            </w:r>
            <w:r>
              <w:rPr>
                <w:rFonts w:hint="eastAsia"/>
                <w:color w:val="000000" w:themeColor="text1"/>
                <w:position w:val="1"/>
                <w14:textFill>
                  <w14:solidFill>
                    <w14:schemeClr w14:val="tx1"/>
                  </w14:solidFill>
                </w14:textFill>
              </w:rPr>
              <w:t>（</w:t>
            </w:r>
            <w:r>
              <w:rPr>
                <w:i/>
                <w:iCs/>
                <w:color w:val="000000" w:themeColor="text1"/>
                <w:position w:val="1"/>
                <w14:textFill>
                  <w14:solidFill>
                    <w14:schemeClr w14:val="tx1"/>
                  </w14:solidFill>
                </w14:textFill>
              </w:rPr>
              <w:t>L</w:t>
            </w:r>
            <w:r>
              <w:rPr>
                <w:color w:val="000000" w:themeColor="text1"/>
                <w:vertAlign w:val="subscript"/>
                <w14:textFill>
                  <w14:solidFill>
                    <w14:schemeClr w14:val="tx1"/>
                  </w14:solidFill>
                </w14:textFill>
              </w:rPr>
              <w:t>d</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L</w:t>
            </w:r>
            <w:r>
              <w:rPr>
                <w:rFonts w:hint="eastAsia"/>
                <w:color w:val="000000" w:themeColor="text1"/>
                <w:vertAlign w:val="subscript"/>
                <w14:textFill>
                  <w14:solidFill>
                    <w14:schemeClr w14:val="tx1"/>
                  </w14:solidFill>
                </w14:textFill>
              </w:rPr>
              <w:t>n</w:t>
            </w:r>
            <w:r>
              <w:rPr>
                <w:rFonts w:hint="eastAsia"/>
                <w:color w:val="000000" w:themeColor="text1"/>
                <w:position w:val="1"/>
                <w14:textFill>
                  <w14:solidFill>
                    <w14:schemeClr w14:val="tx1"/>
                  </w14:solidFill>
                </w14:textFill>
              </w:rPr>
              <w:t>）</w:t>
            </w:r>
          </w:p>
        </w:tc>
      </w:tr>
      <w:tr w14:paraId="5FD735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763" w:hRule="atLeast"/>
          <w:jc w:val="center"/>
        </w:trPr>
        <w:tc>
          <w:tcPr>
            <w:tcW w:w="973" w:type="pct"/>
            <w:gridSpan w:val="2"/>
            <w:vAlign w:val="center"/>
          </w:tcPr>
          <w:p w14:paraId="0AE5176E">
            <w:pPr>
              <w:pStyle w:val="526"/>
              <w:adjustRightInd w:val="0"/>
              <w:snapToGrid w:val="0"/>
              <w:rPr>
                <w:rFonts w:hint="eastAsia"/>
                <w:color w:val="000000" w:themeColor="text1"/>
                <w14:textFill>
                  <w14:solidFill>
                    <w14:schemeClr w14:val="tx1"/>
                  </w14:solidFill>
                </w14:textFill>
              </w:rPr>
            </w:pPr>
            <w:bookmarkStart w:id="81" w:name="_Toc445996329"/>
            <w:bookmarkStart w:id="82" w:name="_Ref475267067"/>
            <w:bookmarkStart w:id="83" w:name="_Toc445841967"/>
            <w:bookmarkStart w:id="84" w:name="_Toc12409"/>
            <w:bookmarkStart w:id="85" w:name="_Ref475267069"/>
            <w:r>
              <w:rPr>
                <w:rFonts w:hint="eastAsia" w:cs="黑体"/>
                <w:color w:val="000000" w:themeColor="text1"/>
                <w14:textFill>
                  <w14:solidFill>
                    <w14:schemeClr w14:val="tx1"/>
                  </w14:solidFill>
                </w14:textFill>
                <w14:ligatures w14:val="standardContextual"/>
              </w:rPr>
              <w:t>退役期</w:t>
            </w:r>
          </w:p>
        </w:tc>
        <w:tc>
          <w:tcPr>
            <w:tcW w:w="648" w:type="pct"/>
            <w:vAlign w:val="center"/>
          </w:tcPr>
          <w:p w14:paraId="11C0A078">
            <w:pPr>
              <w:pStyle w:val="526"/>
              <w:adjustRightInd w:val="0"/>
              <w:snapToGrid w:val="0"/>
              <w:rPr>
                <w:rFonts w:hint="eastAsia"/>
                <w:color w:val="000000" w:themeColor="text1"/>
                <w:position w:val="1"/>
                <w14:textFill>
                  <w14:solidFill>
                    <w14:schemeClr w14:val="tx1"/>
                  </w14:solidFill>
                </w14:textFill>
              </w:rPr>
            </w:pPr>
            <w:r>
              <w:rPr>
                <w:rFonts w:hint="eastAsia" w:cstheme="minorBidi"/>
                <w:color w:val="000000" w:themeColor="text1"/>
                <w:spacing w:val="-4"/>
                <w14:textFill>
                  <w14:solidFill>
                    <w14:schemeClr w14:val="tx1"/>
                  </w14:solidFill>
                </w14:textFill>
                <w14:ligatures w14:val="standardContextual"/>
              </w:rPr>
              <w:t>颗粒物</w:t>
            </w:r>
          </w:p>
        </w:tc>
        <w:tc>
          <w:tcPr>
            <w:tcW w:w="1138" w:type="pct"/>
            <w:vAlign w:val="center"/>
          </w:tcPr>
          <w:p w14:paraId="25D8D657">
            <w:pPr>
              <w:pStyle w:val="526"/>
              <w:adjustRightInd w:val="0"/>
              <w:snapToGrid w:val="0"/>
              <w:rPr>
                <w:rFonts w:hint="eastAsia"/>
                <w:color w:val="000000" w:themeColor="text1"/>
                <w14:textFill>
                  <w14:solidFill>
                    <w14:schemeClr w14:val="tx1"/>
                  </w14:solidFill>
                </w14:textFill>
              </w:rPr>
            </w:pPr>
            <w:r>
              <w:rPr>
                <w:rFonts w:hint="eastAsia" w:cstheme="minorBidi"/>
                <w:color w:val="000000" w:themeColor="text1"/>
                <w:spacing w:val="-5"/>
                <w14:textFill>
                  <w14:solidFill>
                    <w14:schemeClr w14:val="tx1"/>
                  </w14:solidFill>
                </w14:textFill>
                <w14:ligatures w14:val="standardContextual"/>
              </w:rPr>
              <w:t>耗氧量、氨氮、石油类等</w:t>
            </w:r>
          </w:p>
        </w:tc>
        <w:tc>
          <w:tcPr>
            <w:tcW w:w="765" w:type="pct"/>
            <w:vAlign w:val="center"/>
          </w:tcPr>
          <w:p w14:paraId="0AA38AAB">
            <w:pPr>
              <w:pStyle w:val="526"/>
              <w:adjustRightInd w:val="0"/>
              <w:snapToGrid w:val="0"/>
              <w:rPr>
                <w:rFonts w:hint="eastAsia"/>
                <w:color w:val="000000" w:themeColor="text1"/>
                <w14:textFill>
                  <w14:solidFill>
                    <w14:schemeClr w14:val="tx1"/>
                  </w14:solidFill>
                </w14:textFill>
              </w:rPr>
            </w:pPr>
            <w:r>
              <w:rPr>
                <w:rFonts w:hint="eastAsia" w:cstheme="minorBidi"/>
                <w:color w:val="000000" w:themeColor="text1"/>
                <w14:textFill>
                  <w14:solidFill>
                    <w14:schemeClr w14:val="tx1"/>
                  </w14:solidFill>
                </w14:textFill>
                <w14:ligatures w14:val="standardContextual"/>
              </w:rPr>
              <w:t>/</w:t>
            </w:r>
          </w:p>
        </w:tc>
        <w:tc>
          <w:tcPr>
            <w:tcW w:w="870" w:type="pct"/>
            <w:vAlign w:val="center"/>
          </w:tcPr>
          <w:p w14:paraId="3F0B8B67">
            <w:pPr>
              <w:pStyle w:val="526"/>
              <w:adjustRightInd w:val="0"/>
              <w:snapToGrid w:val="0"/>
              <w:rPr>
                <w:rFonts w:hint="eastAsia"/>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地表扰动面积及类型、植被覆盖度、生物量损失、</w:t>
            </w:r>
            <w:r>
              <w:rPr>
                <w:rFonts w:hint="eastAsia"/>
                <w:color w:val="000000" w:themeColor="text1"/>
                <w:spacing w:val="-9"/>
                <w14:textFill>
                  <w14:solidFill>
                    <w14:schemeClr w14:val="tx1"/>
                  </w14:solidFill>
                </w14:textFill>
              </w:rPr>
              <w:t>物种多样性、生态</w:t>
            </w:r>
            <w:r>
              <w:rPr>
                <w:rFonts w:hint="eastAsia"/>
                <w:color w:val="000000" w:themeColor="text1"/>
                <w:spacing w:val="-2"/>
                <w14:textFill>
                  <w14:solidFill>
                    <w14:schemeClr w14:val="tx1"/>
                  </w14:solidFill>
                </w14:textFill>
              </w:rPr>
              <w:t>系统完整性</w:t>
            </w:r>
            <w:r>
              <w:rPr>
                <w:rFonts w:hint="eastAsia"/>
                <w:color w:val="000000" w:themeColor="text1"/>
                <w:spacing w:val="-10"/>
                <w14:textFill>
                  <w14:solidFill>
                    <w14:schemeClr w14:val="tx1"/>
                  </w14:solidFill>
                </w14:textFill>
              </w:rPr>
              <w:t>等</w:t>
            </w:r>
          </w:p>
        </w:tc>
        <w:tc>
          <w:tcPr>
            <w:tcW w:w="603" w:type="pct"/>
            <w:vAlign w:val="center"/>
          </w:tcPr>
          <w:p w14:paraId="38EFBA9F">
            <w:pPr>
              <w:pStyle w:val="526"/>
              <w:adjustRightInd w:val="0"/>
              <w:snapToGrid w:val="0"/>
              <w:rPr>
                <w:rFonts w:hint="eastAsia"/>
                <w:color w:val="000000" w:themeColor="text1"/>
                <w14:textFill>
                  <w14:solidFill>
                    <w14:schemeClr w14:val="tx1"/>
                  </w14:solidFill>
                </w14:textFill>
              </w:rPr>
            </w:pPr>
            <w:r>
              <w:rPr>
                <w:rFonts w:hint="eastAsia"/>
                <w:color w:val="000000" w:themeColor="text1"/>
                <w:spacing w:val="-2"/>
                <w14:textFill>
                  <w14:solidFill>
                    <w14:schemeClr w14:val="tx1"/>
                  </w14:solidFill>
                </w14:textFill>
              </w:rPr>
              <w:t>昼间等效声级</w:t>
            </w:r>
            <w:r>
              <w:rPr>
                <w:rFonts w:hint="eastAsia"/>
                <w:color w:val="000000" w:themeColor="text1"/>
                <w:spacing w:val="-2"/>
                <w:position w:val="1"/>
                <w14:textFill>
                  <w14:solidFill>
                    <w14:schemeClr w14:val="tx1"/>
                  </w14:solidFill>
                </w14:textFill>
              </w:rPr>
              <w:t>（</w:t>
            </w:r>
            <w:r>
              <w:rPr>
                <w:i/>
                <w:iCs/>
                <w:color w:val="000000" w:themeColor="text1"/>
                <w:spacing w:val="-2"/>
                <w:position w:val="1"/>
                <w14:textFill>
                  <w14:solidFill>
                    <w14:schemeClr w14:val="tx1"/>
                  </w14:solidFill>
                </w14:textFill>
              </w:rPr>
              <w:t>L</w:t>
            </w:r>
            <w:r>
              <w:rPr>
                <w:color w:val="000000" w:themeColor="text1"/>
                <w:spacing w:val="-2"/>
                <w:vertAlign w:val="subscript"/>
                <w14:textFill>
                  <w14:solidFill>
                    <w14:schemeClr w14:val="tx1"/>
                  </w14:solidFill>
                </w14:textFill>
              </w:rPr>
              <w:t>d</w:t>
            </w:r>
            <w:r>
              <w:rPr>
                <w:rFonts w:hint="eastAsia"/>
                <w:color w:val="000000" w:themeColor="text1"/>
                <w:spacing w:val="-2"/>
                <w:position w:val="1"/>
                <w14:textFill>
                  <w14:solidFill>
                    <w14:schemeClr w14:val="tx1"/>
                  </w14:solidFill>
                </w14:textFill>
              </w:rPr>
              <w:t>）、夜间</w:t>
            </w:r>
            <w:r>
              <w:rPr>
                <w:rFonts w:hint="eastAsia"/>
                <w:color w:val="000000" w:themeColor="text1"/>
                <w:spacing w:val="-4"/>
                <w:position w:val="1"/>
                <w14:textFill>
                  <w14:solidFill>
                    <w14:schemeClr w14:val="tx1"/>
                  </w14:solidFill>
                </w14:textFill>
              </w:rPr>
              <w:t>等效声级（</w:t>
            </w:r>
            <w:r>
              <w:rPr>
                <w:i/>
                <w:iCs/>
                <w:color w:val="000000" w:themeColor="text1"/>
                <w:spacing w:val="-4"/>
                <w:position w:val="1"/>
                <w14:textFill>
                  <w14:solidFill>
                    <w14:schemeClr w14:val="tx1"/>
                  </w14:solidFill>
                </w14:textFill>
              </w:rPr>
              <w:t>L</w:t>
            </w:r>
            <w:r>
              <w:rPr>
                <w:color w:val="000000" w:themeColor="text1"/>
                <w:spacing w:val="-4"/>
                <w:vertAlign w:val="subscript"/>
                <w14:textFill>
                  <w14:solidFill>
                    <w14:schemeClr w14:val="tx1"/>
                  </w14:solidFill>
                </w14:textFill>
              </w:rPr>
              <w:t>n</w:t>
            </w:r>
            <w:r>
              <w:rPr>
                <w:rFonts w:hint="eastAsia"/>
                <w:color w:val="000000" w:themeColor="text1"/>
                <w:spacing w:val="-4"/>
                <w:position w:val="1"/>
                <w14:textFill>
                  <w14:solidFill>
                    <w14:schemeClr w14:val="tx1"/>
                  </w14:solidFill>
                </w14:textFill>
              </w:rPr>
              <w:t>）</w:t>
            </w:r>
          </w:p>
        </w:tc>
      </w:tr>
      <w:bookmarkEnd w:id="80"/>
    </w:tbl>
    <w:p w14:paraId="67397CAE">
      <w:pPr>
        <w:pStyle w:val="19"/>
        <w:rPr>
          <w:rFonts w:hint="eastAsia"/>
          <w:color w:val="000000" w:themeColor="text1"/>
          <w14:textFill>
            <w14:solidFill>
              <w14:schemeClr w14:val="tx1"/>
            </w14:solidFill>
          </w14:textFill>
        </w:rPr>
      </w:pPr>
    </w:p>
    <w:p w14:paraId="5E203A98">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表2.4-3  环境质量现状调查因子一览表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12"/>
        <w:gridCol w:w="7618"/>
      </w:tblGrid>
      <w:tr w14:paraId="109141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37" w:type="pct"/>
            <w:vAlign w:val="center"/>
          </w:tcPr>
          <w:p w14:paraId="1574AFFD">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环境要素</w:t>
            </w:r>
          </w:p>
        </w:tc>
        <w:tc>
          <w:tcPr>
            <w:tcW w:w="4363" w:type="pct"/>
            <w:vAlign w:val="center"/>
          </w:tcPr>
          <w:p w14:paraId="38903D6D">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评价因子</w:t>
            </w:r>
          </w:p>
        </w:tc>
      </w:tr>
      <w:tr w14:paraId="58B606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7" w:type="pct"/>
            <w:vAlign w:val="center"/>
          </w:tcPr>
          <w:p w14:paraId="2F7C9A95">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地下水</w:t>
            </w:r>
          </w:p>
        </w:tc>
        <w:tc>
          <w:tcPr>
            <w:tcW w:w="4363" w:type="pct"/>
            <w:vAlign w:val="center"/>
          </w:tcPr>
          <w:p w14:paraId="5A4308D0">
            <w:pPr>
              <w:adjustRightInd w:val="0"/>
              <w:snapToGrid w:val="0"/>
              <w:spacing w:line="300" w:lineRule="exact"/>
              <w:jc w:val="left"/>
              <w:rPr>
                <w:rFonts w:hint="eastAsia" w:ascii="宋体" w:hAnsi="宋体" w:cs="宋体"/>
                <w:color w:val="000000" w:themeColor="text1"/>
                <w:szCs w:val="21"/>
                <w14:textFill>
                  <w14:solidFill>
                    <w14:schemeClr w14:val="tx1"/>
                  </w14:solidFill>
                </w14:textFill>
              </w:rPr>
            </w:pPr>
            <w:r>
              <w:rPr>
                <w:rFonts w:ascii="宋体" w:hAnsi="宋体" w:cs="宋体"/>
                <w:color w:val="000000" w:themeColor="text1"/>
                <w14:textFill>
                  <w14:solidFill>
                    <w14:schemeClr w14:val="tx1"/>
                  </w14:solidFill>
                </w14:textFill>
              </w:rPr>
              <w:t>K</w:t>
            </w:r>
            <w:r>
              <w:rPr>
                <w:rFonts w:ascii="宋体" w:hAnsi="宋体" w:cs="宋体"/>
                <w:color w:val="000000" w:themeColor="text1"/>
                <w:vertAlign w:val="superscript"/>
                <w14:textFill>
                  <w14:solidFill>
                    <w14:schemeClr w14:val="tx1"/>
                  </w14:solidFill>
                </w14:textFill>
              </w:rPr>
              <w:t>+</w:t>
            </w: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Na</w:t>
            </w:r>
            <w:r>
              <w:rPr>
                <w:rFonts w:ascii="宋体" w:hAnsi="宋体" w:cs="宋体"/>
                <w:color w:val="000000" w:themeColor="text1"/>
                <w:vertAlign w:val="superscript"/>
                <w14:textFill>
                  <w14:solidFill>
                    <w14:schemeClr w14:val="tx1"/>
                  </w14:solidFill>
                </w14:textFill>
              </w:rPr>
              <w:t>+</w:t>
            </w: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Ca</w:t>
            </w:r>
            <w:r>
              <w:rPr>
                <w:rFonts w:ascii="宋体" w:hAnsi="宋体" w:cs="宋体"/>
                <w:color w:val="000000" w:themeColor="text1"/>
                <w:vertAlign w:val="superscript"/>
                <w14:textFill>
                  <w14:solidFill>
                    <w14:schemeClr w14:val="tx1"/>
                  </w14:solidFill>
                </w14:textFill>
              </w:rPr>
              <w:t>2+</w:t>
            </w: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Mg</w:t>
            </w:r>
            <w:r>
              <w:rPr>
                <w:rFonts w:ascii="宋体" w:hAnsi="宋体" w:cs="宋体"/>
                <w:color w:val="000000" w:themeColor="text1"/>
                <w:vertAlign w:val="superscript"/>
                <w14:textFill>
                  <w14:solidFill>
                    <w14:schemeClr w14:val="tx1"/>
                  </w14:solidFill>
                </w14:textFill>
              </w:rPr>
              <w:t>2+</w:t>
            </w: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CO</w:t>
            </w:r>
            <w:r>
              <w:rPr>
                <w:rFonts w:ascii="宋体" w:hAnsi="宋体" w:cs="宋体"/>
                <w:color w:val="000000" w:themeColor="text1"/>
                <w:vertAlign w:val="subscript"/>
                <w14:textFill>
                  <w14:solidFill>
                    <w14:schemeClr w14:val="tx1"/>
                  </w14:solidFill>
                </w14:textFill>
              </w:rPr>
              <w:t>3</w:t>
            </w:r>
            <w:r>
              <w:rPr>
                <w:rFonts w:ascii="宋体" w:hAnsi="宋体" w:cs="宋体"/>
                <w:color w:val="000000" w:themeColor="text1"/>
                <w:vertAlign w:val="superscript"/>
                <w14:textFill>
                  <w14:solidFill>
                    <w14:schemeClr w14:val="tx1"/>
                  </w14:solidFill>
                </w14:textFill>
              </w:rPr>
              <w:t>2-</w:t>
            </w: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HCO</w:t>
            </w:r>
            <w:r>
              <w:rPr>
                <w:rFonts w:ascii="宋体" w:hAnsi="宋体" w:cs="宋体"/>
                <w:color w:val="000000" w:themeColor="text1"/>
                <w:vertAlign w:val="subscript"/>
                <w14:textFill>
                  <w14:solidFill>
                    <w14:schemeClr w14:val="tx1"/>
                  </w14:solidFill>
                </w14:textFill>
              </w:rPr>
              <w:t>3</w:t>
            </w:r>
            <w:r>
              <w:rPr>
                <w:rFonts w:ascii="宋体" w:hAnsi="宋体" w:cs="宋体"/>
                <w:color w:val="000000" w:themeColor="text1"/>
                <w:vertAlign w:val="superscript"/>
                <w14:textFill>
                  <w14:solidFill>
                    <w14:schemeClr w14:val="tx1"/>
                  </w14:solidFill>
                </w14:textFill>
              </w:rPr>
              <w:t>-</w:t>
            </w: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Cl</w:t>
            </w:r>
            <w:r>
              <w:rPr>
                <w:rFonts w:ascii="宋体" w:hAnsi="宋体" w:cs="宋体"/>
                <w:color w:val="000000" w:themeColor="text1"/>
                <w:vertAlign w:val="superscript"/>
                <w14:textFill>
                  <w14:solidFill>
                    <w14:schemeClr w14:val="tx1"/>
                  </w14:solidFill>
                </w14:textFill>
              </w:rPr>
              <w:t>-</w:t>
            </w: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SO</w:t>
            </w:r>
            <w:r>
              <w:rPr>
                <w:rFonts w:ascii="宋体" w:hAnsi="宋体" w:cs="宋体"/>
                <w:color w:val="000000" w:themeColor="text1"/>
                <w:vertAlign w:val="subscript"/>
                <w14:textFill>
                  <w14:solidFill>
                    <w14:schemeClr w14:val="tx1"/>
                  </w14:solidFill>
                </w14:textFill>
              </w:rPr>
              <w:t>4</w:t>
            </w:r>
            <w:r>
              <w:rPr>
                <w:rFonts w:ascii="宋体" w:hAnsi="宋体" w:cs="宋体"/>
                <w:color w:val="000000" w:themeColor="text1"/>
                <w:vertAlign w:val="superscript"/>
                <w14:textFill>
                  <w14:solidFill>
                    <w14:schemeClr w14:val="tx1"/>
                  </w14:solidFill>
                </w14:textFill>
              </w:rPr>
              <w:t>2-</w:t>
            </w:r>
            <w:r>
              <w:rPr>
                <w:rFonts w:hint="eastAsia" w:ascii="宋体" w:hAnsi="宋体" w:cs="宋体"/>
                <w:color w:val="000000" w:themeColor="text1"/>
                <w14:textFill>
                  <w14:solidFill>
                    <w14:schemeClr w14:val="tx1"/>
                  </w14:solidFill>
                </w14:textFill>
              </w:rPr>
              <w:t>的浓度，</w:t>
            </w:r>
            <w:r>
              <w:rPr>
                <w:rFonts w:hint="eastAsia" w:ascii="宋体" w:hAnsi="宋体"/>
                <w:color w:val="000000" w:themeColor="text1"/>
                <w:lang w:bidi="ar"/>
                <w14:textFill>
                  <w14:solidFill>
                    <w14:schemeClr w14:val="tx1"/>
                  </w14:solidFill>
                </w14:textFill>
              </w:rPr>
              <w:t>水位、pH、总硬度、溶解性总固体、氨氮、硝酸盐、亚硝酸盐、耗氧量、氯化物、硫酸盐、氟化物、氰化物、挥发酚、六价铬、铁、汞、砷、铅、镉、镍、苯、石油类和总大肠菌群、水位</w:t>
            </w:r>
          </w:p>
        </w:tc>
      </w:tr>
      <w:tr w14:paraId="0DDA3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7" w:type="pct"/>
            <w:vAlign w:val="center"/>
          </w:tcPr>
          <w:p w14:paraId="5A2CEE60">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环境空气</w:t>
            </w:r>
          </w:p>
        </w:tc>
        <w:tc>
          <w:tcPr>
            <w:tcW w:w="4363" w:type="pct"/>
            <w:vAlign w:val="center"/>
          </w:tcPr>
          <w:p w14:paraId="08C1CCCB">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PM</w:t>
            </w:r>
            <w:r>
              <w:rPr>
                <w:rFonts w:hint="eastAsia" w:ascii="宋体" w:hAnsi="宋体" w:cs="宋体"/>
                <w:color w:val="000000" w:themeColor="text1"/>
                <w:szCs w:val="21"/>
                <w:vertAlign w:val="subscript"/>
                <w14:textFill>
                  <w14:solidFill>
                    <w14:schemeClr w14:val="tx1"/>
                  </w14:solidFill>
                </w14:textFill>
              </w:rPr>
              <w:t>2.5</w:t>
            </w:r>
            <w:r>
              <w:rPr>
                <w:rFonts w:hint="eastAsia" w:ascii="宋体" w:hAnsi="宋体" w:cs="宋体"/>
                <w:color w:val="000000" w:themeColor="text1"/>
                <w:szCs w:val="21"/>
                <w14:textFill>
                  <w14:solidFill>
                    <w14:schemeClr w14:val="tx1"/>
                  </w14:solidFill>
                </w14:textFill>
              </w:rPr>
              <w:t>、PM</w:t>
            </w:r>
            <w:r>
              <w:rPr>
                <w:rFonts w:hint="eastAsia" w:ascii="宋体" w:hAnsi="宋体" w:cs="宋体"/>
                <w:color w:val="000000" w:themeColor="text1"/>
                <w:szCs w:val="21"/>
                <w:vertAlign w:val="subscript"/>
                <w14:textFill>
                  <w14:solidFill>
                    <w14:schemeClr w14:val="tx1"/>
                  </w14:solidFill>
                </w14:textFill>
              </w:rPr>
              <w:t>10</w:t>
            </w:r>
            <w:r>
              <w:rPr>
                <w:rFonts w:hint="eastAsia" w:ascii="宋体" w:hAnsi="宋体" w:cs="宋体"/>
                <w:color w:val="000000" w:themeColor="text1"/>
                <w:szCs w:val="21"/>
                <w14:textFill>
                  <w14:solidFill>
                    <w14:schemeClr w14:val="tx1"/>
                  </w14:solidFill>
                </w14:textFill>
              </w:rPr>
              <w:t>、SO</w:t>
            </w:r>
            <w:r>
              <w:rPr>
                <w:rFonts w:hint="eastAsia" w:ascii="宋体" w:hAnsi="宋体" w:cs="宋体"/>
                <w:color w:val="000000" w:themeColor="text1"/>
                <w:szCs w:val="21"/>
                <w:vertAlign w:val="subscript"/>
                <w14:textFill>
                  <w14:solidFill>
                    <w14:schemeClr w14:val="tx1"/>
                  </w14:solidFill>
                </w14:textFill>
              </w:rPr>
              <w:t>2</w:t>
            </w:r>
            <w:r>
              <w:rPr>
                <w:rFonts w:hint="eastAsia" w:ascii="宋体" w:hAnsi="宋体" w:cs="宋体"/>
                <w:color w:val="000000" w:themeColor="text1"/>
                <w:szCs w:val="21"/>
                <w14:textFill>
                  <w14:solidFill>
                    <w14:schemeClr w14:val="tx1"/>
                  </w14:solidFill>
                </w14:textFill>
              </w:rPr>
              <w:t>、NO</w:t>
            </w:r>
            <w:r>
              <w:rPr>
                <w:rFonts w:hint="eastAsia" w:ascii="宋体" w:hAnsi="宋体" w:cs="宋体"/>
                <w:color w:val="000000" w:themeColor="text1"/>
                <w:szCs w:val="21"/>
                <w:vertAlign w:val="subscript"/>
                <w14:textFill>
                  <w14:solidFill>
                    <w14:schemeClr w14:val="tx1"/>
                  </w14:solidFill>
                </w14:textFill>
              </w:rPr>
              <w:t>2</w:t>
            </w:r>
            <w:r>
              <w:rPr>
                <w:rFonts w:hint="eastAsia" w:ascii="宋体" w:hAnsi="宋体" w:cs="宋体"/>
                <w:color w:val="000000" w:themeColor="text1"/>
                <w:szCs w:val="21"/>
                <w14:textFill>
                  <w14:solidFill>
                    <w14:schemeClr w14:val="tx1"/>
                  </w14:solidFill>
                </w14:textFill>
              </w:rPr>
              <w:t>、CO、O</w:t>
            </w:r>
            <w:r>
              <w:rPr>
                <w:rFonts w:hint="eastAsia" w:ascii="宋体" w:hAnsi="宋体" w:cs="宋体"/>
                <w:color w:val="000000" w:themeColor="text1"/>
                <w:szCs w:val="21"/>
                <w:vertAlign w:val="subscript"/>
                <w14:textFill>
                  <w14:solidFill>
                    <w14:schemeClr w14:val="tx1"/>
                  </w14:solidFill>
                </w14:textFill>
              </w:rPr>
              <w:t>3</w:t>
            </w:r>
            <w:r>
              <w:rPr>
                <w:rFonts w:hint="eastAsia" w:ascii="宋体" w:hAnsi="宋体" w:cs="宋体"/>
                <w:color w:val="000000" w:themeColor="text1"/>
                <w:szCs w:val="21"/>
                <w14:textFill>
                  <w14:solidFill>
                    <w14:schemeClr w14:val="tx1"/>
                  </w14:solidFill>
                </w14:textFill>
              </w:rPr>
              <w:t>、NMHC、H</w:t>
            </w:r>
            <w:r>
              <w:rPr>
                <w:rFonts w:ascii="宋体" w:hAnsi="宋体" w:cs="宋体"/>
                <w:color w:val="000000" w:themeColor="text1"/>
                <w:szCs w:val="21"/>
                <w:vertAlign w:val="subscript"/>
                <w14:textFill>
                  <w14:solidFill>
                    <w14:schemeClr w14:val="tx1"/>
                  </w14:solidFill>
                </w14:textFill>
              </w:rPr>
              <w:t>2</w:t>
            </w:r>
            <w:r>
              <w:rPr>
                <w:rFonts w:ascii="宋体" w:hAnsi="宋体" w:cs="宋体"/>
                <w:color w:val="000000" w:themeColor="text1"/>
                <w:szCs w:val="21"/>
                <w14:textFill>
                  <w14:solidFill>
                    <w14:schemeClr w14:val="tx1"/>
                  </w14:solidFill>
                </w14:textFill>
              </w:rPr>
              <w:t>S</w:t>
            </w:r>
          </w:p>
        </w:tc>
      </w:tr>
      <w:tr w14:paraId="12639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7" w:type="pct"/>
            <w:vAlign w:val="center"/>
          </w:tcPr>
          <w:p w14:paraId="081BEB83">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声环境</w:t>
            </w:r>
          </w:p>
        </w:tc>
        <w:tc>
          <w:tcPr>
            <w:tcW w:w="4363" w:type="pct"/>
            <w:vAlign w:val="center"/>
          </w:tcPr>
          <w:p w14:paraId="3226B7BD">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等效连续A声级</w:t>
            </w:r>
          </w:p>
        </w:tc>
      </w:tr>
      <w:tr w14:paraId="0BC96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7" w:type="pct"/>
            <w:vAlign w:val="center"/>
          </w:tcPr>
          <w:p w14:paraId="1251BFDE">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土壤环境</w:t>
            </w:r>
          </w:p>
        </w:tc>
        <w:tc>
          <w:tcPr>
            <w:tcW w:w="4363" w:type="pct"/>
            <w:vAlign w:val="center"/>
          </w:tcPr>
          <w:p w14:paraId="653A61DE">
            <w:pPr>
              <w:adjustRightInd w:val="0"/>
              <w:snapToGrid w:val="0"/>
              <w:spacing w:line="300" w:lineRule="exact"/>
              <w:rPr>
                <w:rFonts w:hint="eastAsia" w:ascii="宋体" w:hAnsi="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《土壤环境质量 建设用地土壤污染风险管控标准（试行）》（GB36600-2018）表1中45项基本因子、表2中石油烃、p</w:t>
            </w:r>
            <w:r>
              <w:rPr>
                <w:rFonts w:ascii="宋体" w:hAnsi="宋体" w:cs="宋体"/>
                <w:color w:val="000000" w:themeColor="text1"/>
                <w:szCs w:val="21"/>
                <w14:textFill>
                  <w14:solidFill>
                    <w14:schemeClr w14:val="tx1"/>
                  </w14:solidFill>
                </w14:textFill>
              </w:rPr>
              <w:t>H</w:t>
            </w:r>
            <w:r>
              <w:rPr>
                <w:rFonts w:hint="eastAsia" w:ascii="宋体" w:hAnsi="宋体" w:cs="宋体"/>
                <w:color w:val="000000" w:themeColor="text1"/>
                <w:szCs w:val="21"/>
                <w14:textFill>
                  <w14:solidFill>
                    <w14:schemeClr w14:val="tx1"/>
                  </w14:solidFill>
                </w14:textFill>
              </w:rPr>
              <w:t>、土壤盐分含量；《土壤环境质量 农用地土壤污染风险管控标准（试行）》（GB15618—2018）表1基本项目</w:t>
            </w:r>
          </w:p>
        </w:tc>
      </w:tr>
      <w:tr w14:paraId="73015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7" w:type="pct"/>
            <w:vAlign w:val="center"/>
          </w:tcPr>
          <w:p w14:paraId="478DF329">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生态影响</w:t>
            </w:r>
          </w:p>
        </w:tc>
        <w:tc>
          <w:tcPr>
            <w:tcW w:w="4363" w:type="pct"/>
            <w:vAlign w:val="center"/>
          </w:tcPr>
          <w:p w14:paraId="2BB6357A">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调查土地利用类型、植被类型、野生动物组成及分布特征；生态系统的类型、面积及空间分布、</w:t>
            </w:r>
            <w:bookmarkStart w:id="86" w:name="OLE_LINK373"/>
            <w:r>
              <w:rPr>
                <w:rFonts w:hint="eastAsia" w:ascii="宋体" w:hAnsi="宋体" w:cs="宋体"/>
                <w:color w:val="000000" w:themeColor="text1"/>
                <w:szCs w:val="21"/>
                <w14:textFill>
                  <w14:solidFill>
                    <w14:schemeClr w14:val="tx1"/>
                  </w14:solidFill>
                </w14:textFill>
              </w:rPr>
              <w:t>植被覆盖度、生物量、土地利用类型</w:t>
            </w:r>
            <w:bookmarkEnd w:id="86"/>
            <w:r>
              <w:rPr>
                <w:rFonts w:hint="eastAsia" w:ascii="宋体" w:hAnsi="宋体" w:cs="宋体"/>
                <w:color w:val="000000" w:themeColor="text1"/>
                <w:szCs w:val="21"/>
                <w14:textFill>
                  <w14:solidFill>
                    <w14:schemeClr w14:val="tx1"/>
                  </w14:solidFill>
                </w14:textFill>
              </w:rPr>
              <w:t>、水土流失、土地沙化现状</w:t>
            </w:r>
          </w:p>
          <w:p w14:paraId="082E4B09">
            <w:pPr>
              <w:adjustRightInd w:val="0"/>
              <w:snapToGrid w:val="0"/>
              <w:spacing w:line="300" w:lineRule="exact"/>
              <w:jc w:val="center"/>
              <w:rPr>
                <w:rFonts w:hint="eastAsia" w:ascii="宋体" w:hAnsi="宋体" w:cs="宋体"/>
                <w:color w:val="000000" w:themeColor="text1"/>
                <w:szCs w:val="21"/>
                <w14:textFill>
                  <w14:solidFill>
                    <w14:schemeClr w14:val="tx1"/>
                  </w14:solidFill>
                </w14:textFill>
              </w:rPr>
            </w:pPr>
            <w:bookmarkStart w:id="87" w:name="OLE_LINK370"/>
            <w:r>
              <w:rPr>
                <w:rFonts w:hint="eastAsia" w:ascii="宋体" w:hAnsi="宋体" w:cs="宋体"/>
                <w:color w:val="000000" w:themeColor="text1"/>
                <w:szCs w:val="21"/>
                <w14:textFill>
                  <w14:solidFill>
                    <w14:schemeClr w14:val="tx1"/>
                  </w14:solidFill>
                </w14:textFill>
              </w:rPr>
              <w:t>群落结构、生境类型、质量等</w:t>
            </w:r>
            <w:bookmarkEnd w:id="87"/>
          </w:p>
        </w:tc>
      </w:tr>
    </w:tbl>
    <w:p w14:paraId="3D5B5230">
      <w:pPr>
        <w:pStyle w:val="7"/>
        <w:rPr>
          <w:rFonts w:hint="eastAsia"/>
          <w:color w:val="000000" w:themeColor="text1"/>
          <w:lang w:val="zh-CN"/>
          <w14:textFill>
            <w14:solidFill>
              <w14:schemeClr w14:val="tx1"/>
            </w14:solidFill>
          </w14:textFill>
        </w:rPr>
      </w:pPr>
      <w:bookmarkStart w:id="88" w:name="_Toc21293"/>
      <w:r>
        <w:rPr>
          <w:rFonts w:hint="eastAsia"/>
          <w:color w:val="000000" w:themeColor="text1"/>
          <w:lang w:val="zh-CN"/>
          <w14:textFill>
            <w14:solidFill>
              <w14:schemeClr w14:val="tx1"/>
            </w14:solidFill>
          </w14:textFill>
        </w:rPr>
        <w:t>环境功能区划与评价标准</w:t>
      </w:r>
      <w:bookmarkEnd w:id="88"/>
    </w:p>
    <w:p w14:paraId="736CBD39">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环境功能区划</w:t>
      </w:r>
    </w:p>
    <w:p w14:paraId="2DA41FFB">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环境功能区划情况详见表2</w:t>
      </w:r>
      <w:r>
        <w:rPr>
          <w:color w:val="000000" w:themeColor="text1"/>
          <w:lang w:bidi="ar"/>
          <w14:textFill>
            <w14:solidFill>
              <w14:schemeClr w14:val="tx1"/>
            </w14:solidFill>
          </w14:textFill>
        </w:rPr>
        <w:t>.5</w:t>
      </w: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1</w:t>
      </w:r>
      <w:r>
        <w:rPr>
          <w:rFonts w:hint="eastAsia"/>
          <w:color w:val="000000" w:themeColor="text1"/>
          <w:lang w:bidi="ar"/>
          <w14:textFill>
            <w14:solidFill>
              <w14:schemeClr w14:val="tx1"/>
            </w14:solidFill>
          </w14:textFill>
        </w:rPr>
        <w:t>。</w:t>
      </w:r>
    </w:p>
    <w:p w14:paraId="0C6BA5CC">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区域环境功能区划一览表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4960"/>
        <w:gridCol w:w="2494"/>
      </w:tblGrid>
      <w:tr w14:paraId="723C71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18C42CC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环境要素</w:t>
            </w:r>
          </w:p>
        </w:tc>
        <w:tc>
          <w:tcPr>
            <w:tcW w:w="2841" w:type="pct"/>
            <w:vAlign w:val="center"/>
          </w:tcPr>
          <w:p w14:paraId="38F65B1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环境功能区划</w:t>
            </w:r>
          </w:p>
        </w:tc>
        <w:tc>
          <w:tcPr>
            <w:tcW w:w="1428" w:type="pct"/>
            <w:vAlign w:val="center"/>
          </w:tcPr>
          <w:p w14:paraId="5E11F6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划分依据</w:t>
            </w:r>
          </w:p>
        </w:tc>
      </w:tr>
      <w:tr w14:paraId="56DB74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13ED03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环境空气</w:t>
            </w:r>
          </w:p>
        </w:tc>
        <w:tc>
          <w:tcPr>
            <w:tcW w:w="2841" w:type="pct"/>
            <w:vAlign w:val="center"/>
          </w:tcPr>
          <w:p w14:paraId="06B8692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《环境空气质量标准》（GB3095-2026）二类功能区</w:t>
            </w:r>
          </w:p>
        </w:tc>
        <w:tc>
          <w:tcPr>
            <w:tcW w:w="1428" w:type="pct"/>
            <w:vAlign w:val="center"/>
          </w:tcPr>
          <w:p w14:paraId="6BA5E8A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项目区不属于自然保护区、风景名胜区和其他需要特殊保护的区域</w:t>
            </w:r>
          </w:p>
        </w:tc>
      </w:tr>
      <w:tr w14:paraId="16B16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3C1C11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地下水环境</w:t>
            </w:r>
          </w:p>
        </w:tc>
        <w:tc>
          <w:tcPr>
            <w:tcW w:w="2841" w:type="pct"/>
            <w:vAlign w:val="center"/>
          </w:tcPr>
          <w:p w14:paraId="1BD1498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《地下水质量标准》（GB/T14848-2017）Ⅲ类区</w:t>
            </w:r>
          </w:p>
        </w:tc>
        <w:tc>
          <w:tcPr>
            <w:tcW w:w="1428" w:type="pct"/>
            <w:vAlign w:val="center"/>
          </w:tcPr>
          <w:p w14:paraId="46FDEE7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主要用于工业用水</w:t>
            </w:r>
          </w:p>
        </w:tc>
      </w:tr>
      <w:tr w14:paraId="77B86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2FA2D37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2841" w:type="pct"/>
            <w:vAlign w:val="center"/>
          </w:tcPr>
          <w:p w14:paraId="1497FD1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《声环境质量标准》（GB3096-2008）</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类功能区</w:t>
            </w:r>
          </w:p>
        </w:tc>
        <w:tc>
          <w:tcPr>
            <w:tcW w:w="1428" w:type="pct"/>
            <w:vAlign w:val="center"/>
          </w:tcPr>
          <w:p w14:paraId="25D501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位于2类功能区</w:t>
            </w:r>
          </w:p>
        </w:tc>
      </w:tr>
      <w:tr w14:paraId="4DD972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Merge w:val="restart"/>
            <w:vAlign w:val="center"/>
          </w:tcPr>
          <w:p w14:paraId="78AC4DE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土壤环境</w:t>
            </w:r>
          </w:p>
        </w:tc>
        <w:tc>
          <w:tcPr>
            <w:tcW w:w="2841" w:type="pct"/>
            <w:vAlign w:val="center"/>
          </w:tcPr>
          <w:p w14:paraId="05360AF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《土壤环境质量</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建设用地土壤污染风险管控标准（试行）》（</w:t>
            </w:r>
            <w:r>
              <w:rPr>
                <w:color w:val="000000" w:themeColor="text1"/>
                <w14:textFill>
                  <w14:solidFill>
                    <w14:schemeClr w14:val="tx1"/>
                  </w14:solidFill>
                </w14:textFill>
              </w:rPr>
              <w:t>GB36600-2018</w:t>
            </w:r>
            <w:r>
              <w:rPr>
                <w:rFonts w:hint="eastAsia"/>
                <w:color w:val="000000" w:themeColor="text1"/>
                <w14:textFill>
                  <w14:solidFill>
                    <w14:schemeClr w14:val="tx1"/>
                  </w14:solidFill>
                </w14:textFill>
              </w:rPr>
              <w:t>）第二类用地筛选值</w:t>
            </w:r>
          </w:p>
        </w:tc>
        <w:tc>
          <w:tcPr>
            <w:tcW w:w="1428" w:type="pct"/>
            <w:vAlign w:val="center"/>
          </w:tcPr>
          <w:p w14:paraId="054F4A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占地属于第二类建设项目用地</w:t>
            </w:r>
          </w:p>
        </w:tc>
      </w:tr>
      <w:tr w14:paraId="03A9AB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Merge w:val="continue"/>
            <w:vAlign w:val="center"/>
          </w:tcPr>
          <w:p w14:paraId="29F92A93">
            <w:pPr>
              <w:pStyle w:val="280"/>
              <w:rPr>
                <w:rFonts w:hint="eastAsia"/>
                <w:color w:val="000000" w:themeColor="text1"/>
                <w14:textFill>
                  <w14:solidFill>
                    <w14:schemeClr w14:val="tx1"/>
                  </w14:solidFill>
                </w14:textFill>
              </w:rPr>
            </w:pPr>
          </w:p>
        </w:tc>
        <w:tc>
          <w:tcPr>
            <w:tcW w:w="2841" w:type="pct"/>
            <w:vAlign w:val="center"/>
          </w:tcPr>
          <w:p w14:paraId="56E318A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《土壤环境质量 农用地土壤污染风险管控标准（试行）》（GB15618—2018）表1</w:t>
            </w:r>
          </w:p>
        </w:tc>
        <w:tc>
          <w:tcPr>
            <w:tcW w:w="1428" w:type="pct"/>
            <w:vAlign w:val="center"/>
          </w:tcPr>
          <w:p w14:paraId="6136856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评价范围内存在耕地</w:t>
            </w:r>
          </w:p>
        </w:tc>
      </w:tr>
      <w:tr w14:paraId="6D5643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1F372F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tc>
        <w:tc>
          <w:tcPr>
            <w:tcW w:w="4269" w:type="pct"/>
            <w:gridSpan w:val="2"/>
            <w:vAlign w:val="center"/>
          </w:tcPr>
          <w:p w14:paraId="231B674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Ⅱ准噶尔盆地温带干旱荒漠与绿洲生态功能区—</w:t>
            </w:r>
            <w:r>
              <w:rPr>
                <w:color w:val="000000" w:themeColor="text1"/>
                <w14:textFill>
                  <w14:solidFill>
                    <w14:schemeClr w14:val="tx1"/>
                  </w14:solidFill>
                </w14:textFill>
              </w:rPr>
              <w:t>Ⅱ</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准噶尔盆地南部荒漠绿洲农业生态亚区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28阜康—木垒绿洲农业、荒漠草地保护生态功能区</w:t>
            </w:r>
          </w:p>
        </w:tc>
      </w:tr>
    </w:tbl>
    <w:p w14:paraId="216C0386">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评价标准</w:t>
      </w:r>
      <w:bookmarkEnd w:id="81"/>
      <w:bookmarkEnd w:id="82"/>
      <w:bookmarkEnd w:id="83"/>
      <w:bookmarkEnd w:id="84"/>
      <w:bookmarkEnd w:id="85"/>
    </w:p>
    <w:p w14:paraId="47CFF55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环境质量标准</w:t>
      </w:r>
    </w:p>
    <w:p w14:paraId="1003ACE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环境空气</w:t>
      </w:r>
    </w:p>
    <w:p w14:paraId="780DBAEA">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rFonts w:hint="eastAsia" w:cs="Arial"/>
          <w:color w:val="000000" w:themeColor="text1"/>
          <w14:textFill>
            <w14:solidFill>
              <w14:schemeClr w14:val="tx1"/>
            </w14:solidFill>
          </w14:textFill>
        </w:rPr>
        <w:t>、P</w:t>
      </w:r>
      <w:r>
        <w:rPr>
          <w:rFonts w:cs="Arial"/>
          <w:color w:val="000000" w:themeColor="text1"/>
          <w14:textFill>
            <w14:solidFill>
              <w14:schemeClr w14:val="tx1"/>
            </w14:solidFill>
          </w14:textFill>
        </w:rPr>
        <w:t>M</w:t>
      </w:r>
      <w:r>
        <w:rPr>
          <w:rFonts w:cs="Arial"/>
          <w:color w:val="000000" w:themeColor="text1"/>
          <w:vertAlign w:val="subscript"/>
          <w14:textFill>
            <w14:solidFill>
              <w14:schemeClr w14:val="tx1"/>
            </w14:solidFill>
          </w14:textFill>
        </w:rPr>
        <w:t>2.5</w:t>
      </w:r>
      <w:r>
        <w:rPr>
          <w:rFonts w:hint="eastAsia" w:cs="Arial"/>
          <w:color w:val="000000" w:themeColor="text1"/>
          <w14:textFill>
            <w14:solidFill>
              <w14:schemeClr w14:val="tx1"/>
            </w14:solidFill>
          </w14:textFill>
        </w:rPr>
        <w:t>、C</w:t>
      </w:r>
      <w:r>
        <w:rPr>
          <w:rFonts w:cs="Arial"/>
          <w:color w:val="000000" w:themeColor="text1"/>
          <w14:textFill>
            <w14:solidFill>
              <w14:schemeClr w14:val="tx1"/>
            </w14:solidFill>
          </w14:textFill>
        </w:rPr>
        <w:t>O</w:t>
      </w:r>
      <w:r>
        <w:rPr>
          <w:rFonts w:hint="eastAsia" w:cs="Arial"/>
          <w:color w:val="000000" w:themeColor="text1"/>
          <w14:textFill>
            <w14:solidFill>
              <w14:schemeClr w14:val="tx1"/>
            </w14:solidFill>
          </w14:textFill>
        </w:rPr>
        <w:t>、O</w:t>
      </w:r>
      <w:r>
        <w:rPr>
          <w:rFonts w:cs="Arial"/>
          <w:color w:val="000000" w:themeColor="text1"/>
          <w:vertAlign w:val="subscript"/>
          <w14:textFill>
            <w14:solidFill>
              <w14:schemeClr w14:val="tx1"/>
            </w14:solidFill>
          </w14:textFill>
        </w:rPr>
        <w:t>3</w:t>
      </w:r>
      <w:r>
        <w:rPr>
          <w:rFonts w:hint="eastAsia" w:cs="Arial"/>
          <w:color w:val="000000" w:themeColor="text1"/>
          <w14:textFill>
            <w14:solidFill>
              <w14:schemeClr w14:val="tx1"/>
            </w14:solidFill>
          </w14:textFill>
        </w:rPr>
        <w:t>六项基本项目</w:t>
      </w:r>
      <w:r>
        <w:rPr>
          <w:color w:val="000000" w:themeColor="text1"/>
          <w14:textFill>
            <w14:solidFill>
              <w14:schemeClr w14:val="tx1"/>
            </w14:solidFill>
          </w14:textFill>
        </w:rPr>
        <w:t>执行《环境空气质量标准》（GB3095-20</w:t>
      </w:r>
      <w:r>
        <w:rPr>
          <w:rFonts w:hint="eastAsia"/>
          <w:color w:val="000000" w:themeColor="text1"/>
          <w14:textFill>
            <w14:solidFill>
              <w14:schemeClr w14:val="tx1"/>
            </w14:solidFill>
          </w14:textFill>
        </w:rPr>
        <w:t>26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中过渡阶段二级浓度</w:t>
      </w:r>
      <w:r>
        <w:rPr>
          <w:color w:val="000000" w:themeColor="text1"/>
          <w14:textFill>
            <w14:solidFill>
              <w14:schemeClr w14:val="tx1"/>
            </w14:solidFill>
          </w14:textFill>
        </w:rPr>
        <w:t>限值；非甲烷总烃参照《</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大气污染物综合排放标准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详解》中推荐值2.0mg/m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执行</w:t>
      </w: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S执行《环境影响评价技术导则大气环境》（</w:t>
      </w:r>
      <w:r>
        <w:rPr>
          <w:color w:val="000000" w:themeColor="text1"/>
          <w14:textFill>
            <w14:solidFill>
              <w14:schemeClr w14:val="tx1"/>
            </w14:solidFill>
          </w14:textFill>
        </w:rPr>
        <w:t>HJ2.2-2018）附录D中</w:t>
      </w:r>
      <w:r>
        <w:rPr>
          <w:rFonts w:hint="eastAsia"/>
          <w:color w:val="000000" w:themeColor="text1"/>
          <w14:textFill>
            <w14:solidFill>
              <w14:schemeClr w14:val="tx1"/>
            </w14:solidFill>
          </w14:textFill>
        </w:rPr>
        <w:t>推荐值，各</w:t>
      </w:r>
      <w:r>
        <w:rPr>
          <w:color w:val="000000" w:themeColor="text1"/>
          <w14:textFill>
            <w14:solidFill>
              <w14:schemeClr w14:val="tx1"/>
            </w14:solidFill>
          </w14:textFill>
        </w:rPr>
        <w:t>标准取值见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p>
    <w:p w14:paraId="41C89367">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环境空气质量标准</w:t>
      </w:r>
      <w:r>
        <w:rPr>
          <w:rFonts w:hint="eastAsia"/>
          <w:color w:val="000000" w:themeColor="text1"/>
          <w14:textFill>
            <w14:solidFill>
              <w14:schemeClr w14:val="tx1"/>
            </w14:solidFill>
          </w14:textFill>
        </w:rPr>
        <w:t>一览表</w:t>
      </w:r>
    </w:p>
    <w:tbl>
      <w:tblPr>
        <w:tblStyle w:val="51"/>
        <w:tblW w:w="8946" w:type="dxa"/>
        <w:tblInd w:w="10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3"/>
        <w:gridCol w:w="1292"/>
        <w:gridCol w:w="2018"/>
        <w:gridCol w:w="1345"/>
        <w:gridCol w:w="889"/>
        <w:gridCol w:w="2709"/>
      </w:tblGrid>
      <w:tr w14:paraId="0CD7B4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693" w:type="dxa"/>
            <w:tcBorders>
              <w:right w:val="single" w:color="auto" w:sz="4" w:space="0"/>
            </w:tcBorders>
            <w:vAlign w:val="center"/>
          </w:tcPr>
          <w:p w14:paraId="46CB9B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292" w:type="dxa"/>
            <w:tcBorders>
              <w:left w:val="single" w:color="auto" w:sz="4" w:space="0"/>
            </w:tcBorders>
            <w:vAlign w:val="center"/>
          </w:tcPr>
          <w:p w14:paraId="0C1C495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2018" w:type="dxa"/>
            <w:vAlign w:val="center"/>
          </w:tcPr>
          <w:p w14:paraId="343680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取值时间</w:t>
            </w:r>
          </w:p>
        </w:tc>
        <w:tc>
          <w:tcPr>
            <w:tcW w:w="1345" w:type="dxa"/>
            <w:tcBorders>
              <w:bottom w:val="single" w:color="auto" w:sz="4" w:space="0"/>
            </w:tcBorders>
            <w:vAlign w:val="center"/>
          </w:tcPr>
          <w:p w14:paraId="29FAC4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浓度限值</w:t>
            </w:r>
          </w:p>
        </w:tc>
        <w:tc>
          <w:tcPr>
            <w:tcW w:w="889" w:type="dxa"/>
            <w:tcBorders>
              <w:bottom w:val="single" w:color="auto" w:sz="4" w:space="0"/>
            </w:tcBorders>
            <w:vAlign w:val="center"/>
          </w:tcPr>
          <w:p w14:paraId="146190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2709" w:type="dxa"/>
            <w:tcBorders>
              <w:bottom w:val="single" w:color="auto" w:sz="4" w:space="0"/>
            </w:tcBorders>
            <w:vAlign w:val="center"/>
          </w:tcPr>
          <w:p w14:paraId="7DFA77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标准来源</w:t>
            </w:r>
          </w:p>
        </w:tc>
      </w:tr>
      <w:tr w14:paraId="539DE3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4A23921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292" w:type="dxa"/>
            <w:vMerge w:val="restart"/>
            <w:tcBorders>
              <w:left w:val="single" w:color="auto" w:sz="4" w:space="0"/>
            </w:tcBorders>
            <w:vAlign w:val="center"/>
          </w:tcPr>
          <w:p w14:paraId="51A96D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2</w:t>
            </w:r>
          </w:p>
        </w:tc>
        <w:tc>
          <w:tcPr>
            <w:tcW w:w="2018" w:type="dxa"/>
            <w:vAlign w:val="center"/>
          </w:tcPr>
          <w:p w14:paraId="6BDE8B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1345" w:type="dxa"/>
            <w:vAlign w:val="center"/>
          </w:tcPr>
          <w:p w14:paraId="539D96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889" w:type="dxa"/>
            <w:vMerge w:val="restart"/>
            <w:vAlign w:val="center"/>
          </w:tcPr>
          <w:p w14:paraId="5FA03ED7">
            <w:pPr>
              <w:pStyle w:val="280"/>
              <w:rPr>
                <w:rFonts w:hint="eastAsia"/>
                <w:color w:val="000000" w:themeColor="text1"/>
                <w:vertAlign w:val="superscript"/>
                <w14:textFill>
                  <w14:solidFill>
                    <w14:schemeClr w14:val="tx1"/>
                  </w14:solidFill>
                </w14:textFill>
              </w:rPr>
            </w:pPr>
            <w:r>
              <w:rPr>
                <w:rFonts w:hint="eastAsia"/>
                <w:color w:val="000000" w:themeColor="text1"/>
                <w14:textFill>
                  <w14:solidFill>
                    <w14:schemeClr w14:val="tx1"/>
                  </w14:solidFill>
                </w14:textFill>
              </w:rPr>
              <w:t>μg/m</w:t>
            </w:r>
            <w:r>
              <w:rPr>
                <w:rFonts w:hint="eastAsia"/>
                <w:color w:val="000000" w:themeColor="text1"/>
                <w:vertAlign w:val="superscript"/>
                <w14:textFill>
                  <w14:solidFill>
                    <w14:schemeClr w14:val="tx1"/>
                  </w14:solidFill>
                </w14:textFill>
              </w:rPr>
              <w:t>3</w:t>
            </w:r>
          </w:p>
        </w:tc>
        <w:tc>
          <w:tcPr>
            <w:tcW w:w="2709" w:type="dxa"/>
            <w:vMerge w:val="restart"/>
            <w:vAlign w:val="center"/>
          </w:tcPr>
          <w:p w14:paraId="2197B23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GB3095-2026过渡阶段二级</w:t>
            </w:r>
          </w:p>
        </w:tc>
      </w:tr>
      <w:tr w14:paraId="05B76E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3" w:type="dxa"/>
            <w:vMerge w:val="continue"/>
            <w:tcBorders>
              <w:right w:val="single" w:color="auto" w:sz="4" w:space="0"/>
            </w:tcBorders>
            <w:vAlign w:val="center"/>
          </w:tcPr>
          <w:p w14:paraId="6B21B381">
            <w:pPr>
              <w:pStyle w:val="280"/>
              <w:rPr>
                <w:rFonts w:hint="eastAsia"/>
                <w:color w:val="000000" w:themeColor="text1"/>
                <w14:textFill>
                  <w14:solidFill>
                    <w14:schemeClr w14:val="tx1"/>
                  </w14:solidFill>
                </w14:textFill>
              </w:rPr>
            </w:pPr>
          </w:p>
        </w:tc>
        <w:tc>
          <w:tcPr>
            <w:tcW w:w="1292" w:type="dxa"/>
            <w:vMerge w:val="continue"/>
            <w:tcBorders>
              <w:left w:val="single" w:color="auto" w:sz="4" w:space="0"/>
            </w:tcBorders>
            <w:vAlign w:val="center"/>
          </w:tcPr>
          <w:p w14:paraId="06F03A80">
            <w:pPr>
              <w:pStyle w:val="280"/>
              <w:rPr>
                <w:rFonts w:hint="eastAsia"/>
                <w:color w:val="000000" w:themeColor="text1"/>
                <w14:textFill>
                  <w14:solidFill>
                    <w14:schemeClr w14:val="tx1"/>
                  </w14:solidFill>
                </w14:textFill>
              </w:rPr>
            </w:pPr>
          </w:p>
        </w:tc>
        <w:tc>
          <w:tcPr>
            <w:tcW w:w="2018" w:type="dxa"/>
            <w:vAlign w:val="center"/>
          </w:tcPr>
          <w:p w14:paraId="490103D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小时平均</w:t>
            </w:r>
          </w:p>
        </w:tc>
        <w:tc>
          <w:tcPr>
            <w:tcW w:w="1345" w:type="dxa"/>
            <w:vAlign w:val="center"/>
          </w:tcPr>
          <w:p w14:paraId="46FDF4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50</w:t>
            </w:r>
          </w:p>
        </w:tc>
        <w:tc>
          <w:tcPr>
            <w:tcW w:w="889" w:type="dxa"/>
            <w:vMerge w:val="continue"/>
            <w:vAlign w:val="center"/>
          </w:tcPr>
          <w:p w14:paraId="17895EFC">
            <w:pPr>
              <w:pStyle w:val="280"/>
              <w:rPr>
                <w:rFonts w:hint="eastAsia"/>
                <w:color w:val="000000" w:themeColor="text1"/>
                <w14:textFill>
                  <w14:solidFill>
                    <w14:schemeClr w14:val="tx1"/>
                  </w14:solidFill>
                </w14:textFill>
              </w:rPr>
            </w:pPr>
          </w:p>
        </w:tc>
        <w:tc>
          <w:tcPr>
            <w:tcW w:w="2709" w:type="dxa"/>
            <w:vMerge w:val="continue"/>
            <w:vAlign w:val="center"/>
          </w:tcPr>
          <w:p w14:paraId="0C0DBA79">
            <w:pPr>
              <w:pStyle w:val="280"/>
              <w:rPr>
                <w:rFonts w:hint="eastAsia"/>
                <w:color w:val="000000" w:themeColor="text1"/>
                <w14:textFill>
                  <w14:solidFill>
                    <w14:schemeClr w14:val="tx1"/>
                  </w14:solidFill>
                </w14:textFill>
              </w:rPr>
            </w:pPr>
          </w:p>
        </w:tc>
      </w:tr>
      <w:tr w14:paraId="36CA5B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6904D39D">
            <w:pPr>
              <w:pStyle w:val="280"/>
              <w:rPr>
                <w:rFonts w:hint="eastAsia"/>
                <w:color w:val="000000" w:themeColor="text1"/>
                <w14:textFill>
                  <w14:solidFill>
                    <w14:schemeClr w14:val="tx1"/>
                  </w14:solidFill>
                </w14:textFill>
              </w:rPr>
            </w:pPr>
          </w:p>
        </w:tc>
        <w:tc>
          <w:tcPr>
            <w:tcW w:w="1292" w:type="dxa"/>
            <w:vMerge w:val="continue"/>
            <w:tcBorders>
              <w:left w:val="single" w:color="auto" w:sz="4" w:space="0"/>
            </w:tcBorders>
            <w:vAlign w:val="center"/>
          </w:tcPr>
          <w:p w14:paraId="79371C67">
            <w:pPr>
              <w:pStyle w:val="280"/>
              <w:rPr>
                <w:rFonts w:hint="eastAsia"/>
                <w:color w:val="000000" w:themeColor="text1"/>
                <w14:textFill>
                  <w14:solidFill>
                    <w14:schemeClr w14:val="tx1"/>
                  </w14:solidFill>
                </w14:textFill>
              </w:rPr>
            </w:pPr>
          </w:p>
        </w:tc>
        <w:tc>
          <w:tcPr>
            <w:tcW w:w="2018" w:type="dxa"/>
            <w:vAlign w:val="center"/>
          </w:tcPr>
          <w:p w14:paraId="52498A9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1小时平均</w:t>
            </w:r>
          </w:p>
        </w:tc>
        <w:tc>
          <w:tcPr>
            <w:tcW w:w="1345" w:type="dxa"/>
            <w:vAlign w:val="center"/>
          </w:tcPr>
          <w:p w14:paraId="6A5771C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889" w:type="dxa"/>
            <w:vMerge w:val="continue"/>
            <w:vAlign w:val="center"/>
          </w:tcPr>
          <w:p w14:paraId="37B53A89">
            <w:pPr>
              <w:pStyle w:val="280"/>
              <w:rPr>
                <w:rFonts w:hint="eastAsia"/>
                <w:color w:val="000000" w:themeColor="text1"/>
                <w14:textFill>
                  <w14:solidFill>
                    <w14:schemeClr w14:val="tx1"/>
                  </w14:solidFill>
                </w14:textFill>
              </w:rPr>
            </w:pPr>
          </w:p>
        </w:tc>
        <w:tc>
          <w:tcPr>
            <w:tcW w:w="2709" w:type="dxa"/>
            <w:vMerge w:val="continue"/>
            <w:vAlign w:val="center"/>
          </w:tcPr>
          <w:p w14:paraId="3E935FAE">
            <w:pPr>
              <w:pStyle w:val="280"/>
              <w:rPr>
                <w:rFonts w:hint="eastAsia"/>
                <w:color w:val="000000" w:themeColor="text1"/>
                <w14:textFill>
                  <w14:solidFill>
                    <w14:schemeClr w14:val="tx1"/>
                  </w14:solidFill>
                </w14:textFill>
              </w:rPr>
            </w:pPr>
          </w:p>
        </w:tc>
      </w:tr>
      <w:tr w14:paraId="7A53A3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0C2E777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292" w:type="dxa"/>
            <w:vMerge w:val="restart"/>
            <w:tcBorders>
              <w:left w:val="single" w:color="auto" w:sz="4" w:space="0"/>
            </w:tcBorders>
            <w:vAlign w:val="center"/>
          </w:tcPr>
          <w:p w14:paraId="6DA907B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p>
        </w:tc>
        <w:tc>
          <w:tcPr>
            <w:tcW w:w="2018" w:type="dxa"/>
            <w:vAlign w:val="center"/>
          </w:tcPr>
          <w:p w14:paraId="0899ACE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1345" w:type="dxa"/>
            <w:vAlign w:val="center"/>
          </w:tcPr>
          <w:p w14:paraId="0A8B076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889" w:type="dxa"/>
            <w:vMerge w:val="continue"/>
            <w:vAlign w:val="center"/>
          </w:tcPr>
          <w:p w14:paraId="12A74945">
            <w:pPr>
              <w:pStyle w:val="280"/>
              <w:rPr>
                <w:rFonts w:hint="eastAsia"/>
                <w:color w:val="000000" w:themeColor="text1"/>
                <w14:textFill>
                  <w14:solidFill>
                    <w14:schemeClr w14:val="tx1"/>
                  </w14:solidFill>
                </w14:textFill>
              </w:rPr>
            </w:pPr>
          </w:p>
        </w:tc>
        <w:tc>
          <w:tcPr>
            <w:tcW w:w="2709" w:type="dxa"/>
            <w:vMerge w:val="continue"/>
            <w:vAlign w:val="center"/>
          </w:tcPr>
          <w:p w14:paraId="36B2898C">
            <w:pPr>
              <w:pStyle w:val="280"/>
              <w:rPr>
                <w:rFonts w:hint="eastAsia"/>
                <w:color w:val="000000" w:themeColor="text1"/>
                <w14:textFill>
                  <w14:solidFill>
                    <w14:schemeClr w14:val="tx1"/>
                  </w14:solidFill>
                </w14:textFill>
              </w:rPr>
            </w:pPr>
          </w:p>
        </w:tc>
      </w:tr>
      <w:tr w14:paraId="6BC69D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75B4C8C1">
            <w:pPr>
              <w:pStyle w:val="280"/>
              <w:rPr>
                <w:rFonts w:hint="eastAsia"/>
                <w:color w:val="000000" w:themeColor="text1"/>
                <w14:textFill>
                  <w14:solidFill>
                    <w14:schemeClr w14:val="tx1"/>
                  </w14:solidFill>
                </w14:textFill>
              </w:rPr>
            </w:pPr>
          </w:p>
        </w:tc>
        <w:tc>
          <w:tcPr>
            <w:tcW w:w="1292" w:type="dxa"/>
            <w:vMerge w:val="continue"/>
            <w:tcBorders>
              <w:left w:val="single" w:color="auto" w:sz="4" w:space="0"/>
            </w:tcBorders>
            <w:vAlign w:val="center"/>
          </w:tcPr>
          <w:p w14:paraId="3386912B">
            <w:pPr>
              <w:pStyle w:val="280"/>
              <w:rPr>
                <w:rFonts w:hint="eastAsia"/>
                <w:color w:val="000000" w:themeColor="text1"/>
                <w14:textFill>
                  <w14:solidFill>
                    <w14:schemeClr w14:val="tx1"/>
                  </w14:solidFill>
                </w14:textFill>
              </w:rPr>
            </w:pPr>
          </w:p>
        </w:tc>
        <w:tc>
          <w:tcPr>
            <w:tcW w:w="2018" w:type="dxa"/>
            <w:vAlign w:val="center"/>
          </w:tcPr>
          <w:p w14:paraId="4C7BFE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小时平均</w:t>
            </w:r>
          </w:p>
        </w:tc>
        <w:tc>
          <w:tcPr>
            <w:tcW w:w="1345" w:type="dxa"/>
            <w:vAlign w:val="center"/>
          </w:tcPr>
          <w:p w14:paraId="4BE34D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0</w:t>
            </w:r>
          </w:p>
        </w:tc>
        <w:tc>
          <w:tcPr>
            <w:tcW w:w="889" w:type="dxa"/>
            <w:vMerge w:val="continue"/>
            <w:vAlign w:val="center"/>
          </w:tcPr>
          <w:p w14:paraId="6A31AA8E">
            <w:pPr>
              <w:pStyle w:val="280"/>
              <w:rPr>
                <w:rFonts w:hint="eastAsia"/>
                <w:color w:val="000000" w:themeColor="text1"/>
                <w14:textFill>
                  <w14:solidFill>
                    <w14:schemeClr w14:val="tx1"/>
                  </w14:solidFill>
                </w14:textFill>
              </w:rPr>
            </w:pPr>
          </w:p>
        </w:tc>
        <w:tc>
          <w:tcPr>
            <w:tcW w:w="2709" w:type="dxa"/>
            <w:vMerge w:val="continue"/>
            <w:vAlign w:val="center"/>
          </w:tcPr>
          <w:p w14:paraId="0E68F689">
            <w:pPr>
              <w:pStyle w:val="280"/>
              <w:rPr>
                <w:rFonts w:hint="eastAsia"/>
                <w:color w:val="000000" w:themeColor="text1"/>
                <w14:textFill>
                  <w14:solidFill>
                    <w14:schemeClr w14:val="tx1"/>
                  </w14:solidFill>
                </w14:textFill>
              </w:rPr>
            </w:pPr>
          </w:p>
        </w:tc>
      </w:tr>
      <w:tr w14:paraId="0653AA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3D8D1093">
            <w:pPr>
              <w:pStyle w:val="280"/>
              <w:rPr>
                <w:rFonts w:hint="eastAsia"/>
                <w:color w:val="000000" w:themeColor="text1"/>
                <w14:textFill>
                  <w14:solidFill>
                    <w14:schemeClr w14:val="tx1"/>
                  </w14:solidFill>
                </w14:textFill>
              </w:rPr>
            </w:pPr>
          </w:p>
        </w:tc>
        <w:tc>
          <w:tcPr>
            <w:tcW w:w="1292" w:type="dxa"/>
            <w:vMerge w:val="continue"/>
            <w:tcBorders>
              <w:left w:val="single" w:color="auto" w:sz="4" w:space="0"/>
            </w:tcBorders>
            <w:vAlign w:val="center"/>
          </w:tcPr>
          <w:p w14:paraId="67C1B86F">
            <w:pPr>
              <w:pStyle w:val="280"/>
              <w:rPr>
                <w:rFonts w:hint="eastAsia"/>
                <w:color w:val="000000" w:themeColor="text1"/>
                <w14:textFill>
                  <w14:solidFill>
                    <w14:schemeClr w14:val="tx1"/>
                  </w14:solidFill>
                </w14:textFill>
              </w:rPr>
            </w:pPr>
          </w:p>
        </w:tc>
        <w:tc>
          <w:tcPr>
            <w:tcW w:w="2018" w:type="dxa"/>
            <w:vAlign w:val="center"/>
          </w:tcPr>
          <w:p w14:paraId="0DCD5CC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1小时平均</w:t>
            </w:r>
          </w:p>
        </w:tc>
        <w:tc>
          <w:tcPr>
            <w:tcW w:w="1345" w:type="dxa"/>
            <w:vAlign w:val="center"/>
          </w:tcPr>
          <w:p w14:paraId="1A6D320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889" w:type="dxa"/>
            <w:vMerge w:val="continue"/>
            <w:vAlign w:val="center"/>
          </w:tcPr>
          <w:p w14:paraId="6A263546">
            <w:pPr>
              <w:pStyle w:val="280"/>
              <w:rPr>
                <w:rFonts w:hint="eastAsia"/>
                <w:color w:val="000000" w:themeColor="text1"/>
                <w14:textFill>
                  <w14:solidFill>
                    <w14:schemeClr w14:val="tx1"/>
                  </w14:solidFill>
                </w14:textFill>
              </w:rPr>
            </w:pPr>
          </w:p>
        </w:tc>
        <w:tc>
          <w:tcPr>
            <w:tcW w:w="2709" w:type="dxa"/>
            <w:vMerge w:val="continue"/>
            <w:vAlign w:val="center"/>
          </w:tcPr>
          <w:p w14:paraId="56D6B7BD">
            <w:pPr>
              <w:pStyle w:val="280"/>
              <w:rPr>
                <w:rFonts w:hint="eastAsia"/>
                <w:color w:val="000000" w:themeColor="text1"/>
                <w14:textFill>
                  <w14:solidFill>
                    <w14:schemeClr w14:val="tx1"/>
                  </w14:solidFill>
                </w14:textFill>
              </w:rPr>
            </w:pPr>
          </w:p>
        </w:tc>
      </w:tr>
      <w:tr w14:paraId="5EE0C2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52BDC6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292" w:type="dxa"/>
            <w:vMerge w:val="restart"/>
            <w:tcBorders>
              <w:left w:val="single" w:color="auto" w:sz="4" w:space="0"/>
            </w:tcBorders>
            <w:vAlign w:val="center"/>
          </w:tcPr>
          <w:p w14:paraId="5566B2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10</w:t>
            </w:r>
          </w:p>
        </w:tc>
        <w:tc>
          <w:tcPr>
            <w:tcW w:w="2018" w:type="dxa"/>
            <w:vAlign w:val="center"/>
          </w:tcPr>
          <w:p w14:paraId="5FCBB9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1345" w:type="dxa"/>
            <w:vAlign w:val="center"/>
          </w:tcPr>
          <w:p w14:paraId="25855D9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889" w:type="dxa"/>
            <w:vMerge w:val="continue"/>
            <w:vAlign w:val="center"/>
          </w:tcPr>
          <w:p w14:paraId="086437DC">
            <w:pPr>
              <w:pStyle w:val="280"/>
              <w:rPr>
                <w:rFonts w:hint="eastAsia"/>
                <w:color w:val="000000" w:themeColor="text1"/>
                <w14:textFill>
                  <w14:solidFill>
                    <w14:schemeClr w14:val="tx1"/>
                  </w14:solidFill>
                </w14:textFill>
              </w:rPr>
            </w:pPr>
          </w:p>
        </w:tc>
        <w:tc>
          <w:tcPr>
            <w:tcW w:w="2709" w:type="dxa"/>
            <w:vMerge w:val="continue"/>
            <w:vAlign w:val="center"/>
          </w:tcPr>
          <w:p w14:paraId="07BFA9C6">
            <w:pPr>
              <w:pStyle w:val="280"/>
              <w:rPr>
                <w:rFonts w:hint="eastAsia"/>
                <w:color w:val="000000" w:themeColor="text1"/>
                <w14:textFill>
                  <w14:solidFill>
                    <w14:schemeClr w14:val="tx1"/>
                  </w14:solidFill>
                </w14:textFill>
              </w:rPr>
            </w:pPr>
          </w:p>
        </w:tc>
      </w:tr>
      <w:tr w14:paraId="0463C2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6FA21E09">
            <w:pPr>
              <w:pStyle w:val="280"/>
              <w:rPr>
                <w:rFonts w:hint="eastAsia"/>
                <w:color w:val="000000" w:themeColor="text1"/>
                <w14:textFill>
                  <w14:solidFill>
                    <w14:schemeClr w14:val="tx1"/>
                  </w14:solidFill>
                </w14:textFill>
              </w:rPr>
            </w:pPr>
          </w:p>
        </w:tc>
        <w:tc>
          <w:tcPr>
            <w:tcW w:w="1292" w:type="dxa"/>
            <w:vMerge w:val="continue"/>
            <w:tcBorders>
              <w:left w:val="single" w:color="auto" w:sz="4" w:space="0"/>
            </w:tcBorders>
            <w:vAlign w:val="center"/>
          </w:tcPr>
          <w:p w14:paraId="396744B8">
            <w:pPr>
              <w:pStyle w:val="280"/>
              <w:rPr>
                <w:rFonts w:hint="eastAsia"/>
                <w:color w:val="000000" w:themeColor="text1"/>
                <w14:textFill>
                  <w14:solidFill>
                    <w14:schemeClr w14:val="tx1"/>
                  </w14:solidFill>
                </w14:textFill>
              </w:rPr>
            </w:pPr>
          </w:p>
        </w:tc>
        <w:tc>
          <w:tcPr>
            <w:tcW w:w="2018" w:type="dxa"/>
            <w:vAlign w:val="center"/>
          </w:tcPr>
          <w:p w14:paraId="49C40DA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24小时平均</w:t>
            </w:r>
          </w:p>
        </w:tc>
        <w:tc>
          <w:tcPr>
            <w:tcW w:w="1345" w:type="dxa"/>
            <w:vAlign w:val="center"/>
          </w:tcPr>
          <w:p w14:paraId="014C8C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120</w:t>
            </w:r>
          </w:p>
        </w:tc>
        <w:tc>
          <w:tcPr>
            <w:tcW w:w="889" w:type="dxa"/>
            <w:vMerge w:val="continue"/>
            <w:vAlign w:val="center"/>
          </w:tcPr>
          <w:p w14:paraId="70A7590C">
            <w:pPr>
              <w:pStyle w:val="280"/>
              <w:rPr>
                <w:rFonts w:hint="eastAsia"/>
                <w:color w:val="000000" w:themeColor="text1"/>
                <w14:textFill>
                  <w14:solidFill>
                    <w14:schemeClr w14:val="tx1"/>
                  </w14:solidFill>
                </w14:textFill>
              </w:rPr>
            </w:pPr>
          </w:p>
        </w:tc>
        <w:tc>
          <w:tcPr>
            <w:tcW w:w="2709" w:type="dxa"/>
            <w:vMerge w:val="continue"/>
            <w:vAlign w:val="center"/>
          </w:tcPr>
          <w:p w14:paraId="5F100384">
            <w:pPr>
              <w:pStyle w:val="280"/>
              <w:rPr>
                <w:rFonts w:hint="eastAsia"/>
                <w:color w:val="000000" w:themeColor="text1"/>
                <w14:textFill>
                  <w14:solidFill>
                    <w14:schemeClr w14:val="tx1"/>
                  </w14:solidFill>
                </w14:textFill>
              </w:rPr>
            </w:pPr>
          </w:p>
        </w:tc>
      </w:tr>
      <w:tr w14:paraId="60FF9F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022504D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292" w:type="dxa"/>
            <w:vMerge w:val="restart"/>
            <w:tcBorders>
              <w:left w:val="single" w:color="auto" w:sz="4" w:space="0"/>
            </w:tcBorders>
            <w:vAlign w:val="center"/>
          </w:tcPr>
          <w:p w14:paraId="6138754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p>
        </w:tc>
        <w:tc>
          <w:tcPr>
            <w:tcW w:w="2018" w:type="dxa"/>
            <w:vAlign w:val="center"/>
          </w:tcPr>
          <w:p w14:paraId="4DF7898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1345" w:type="dxa"/>
            <w:vAlign w:val="center"/>
          </w:tcPr>
          <w:p w14:paraId="2C639FA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889" w:type="dxa"/>
            <w:vMerge w:val="continue"/>
            <w:vAlign w:val="center"/>
          </w:tcPr>
          <w:p w14:paraId="04F10943">
            <w:pPr>
              <w:pStyle w:val="280"/>
              <w:rPr>
                <w:rFonts w:hint="eastAsia"/>
                <w:color w:val="000000" w:themeColor="text1"/>
                <w14:textFill>
                  <w14:solidFill>
                    <w14:schemeClr w14:val="tx1"/>
                  </w14:solidFill>
                </w14:textFill>
              </w:rPr>
            </w:pPr>
          </w:p>
        </w:tc>
        <w:tc>
          <w:tcPr>
            <w:tcW w:w="2709" w:type="dxa"/>
            <w:vMerge w:val="continue"/>
            <w:vAlign w:val="center"/>
          </w:tcPr>
          <w:p w14:paraId="2DFD1446">
            <w:pPr>
              <w:pStyle w:val="280"/>
              <w:rPr>
                <w:rFonts w:hint="eastAsia"/>
                <w:color w:val="000000" w:themeColor="text1"/>
                <w14:textFill>
                  <w14:solidFill>
                    <w14:schemeClr w14:val="tx1"/>
                  </w14:solidFill>
                </w14:textFill>
              </w:rPr>
            </w:pPr>
          </w:p>
        </w:tc>
      </w:tr>
      <w:tr w14:paraId="4AC008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4995707F">
            <w:pPr>
              <w:pStyle w:val="280"/>
              <w:rPr>
                <w:rFonts w:hint="eastAsia"/>
                <w:color w:val="000000" w:themeColor="text1"/>
                <w14:textFill>
                  <w14:solidFill>
                    <w14:schemeClr w14:val="tx1"/>
                  </w14:solidFill>
                </w14:textFill>
              </w:rPr>
            </w:pPr>
          </w:p>
        </w:tc>
        <w:tc>
          <w:tcPr>
            <w:tcW w:w="1292" w:type="dxa"/>
            <w:vMerge w:val="continue"/>
            <w:tcBorders>
              <w:left w:val="single" w:color="auto" w:sz="4" w:space="0"/>
            </w:tcBorders>
            <w:vAlign w:val="center"/>
          </w:tcPr>
          <w:p w14:paraId="050990EE">
            <w:pPr>
              <w:pStyle w:val="280"/>
              <w:rPr>
                <w:rFonts w:hint="eastAsia"/>
                <w:color w:val="000000" w:themeColor="text1"/>
                <w14:textFill>
                  <w14:solidFill>
                    <w14:schemeClr w14:val="tx1"/>
                  </w14:solidFill>
                </w14:textFill>
              </w:rPr>
            </w:pPr>
          </w:p>
        </w:tc>
        <w:tc>
          <w:tcPr>
            <w:tcW w:w="2018" w:type="dxa"/>
            <w:vAlign w:val="center"/>
          </w:tcPr>
          <w:p w14:paraId="5B09B7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24小时平均</w:t>
            </w:r>
          </w:p>
        </w:tc>
        <w:tc>
          <w:tcPr>
            <w:tcW w:w="1345" w:type="dxa"/>
            <w:vAlign w:val="center"/>
          </w:tcPr>
          <w:p w14:paraId="1EC9F1B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889" w:type="dxa"/>
            <w:vMerge w:val="continue"/>
            <w:vAlign w:val="center"/>
          </w:tcPr>
          <w:p w14:paraId="444A02A5">
            <w:pPr>
              <w:pStyle w:val="280"/>
              <w:rPr>
                <w:rFonts w:hint="eastAsia"/>
                <w:color w:val="000000" w:themeColor="text1"/>
                <w14:textFill>
                  <w14:solidFill>
                    <w14:schemeClr w14:val="tx1"/>
                  </w14:solidFill>
                </w14:textFill>
              </w:rPr>
            </w:pPr>
          </w:p>
        </w:tc>
        <w:tc>
          <w:tcPr>
            <w:tcW w:w="2709" w:type="dxa"/>
            <w:vMerge w:val="continue"/>
            <w:vAlign w:val="center"/>
          </w:tcPr>
          <w:p w14:paraId="66544AA2">
            <w:pPr>
              <w:pStyle w:val="280"/>
              <w:rPr>
                <w:rFonts w:hint="eastAsia"/>
                <w:color w:val="000000" w:themeColor="text1"/>
                <w14:textFill>
                  <w14:solidFill>
                    <w14:schemeClr w14:val="tx1"/>
                  </w14:solidFill>
                </w14:textFill>
              </w:rPr>
            </w:pPr>
          </w:p>
        </w:tc>
      </w:tr>
      <w:tr w14:paraId="2DFABB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441CE7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292" w:type="dxa"/>
            <w:vMerge w:val="restart"/>
            <w:tcBorders>
              <w:left w:val="single" w:color="auto" w:sz="4" w:space="0"/>
            </w:tcBorders>
            <w:vAlign w:val="center"/>
          </w:tcPr>
          <w:p w14:paraId="23E9D7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r>
              <w:rPr>
                <w:rFonts w:hint="eastAsia"/>
                <w:color w:val="000000" w:themeColor="text1"/>
                <w:vertAlign w:val="subscript"/>
                <w14:textFill>
                  <w14:solidFill>
                    <w14:schemeClr w14:val="tx1"/>
                  </w14:solidFill>
                </w14:textFill>
              </w:rPr>
              <w:t>3</w:t>
            </w:r>
          </w:p>
        </w:tc>
        <w:tc>
          <w:tcPr>
            <w:tcW w:w="2018" w:type="dxa"/>
            <w:vAlign w:val="center"/>
          </w:tcPr>
          <w:p w14:paraId="5D0FF17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日最大8小时平均</w:t>
            </w:r>
          </w:p>
        </w:tc>
        <w:tc>
          <w:tcPr>
            <w:tcW w:w="1345" w:type="dxa"/>
            <w:vAlign w:val="center"/>
          </w:tcPr>
          <w:p w14:paraId="47AFDD1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889" w:type="dxa"/>
            <w:vMerge w:val="continue"/>
            <w:vAlign w:val="center"/>
          </w:tcPr>
          <w:p w14:paraId="40C19A4A">
            <w:pPr>
              <w:pStyle w:val="280"/>
              <w:rPr>
                <w:rFonts w:hint="eastAsia"/>
                <w:color w:val="000000" w:themeColor="text1"/>
                <w14:textFill>
                  <w14:solidFill>
                    <w14:schemeClr w14:val="tx1"/>
                  </w14:solidFill>
                </w14:textFill>
              </w:rPr>
            </w:pPr>
          </w:p>
        </w:tc>
        <w:tc>
          <w:tcPr>
            <w:tcW w:w="2709" w:type="dxa"/>
            <w:vMerge w:val="continue"/>
            <w:vAlign w:val="center"/>
          </w:tcPr>
          <w:p w14:paraId="5E48E80A">
            <w:pPr>
              <w:pStyle w:val="280"/>
              <w:rPr>
                <w:rFonts w:hint="eastAsia"/>
                <w:color w:val="000000" w:themeColor="text1"/>
                <w14:textFill>
                  <w14:solidFill>
                    <w14:schemeClr w14:val="tx1"/>
                  </w14:solidFill>
                </w14:textFill>
              </w:rPr>
            </w:pPr>
          </w:p>
        </w:tc>
      </w:tr>
      <w:tr w14:paraId="34422E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trPr>
        <w:tc>
          <w:tcPr>
            <w:tcW w:w="693" w:type="dxa"/>
            <w:vMerge w:val="continue"/>
            <w:tcBorders>
              <w:right w:val="single" w:color="auto" w:sz="4" w:space="0"/>
            </w:tcBorders>
            <w:vAlign w:val="center"/>
          </w:tcPr>
          <w:p w14:paraId="06FF835E">
            <w:pPr>
              <w:pStyle w:val="280"/>
              <w:rPr>
                <w:rFonts w:hint="eastAsia"/>
                <w:color w:val="000000" w:themeColor="text1"/>
                <w14:textFill>
                  <w14:solidFill>
                    <w14:schemeClr w14:val="tx1"/>
                  </w14:solidFill>
                </w14:textFill>
              </w:rPr>
            </w:pPr>
          </w:p>
        </w:tc>
        <w:tc>
          <w:tcPr>
            <w:tcW w:w="1292" w:type="dxa"/>
            <w:vMerge w:val="continue"/>
            <w:tcBorders>
              <w:left w:val="single" w:color="auto" w:sz="4" w:space="0"/>
            </w:tcBorders>
            <w:vAlign w:val="center"/>
          </w:tcPr>
          <w:p w14:paraId="135F6F9D">
            <w:pPr>
              <w:pStyle w:val="280"/>
              <w:rPr>
                <w:rFonts w:hint="eastAsia"/>
                <w:color w:val="000000" w:themeColor="text1"/>
                <w14:textFill>
                  <w14:solidFill>
                    <w14:schemeClr w14:val="tx1"/>
                  </w14:solidFill>
                </w14:textFill>
              </w:rPr>
            </w:pPr>
          </w:p>
        </w:tc>
        <w:tc>
          <w:tcPr>
            <w:tcW w:w="2018" w:type="dxa"/>
            <w:vAlign w:val="center"/>
          </w:tcPr>
          <w:p w14:paraId="4F4991E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1小时平均</w:t>
            </w:r>
          </w:p>
        </w:tc>
        <w:tc>
          <w:tcPr>
            <w:tcW w:w="1345" w:type="dxa"/>
            <w:vAlign w:val="center"/>
          </w:tcPr>
          <w:p w14:paraId="547044A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p>
        </w:tc>
        <w:tc>
          <w:tcPr>
            <w:tcW w:w="889" w:type="dxa"/>
            <w:vMerge w:val="continue"/>
            <w:tcBorders>
              <w:bottom w:val="single" w:color="auto" w:sz="4" w:space="0"/>
            </w:tcBorders>
            <w:vAlign w:val="center"/>
          </w:tcPr>
          <w:p w14:paraId="7205C747">
            <w:pPr>
              <w:pStyle w:val="280"/>
              <w:rPr>
                <w:rFonts w:hint="eastAsia"/>
                <w:color w:val="000000" w:themeColor="text1"/>
                <w14:textFill>
                  <w14:solidFill>
                    <w14:schemeClr w14:val="tx1"/>
                  </w14:solidFill>
                </w14:textFill>
              </w:rPr>
            </w:pPr>
          </w:p>
        </w:tc>
        <w:tc>
          <w:tcPr>
            <w:tcW w:w="2709" w:type="dxa"/>
            <w:vMerge w:val="continue"/>
            <w:vAlign w:val="center"/>
          </w:tcPr>
          <w:p w14:paraId="62BAD31F">
            <w:pPr>
              <w:pStyle w:val="280"/>
              <w:rPr>
                <w:rFonts w:hint="eastAsia"/>
                <w:color w:val="000000" w:themeColor="text1"/>
                <w14:textFill>
                  <w14:solidFill>
                    <w14:schemeClr w14:val="tx1"/>
                  </w14:solidFill>
                </w14:textFill>
              </w:rPr>
            </w:pPr>
          </w:p>
        </w:tc>
      </w:tr>
      <w:tr w14:paraId="1AFAFB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69FE76A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6</w:t>
            </w:r>
          </w:p>
        </w:tc>
        <w:tc>
          <w:tcPr>
            <w:tcW w:w="1292" w:type="dxa"/>
            <w:vMerge w:val="restart"/>
            <w:tcBorders>
              <w:left w:val="single" w:color="auto" w:sz="4" w:space="0"/>
            </w:tcBorders>
            <w:vAlign w:val="center"/>
          </w:tcPr>
          <w:p w14:paraId="6219FD0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CO</w:t>
            </w:r>
          </w:p>
        </w:tc>
        <w:tc>
          <w:tcPr>
            <w:tcW w:w="2018" w:type="dxa"/>
            <w:vAlign w:val="center"/>
          </w:tcPr>
          <w:p w14:paraId="1A0D60D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24小时平均</w:t>
            </w:r>
          </w:p>
        </w:tc>
        <w:tc>
          <w:tcPr>
            <w:tcW w:w="1345" w:type="dxa"/>
            <w:vAlign w:val="center"/>
          </w:tcPr>
          <w:p w14:paraId="0E4819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889" w:type="dxa"/>
            <w:vMerge w:val="restart"/>
            <w:tcBorders>
              <w:top w:val="single" w:color="auto" w:sz="4" w:space="0"/>
            </w:tcBorders>
            <w:vAlign w:val="center"/>
          </w:tcPr>
          <w:p w14:paraId="7EFD98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mg/m</w:t>
            </w:r>
            <w:r>
              <w:rPr>
                <w:rFonts w:hint="eastAsia"/>
                <w:color w:val="000000" w:themeColor="text1"/>
                <w:vertAlign w:val="superscript"/>
                <w14:textFill>
                  <w14:solidFill>
                    <w14:schemeClr w14:val="tx1"/>
                  </w14:solidFill>
                </w14:textFill>
              </w:rPr>
              <w:t>3</w:t>
            </w:r>
          </w:p>
        </w:tc>
        <w:tc>
          <w:tcPr>
            <w:tcW w:w="2709" w:type="dxa"/>
            <w:vMerge w:val="continue"/>
            <w:vAlign w:val="center"/>
          </w:tcPr>
          <w:p w14:paraId="61D3F215">
            <w:pPr>
              <w:pStyle w:val="280"/>
              <w:rPr>
                <w:rFonts w:hint="eastAsia"/>
                <w:color w:val="000000" w:themeColor="text1"/>
                <w14:textFill>
                  <w14:solidFill>
                    <w14:schemeClr w14:val="tx1"/>
                  </w14:solidFill>
                </w14:textFill>
              </w:rPr>
            </w:pPr>
          </w:p>
        </w:tc>
      </w:tr>
      <w:tr w14:paraId="7D2BD6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297C1401">
            <w:pPr>
              <w:pStyle w:val="280"/>
              <w:rPr>
                <w:rFonts w:hint="eastAsia"/>
                <w:color w:val="000000" w:themeColor="text1"/>
                <w14:textFill>
                  <w14:solidFill>
                    <w14:schemeClr w14:val="tx1"/>
                  </w14:solidFill>
                </w14:textFill>
              </w:rPr>
            </w:pPr>
          </w:p>
        </w:tc>
        <w:tc>
          <w:tcPr>
            <w:tcW w:w="1292" w:type="dxa"/>
            <w:vMerge w:val="continue"/>
            <w:tcBorders>
              <w:left w:val="single" w:color="auto" w:sz="4" w:space="0"/>
            </w:tcBorders>
            <w:vAlign w:val="center"/>
          </w:tcPr>
          <w:p w14:paraId="18183E83">
            <w:pPr>
              <w:pStyle w:val="280"/>
              <w:rPr>
                <w:rFonts w:hint="eastAsia"/>
                <w:color w:val="000000" w:themeColor="text1"/>
                <w14:textFill>
                  <w14:solidFill>
                    <w14:schemeClr w14:val="tx1"/>
                  </w14:solidFill>
                </w14:textFill>
              </w:rPr>
            </w:pPr>
          </w:p>
        </w:tc>
        <w:tc>
          <w:tcPr>
            <w:tcW w:w="2018" w:type="dxa"/>
            <w:vAlign w:val="center"/>
          </w:tcPr>
          <w:p w14:paraId="7522DA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1小时平均</w:t>
            </w:r>
          </w:p>
        </w:tc>
        <w:tc>
          <w:tcPr>
            <w:tcW w:w="1345" w:type="dxa"/>
            <w:vAlign w:val="center"/>
          </w:tcPr>
          <w:p w14:paraId="55210E0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c>
          <w:tcPr>
            <w:tcW w:w="889" w:type="dxa"/>
            <w:vMerge w:val="continue"/>
            <w:tcBorders>
              <w:bottom w:val="single" w:color="auto" w:sz="4" w:space="0"/>
            </w:tcBorders>
            <w:vAlign w:val="center"/>
          </w:tcPr>
          <w:p w14:paraId="70236147">
            <w:pPr>
              <w:pStyle w:val="280"/>
              <w:rPr>
                <w:rFonts w:hint="eastAsia"/>
                <w:color w:val="000000" w:themeColor="text1"/>
                <w14:textFill>
                  <w14:solidFill>
                    <w14:schemeClr w14:val="tx1"/>
                  </w14:solidFill>
                </w14:textFill>
              </w:rPr>
            </w:pPr>
          </w:p>
        </w:tc>
        <w:tc>
          <w:tcPr>
            <w:tcW w:w="2709" w:type="dxa"/>
            <w:vMerge w:val="continue"/>
            <w:vAlign w:val="center"/>
          </w:tcPr>
          <w:p w14:paraId="1857D8FB">
            <w:pPr>
              <w:pStyle w:val="280"/>
              <w:rPr>
                <w:rFonts w:hint="eastAsia"/>
                <w:color w:val="000000" w:themeColor="text1"/>
                <w14:textFill>
                  <w14:solidFill>
                    <w14:schemeClr w14:val="tx1"/>
                  </w14:solidFill>
                </w14:textFill>
              </w:rPr>
            </w:pPr>
          </w:p>
        </w:tc>
      </w:tr>
      <w:tr w14:paraId="655E86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tcBorders>
              <w:right w:val="single" w:color="auto" w:sz="4" w:space="0"/>
            </w:tcBorders>
            <w:vAlign w:val="center"/>
          </w:tcPr>
          <w:p w14:paraId="15C335C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292" w:type="dxa"/>
            <w:tcBorders>
              <w:left w:val="single" w:color="auto" w:sz="4" w:space="0"/>
            </w:tcBorders>
            <w:vAlign w:val="center"/>
          </w:tcPr>
          <w:p w14:paraId="7CF3530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2018" w:type="dxa"/>
            <w:vAlign w:val="center"/>
          </w:tcPr>
          <w:p w14:paraId="1DC5532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一次浓度限值</w:t>
            </w:r>
          </w:p>
        </w:tc>
        <w:tc>
          <w:tcPr>
            <w:tcW w:w="1345" w:type="dxa"/>
            <w:vAlign w:val="center"/>
          </w:tcPr>
          <w:p w14:paraId="3613620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889" w:type="dxa"/>
            <w:vAlign w:val="center"/>
          </w:tcPr>
          <w:p w14:paraId="20A440C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mg/m</w:t>
            </w:r>
            <w:r>
              <w:rPr>
                <w:rFonts w:hint="eastAsia"/>
                <w:color w:val="000000" w:themeColor="text1"/>
                <w:vertAlign w:val="superscript"/>
                <w14:textFill>
                  <w14:solidFill>
                    <w14:schemeClr w14:val="tx1"/>
                  </w14:solidFill>
                </w14:textFill>
              </w:rPr>
              <w:t>3</w:t>
            </w:r>
          </w:p>
        </w:tc>
        <w:tc>
          <w:tcPr>
            <w:tcW w:w="2709" w:type="dxa"/>
            <w:vAlign w:val="center"/>
          </w:tcPr>
          <w:p w14:paraId="58558F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大气污染物综合排放标准》详解</w:t>
            </w:r>
          </w:p>
        </w:tc>
      </w:tr>
      <w:tr w14:paraId="683E97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tcBorders>
              <w:right w:val="single" w:color="auto" w:sz="4" w:space="0"/>
            </w:tcBorders>
            <w:vAlign w:val="center"/>
          </w:tcPr>
          <w:p w14:paraId="7660515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292" w:type="dxa"/>
            <w:tcBorders>
              <w:left w:val="single" w:color="auto" w:sz="4" w:space="0"/>
            </w:tcBorders>
            <w:vAlign w:val="center"/>
          </w:tcPr>
          <w:p w14:paraId="681E4C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2018" w:type="dxa"/>
            <w:vAlign w:val="center"/>
          </w:tcPr>
          <w:p w14:paraId="6D66E4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1小时平均</w:t>
            </w:r>
          </w:p>
        </w:tc>
        <w:tc>
          <w:tcPr>
            <w:tcW w:w="1345" w:type="dxa"/>
            <w:vAlign w:val="center"/>
          </w:tcPr>
          <w:p w14:paraId="1F51AE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889" w:type="dxa"/>
            <w:vAlign w:val="center"/>
          </w:tcPr>
          <w:p w14:paraId="1B9D4BA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μg/m</w:t>
            </w:r>
            <w:r>
              <w:rPr>
                <w:rFonts w:hint="eastAsia"/>
                <w:color w:val="000000" w:themeColor="text1"/>
                <w:vertAlign w:val="superscript"/>
                <w14:textFill>
                  <w14:solidFill>
                    <w14:schemeClr w14:val="tx1"/>
                  </w14:solidFill>
                </w14:textFill>
              </w:rPr>
              <w:t>3</w:t>
            </w:r>
          </w:p>
        </w:tc>
        <w:tc>
          <w:tcPr>
            <w:tcW w:w="2709" w:type="dxa"/>
            <w:vAlign w:val="center"/>
          </w:tcPr>
          <w:p w14:paraId="7C6C77D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HJ2.2-2018附录D中的1h平均浓度限值</w:t>
            </w:r>
          </w:p>
        </w:tc>
      </w:tr>
    </w:tbl>
    <w:p w14:paraId="4443F11C">
      <w:pPr>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②地下水</w:t>
      </w:r>
    </w:p>
    <w:p w14:paraId="7D85A811">
      <w:pPr>
        <w:pStyle w:val="193"/>
        <w:rPr>
          <w:rFonts w:hint="eastAsia"/>
          <w:color w:val="000000" w:themeColor="text1"/>
          <w14:textFill>
            <w14:solidFill>
              <w14:schemeClr w14:val="tx1"/>
            </w14:solidFill>
          </w14:textFill>
        </w:rPr>
      </w:pPr>
      <w:r>
        <w:rPr>
          <w:rFonts w:hint="eastAsia"/>
          <w:color w:val="000000" w:themeColor="text1"/>
          <w:lang w:val="zh-CN"/>
          <w14:textFill>
            <w14:solidFill>
              <w14:schemeClr w14:val="tx1"/>
            </w14:solidFill>
          </w14:textFill>
        </w:rPr>
        <w:t>地下水环境质量执</w:t>
      </w:r>
      <w:r>
        <w:rPr>
          <w:rFonts w:hint="eastAsia" w:cs="MS PGothic"/>
          <w:color w:val="000000" w:themeColor="text1"/>
          <w:lang w:val="zh-CN"/>
          <w14:textFill>
            <w14:solidFill>
              <w14:schemeClr w14:val="tx1"/>
            </w14:solidFill>
          </w14:textFill>
        </w:rPr>
        <w:t>行《地下水</w:t>
      </w:r>
      <w:r>
        <w:rPr>
          <w:rFonts w:hint="eastAsia"/>
          <w:color w:val="000000" w:themeColor="text1"/>
          <w:lang w:val="zh-CN"/>
          <w14:textFill>
            <w14:solidFill>
              <w14:schemeClr w14:val="tx1"/>
            </w14:solidFill>
          </w14:textFill>
        </w:rPr>
        <w:t>质</w:t>
      </w:r>
      <w:r>
        <w:rPr>
          <w:rFonts w:hint="eastAsia" w:cs="MS PGothic"/>
          <w:color w:val="000000" w:themeColor="text1"/>
          <w:lang w:val="zh-CN"/>
          <w14:textFill>
            <w14:solidFill>
              <w14:schemeClr w14:val="tx1"/>
            </w14:solidFill>
          </w14:textFill>
        </w:rPr>
        <w:t>量</w:t>
      </w:r>
      <w:r>
        <w:rPr>
          <w:rFonts w:hint="eastAsia"/>
          <w:color w:val="000000" w:themeColor="text1"/>
          <w:lang w:val="zh-CN"/>
          <w14:textFill>
            <w14:solidFill>
              <w14:schemeClr w14:val="tx1"/>
            </w14:solidFill>
          </w14:textFill>
        </w:rPr>
        <w:t>标</w:t>
      </w:r>
      <w:r>
        <w:rPr>
          <w:rFonts w:hint="eastAsia" w:cs="MS PGothic"/>
          <w:color w:val="000000" w:themeColor="text1"/>
          <w:lang w:val="zh-CN"/>
          <w14:textFill>
            <w14:solidFill>
              <w14:schemeClr w14:val="tx1"/>
            </w14:solidFill>
          </w14:textFill>
        </w:rPr>
        <w:t>准》</w:t>
      </w:r>
      <w:r>
        <w:rPr>
          <w:color w:val="000000" w:themeColor="text1"/>
          <w:lang w:val="zh-CN"/>
          <w14:textFill>
            <w14:solidFill>
              <w14:schemeClr w14:val="tx1"/>
            </w14:solidFill>
          </w14:textFill>
        </w:rPr>
        <w:t>（GB/T14843-2017</w:t>
      </w:r>
      <w:r>
        <w:rPr>
          <w:rFonts w:hint="eastAsia"/>
          <w:color w:val="000000" w:themeColor="text1"/>
          <w:lang w:val="zh-CN"/>
          <w14:textFill>
            <w14:solidFill>
              <w14:schemeClr w14:val="tx1"/>
            </w14:solidFill>
          </w14:textFill>
        </w:rPr>
        <w:t>）Ⅲ类标</w:t>
      </w:r>
      <w:r>
        <w:rPr>
          <w:rFonts w:hint="eastAsia" w:cs="MS PGothic"/>
          <w:color w:val="000000" w:themeColor="text1"/>
          <w:lang w:val="zh-CN"/>
          <w14:textFill>
            <w14:solidFill>
              <w14:schemeClr w14:val="tx1"/>
            </w14:solidFill>
          </w14:textFill>
        </w:rPr>
        <w:t>准，</w:t>
      </w:r>
      <w:r>
        <w:rPr>
          <w:rFonts w:cs="Arial"/>
          <w:color w:val="000000" w:themeColor="text1"/>
          <w:lang w:val="zh-CN"/>
          <w14:textFill>
            <w14:solidFill>
              <w14:schemeClr w14:val="tx1"/>
            </w14:solidFill>
          </w14:textFill>
        </w:rPr>
        <w:t>石油</w:t>
      </w:r>
      <w:r>
        <w:rPr>
          <w:rFonts w:hint="eastAsia"/>
          <w:color w:val="000000" w:themeColor="text1"/>
          <w:lang w:val="zh-CN"/>
          <w14:textFill>
            <w14:solidFill>
              <w14:schemeClr w14:val="tx1"/>
            </w14:solidFill>
          </w14:textFill>
        </w:rPr>
        <w:t>类</w:t>
      </w:r>
      <w:r>
        <w:rPr>
          <w:rFonts w:hint="eastAsia" w:cs="MS PGothic"/>
          <w:color w:val="000000" w:themeColor="text1"/>
          <w:lang w:val="zh-CN"/>
          <w14:textFill>
            <w14:solidFill>
              <w14:schemeClr w14:val="tx1"/>
            </w14:solidFill>
          </w14:textFill>
        </w:rPr>
        <w:t>参照《地表水</w:t>
      </w:r>
      <w:r>
        <w:rPr>
          <w:rFonts w:hint="eastAsia"/>
          <w:color w:val="000000" w:themeColor="text1"/>
          <w:lang w:val="zh-CN"/>
          <w14:textFill>
            <w14:solidFill>
              <w14:schemeClr w14:val="tx1"/>
            </w14:solidFill>
          </w14:textFill>
        </w:rPr>
        <w:t>环</w:t>
      </w:r>
      <w:r>
        <w:rPr>
          <w:rFonts w:hint="eastAsia" w:cs="MS PGothic"/>
          <w:color w:val="000000" w:themeColor="text1"/>
          <w:lang w:val="zh-CN"/>
          <w14:textFill>
            <w14:solidFill>
              <w14:schemeClr w14:val="tx1"/>
            </w14:solidFill>
          </w14:textFill>
        </w:rPr>
        <w:t>境</w:t>
      </w:r>
      <w:r>
        <w:rPr>
          <w:rFonts w:hint="eastAsia"/>
          <w:color w:val="000000" w:themeColor="text1"/>
          <w:lang w:val="zh-CN"/>
          <w14:textFill>
            <w14:solidFill>
              <w14:schemeClr w14:val="tx1"/>
            </w14:solidFill>
          </w14:textFill>
        </w:rPr>
        <w:t>质</w:t>
      </w:r>
      <w:r>
        <w:rPr>
          <w:rFonts w:hint="eastAsia" w:cs="MS PGothic"/>
          <w:color w:val="000000" w:themeColor="text1"/>
          <w:lang w:val="zh-CN"/>
          <w14:textFill>
            <w14:solidFill>
              <w14:schemeClr w14:val="tx1"/>
            </w14:solidFill>
          </w14:textFill>
        </w:rPr>
        <w:t>量</w:t>
      </w:r>
      <w:r>
        <w:rPr>
          <w:rFonts w:hint="eastAsia"/>
          <w:color w:val="000000" w:themeColor="text1"/>
          <w:lang w:val="zh-CN"/>
          <w14:textFill>
            <w14:solidFill>
              <w14:schemeClr w14:val="tx1"/>
            </w14:solidFill>
          </w14:textFill>
        </w:rPr>
        <w:t>标</w:t>
      </w:r>
      <w:r>
        <w:rPr>
          <w:rFonts w:hint="eastAsia" w:cs="MS PGothic"/>
          <w:color w:val="000000" w:themeColor="text1"/>
          <w:lang w:val="zh-CN"/>
          <w14:textFill>
            <w14:solidFill>
              <w14:schemeClr w14:val="tx1"/>
            </w14:solidFill>
          </w14:textFill>
        </w:rPr>
        <w:t>准》（</w:t>
      </w:r>
      <w:r>
        <w:rPr>
          <w:rFonts w:cs="Arial"/>
          <w:color w:val="000000" w:themeColor="text1"/>
          <w:lang w:val="zh-CN"/>
          <w14:textFill>
            <w14:solidFill>
              <w14:schemeClr w14:val="tx1"/>
            </w14:solidFill>
          </w14:textFill>
        </w:rPr>
        <w:t>GB3838-2002）</w:t>
      </w:r>
      <w:r>
        <w:rPr>
          <w:rFonts w:hint="eastAsia"/>
          <w:color w:val="000000" w:themeColor="text1"/>
          <w:lang w:val="zh-CN"/>
          <w14:textFill>
            <w14:solidFill>
              <w14:schemeClr w14:val="tx1"/>
            </w14:solidFill>
          </w14:textFill>
        </w:rPr>
        <w:t>Ⅲ类标</w:t>
      </w:r>
      <w:r>
        <w:rPr>
          <w:rFonts w:hint="eastAsia" w:cs="MS PGothic"/>
          <w:color w:val="000000" w:themeColor="text1"/>
          <w:lang w:val="zh-CN"/>
          <w14:textFill>
            <w14:solidFill>
              <w14:schemeClr w14:val="tx1"/>
            </w14:solidFill>
          </w14:textFill>
        </w:rPr>
        <w:t>准，具体</w:t>
      </w:r>
      <w:r>
        <w:rPr>
          <w:rFonts w:hint="eastAsia"/>
          <w:color w:val="000000" w:themeColor="text1"/>
          <w:lang w:val="zh-CN"/>
          <w14:textFill>
            <w14:solidFill>
              <w14:schemeClr w14:val="tx1"/>
            </w14:solidFill>
          </w14:textFill>
        </w:rPr>
        <w:t>标</w:t>
      </w:r>
      <w:r>
        <w:rPr>
          <w:rFonts w:hint="eastAsia"/>
          <w:color w:val="000000" w:themeColor="text1"/>
          <w14:textFill>
            <w14:solidFill>
              <w14:schemeClr w14:val="tx1"/>
            </w14:solidFill>
          </w14:textFill>
        </w:rPr>
        <w:t>准值见表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p>
    <w:p w14:paraId="0B8D9FC5">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3 </w:t>
      </w:r>
      <w:r>
        <w:rPr>
          <w:rFonts w:hint="eastAsia"/>
          <w:color w:val="000000" w:themeColor="text1"/>
          <w14:textFill>
            <w14:solidFill>
              <w14:schemeClr w14:val="tx1"/>
            </w14:solidFill>
          </w14:textFill>
        </w:rPr>
        <w:t xml:space="preserve"> 地下水质量标准值          [单位mg/L，pH无量纲]</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4"/>
        <w:gridCol w:w="1965"/>
        <w:gridCol w:w="1745"/>
        <w:gridCol w:w="993"/>
        <w:gridCol w:w="1545"/>
        <w:gridCol w:w="1764"/>
      </w:tblGrid>
      <w:tr w14:paraId="01ABB1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53370B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965" w:type="dxa"/>
            <w:vAlign w:val="center"/>
          </w:tcPr>
          <w:p w14:paraId="01BA694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监测项目</w:t>
            </w:r>
          </w:p>
        </w:tc>
        <w:tc>
          <w:tcPr>
            <w:tcW w:w="1745" w:type="dxa"/>
            <w:vAlign w:val="center"/>
          </w:tcPr>
          <w:p w14:paraId="6765F2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r>
              <w:rPr>
                <w:rFonts w:hint="eastAsia"/>
                <w:color w:val="000000" w:themeColor="text1"/>
                <w:spacing w:val="6"/>
                <w14:textFill>
                  <w14:solidFill>
                    <w14:schemeClr w14:val="tx1"/>
                  </w14:solidFill>
                </w14:textFill>
              </w:rPr>
              <w:t>Ⅲ</w:t>
            </w:r>
            <w:r>
              <w:rPr>
                <w:rFonts w:hint="eastAsia"/>
                <w:color w:val="000000" w:themeColor="text1"/>
                <w14:textFill>
                  <w14:solidFill>
                    <w14:schemeClr w14:val="tx1"/>
                  </w14:solidFill>
                </w14:textFill>
              </w:rPr>
              <w:t>类）</w:t>
            </w:r>
          </w:p>
        </w:tc>
        <w:tc>
          <w:tcPr>
            <w:tcW w:w="993" w:type="dxa"/>
            <w:vAlign w:val="center"/>
          </w:tcPr>
          <w:p w14:paraId="4D09A92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545" w:type="dxa"/>
            <w:vAlign w:val="center"/>
          </w:tcPr>
          <w:p w14:paraId="06AC36F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监测项目</w:t>
            </w:r>
          </w:p>
        </w:tc>
        <w:tc>
          <w:tcPr>
            <w:tcW w:w="1764" w:type="dxa"/>
            <w:vAlign w:val="center"/>
          </w:tcPr>
          <w:p w14:paraId="17C5286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r>
              <w:rPr>
                <w:rFonts w:hint="eastAsia"/>
                <w:color w:val="000000" w:themeColor="text1"/>
                <w:spacing w:val="6"/>
                <w14:textFill>
                  <w14:solidFill>
                    <w14:schemeClr w14:val="tx1"/>
                  </w14:solidFill>
                </w14:textFill>
              </w:rPr>
              <w:t>Ⅲ</w:t>
            </w:r>
            <w:r>
              <w:rPr>
                <w:rFonts w:hint="eastAsia"/>
                <w:color w:val="000000" w:themeColor="text1"/>
                <w14:textFill>
                  <w14:solidFill>
                    <w14:schemeClr w14:val="tx1"/>
                  </w14:solidFill>
                </w14:textFill>
              </w:rPr>
              <w:t>类）</w:t>
            </w:r>
          </w:p>
        </w:tc>
      </w:tr>
      <w:tr w14:paraId="75588D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32BC39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965" w:type="dxa"/>
            <w:vAlign w:val="center"/>
          </w:tcPr>
          <w:p w14:paraId="7A04F46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pH值</w:t>
            </w:r>
          </w:p>
        </w:tc>
        <w:tc>
          <w:tcPr>
            <w:tcW w:w="1745" w:type="dxa"/>
            <w:vAlign w:val="center"/>
          </w:tcPr>
          <w:p w14:paraId="2B203250">
            <w:pPr>
              <w:pStyle w:val="280"/>
              <w:rPr>
                <w:rFonts w:hint="eastAsia"/>
                <w:color w:val="000000" w:themeColor="text1"/>
                <w14:textFill>
                  <w14:solidFill>
                    <w14:schemeClr w14:val="tx1"/>
                  </w14:solidFill>
                </w14:textFill>
              </w:rPr>
            </w:pPr>
            <w:r>
              <w:rPr>
                <w:rFonts w:hint="eastAsia"/>
                <w:color w:val="000000" w:themeColor="text1"/>
                <w:lang w:val="zh-CN"/>
                <w14:textFill>
                  <w14:solidFill>
                    <w14:schemeClr w14:val="tx1"/>
                  </w14:solidFill>
                </w14:textFill>
              </w:rPr>
              <w:t>6.5～8.5</w:t>
            </w:r>
          </w:p>
        </w:tc>
        <w:tc>
          <w:tcPr>
            <w:tcW w:w="993" w:type="dxa"/>
            <w:vAlign w:val="center"/>
          </w:tcPr>
          <w:p w14:paraId="0D36F1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w:t>
            </w:r>
          </w:p>
        </w:tc>
        <w:tc>
          <w:tcPr>
            <w:tcW w:w="1545" w:type="dxa"/>
            <w:vAlign w:val="center"/>
          </w:tcPr>
          <w:p w14:paraId="0FD48A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1764" w:type="dxa"/>
            <w:vAlign w:val="center"/>
          </w:tcPr>
          <w:p w14:paraId="67D1C3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r>
      <w:tr w14:paraId="1D7C80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6149FF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965" w:type="dxa"/>
            <w:vAlign w:val="center"/>
          </w:tcPr>
          <w:p w14:paraId="6EDD12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总硬度</w:t>
            </w:r>
          </w:p>
        </w:tc>
        <w:tc>
          <w:tcPr>
            <w:tcW w:w="1745" w:type="dxa"/>
            <w:vAlign w:val="center"/>
          </w:tcPr>
          <w:p w14:paraId="32178E8D">
            <w:pPr>
              <w:pStyle w:val="280"/>
              <w:rPr>
                <w:rFonts w:hint="eastAsia"/>
                <w:color w:val="000000" w:themeColor="text1"/>
                <w14:textFill>
                  <w14:solidFill>
                    <w14:schemeClr w14:val="tx1"/>
                  </w14:solidFill>
                </w14:textFill>
              </w:rPr>
            </w:pPr>
            <w:r>
              <w:rPr>
                <w:rFonts w:hint="eastAsia"/>
                <w:color w:val="000000" w:themeColor="text1"/>
                <w:lang w:val="zh-CN"/>
                <w14:textFill>
                  <w14:solidFill>
                    <w14:schemeClr w14:val="tx1"/>
                  </w14:solidFill>
                </w14:textFill>
              </w:rPr>
              <w:t>≤450</w:t>
            </w:r>
          </w:p>
        </w:tc>
        <w:tc>
          <w:tcPr>
            <w:tcW w:w="993" w:type="dxa"/>
            <w:vAlign w:val="center"/>
          </w:tcPr>
          <w:p w14:paraId="4CC4736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p>
        </w:tc>
        <w:tc>
          <w:tcPr>
            <w:tcW w:w="1545" w:type="dxa"/>
            <w:vAlign w:val="center"/>
          </w:tcPr>
          <w:p w14:paraId="278B97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1764" w:type="dxa"/>
            <w:vAlign w:val="center"/>
          </w:tcPr>
          <w:p w14:paraId="314775B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0.001</w:t>
            </w:r>
          </w:p>
        </w:tc>
      </w:tr>
      <w:tr w14:paraId="60539C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4C5F06A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965" w:type="dxa"/>
            <w:vAlign w:val="center"/>
          </w:tcPr>
          <w:p w14:paraId="748E81D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溶解性总固体</w:t>
            </w:r>
          </w:p>
        </w:tc>
        <w:tc>
          <w:tcPr>
            <w:tcW w:w="1745" w:type="dxa"/>
            <w:vAlign w:val="center"/>
          </w:tcPr>
          <w:p w14:paraId="1A18F5A5">
            <w:pPr>
              <w:pStyle w:val="280"/>
              <w:rPr>
                <w:rFonts w:hint="eastAsia"/>
                <w:color w:val="000000" w:themeColor="text1"/>
                <w14:textFill>
                  <w14:solidFill>
                    <w14:schemeClr w14:val="tx1"/>
                  </w14:solidFill>
                </w14:textFill>
              </w:rPr>
            </w:pPr>
            <w:r>
              <w:rPr>
                <w:rFonts w:hint="eastAsia"/>
                <w:color w:val="000000" w:themeColor="text1"/>
                <w:lang w:val="zh-CN"/>
                <w14:textFill>
                  <w14:solidFill>
                    <w14:schemeClr w14:val="tx1"/>
                  </w14:solidFill>
                </w14:textFill>
              </w:rPr>
              <w:t>≤1000</w:t>
            </w:r>
          </w:p>
        </w:tc>
        <w:tc>
          <w:tcPr>
            <w:tcW w:w="993" w:type="dxa"/>
            <w:vAlign w:val="center"/>
          </w:tcPr>
          <w:p w14:paraId="4A9486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6</w:t>
            </w:r>
          </w:p>
        </w:tc>
        <w:tc>
          <w:tcPr>
            <w:tcW w:w="1545" w:type="dxa"/>
            <w:vAlign w:val="center"/>
          </w:tcPr>
          <w:p w14:paraId="3EEEE76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铁</w:t>
            </w:r>
          </w:p>
        </w:tc>
        <w:tc>
          <w:tcPr>
            <w:tcW w:w="1764" w:type="dxa"/>
            <w:vAlign w:val="center"/>
          </w:tcPr>
          <w:p w14:paraId="6E30C71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0.3</w:t>
            </w:r>
          </w:p>
        </w:tc>
      </w:tr>
      <w:tr w14:paraId="6F98CE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029B08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965" w:type="dxa"/>
            <w:vAlign w:val="center"/>
          </w:tcPr>
          <w:p w14:paraId="10A39E0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挥发性酚类</w:t>
            </w:r>
          </w:p>
        </w:tc>
        <w:tc>
          <w:tcPr>
            <w:tcW w:w="1745" w:type="dxa"/>
            <w:vAlign w:val="center"/>
          </w:tcPr>
          <w:p w14:paraId="6FF345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.002</w:t>
            </w:r>
          </w:p>
        </w:tc>
        <w:tc>
          <w:tcPr>
            <w:tcW w:w="993" w:type="dxa"/>
            <w:vAlign w:val="center"/>
          </w:tcPr>
          <w:p w14:paraId="62C1C6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7</w:t>
            </w:r>
          </w:p>
        </w:tc>
        <w:tc>
          <w:tcPr>
            <w:tcW w:w="1545" w:type="dxa"/>
            <w:vAlign w:val="center"/>
          </w:tcPr>
          <w:p w14:paraId="3EDB18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1764" w:type="dxa"/>
            <w:vAlign w:val="center"/>
          </w:tcPr>
          <w:p w14:paraId="764928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.01</w:t>
            </w:r>
          </w:p>
        </w:tc>
      </w:tr>
      <w:tr w14:paraId="1D198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54287D1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965" w:type="dxa"/>
            <w:vAlign w:val="center"/>
          </w:tcPr>
          <w:p w14:paraId="3054932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1745" w:type="dxa"/>
            <w:vAlign w:val="center"/>
          </w:tcPr>
          <w:p w14:paraId="379D51C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w:t>
            </w:r>
          </w:p>
        </w:tc>
        <w:tc>
          <w:tcPr>
            <w:tcW w:w="993" w:type="dxa"/>
            <w:vAlign w:val="center"/>
          </w:tcPr>
          <w:p w14:paraId="2956EB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8</w:t>
            </w:r>
          </w:p>
        </w:tc>
        <w:tc>
          <w:tcPr>
            <w:tcW w:w="1545" w:type="dxa"/>
            <w:vAlign w:val="center"/>
          </w:tcPr>
          <w:p w14:paraId="068CCE2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耗氧量</w:t>
            </w:r>
          </w:p>
        </w:tc>
        <w:tc>
          <w:tcPr>
            <w:tcW w:w="1764" w:type="dxa"/>
            <w:vAlign w:val="center"/>
          </w:tcPr>
          <w:p w14:paraId="62CE3D7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p>
        </w:tc>
      </w:tr>
      <w:tr w14:paraId="0EE8C6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7849A3A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965" w:type="dxa"/>
            <w:vAlign w:val="center"/>
          </w:tcPr>
          <w:p w14:paraId="3C173EB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氰化物</w:t>
            </w:r>
          </w:p>
        </w:tc>
        <w:tc>
          <w:tcPr>
            <w:tcW w:w="1745" w:type="dxa"/>
            <w:vAlign w:val="center"/>
          </w:tcPr>
          <w:p w14:paraId="62CEBE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c>
          <w:tcPr>
            <w:tcW w:w="993" w:type="dxa"/>
            <w:vAlign w:val="center"/>
          </w:tcPr>
          <w:p w14:paraId="3063160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9</w:t>
            </w:r>
          </w:p>
        </w:tc>
        <w:tc>
          <w:tcPr>
            <w:tcW w:w="1545" w:type="dxa"/>
            <w:vAlign w:val="center"/>
          </w:tcPr>
          <w:p w14:paraId="644FBA5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1764" w:type="dxa"/>
            <w:vAlign w:val="center"/>
          </w:tcPr>
          <w:p w14:paraId="61AB97B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.20</w:t>
            </w:r>
          </w:p>
        </w:tc>
      </w:tr>
      <w:tr w14:paraId="1C461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131DFAE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965" w:type="dxa"/>
            <w:vAlign w:val="center"/>
          </w:tcPr>
          <w:p w14:paraId="002F8E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1745" w:type="dxa"/>
            <w:vAlign w:val="center"/>
          </w:tcPr>
          <w:p w14:paraId="3B87B1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c>
          <w:tcPr>
            <w:tcW w:w="993" w:type="dxa"/>
            <w:vAlign w:val="center"/>
          </w:tcPr>
          <w:p w14:paraId="5FC10F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1545" w:type="dxa"/>
            <w:vAlign w:val="center"/>
          </w:tcPr>
          <w:p w14:paraId="0C7825B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1764" w:type="dxa"/>
            <w:vAlign w:val="center"/>
          </w:tcPr>
          <w:p w14:paraId="784C257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0.005</w:t>
            </w:r>
          </w:p>
        </w:tc>
      </w:tr>
      <w:tr w14:paraId="074AA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4821118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965" w:type="dxa"/>
            <w:vAlign w:val="center"/>
          </w:tcPr>
          <w:p w14:paraId="37AA6A4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氟化物</w:t>
            </w:r>
          </w:p>
        </w:tc>
        <w:tc>
          <w:tcPr>
            <w:tcW w:w="1745" w:type="dxa"/>
            <w:vAlign w:val="center"/>
          </w:tcPr>
          <w:p w14:paraId="1FBBA7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c>
          <w:tcPr>
            <w:tcW w:w="993" w:type="dxa"/>
            <w:vAlign w:val="center"/>
          </w:tcPr>
          <w:p w14:paraId="7D05146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1</w:t>
            </w:r>
          </w:p>
        </w:tc>
        <w:tc>
          <w:tcPr>
            <w:tcW w:w="1545" w:type="dxa"/>
            <w:vAlign w:val="center"/>
          </w:tcPr>
          <w:p w14:paraId="46EBF24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1764" w:type="dxa"/>
            <w:vAlign w:val="center"/>
          </w:tcPr>
          <w:p w14:paraId="64BB7A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0.02</w:t>
            </w:r>
          </w:p>
        </w:tc>
      </w:tr>
      <w:tr w14:paraId="65A19C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565C147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965" w:type="dxa"/>
            <w:vAlign w:val="center"/>
          </w:tcPr>
          <w:p w14:paraId="2589B8B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氯化物</w:t>
            </w:r>
          </w:p>
        </w:tc>
        <w:tc>
          <w:tcPr>
            <w:tcW w:w="1745" w:type="dxa"/>
            <w:vAlign w:val="center"/>
          </w:tcPr>
          <w:p w14:paraId="2F7F8FF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50</w:t>
            </w:r>
          </w:p>
        </w:tc>
        <w:tc>
          <w:tcPr>
            <w:tcW w:w="993" w:type="dxa"/>
            <w:vAlign w:val="center"/>
          </w:tcPr>
          <w:p w14:paraId="4BC2772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2</w:t>
            </w:r>
          </w:p>
        </w:tc>
        <w:tc>
          <w:tcPr>
            <w:tcW w:w="1545" w:type="dxa"/>
            <w:vAlign w:val="center"/>
          </w:tcPr>
          <w:p w14:paraId="7E62FC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苯，μg</w:t>
            </w:r>
            <w:r>
              <w:rPr>
                <w:color w:val="000000" w:themeColor="text1"/>
                <w14:textFill>
                  <w14:solidFill>
                    <w14:schemeClr w14:val="tx1"/>
                  </w14:solidFill>
                </w14:textFill>
              </w:rPr>
              <w:t>/L</w:t>
            </w:r>
          </w:p>
        </w:tc>
        <w:tc>
          <w:tcPr>
            <w:tcW w:w="1764" w:type="dxa"/>
            <w:vAlign w:val="center"/>
          </w:tcPr>
          <w:p w14:paraId="3690A1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10.0</w:t>
            </w:r>
          </w:p>
        </w:tc>
      </w:tr>
      <w:tr w14:paraId="205CA0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03FFACA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c>
          <w:tcPr>
            <w:tcW w:w="1965" w:type="dxa"/>
            <w:vAlign w:val="center"/>
          </w:tcPr>
          <w:p w14:paraId="029078C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硫酸盐</w:t>
            </w:r>
          </w:p>
        </w:tc>
        <w:tc>
          <w:tcPr>
            <w:tcW w:w="1745" w:type="dxa"/>
            <w:vAlign w:val="center"/>
          </w:tcPr>
          <w:p w14:paraId="7B768E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50</w:t>
            </w:r>
          </w:p>
        </w:tc>
        <w:tc>
          <w:tcPr>
            <w:tcW w:w="993" w:type="dxa"/>
            <w:vAlign w:val="center"/>
          </w:tcPr>
          <w:p w14:paraId="0E3B7E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3</w:t>
            </w:r>
          </w:p>
        </w:tc>
        <w:tc>
          <w:tcPr>
            <w:tcW w:w="1545" w:type="dxa"/>
            <w:vAlign w:val="center"/>
          </w:tcPr>
          <w:p w14:paraId="1B62527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K</w:t>
            </w:r>
            <w:r>
              <w:rPr>
                <w:color w:val="000000" w:themeColor="text1"/>
                <w:vertAlign w:val="superscript"/>
                <w14:textFill>
                  <w14:solidFill>
                    <w14:schemeClr w14:val="tx1"/>
                  </w14:solidFill>
                </w14:textFill>
              </w:rPr>
              <w:t>+</w:t>
            </w:r>
          </w:p>
        </w:tc>
        <w:tc>
          <w:tcPr>
            <w:tcW w:w="1764" w:type="dxa"/>
            <w:vAlign w:val="center"/>
          </w:tcPr>
          <w:p w14:paraId="260171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A93AE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1C92A9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w:t>
            </w:r>
          </w:p>
        </w:tc>
        <w:tc>
          <w:tcPr>
            <w:tcW w:w="1965" w:type="dxa"/>
            <w:vAlign w:val="center"/>
          </w:tcPr>
          <w:p w14:paraId="4171EE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硝酸盐</w:t>
            </w:r>
          </w:p>
        </w:tc>
        <w:tc>
          <w:tcPr>
            <w:tcW w:w="1745" w:type="dxa"/>
            <w:vAlign w:val="center"/>
          </w:tcPr>
          <w:p w14:paraId="4ADB8B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993" w:type="dxa"/>
            <w:vAlign w:val="center"/>
          </w:tcPr>
          <w:p w14:paraId="638083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4</w:t>
            </w:r>
          </w:p>
        </w:tc>
        <w:tc>
          <w:tcPr>
            <w:tcW w:w="1545" w:type="dxa"/>
            <w:vAlign w:val="center"/>
          </w:tcPr>
          <w:p w14:paraId="54391AD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Na</w:t>
            </w:r>
            <w:r>
              <w:rPr>
                <w:color w:val="000000" w:themeColor="text1"/>
                <w:vertAlign w:val="superscript"/>
                <w14:textFill>
                  <w14:solidFill>
                    <w14:schemeClr w14:val="tx1"/>
                  </w14:solidFill>
                </w14:textFill>
              </w:rPr>
              <w:t>+</w:t>
            </w:r>
          </w:p>
        </w:tc>
        <w:tc>
          <w:tcPr>
            <w:tcW w:w="1764" w:type="dxa"/>
            <w:vAlign w:val="center"/>
          </w:tcPr>
          <w:p w14:paraId="2DC7F1C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p>
        </w:tc>
      </w:tr>
      <w:tr w14:paraId="40F9C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3EAD33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w:t>
            </w:r>
          </w:p>
        </w:tc>
        <w:tc>
          <w:tcPr>
            <w:tcW w:w="1965" w:type="dxa"/>
            <w:vAlign w:val="center"/>
          </w:tcPr>
          <w:p w14:paraId="15A128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亚硝酸盐</w:t>
            </w:r>
          </w:p>
        </w:tc>
        <w:tc>
          <w:tcPr>
            <w:tcW w:w="1745" w:type="dxa"/>
            <w:vAlign w:val="center"/>
          </w:tcPr>
          <w:p w14:paraId="629EB8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993" w:type="dxa"/>
            <w:vAlign w:val="center"/>
          </w:tcPr>
          <w:p w14:paraId="7E0DF8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1545" w:type="dxa"/>
            <w:vAlign w:val="center"/>
          </w:tcPr>
          <w:p w14:paraId="7911ED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color w:val="000000" w:themeColor="text1"/>
                <w14:textFill>
                  <w14:solidFill>
                    <w14:schemeClr w14:val="tx1"/>
                  </w14:solidFill>
                </w14:textFill>
              </w:rPr>
              <w:t>a</w:t>
            </w:r>
            <w:r>
              <w:rPr>
                <w:color w:val="000000" w:themeColor="text1"/>
                <w:vertAlign w:val="superscript"/>
                <w14:textFill>
                  <w14:solidFill>
                    <w14:schemeClr w14:val="tx1"/>
                  </w14:solidFill>
                </w14:textFill>
              </w:rPr>
              <w:t>2+</w:t>
            </w:r>
          </w:p>
        </w:tc>
        <w:tc>
          <w:tcPr>
            <w:tcW w:w="1764" w:type="dxa"/>
            <w:vAlign w:val="center"/>
          </w:tcPr>
          <w:p w14:paraId="3FC9EF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6A70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48C1AC8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p>
        </w:tc>
        <w:tc>
          <w:tcPr>
            <w:tcW w:w="1965" w:type="dxa"/>
            <w:vAlign w:val="center"/>
          </w:tcPr>
          <w:p w14:paraId="49058C3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总大肠菌群，N</w:t>
            </w:r>
            <w:r>
              <w:rPr>
                <w:color w:val="000000" w:themeColor="text1"/>
                <w14:textFill>
                  <w14:solidFill>
                    <w14:schemeClr w14:val="tx1"/>
                  </w14:solidFill>
                </w14:textFill>
              </w:rPr>
              <w:t>/100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L</w:t>
            </w:r>
          </w:p>
        </w:tc>
        <w:tc>
          <w:tcPr>
            <w:tcW w:w="1745" w:type="dxa"/>
            <w:vAlign w:val="center"/>
          </w:tcPr>
          <w:p w14:paraId="74E00E0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w:t>
            </w:r>
          </w:p>
        </w:tc>
        <w:tc>
          <w:tcPr>
            <w:tcW w:w="993" w:type="dxa"/>
            <w:vAlign w:val="center"/>
          </w:tcPr>
          <w:p w14:paraId="52867D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6</w:t>
            </w:r>
          </w:p>
        </w:tc>
        <w:tc>
          <w:tcPr>
            <w:tcW w:w="1545" w:type="dxa"/>
            <w:vAlign w:val="center"/>
          </w:tcPr>
          <w:p w14:paraId="0C8D682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color w:val="000000" w:themeColor="text1"/>
                <w14:textFill>
                  <w14:solidFill>
                    <w14:schemeClr w14:val="tx1"/>
                  </w14:solidFill>
                </w14:textFill>
              </w:rPr>
              <w:t>g</w:t>
            </w:r>
            <w:r>
              <w:rPr>
                <w:color w:val="000000" w:themeColor="text1"/>
                <w:vertAlign w:val="superscript"/>
                <w14:textFill>
                  <w14:solidFill>
                    <w14:schemeClr w14:val="tx1"/>
                  </w14:solidFill>
                </w14:textFill>
              </w:rPr>
              <w:t>2+</w:t>
            </w:r>
          </w:p>
        </w:tc>
        <w:tc>
          <w:tcPr>
            <w:tcW w:w="1764" w:type="dxa"/>
            <w:vAlign w:val="center"/>
          </w:tcPr>
          <w:p w14:paraId="27E210B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7190A49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声环境</w:t>
      </w:r>
    </w:p>
    <w:p w14:paraId="5506356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声环境质量</w:t>
      </w:r>
      <w:r>
        <w:rPr>
          <w:color w:val="000000" w:themeColor="text1"/>
          <w14:textFill>
            <w14:solidFill>
              <w14:schemeClr w14:val="tx1"/>
            </w14:solidFill>
          </w14:textFill>
        </w:rPr>
        <w:t>执行《声环境质量标准》（GB3096-2008）2类</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限值，见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p>
    <w:p w14:paraId="6A3B8B74">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声环境质量</w:t>
      </w:r>
      <w:r>
        <w:rPr>
          <w:rFonts w:hint="eastAsia"/>
          <w:color w:val="000000" w:themeColor="text1"/>
          <w14:textFill>
            <w14:solidFill>
              <w14:schemeClr w14:val="tx1"/>
            </w14:solidFill>
          </w14:textFill>
        </w:rPr>
        <w:t>评价</w:t>
      </w:r>
      <w:r>
        <w:rPr>
          <w:color w:val="000000" w:themeColor="text1"/>
          <w14:textFill>
            <w14:solidFill>
              <w14:schemeClr w14:val="tx1"/>
            </w14:solidFill>
          </w14:textFill>
        </w:rPr>
        <w:t>标准</w:t>
      </w:r>
      <w:r>
        <w:rPr>
          <w:rFonts w:hint="eastAsia"/>
          <w:color w:val="000000" w:themeColor="text1"/>
          <w14:textFill>
            <w14:solidFill>
              <w14:schemeClr w14:val="tx1"/>
            </w14:solidFill>
          </w14:textFill>
        </w:rPr>
        <w:t>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140"/>
        <w:gridCol w:w="2128"/>
        <w:gridCol w:w="2149"/>
        <w:gridCol w:w="2369"/>
      </w:tblGrid>
      <w:tr w14:paraId="52DE32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40" w:type="dxa"/>
            <w:vMerge w:val="restart"/>
            <w:vAlign w:val="center"/>
          </w:tcPr>
          <w:p w14:paraId="0961D595">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r>
              <w:rPr>
                <w:rFonts w:hint="eastAsia" w:cs="宋体"/>
                <w:color w:val="000000" w:themeColor="text1"/>
                <w:sz w:val="21"/>
                <w14:textFill>
                  <w14:solidFill>
                    <w14:schemeClr w14:val="tx1"/>
                  </w14:solidFill>
                </w14:textFill>
              </w:rPr>
              <w:t>评价因子</w:t>
            </w:r>
          </w:p>
        </w:tc>
        <w:tc>
          <w:tcPr>
            <w:tcW w:w="4277" w:type="dxa"/>
            <w:gridSpan w:val="2"/>
            <w:vAlign w:val="center"/>
          </w:tcPr>
          <w:p w14:paraId="094B72F3">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r>
              <w:rPr>
                <w:rFonts w:hint="eastAsia" w:cs="宋体"/>
                <w:color w:val="000000" w:themeColor="text1"/>
                <w:sz w:val="21"/>
                <w14:textFill>
                  <w14:solidFill>
                    <w14:schemeClr w14:val="tx1"/>
                  </w14:solidFill>
                </w14:textFill>
              </w:rPr>
              <w:t>标准值[</w:t>
            </w:r>
            <w:r>
              <w:rPr>
                <w:rFonts w:cs="宋体"/>
                <w:color w:val="000000" w:themeColor="text1"/>
                <w:sz w:val="21"/>
                <w14:textFill>
                  <w14:solidFill>
                    <w14:schemeClr w14:val="tx1"/>
                  </w14:solidFill>
                </w14:textFill>
              </w:rPr>
              <w:t>dB（A</w:t>
            </w:r>
            <w:r>
              <w:rPr>
                <w:rFonts w:hint="eastAsia" w:cs="宋体"/>
                <w:color w:val="000000" w:themeColor="text1"/>
                <w:sz w:val="21"/>
                <w14:textFill>
                  <w14:solidFill>
                    <w14:schemeClr w14:val="tx1"/>
                  </w14:solidFill>
                </w14:textFill>
              </w:rPr>
              <w:t>）</w:t>
            </w:r>
            <w:r>
              <w:rPr>
                <w:rFonts w:cs="宋体"/>
                <w:color w:val="000000" w:themeColor="text1"/>
                <w:sz w:val="21"/>
                <w14:textFill>
                  <w14:solidFill>
                    <w14:schemeClr w14:val="tx1"/>
                  </w14:solidFill>
                </w14:textFill>
              </w:rPr>
              <w:t>]</w:t>
            </w:r>
          </w:p>
        </w:tc>
        <w:tc>
          <w:tcPr>
            <w:tcW w:w="2369" w:type="dxa"/>
            <w:vMerge w:val="restart"/>
            <w:vAlign w:val="center"/>
          </w:tcPr>
          <w:p w14:paraId="2E858223">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r>
              <w:rPr>
                <w:rFonts w:hint="eastAsia" w:cs="宋体"/>
                <w:color w:val="000000" w:themeColor="text1"/>
                <w:sz w:val="21"/>
                <w14:textFill>
                  <w14:solidFill>
                    <w14:schemeClr w14:val="tx1"/>
                  </w14:solidFill>
                </w14:textFill>
              </w:rPr>
              <w:t>标准来源</w:t>
            </w:r>
          </w:p>
        </w:tc>
      </w:tr>
      <w:tr w14:paraId="795AC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40" w:type="dxa"/>
            <w:vMerge w:val="continue"/>
            <w:vAlign w:val="center"/>
          </w:tcPr>
          <w:p w14:paraId="31439A9C">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p>
        </w:tc>
        <w:tc>
          <w:tcPr>
            <w:tcW w:w="2128" w:type="dxa"/>
            <w:vAlign w:val="center"/>
          </w:tcPr>
          <w:p w14:paraId="098F2B2A">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r>
              <w:rPr>
                <w:rFonts w:hint="eastAsia" w:cs="宋体"/>
                <w:color w:val="000000" w:themeColor="text1"/>
                <w:sz w:val="21"/>
                <w14:textFill>
                  <w14:solidFill>
                    <w14:schemeClr w14:val="tx1"/>
                  </w14:solidFill>
                </w14:textFill>
              </w:rPr>
              <w:t>昼间</w:t>
            </w:r>
          </w:p>
        </w:tc>
        <w:tc>
          <w:tcPr>
            <w:tcW w:w="2149" w:type="dxa"/>
            <w:vAlign w:val="center"/>
          </w:tcPr>
          <w:p w14:paraId="5477B197">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r>
              <w:rPr>
                <w:rFonts w:hint="eastAsia" w:cs="宋体"/>
                <w:color w:val="000000" w:themeColor="text1"/>
                <w:sz w:val="21"/>
                <w14:textFill>
                  <w14:solidFill>
                    <w14:schemeClr w14:val="tx1"/>
                  </w14:solidFill>
                </w14:textFill>
              </w:rPr>
              <w:t>夜间</w:t>
            </w:r>
          </w:p>
        </w:tc>
        <w:tc>
          <w:tcPr>
            <w:tcW w:w="2369" w:type="dxa"/>
            <w:vMerge w:val="continue"/>
            <w:vAlign w:val="center"/>
          </w:tcPr>
          <w:p w14:paraId="0EE4C4B3">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p>
        </w:tc>
      </w:tr>
      <w:tr w14:paraId="61F372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40" w:type="dxa"/>
            <w:vAlign w:val="center"/>
          </w:tcPr>
          <w:p w14:paraId="2BB13602">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r>
              <w:rPr>
                <w:rFonts w:hint="eastAsia" w:cs="宋体"/>
                <w:color w:val="000000" w:themeColor="text1"/>
                <w:sz w:val="21"/>
                <w14:textFill>
                  <w14:solidFill>
                    <w14:schemeClr w14:val="tx1"/>
                  </w14:solidFill>
                </w14:textFill>
              </w:rPr>
              <w:t>等效连续</w:t>
            </w:r>
            <w:r>
              <w:rPr>
                <w:rFonts w:cs="宋体"/>
                <w:color w:val="000000" w:themeColor="text1"/>
                <w:sz w:val="21"/>
                <w14:textFill>
                  <w14:solidFill>
                    <w14:schemeClr w14:val="tx1"/>
                  </w14:solidFill>
                </w14:textFill>
              </w:rPr>
              <w:t>A</w:t>
            </w:r>
            <w:r>
              <w:rPr>
                <w:rFonts w:hint="eastAsia" w:cs="宋体"/>
                <w:color w:val="000000" w:themeColor="text1"/>
                <w:sz w:val="21"/>
                <w14:textFill>
                  <w14:solidFill>
                    <w14:schemeClr w14:val="tx1"/>
                  </w14:solidFill>
                </w14:textFill>
              </w:rPr>
              <w:t>声级</w:t>
            </w:r>
          </w:p>
        </w:tc>
        <w:tc>
          <w:tcPr>
            <w:tcW w:w="2128" w:type="dxa"/>
            <w:vAlign w:val="center"/>
          </w:tcPr>
          <w:p w14:paraId="4871AA0A">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r>
              <w:rPr>
                <w:rFonts w:cs="宋体"/>
                <w:color w:val="000000" w:themeColor="text1"/>
                <w:sz w:val="21"/>
                <w14:textFill>
                  <w14:solidFill>
                    <w14:schemeClr w14:val="tx1"/>
                  </w14:solidFill>
                </w14:textFill>
              </w:rPr>
              <w:t>60</w:t>
            </w:r>
          </w:p>
        </w:tc>
        <w:tc>
          <w:tcPr>
            <w:tcW w:w="2149" w:type="dxa"/>
            <w:vAlign w:val="center"/>
          </w:tcPr>
          <w:p w14:paraId="4B952E21">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r>
              <w:rPr>
                <w:rFonts w:cs="宋体"/>
                <w:color w:val="000000" w:themeColor="text1"/>
                <w:sz w:val="21"/>
                <w14:textFill>
                  <w14:solidFill>
                    <w14:schemeClr w14:val="tx1"/>
                  </w14:solidFill>
                </w14:textFill>
              </w:rPr>
              <w:t>50</w:t>
            </w:r>
          </w:p>
        </w:tc>
        <w:tc>
          <w:tcPr>
            <w:tcW w:w="2369" w:type="dxa"/>
            <w:vAlign w:val="center"/>
          </w:tcPr>
          <w:p w14:paraId="3517826D">
            <w:pPr>
              <w:pStyle w:val="62"/>
              <w:adjustRightInd w:val="0"/>
              <w:snapToGrid w:val="0"/>
              <w:spacing w:line="300" w:lineRule="exact"/>
              <w:ind w:firstLine="420"/>
              <w:rPr>
                <w:rFonts w:hint="eastAsia" w:cs="宋体"/>
                <w:color w:val="000000" w:themeColor="text1"/>
                <w:sz w:val="21"/>
                <w14:textFill>
                  <w14:solidFill>
                    <w14:schemeClr w14:val="tx1"/>
                  </w14:solidFill>
                </w14:textFill>
              </w:rPr>
            </w:pPr>
            <w:r>
              <w:rPr>
                <w:rFonts w:cs="宋体"/>
                <w:color w:val="000000" w:themeColor="text1"/>
                <w:sz w:val="21"/>
                <w14:textFill>
                  <w14:solidFill>
                    <w14:schemeClr w14:val="tx1"/>
                  </w14:solidFill>
                </w14:textFill>
              </w:rPr>
              <w:t>GB3096-2008 2</w:t>
            </w:r>
            <w:r>
              <w:rPr>
                <w:rFonts w:hint="eastAsia" w:cs="宋体"/>
                <w:color w:val="000000" w:themeColor="text1"/>
                <w:sz w:val="21"/>
                <w14:textFill>
                  <w14:solidFill>
                    <w14:schemeClr w14:val="tx1"/>
                  </w14:solidFill>
                </w14:textFill>
              </w:rPr>
              <w:t>类</w:t>
            </w:r>
          </w:p>
        </w:tc>
      </w:tr>
    </w:tbl>
    <w:p w14:paraId="53824F7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④土壤</w:t>
      </w:r>
      <w:r>
        <w:rPr>
          <w:color w:val="000000" w:themeColor="text1"/>
          <w14:textFill>
            <w14:solidFill>
              <w14:schemeClr w14:val="tx1"/>
            </w14:solidFill>
          </w14:textFill>
        </w:rPr>
        <w:t>环境</w:t>
      </w:r>
    </w:p>
    <w:p w14:paraId="492EE65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占地范围内全部监测因子及占地范围外的石油烃执行《土壤环境质量</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建设用地土壤污染风险管控标准（试行）》（</w:t>
      </w:r>
      <w:r>
        <w:rPr>
          <w:color w:val="000000" w:themeColor="text1"/>
          <w14:textFill>
            <w14:solidFill>
              <w14:schemeClr w14:val="tx1"/>
            </w14:solidFill>
          </w14:textFill>
        </w:rPr>
        <w:t>GB36600-2018</w:t>
      </w:r>
      <w:r>
        <w:rPr>
          <w:rFonts w:hint="eastAsia"/>
          <w:color w:val="000000" w:themeColor="text1"/>
          <w14:textFill>
            <w14:solidFill>
              <w14:schemeClr w14:val="tx1"/>
            </w14:solidFill>
          </w14:textFill>
        </w:rPr>
        <w:t>）中第二类用地筛选值，占地范围外的土壤环境质量执行</w:t>
      </w:r>
      <w:r>
        <w:rPr>
          <w:rFonts w:hint="eastAsia" w:cs="宋体"/>
          <w:color w:val="000000" w:themeColor="text1"/>
          <w:szCs w:val="21"/>
          <w14:textFill>
            <w14:solidFill>
              <w14:schemeClr w14:val="tx1"/>
            </w14:solidFill>
          </w14:textFill>
        </w:rPr>
        <w:t>《土壤环境质量 农用地土壤污染风险管控标准（试行）》（GB15618—2018）表1限值要求。</w:t>
      </w:r>
      <w:r>
        <w:rPr>
          <w:rFonts w:hint="eastAsia"/>
          <w:color w:val="000000" w:themeColor="text1"/>
          <w14:textFill>
            <w14:solidFill>
              <w14:schemeClr w14:val="tx1"/>
            </w14:solidFill>
          </w14:textFill>
        </w:rPr>
        <w:t>标准限值见表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和表2.5-6。</w:t>
      </w:r>
    </w:p>
    <w:p w14:paraId="274853BB">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土壤环境质量评价标准一览表</w:t>
      </w:r>
    </w:p>
    <w:tbl>
      <w:tblPr>
        <w:tblStyle w:val="51"/>
        <w:tblW w:w="87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63"/>
        <w:gridCol w:w="1950"/>
        <w:gridCol w:w="1531"/>
        <w:gridCol w:w="1114"/>
        <w:gridCol w:w="2075"/>
        <w:gridCol w:w="1453"/>
      </w:tblGrid>
      <w:tr w14:paraId="16BA9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63" w:type="dxa"/>
            <w:vAlign w:val="center"/>
          </w:tcPr>
          <w:p w14:paraId="1CC0ED8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950" w:type="dxa"/>
            <w:vAlign w:val="center"/>
          </w:tcPr>
          <w:p w14:paraId="3064F7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污染物项目</w:t>
            </w:r>
          </w:p>
        </w:tc>
        <w:tc>
          <w:tcPr>
            <w:tcW w:w="1531" w:type="dxa"/>
            <w:vAlign w:val="center"/>
          </w:tcPr>
          <w:p w14:paraId="2C6BA7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第二类用地筛选值（mg/kg）</w:t>
            </w:r>
          </w:p>
        </w:tc>
        <w:tc>
          <w:tcPr>
            <w:tcW w:w="1114" w:type="dxa"/>
            <w:vAlign w:val="center"/>
          </w:tcPr>
          <w:p w14:paraId="38F979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2075" w:type="dxa"/>
            <w:vAlign w:val="center"/>
          </w:tcPr>
          <w:p w14:paraId="55A8FC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污染物项目</w:t>
            </w:r>
          </w:p>
        </w:tc>
        <w:tc>
          <w:tcPr>
            <w:tcW w:w="1453" w:type="dxa"/>
            <w:vAlign w:val="center"/>
          </w:tcPr>
          <w:p w14:paraId="4EFE8E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第二类用地筛选值（mg/kg）</w:t>
            </w:r>
          </w:p>
        </w:tc>
      </w:tr>
      <w:tr w14:paraId="23B295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86" w:type="dxa"/>
            <w:gridSpan w:val="6"/>
            <w:vAlign w:val="center"/>
          </w:tcPr>
          <w:p w14:paraId="103A329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基本项目（重金属和无机物）</w:t>
            </w:r>
          </w:p>
        </w:tc>
      </w:tr>
      <w:tr w14:paraId="3187F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150E072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950" w:type="dxa"/>
            <w:vAlign w:val="center"/>
          </w:tcPr>
          <w:p w14:paraId="5634D8F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1531" w:type="dxa"/>
            <w:vAlign w:val="center"/>
          </w:tcPr>
          <w:p w14:paraId="4474D40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114" w:type="dxa"/>
            <w:vAlign w:val="center"/>
          </w:tcPr>
          <w:p w14:paraId="50F7B9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2075" w:type="dxa"/>
            <w:vAlign w:val="center"/>
          </w:tcPr>
          <w:p w14:paraId="4A90BD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1453" w:type="dxa"/>
            <w:vAlign w:val="center"/>
          </w:tcPr>
          <w:p w14:paraId="2DD3CDB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r>
      <w:tr w14:paraId="300C81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496B8F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950" w:type="dxa"/>
            <w:vAlign w:val="center"/>
          </w:tcPr>
          <w:p w14:paraId="3E63083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1531" w:type="dxa"/>
            <w:vAlign w:val="center"/>
          </w:tcPr>
          <w:p w14:paraId="783F76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1114" w:type="dxa"/>
            <w:vAlign w:val="center"/>
          </w:tcPr>
          <w:p w14:paraId="35B4FFF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2075" w:type="dxa"/>
            <w:vAlign w:val="center"/>
          </w:tcPr>
          <w:p w14:paraId="7BCD0F8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1453" w:type="dxa"/>
            <w:vAlign w:val="center"/>
          </w:tcPr>
          <w:p w14:paraId="04D9BBF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r>
      <w:tr w14:paraId="5B6AE0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6ABF51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950" w:type="dxa"/>
            <w:vAlign w:val="center"/>
          </w:tcPr>
          <w:p w14:paraId="489603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铬（六价）</w:t>
            </w:r>
          </w:p>
        </w:tc>
        <w:tc>
          <w:tcPr>
            <w:tcW w:w="1531" w:type="dxa"/>
            <w:vAlign w:val="center"/>
          </w:tcPr>
          <w:p w14:paraId="3E197E1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1114" w:type="dxa"/>
            <w:vAlign w:val="center"/>
          </w:tcPr>
          <w:p w14:paraId="73060BF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2075" w:type="dxa"/>
            <w:vAlign w:val="center"/>
          </w:tcPr>
          <w:p w14:paraId="4A051E7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1453" w:type="dxa"/>
            <w:vAlign w:val="center"/>
          </w:tcPr>
          <w:p w14:paraId="416F06F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r>
      <w:tr w14:paraId="0B342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2E389BD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950" w:type="dxa"/>
            <w:vAlign w:val="center"/>
          </w:tcPr>
          <w:p w14:paraId="4CBE69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1531" w:type="dxa"/>
            <w:vAlign w:val="center"/>
          </w:tcPr>
          <w:p w14:paraId="3FD5014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18000</w:t>
            </w:r>
          </w:p>
        </w:tc>
        <w:tc>
          <w:tcPr>
            <w:tcW w:w="1114" w:type="dxa"/>
            <w:vAlign w:val="center"/>
          </w:tcPr>
          <w:p w14:paraId="699E7075">
            <w:pPr>
              <w:pStyle w:val="280"/>
              <w:rPr>
                <w:rFonts w:hint="eastAsia"/>
                <w:color w:val="000000" w:themeColor="text1"/>
                <w14:textFill>
                  <w14:solidFill>
                    <w14:schemeClr w14:val="tx1"/>
                  </w14:solidFill>
                </w14:textFill>
              </w:rPr>
            </w:pPr>
          </w:p>
        </w:tc>
        <w:tc>
          <w:tcPr>
            <w:tcW w:w="2075" w:type="dxa"/>
            <w:vAlign w:val="center"/>
          </w:tcPr>
          <w:p w14:paraId="7E4D21C6">
            <w:pPr>
              <w:pStyle w:val="280"/>
              <w:rPr>
                <w:rFonts w:hint="eastAsia"/>
                <w:color w:val="000000" w:themeColor="text1"/>
                <w14:textFill>
                  <w14:solidFill>
                    <w14:schemeClr w14:val="tx1"/>
                  </w14:solidFill>
                </w14:textFill>
              </w:rPr>
            </w:pPr>
          </w:p>
        </w:tc>
        <w:tc>
          <w:tcPr>
            <w:tcW w:w="1453" w:type="dxa"/>
            <w:vAlign w:val="center"/>
          </w:tcPr>
          <w:p w14:paraId="7015B0FF">
            <w:pPr>
              <w:pStyle w:val="280"/>
              <w:rPr>
                <w:rFonts w:hint="eastAsia"/>
                <w:color w:val="000000" w:themeColor="text1"/>
                <w14:textFill>
                  <w14:solidFill>
                    <w14:schemeClr w14:val="tx1"/>
                  </w14:solidFill>
                </w14:textFill>
              </w:rPr>
            </w:pPr>
          </w:p>
        </w:tc>
      </w:tr>
      <w:tr w14:paraId="4C11DE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86" w:type="dxa"/>
            <w:gridSpan w:val="6"/>
            <w:vAlign w:val="center"/>
          </w:tcPr>
          <w:p w14:paraId="69F3E12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基本项目（挥发性有机物）</w:t>
            </w:r>
          </w:p>
        </w:tc>
      </w:tr>
      <w:tr w14:paraId="4BAD5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648ED11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950" w:type="dxa"/>
            <w:vAlign w:val="center"/>
          </w:tcPr>
          <w:p w14:paraId="55F842D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四氯化碳</w:t>
            </w:r>
          </w:p>
        </w:tc>
        <w:tc>
          <w:tcPr>
            <w:tcW w:w="1531" w:type="dxa"/>
            <w:vAlign w:val="center"/>
          </w:tcPr>
          <w:p w14:paraId="3029D4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1114" w:type="dxa"/>
            <w:vAlign w:val="center"/>
          </w:tcPr>
          <w:p w14:paraId="4FBCBB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2075" w:type="dxa"/>
            <w:vAlign w:val="center"/>
          </w:tcPr>
          <w:p w14:paraId="165FD3B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1,1,2-三氯乙烷</w:t>
            </w:r>
          </w:p>
        </w:tc>
        <w:tc>
          <w:tcPr>
            <w:tcW w:w="1453" w:type="dxa"/>
            <w:vAlign w:val="center"/>
          </w:tcPr>
          <w:p w14:paraId="754AA51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r>
      <w:tr w14:paraId="71CF33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53F812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950" w:type="dxa"/>
            <w:vAlign w:val="center"/>
          </w:tcPr>
          <w:p w14:paraId="6EDC4F7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氯仿</w:t>
            </w:r>
          </w:p>
        </w:tc>
        <w:tc>
          <w:tcPr>
            <w:tcW w:w="1531" w:type="dxa"/>
            <w:vAlign w:val="center"/>
          </w:tcPr>
          <w:p w14:paraId="14E122A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0.9</w:t>
            </w:r>
          </w:p>
        </w:tc>
        <w:tc>
          <w:tcPr>
            <w:tcW w:w="1114" w:type="dxa"/>
            <w:vAlign w:val="center"/>
          </w:tcPr>
          <w:p w14:paraId="1BFC4B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2075" w:type="dxa"/>
            <w:vAlign w:val="center"/>
          </w:tcPr>
          <w:p w14:paraId="38F0C76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三氯乙烯</w:t>
            </w:r>
          </w:p>
        </w:tc>
        <w:tc>
          <w:tcPr>
            <w:tcW w:w="1453" w:type="dxa"/>
            <w:vAlign w:val="center"/>
          </w:tcPr>
          <w:p w14:paraId="081D944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r>
      <w:tr w14:paraId="7E6201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34F4B43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950" w:type="dxa"/>
            <w:vAlign w:val="center"/>
          </w:tcPr>
          <w:p w14:paraId="2AB17C5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氯甲烷</w:t>
            </w:r>
          </w:p>
        </w:tc>
        <w:tc>
          <w:tcPr>
            <w:tcW w:w="1531" w:type="dxa"/>
            <w:vAlign w:val="center"/>
          </w:tcPr>
          <w:p w14:paraId="75FAF1F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37</w:t>
            </w:r>
          </w:p>
        </w:tc>
        <w:tc>
          <w:tcPr>
            <w:tcW w:w="1114" w:type="dxa"/>
            <w:vAlign w:val="center"/>
          </w:tcPr>
          <w:p w14:paraId="37214F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2075" w:type="dxa"/>
            <w:vAlign w:val="center"/>
          </w:tcPr>
          <w:p w14:paraId="13F7635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1,2,3-三氯丙烷</w:t>
            </w:r>
          </w:p>
        </w:tc>
        <w:tc>
          <w:tcPr>
            <w:tcW w:w="1453" w:type="dxa"/>
            <w:vAlign w:val="center"/>
          </w:tcPr>
          <w:p w14:paraId="14AAFA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r>
      <w:tr w14:paraId="59D73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10DA81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1950" w:type="dxa"/>
            <w:vAlign w:val="center"/>
          </w:tcPr>
          <w:p w14:paraId="299D97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1,1-二氯乙烷</w:t>
            </w:r>
          </w:p>
        </w:tc>
        <w:tc>
          <w:tcPr>
            <w:tcW w:w="1531" w:type="dxa"/>
            <w:vAlign w:val="center"/>
          </w:tcPr>
          <w:p w14:paraId="1DBF1BC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114" w:type="dxa"/>
            <w:vAlign w:val="center"/>
          </w:tcPr>
          <w:p w14:paraId="479A8D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2075" w:type="dxa"/>
            <w:vAlign w:val="center"/>
          </w:tcPr>
          <w:p w14:paraId="0F287FF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氯乙烯</w:t>
            </w:r>
          </w:p>
        </w:tc>
        <w:tc>
          <w:tcPr>
            <w:tcW w:w="1453" w:type="dxa"/>
            <w:vAlign w:val="center"/>
          </w:tcPr>
          <w:p w14:paraId="1FC168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0.43</w:t>
            </w:r>
          </w:p>
        </w:tc>
      </w:tr>
      <w:tr w14:paraId="785DE2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30B1EF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1950" w:type="dxa"/>
            <w:vAlign w:val="center"/>
          </w:tcPr>
          <w:p w14:paraId="3533F3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1,2-二氯乙烷</w:t>
            </w:r>
          </w:p>
        </w:tc>
        <w:tc>
          <w:tcPr>
            <w:tcW w:w="1531" w:type="dxa"/>
            <w:vAlign w:val="center"/>
          </w:tcPr>
          <w:p w14:paraId="2507639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114" w:type="dxa"/>
            <w:vAlign w:val="center"/>
          </w:tcPr>
          <w:p w14:paraId="2783AD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2075" w:type="dxa"/>
            <w:vAlign w:val="center"/>
          </w:tcPr>
          <w:p w14:paraId="01B37D4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w:t>
            </w:r>
          </w:p>
        </w:tc>
        <w:tc>
          <w:tcPr>
            <w:tcW w:w="1453" w:type="dxa"/>
            <w:vAlign w:val="center"/>
          </w:tcPr>
          <w:p w14:paraId="5DD967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r w14:paraId="4E785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44BD8ED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1950" w:type="dxa"/>
            <w:vAlign w:val="center"/>
          </w:tcPr>
          <w:p w14:paraId="371D7CA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1,1-二氯乙烯</w:t>
            </w:r>
          </w:p>
        </w:tc>
        <w:tc>
          <w:tcPr>
            <w:tcW w:w="1531" w:type="dxa"/>
            <w:vAlign w:val="center"/>
          </w:tcPr>
          <w:p w14:paraId="01434B5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66</w:t>
            </w:r>
          </w:p>
        </w:tc>
        <w:tc>
          <w:tcPr>
            <w:tcW w:w="1114" w:type="dxa"/>
            <w:vAlign w:val="center"/>
          </w:tcPr>
          <w:p w14:paraId="0DADFF1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2075" w:type="dxa"/>
            <w:vAlign w:val="center"/>
          </w:tcPr>
          <w:p w14:paraId="671F7E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氯苯</w:t>
            </w:r>
          </w:p>
        </w:tc>
        <w:tc>
          <w:tcPr>
            <w:tcW w:w="1453" w:type="dxa"/>
            <w:vAlign w:val="center"/>
          </w:tcPr>
          <w:p w14:paraId="3E3691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270</w:t>
            </w:r>
          </w:p>
        </w:tc>
      </w:tr>
      <w:tr w14:paraId="7D42D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794723C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1950" w:type="dxa"/>
            <w:vAlign w:val="center"/>
          </w:tcPr>
          <w:p w14:paraId="393380C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顺-1,2-二氯乙烯</w:t>
            </w:r>
          </w:p>
        </w:tc>
        <w:tc>
          <w:tcPr>
            <w:tcW w:w="1531" w:type="dxa"/>
            <w:vAlign w:val="center"/>
          </w:tcPr>
          <w:p w14:paraId="07E007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596</w:t>
            </w:r>
          </w:p>
        </w:tc>
        <w:tc>
          <w:tcPr>
            <w:tcW w:w="1114" w:type="dxa"/>
            <w:vAlign w:val="center"/>
          </w:tcPr>
          <w:p w14:paraId="389AA4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2075" w:type="dxa"/>
            <w:vAlign w:val="center"/>
          </w:tcPr>
          <w:p w14:paraId="1FAA1A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1,2-二氯苯</w:t>
            </w:r>
          </w:p>
        </w:tc>
        <w:tc>
          <w:tcPr>
            <w:tcW w:w="1453" w:type="dxa"/>
            <w:vAlign w:val="center"/>
          </w:tcPr>
          <w:p w14:paraId="5BC706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560</w:t>
            </w:r>
          </w:p>
        </w:tc>
      </w:tr>
      <w:tr w14:paraId="7CEF6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081349C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1950" w:type="dxa"/>
            <w:vAlign w:val="center"/>
          </w:tcPr>
          <w:p w14:paraId="6701ACF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反-1,2-二氯乙烯</w:t>
            </w:r>
          </w:p>
        </w:tc>
        <w:tc>
          <w:tcPr>
            <w:tcW w:w="1531" w:type="dxa"/>
            <w:vAlign w:val="center"/>
          </w:tcPr>
          <w:p w14:paraId="46551B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54</w:t>
            </w:r>
          </w:p>
        </w:tc>
        <w:tc>
          <w:tcPr>
            <w:tcW w:w="1114" w:type="dxa"/>
            <w:vAlign w:val="center"/>
          </w:tcPr>
          <w:p w14:paraId="49FF937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w:t>
            </w:r>
          </w:p>
        </w:tc>
        <w:tc>
          <w:tcPr>
            <w:tcW w:w="2075" w:type="dxa"/>
            <w:vAlign w:val="center"/>
          </w:tcPr>
          <w:p w14:paraId="6CC81B9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1,4-二氯苯</w:t>
            </w:r>
          </w:p>
        </w:tc>
        <w:tc>
          <w:tcPr>
            <w:tcW w:w="1453" w:type="dxa"/>
            <w:vAlign w:val="center"/>
          </w:tcPr>
          <w:p w14:paraId="53D712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r>
      <w:tr w14:paraId="4C47D4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06A643F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1950" w:type="dxa"/>
            <w:vAlign w:val="center"/>
          </w:tcPr>
          <w:p w14:paraId="338A90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二氯甲烷</w:t>
            </w:r>
          </w:p>
        </w:tc>
        <w:tc>
          <w:tcPr>
            <w:tcW w:w="1531" w:type="dxa"/>
            <w:vAlign w:val="center"/>
          </w:tcPr>
          <w:p w14:paraId="65E4F76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616</w:t>
            </w:r>
          </w:p>
        </w:tc>
        <w:tc>
          <w:tcPr>
            <w:tcW w:w="1114" w:type="dxa"/>
            <w:vAlign w:val="center"/>
          </w:tcPr>
          <w:p w14:paraId="1BF336C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2075" w:type="dxa"/>
            <w:vAlign w:val="center"/>
          </w:tcPr>
          <w:p w14:paraId="5C8A4C4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乙苯</w:t>
            </w:r>
          </w:p>
        </w:tc>
        <w:tc>
          <w:tcPr>
            <w:tcW w:w="1453" w:type="dxa"/>
            <w:vAlign w:val="center"/>
          </w:tcPr>
          <w:p w14:paraId="409C6E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r>
      <w:tr w14:paraId="48F85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7ABF88C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1950" w:type="dxa"/>
            <w:vAlign w:val="center"/>
          </w:tcPr>
          <w:p w14:paraId="20EFBC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1,2-二氯丙烷</w:t>
            </w:r>
          </w:p>
        </w:tc>
        <w:tc>
          <w:tcPr>
            <w:tcW w:w="1531" w:type="dxa"/>
            <w:vAlign w:val="center"/>
          </w:tcPr>
          <w:p w14:paraId="2824EB2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114" w:type="dxa"/>
            <w:vAlign w:val="center"/>
          </w:tcPr>
          <w:p w14:paraId="2B5EB9A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w:t>
            </w:r>
          </w:p>
        </w:tc>
        <w:tc>
          <w:tcPr>
            <w:tcW w:w="2075" w:type="dxa"/>
            <w:vAlign w:val="center"/>
          </w:tcPr>
          <w:p w14:paraId="6C05C84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苯乙烯</w:t>
            </w:r>
          </w:p>
        </w:tc>
        <w:tc>
          <w:tcPr>
            <w:tcW w:w="1453" w:type="dxa"/>
            <w:vAlign w:val="center"/>
          </w:tcPr>
          <w:p w14:paraId="34E179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1290</w:t>
            </w:r>
          </w:p>
        </w:tc>
      </w:tr>
      <w:tr w14:paraId="32201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7A7DBAF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w:t>
            </w:r>
          </w:p>
        </w:tc>
        <w:tc>
          <w:tcPr>
            <w:tcW w:w="1950" w:type="dxa"/>
            <w:vAlign w:val="center"/>
          </w:tcPr>
          <w:p w14:paraId="44797A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1,1,1,2-四氯乙烷</w:t>
            </w:r>
          </w:p>
        </w:tc>
        <w:tc>
          <w:tcPr>
            <w:tcW w:w="1531" w:type="dxa"/>
            <w:vAlign w:val="center"/>
          </w:tcPr>
          <w:p w14:paraId="0353ED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114" w:type="dxa"/>
            <w:vAlign w:val="center"/>
          </w:tcPr>
          <w:p w14:paraId="45BF925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w:t>
            </w:r>
          </w:p>
        </w:tc>
        <w:tc>
          <w:tcPr>
            <w:tcW w:w="2075" w:type="dxa"/>
            <w:vAlign w:val="center"/>
          </w:tcPr>
          <w:p w14:paraId="615E2B7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甲苯</w:t>
            </w:r>
          </w:p>
        </w:tc>
        <w:tc>
          <w:tcPr>
            <w:tcW w:w="1453" w:type="dxa"/>
            <w:vAlign w:val="center"/>
          </w:tcPr>
          <w:p w14:paraId="74B72C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1200</w:t>
            </w:r>
          </w:p>
        </w:tc>
      </w:tr>
      <w:tr w14:paraId="5BADE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14BE53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w:t>
            </w:r>
          </w:p>
        </w:tc>
        <w:tc>
          <w:tcPr>
            <w:tcW w:w="1950" w:type="dxa"/>
            <w:vAlign w:val="center"/>
          </w:tcPr>
          <w:p w14:paraId="6488CA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1,1,2,2-四氯乙烷</w:t>
            </w:r>
          </w:p>
        </w:tc>
        <w:tc>
          <w:tcPr>
            <w:tcW w:w="1531" w:type="dxa"/>
            <w:vAlign w:val="center"/>
          </w:tcPr>
          <w:p w14:paraId="6ECF2C5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6.8</w:t>
            </w:r>
          </w:p>
        </w:tc>
        <w:tc>
          <w:tcPr>
            <w:tcW w:w="1114" w:type="dxa"/>
            <w:vAlign w:val="center"/>
          </w:tcPr>
          <w:p w14:paraId="1CE594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2075" w:type="dxa"/>
            <w:vAlign w:val="center"/>
          </w:tcPr>
          <w:p w14:paraId="2E80918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间二甲苯+对二甲苯</w:t>
            </w:r>
          </w:p>
        </w:tc>
        <w:tc>
          <w:tcPr>
            <w:tcW w:w="1453" w:type="dxa"/>
            <w:vAlign w:val="center"/>
          </w:tcPr>
          <w:p w14:paraId="155AE91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570</w:t>
            </w:r>
          </w:p>
        </w:tc>
      </w:tr>
      <w:tr w14:paraId="2A5DE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38E6FB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1950" w:type="dxa"/>
            <w:vAlign w:val="center"/>
          </w:tcPr>
          <w:p w14:paraId="10503A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四氯乙烯</w:t>
            </w:r>
          </w:p>
        </w:tc>
        <w:tc>
          <w:tcPr>
            <w:tcW w:w="1531" w:type="dxa"/>
            <w:vAlign w:val="center"/>
          </w:tcPr>
          <w:p w14:paraId="70DDAF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53</w:t>
            </w:r>
          </w:p>
        </w:tc>
        <w:tc>
          <w:tcPr>
            <w:tcW w:w="1114" w:type="dxa"/>
            <w:vAlign w:val="center"/>
          </w:tcPr>
          <w:p w14:paraId="03AA52E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2075" w:type="dxa"/>
            <w:vAlign w:val="center"/>
          </w:tcPr>
          <w:p w14:paraId="383B18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邻二甲苯</w:t>
            </w:r>
          </w:p>
        </w:tc>
        <w:tc>
          <w:tcPr>
            <w:tcW w:w="1453" w:type="dxa"/>
            <w:vAlign w:val="center"/>
          </w:tcPr>
          <w:p w14:paraId="4E2988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640</w:t>
            </w:r>
          </w:p>
        </w:tc>
      </w:tr>
      <w:tr w14:paraId="28A27A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6FA6C4D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w:t>
            </w:r>
          </w:p>
        </w:tc>
        <w:tc>
          <w:tcPr>
            <w:tcW w:w="1950" w:type="dxa"/>
            <w:vAlign w:val="center"/>
          </w:tcPr>
          <w:p w14:paraId="6BDB57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1,1,1-三氯乙烷</w:t>
            </w:r>
          </w:p>
        </w:tc>
        <w:tc>
          <w:tcPr>
            <w:tcW w:w="1531" w:type="dxa"/>
            <w:vAlign w:val="center"/>
          </w:tcPr>
          <w:p w14:paraId="58AA8F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840</w:t>
            </w:r>
          </w:p>
        </w:tc>
        <w:tc>
          <w:tcPr>
            <w:tcW w:w="1114" w:type="dxa"/>
            <w:vAlign w:val="center"/>
          </w:tcPr>
          <w:p w14:paraId="22421F30">
            <w:pPr>
              <w:pStyle w:val="280"/>
              <w:rPr>
                <w:rFonts w:hint="eastAsia"/>
                <w:color w:val="000000" w:themeColor="text1"/>
                <w14:textFill>
                  <w14:solidFill>
                    <w14:schemeClr w14:val="tx1"/>
                  </w14:solidFill>
                </w14:textFill>
              </w:rPr>
            </w:pPr>
          </w:p>
        </w:tc>
        <w:tc>
          <w:tcPr>
            <w:tcW w:w="2075" w:type="dxa"/>
            <w:vAlign w:val="center"/>
          </w:tcPr>
          <w:p w14:paraId="5DB3365F">
            <w:pPr>
              <w:pStyle w:val="280"/>
              <w:rPr>
                <w:rFonts w:hint="eastAsia"/>
                <w:color w:val="000000" w:themeColor="text1"/>
                <w14:textFill>
                  <w14:solidFill>
                    <w14:schemeClr w14:val="tx1"/>
                  </w14:solidFill>
                </w14:textFill>
              </w:rPr>
            </w:pPr>
          </w:p>
        </w:tc>
        <w:tc>
          <w:tcPr>
            <w:tcW w:w="1453" w:type="dxa"/>
            <w:vAlign w:val="center"/>
          </w:tcPr>
          <w:p w14:paraId="3F39D4B8">
            <w:pPr>
              <w:pStyle w:val="280"/>
              <w:rPr>
                <w:rFonts w:hint="eastAsia"/>
                <w:color w:val="000000" w:themeColor="text1"/>
                <w14:textFill>
                  <w14:solidFill>
                    <w14:schemeClr w14:val="tx1"/>
                  </w14:solidFill>
                </w14:textFill>
              </w:rPr>
            </w:pPr>
          </w:p>
        </w:tc>
      </w:tr>
      <w:tr w14:paraId="16296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86" w:type="dxa"/>
            <w:gridSpan w:val="6"/>
            <w:vAlign w:val="center"/>
          </w:tcPr>
          <w:p w14:paraId="7C424A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基本项目（半挥发性有机物）</w:t>
            </w:r>
          </w:p>
        </w:tc>
      </w:tr>
      <w:tr w14:paraId="2395E4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4DAC31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1950" w:type="dxa"/>
            <w:vAlign w:val="center"/>
          </w:tcPr>
          <w:p w14:paraId="61F6EBE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硝基苯</w:t>
            </w:r>
          </w:p>
        </w:tc>
        <w:tc>
          <w:tcPr>
            <w:tcW w:w="1531" w:type="dxa"/>
            <w:vAlign w:val="center"/>
          </w:tcPr>
          <w:p w14:paraId="58C507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76</w:t>
            </w:r>
          </w:p>
        </w:tc>
        <w:tc>
          <w:tcPr>
            <w:tcW w:w="1114" w:type="dxa"/>
            <w:vAlign w:val="center"/>
          </w:tcPr>
          <w:p w14:paraId="19C78D9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41</w:t>
            </w:r>
          </w:p>
        </w:tc>
        <w:tc>
          <w:tcPr>
            <w:tcW w:w="2075" w:type="dxa"/>
            <w:vAlign w:val="center"/>
          </w:tcPr>
          <w:p w14:paraId="178EE9B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苯并〔k〕荧蒽</w:t>
            </w:r>
          </w:p>
        </w:tc>
        <w:tc>
          <w:tcPr>
            <w:tcW w:w="1453" w:type="dxa"/>
            <w:vAlign w:val="center"/>
          </w:tcPr>
          <w:p w14:paraId="60A7E1F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151</w:t>
            </w:r>
          </w:p>
        </w:tc>
      </w:tr>
      <w:tr w14:paraId="7F5F6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48682B6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1950" w:type="dxa"/>
            <w:vAlign w:val="center"/>
          </w:tcPr>
          <w:p w14:paraId="5F5686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苯胺</w:t>
            </w:r>
          </w:p>
        </w:tc>
        <w:tc>
          <w:tcPr>
            <w:tcW w:w="1531" w:type="dxa"/>
            <w:vAlign w:val="center"/>
          </w:tcPr>
          <w:p w14:paraId="15676D0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260</w:t>
            </w:r>
          </w:p>
        </w:tc>
        <w:tc>
          <w:tcPr>
            <w:tcW w:w="1114" w:type="dxa"/>
            <w:vAlign w:val="center"/>
          </w:tcPr>
          <w:p w14:paraId="3BCE943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2075" w:type="dxa"/>
            <w:vAlign w:val="center"/>
          </w:tcPr>
          <w:p w14:paraId="7F18C05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䓛</w:t>
            </w:r>
          </w:p>
        </w:tc>
        <w:tc>
          <w:tcPr>
            <w:tcW w:w="1453" w:type="dxa"/>
            <w:vAlign w:val="center"/>
          </w:tcPr>
          <w:p w14:paraId="7396E8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1293</w:t>
            </w:r>
          </w:p>
        </w:tc>
      </w:tr>
      <w:tr w14:paraId="37BCE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09177C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37</w:t>
            </w:r>
          </w:p>
        </w:tc>
        <w:tc>
          <w:tcPr>
            <w:tcW w:w="1950" w:type="dxa"/>
            <w:vAlign w:val="center"/>
          </w:tcPr>
          <w:p w14:paraId="6505CC8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2-氯酚</w:t>
            </w:r>
          </w:p>
        </w:tc>
        <w:tc>
          <w:tcPr>
            <w:tcW w:w="1531" w:type="dxa"/>
            <w:vAlign w:val="center"/>
          </w:tcPr>
          <w:p w14:paraId="2A855D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2256</w:t>
            </w:r>
          </w:p>
        </w:tc>
        <w:tc>
          <w:tcPr>
            <w:tcW w:w="1114" w:type="dxa"/>
            <w:vAlign w:val="center"/>
          </w:tcPr>
          <w:p w14:paraId="5969388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2075" w:type="dxa"/>
            <w:vAlign w:val="center"/>
          </w:tcPr>
          <w:p w14:paraId="34AA875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二苯并〔a，h〕蒽</w:t>
            </w:r>
          </w:p>
        </w:tc>
        <w:tc>
          <w:tcPr>
            <w:tcW w:w="1453" w:type="dxa"/>
            <w:vAlign w:val="center"/>
          </w:tcPr>
          <w:p w14:paraId="0D169E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r>
      <w:tr w14:paraId="0DD37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6512839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1950" w:type="dxa"/>
            <w:vAlign w:val="center"/>
          </w:tcPr>
          <w:p w14:paraId="124F1A7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苯并〔a〕蒽</w:t>
            </w:r>
          </w:p>
        </w:tc>
        <w:tc>
          <w:tcPr>
            <w:tcW w:w="1531" w:type="dxa"/>
            <w:vAlign w:val="center"/>
          </w:tcPr>
          <w:p w14:paraId="7FB6FC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1114" w:type="dxa"/>
            <w:vAlign w:val="center"/>
          </w:tcPr>
          <w:p w14:paraId="29F640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2075" w:type="dxa"/>
            <w:vAlign w:val="center"/>
          </w:tcPr>
          <w:p w14:paraId="67224BF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茚并〔1,2,3-cd〕 芘</w:t>
            </w:r>
          </w:p>
        </w:tc>
        <w:tc>
          <w:tcPr>
            <w:tcW w:w="1453" w:type="dxa"/>
            <w:vAlign w:val="center"/>
          </w:tcPr>
          <w:p w14:paraId="29C88C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r>
      <w:tr w14:paraId="1956C2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047AD5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39</w:t>
            </w:r>
          </w:p>
        </w:tc>
        <w:tc>
          <w:tcPr>
            <w:tcW w:w="1950" w:type="dxa"/>
            <w:vAlign w:val="center"/>
          </w:tcPr>
          <w:p w14:paraId="774E45B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苯并〔a〕芘</w:t>
            </w:r>
          </w:p>
        </w:tc>
        <w:tc>
          <w:tcPr>
            <w:tcW w:w="1531" w:type="dxa"/>
            <w:vAlign w:val="center"/>
          </w:tcPr>
          <w:p w14:paraId="10D6A18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1114" w:type="dxa"/>
            <w:vAlign w:val="center"/>
          </w:tcPr>
          <w:p w14:paraId="14FF9CA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2075" w:type="dxa"/>
            <w:vAlign w:val="center"/>
          </w:tcPr>
          <w:p w14:paraId="2D2A4A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萘</w:t>
            </w:r>
          </w:p>
        </w:tc>
        <w:tc>
          <w:tcPr>
            <w:tcW w:w="1453" w:type="dxa"/>
            <w:vAlign w:val="center"/>
          </w:tcPr>
          <w:p w14:paraId="4A6B819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r>
      <w:tr w14:paraId="4A01B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30657B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1950" w:type="dxa"/>
            <w:vAlign w:val="center"/>
          </w:tcPr>
          <w:p w14:paraId="40399D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苯并〔b〕荧蒽</w:t>
            </w:r>
          </w:p>
        </w:tc>
        <w:tc>
          <w:tcPr>
            <w:tcW w:w="1531" w:type="dxa"/>
            <w:vAlign w:val="center"/>
          </w:tcPr>
          <w:p w14:paraId="7D65FD8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1114" w:type="dxa"/>
            <w:vAlign w:val="center"/>
          </w:tcPr>
          <w:p w14:paraId="4CBD27DF">
            <w:pPr>
              <w:pStyle w:val="280"/>
              <w:rPr>
                <w:rFonts w:hint="eastAsia"/>
                <w:color w:val="000000" w:themeColor="text1"/>
                <w14:textFill>
                  <w14:solidFill>
                    <w14:schemeClr w14:val="tx1"/>
                  </w14:solidFill>
                </w14:textFill>
              </w:rPr>
            </w:pPr>
          </w:p>
        </w:tc>
        <w:tc>
          <w:tcPr>
            <w:tcW w:w="2075" w:type="dxa"/>
            <w:vAlign w:val="center"/>
          </w:tcPr>
          <w:p w14:paraId="0FAF7673">
            <w:pPr>
              <w:pStyle w:val="280"/>
              <w:rPr>
                <w:rFonts w:hint="eastAsia"/>
                <w:color w:val="000000" w:themeColor="text1"/>
                <w14:textFill>
                  <w14:solidFill>
                    <w14:schemeClr w14:val="tx1"/>
                  </w14:solidFill>
                </w14:textFill>
              </w:rPr>
            </w:pPr>
          </w:p>
        </w:tc>
        <w:tc>
          <w:tcPr>
            <w:tcW w:w="1453" w:type="dxa"/>
            <w:vAlign w:val="center"/>
          </w:tcPr>
          <w:p w14:paraId="595FC47C">
            <w:pPr>
              <w:pStyle w:val="280"/>
              <w:rPr>
                <w:rFonts w:hint="eastAsia"/>
                <w:color w:val="000000" w:themeColor="text1"/>
                <w14:textFill>
                  <w14:solidFill>
                    <w14:schemeClr w14:val="tx1"/>
                  </w14:solidFill>
                </w14:textFill>
              </w:rPr>
            </w:pPr>
          </w:p>
        </w:tc>
      </w:tr>
      <w:tr w14:paraId="24195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86" w:type="dxa"/>
            <w:gridSpan w:val="6"/>
            <w:vAlign w:val="center"/>
          </w:tcPr>
          <w:p w14:paraId="3EE64CB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其他项目（特征污染因子）</w:t>
            </w:r>
          </w:p>
        </w:tc>
      </w:tr>
      <w:tr w14:paraId="66873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7C3D999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1950" w:type="dxa"/>
            <w:vAlign w:val="center"/>
          </w:tcPr>
          <w:p w14:paraId="623A22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石油烃（C</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～C</w:t>
            </w:r>
            <w:r>
              <w:rPr>
                <w:rFonts w:hint="eastAsia"/>
                <w:color w:val="000000" w:themeColor="text1"/>
                <w:vertAlign w:val="subscript"/>
                <w14:textFill>
                  <w14:solidFill>
                    <w14:schemeClr w14:val="tx1"/>
                  </w14:solidFill>
                </w14:textFill>
              </w:rPr>
              <w:t>40）</w:t>
            </w:r>
          </w:p>
        </w:tc>
        <w:tc>
          <w:tcPr>
            <w:tcW w:w="1531" w:type="dxa"/>
            <w:vAlign w:val="center"/>
          </w:tcPr>
          <w:p w14:paraId="6B3C11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1114" w:type="dxa"/>
            <w:vAlign w:val="center"/>
          </w:tcPr>
          <w:p w14:paraId="7A7BEA9A">
            <w:pPr>
              <w:pStyle w:val="280"/>
              <w:rPr>
                <w:rFonts w:hint="eastAsia"/>
                <w:color w:val="000000" w:themeColor="text1"/>
                <w14:textFill>
                  <w14:solidFill>
                    <w14:schemeClr w14:val="tx1"/>
                  </w14:solidFill>
                </w14:textFill>
              </w:rPr>
            </w:pPr>
          </w:p>
        </w:tc>
        <w:tc>
          <w:tcPr>
            <w:tcW w:w="2075" w:type="dxa"/>
            <w:vAlign w:val="center"/>
          </w:tcPr>
          <w:p w14:paraId="7EE415D8">
            <w:pPr>
              <w:pStyle w:val="280"/>
              <w:rPr>
                <w:rFonts w:hint="eastAsia"/>
                <w:color w:val="000000" w:themeColor="text1"/>
                <w14:textFill>
                  <w14:solidFill>
                    <w14:schemeClr w14:val="tx1"/>
                  </w14:solidFill>
                </w14:textFill>
              </w:rPr>
            </w:pPr>
          </w:p>
        </w:tc>
        <w:tc>
          <w:tcPr>
            <w:tcW w:w="1453" w:type="dxa"/>
            <w:vAlign w:val="center"/>
          </w:tcPr>
          <w:p w14:paraId="0F270212">
            <w:pPr>
              <w:pStyle w:val="280"/>
              <w:rPr>
                <w:rFonts w:hint="eastAsia"/>
                <w:color w:val="000000" w:themeColor="text1"/>
                <w14:textFill>
                  <w14:solidFill>
                    <w14:schemeClr w14:val="tx1"/>
                  </w14:solidFill>
                </w14:textFill>
              </w:rPr>
            </w:pPr>
          </w:p>
        </w:tc>
      </w:tr>
    </w:tbl>
    <w:p w14:paraId="72F07A34">
      <w:pPr>
        <w:pStyle w:val="19"/>
        <w:rPr>
          <w:rFonts w:hint="eastAsia"/>
          <w:color w:val="000000" w:themeColor="text1"/>
          <w14:textFill>
            <w14:solidFill>
              <w14:schemeClr w14:val="tx1"/>
            </w14:solidFill>
          </w14:textFill>
        </w:rPr>
      </w:pPr>
      <w:bookmarkStart w:id="89" w:name="_Hlk134632593"/>
      <w:bookmarkStart w:id="90" w:name="_Hlk160374526"/>
      <w:r>
        <w:rPr>
          <w:rFonts w:hint="eastAsia"/>
          <w:color w:val="000000" w:themeColor="text1"/>
          <w14:textFill>
            <w14:solidFill>
              <w14:schemeClr w14:val="tx1"/>
            </w14:solidFill>
          </w14:textFill>
        </w:rPr>
        <w:t>表2.5-6  农用地土壤污染风险筛选值</w:t>
      </w:r>
    </w:p>
    <w:tbl>
      <w:tblPr>
        <w:tblStyle w:val="5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814"/>
        <w:gridCol w:w="2067"/>
        <w:gridCol w:w="2591"/>
        <w:gridCol w:w="3228"/>
      </w:tblGrid>
      <w:tr w14:paraId="219803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0E8D0B7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188" w:type="pct"/>
            <w:vAlign w:val="center"/>
          </w:tcPr>
          <w:p w14:paraId="53FE71C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w:t>
            </w:r>
          </w:p>
        </w:tc>
        <w:tc>
          <w:tcPr>
            <w:tcW w:w="1489" w:type="pct"/>
            <w:vAlign w:val="center"/>
          </w:tcPr>
          <w:p w14:paraId="635FE86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1855" w:type="pct"/>
            <w:tcBorders>
              <w:right w:val="nil"/>
            </w:tcBorders>
            <w:vAlign w:val="center"/>
          </w:tcPr>
          <w:p w14:paraId="7163ED6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标准限值（mg/kg）pH＞7.5</w:t>
            </w:r>
          </w:p>
        </w:tc>
      </w:tr>
      <w:tr w14:paraId="118F21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5FCE193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188" w:type="pct"/>
            <w:vAlign w:val="center"/>
          </w:tcPr>
          <w:p w14:paraId="00A9FB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1489" w:type="pct"/>
            <w:vAlign w:val="center"/>
          </w:tcPr>
          <w:p w14:paraId="141A3B7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无量纲</w:t>
            </w:r>
          </w:p>
        </w:tc>
        <w:tc>
          <w:tcPr>
            <w:tcW w:w="1855" w:type="pct"/>
            <w:tcBorders>
              <w:right w:val="nil"/>
            </w:tcBorders>
            <w:vAlign w:val="center"/>
          </w:tcPr>
          <w:p w14:paraId="4D675E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6A855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3AF889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188" w:type="pct"/>
            <w:vAlign w:val="center"/>
          </w:tcPr>
          <w:p w14:paraId="6BBCD86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1489" w:type="pct"/>
            <w:vAlign w:val="center"/>
          </w:tcPr>
          <w:p w14:paraId="46C72EB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1855" w:type="pct"/>
            <w:tcBorders>
              <w:right w:val="nil"/>
            </w:tcBorders>
            <w:vAlign w:val="center"/>
          </w:tcPr>
          <w:p w14:paraId="625875B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r>
      <w:tr w14:paraId="14A396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32F64A2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188" w:type="pct"/>
            <w:vAlign w:val="center"/>
          </w:tcPr>
          <w:p w14:paraId="2D86C1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1489" w:type="pct"/>
            <w:vAlign w:val="center"/>
          </w:tcPr>
          <w:p w14:paraId="25C40D4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1855" w:type="pct"/>
            <w:tcBorders>
              <w:right w:val="nil"/>
            </w:tcBorders>
            <w:vAlign w:val="center"/>
          </w:tcPr>
          <w:p w14:paraId="6D3E93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r>
      <w:tr w14:paraId="2AE56B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62D84D1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188" w:type="pct"/>
            <w:vAlign w:val="center"/>
          </w:tcPr>
          <w:p w14:paraId="1F11D7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1489" w:type="pct"/>
            <w:vAlign w:val="center"/>
          </w:tcPr>
          <w:p w14:paraId="0A76BED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1855" w:type="pct"/>
            <w:tcBorders>
              <w:right w:val="nil"/>
            </w:tcBorders>
            <w:vAlign w:val="center"/>
          </w:tcPr>
          <w:p w14:paraId="088329C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r>
      <w:tr w14:paraId="3239D3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3E62117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188" w:type="pct"/>
            <w:vAlign w:val="center"/>
          </w:tcPr>
          <w:p w14:paraId="5344CEB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1489" w:type="pct"/>
            <w:vAlign w:val="center"/>
          </w:tcPr>
          <w:p w14:paraId="11BBC7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1855" w:type="pct"/>
            <w:tcBorders>
              <w:right w:val="nil"/>
            </w:tcBorders>
            <w:vAlign w:val="center"/>
          </w:tcPr>
          <w:p w14:paraId="6BD7007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170</w:t>
            </w:r>
          </w:p>
        </w:tc>
      </w:tr>
      <w:tr w14:paraId="0F8116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6F8177D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188" w:type="pct"/>
            <w:vAlign w:val="center"/>
          </w:tcPr>
          <w:p w14:paraId="54E0241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1489" w:type="pct"/>
            <w:vAlign w:val="center"/>
          </w:tcPr>
          <w:p w14:paraId="35D45E7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1855" w:type="pct"/>
            <w:tcBorders>
              <w:right w:val="nil"/>
            </w:tcBorders>
            <w:vAlign w:val="center"/>
          </w:tcPr>
          <w:p w14:paraId="2F37EC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r>
      <w:tr w14:paraId="157CD8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663F730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188" w:type="pct"/>
            <w:vAlign w:val="center"/>
          </w:tcPr>
          <w:p w14:paraId="2B2DF02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1489" w:type="pct"/>
            <w:vAlign w:val="center"/>
          </w:tcPr>
          <w:p w14:paraId="1C63AD2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1855" w:type="pct"/>
            <w:tcBorders>
              <w:right w:val="nil"/>
            </w:tcBorders>
            <w:vAlign w:val="center"/>
          </w:tcPr>
          <w:p w14:paraId="36F5F9C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190</w:t>
            </w:r>
          </w:p>
        </w:tc>
      </w:tr>
      <w:tr w14:paraId="445863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71788B5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188" w:type="pct"/>
            <w:vAlign w:val="center"/>
          </w:tcPr>
          <w:p w14:paraId="388659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铬</w:t>
            </w:r>
          </w:p>
        </w:tc>
        <w:tc>
          <w:tcPr>
            <w:tcW w:w="1489" w:type="pct"/>
            <w:vAlign w:val="center"/>
          </w:tcPr>
          <w:p w14:paraId="152B305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1855" w:type="pct"/>
            <w:tcBorders>
              <w:right w:val="nil"/>
            </w:tcBorders>
            <w:vAlign w:val="center"/>
          </w:tcPr>
          <w:p w14:paraId="34EB5C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r>
      <w:tr w14:paraId="58EB31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0DFCBE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188" w:type="pct"/>
            <w:vAlign w:val="center"/>
          </w:tcPr>
          <w:p w14:paraId="3411EB3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锌</w:t>
            </w:r>
          </w:p>
        </w:tc>
        <w:tc>
          <w:tcPr>
            <w:tcW w:w="1489" w:type="pct"/>
            <w:vAlign w:val="center"/>
          </w:tcPr>
          <w:p w14:paraId="2E79F91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1855" w:type="pct"/>
            <w:tcBorders>
              <w:right w:val="nil"/>
            </w:tcBorders>
            <w:vAlign w:val="center"/>
          </w:tcPr>
          <w:p w14:paraId="1856E71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r>
      <w:tr w14:paraId="140D63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68" w:type="pct"/>
            <w:tcBorders>
              <w:left w:val="nil"/>
            </w:tcBorders>
            <w:vAlign w:val="center"/>
          </w:tcPr>
          <w:p w14:paraId="51DB6E5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188" w:type="pct"/>
            <w:vAlign w:val="center"/>
          </w:tcPr>
          <w:p w14:paraId="6A23CC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石油烃（mg/kg）</w:t>
            </w:r>
          </w:p>
        </w:tc>
        <w:tc>
          <w:tcPr>
            <w:tcW w:w="1489" w:type="pct"/>
            <w:vAlign w:val="center"/>
          </w:tcPr>
          <w:p w14:paraId="7A75ABB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1855" w:type="pct"/>
            <w:tcBorders>
              <w:right w:val="nil"/>
            </w:tcBorders>
            <w:vAlign w:val="center"/>
          </w:tcPr>
          <w:p w14:paraId="0F498F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r>
    </w:tbl>
    <w:p w14:paraId="60BEB0EB">
      <w:pPr>
        <w:rPr>
          <w:rFonts w:hint="eastAsia" w:ascii="宋体" w:hAnsi="宋体" w:cs="宋体"/>
          <w:b/>
          <w:bCs/>
          <w:color w:val="000000" w:themeColor="text1"/>
          <w:szCs w:val="20"/>
          <w:lang w:val="zh-CN"/>
          <w14:textFill>
            <w14:solidFill>
              <w14:schemeClr w14:val="tx1"/>
            </w14:solidFill>
          </w14:textFill>
        </w:rPr>
      </w:pPr>
      <w:r>
        <w:rPr>
          <w:rFonts w:hint="eastAsia" w:ascii="宋体" w:hAnsi="宋体" w:cs="宋体"/>
          <w:b/>
          <w:bCs/>
          <w:color w:val="000000" w:themeColor="text1"/>
          <w:szCs w:val="20"/>
          <w:lang w:val="zh-CN"/>
          <w14:textFill>
            <w14:solidFill>
              <w14:schemeClr w14:val="tx1"/>
            </w14:solidFill>
          </w14:textFill>
        </w:rPr>
        <w:t>*石油烃参照《土壤环境质量 建设用地土壤污染风险管控标准（试行）》（GB36600-2018）第二类用地风险筛选值。</w:t>
      </w:r>
      <w:bookmarkEnd w:id="89"/>
    </w:p>
    <w:p w14:paraId="0E9607F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污染物排放标准</w:t>
      </w:r>
    </w:p>
    <w:bookmarkEnd w:id="90"/>
    <w:p w14:paraId="2CBBFAA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①废气</w:t>
      </w:r>
    </w:p>
    <w:p w14:paraId="1434FAE2">
      <w:pPr>
        <w:pStyle w:val="120"/>
        <w:spacing w:line="480" w:lineRule="exact"/>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期钻井井场柴油机、发电机废气执行《非道路移动机械用柴油机排气污染物排放限值及测量方法（中国第三、四阶段）》（GB20891-2014）修改单、《非道路柴油移动机械污染物排放控制技术要求》（HJ1014-2020）。</w:t>
      </w:r>
    </w:p>
    <w:p w14:paraId="428B986F">
      <w:pPr>
        <w:pStyle w:val="193"/>
        <w:rPr>
          <w:rFonts w:hint="eastAsia" w:cs="宋体"/>
          <w:color w:val="000000" w:themeColor="text1"/>
          <w:szCs w:val="21"/>
          <w:lang w:bidi="ar"/>
          <w14:textFill>
            <w14:solidFill>
              <w14:schemeClr w14:val="tx1"/>
            </w14:solidFill>
          </w14:textFill>
        </w:rPr>
      </w:pPr>
      <w:r>
        <w:rPr>
          <w:rFonts w:hint="eastAsia"/>
          <w:color w:val="000000" w:themeColor="text1"/>
          <w:lang w:val="en-US" w:eastAsia="zh-CN"/>
          <w14:textFill>
            <w14:solidFill>
              <w14:schemeClr w14:val="tx1"/>
            </w14:solidFill>
          </w14:textFill>
        </w:rPr>
        <w:t>运营期井场</w:t>
      </w:r>
      <w:r>
        <w:rPr>
          <w:rFonts w:hint="eastAsia"/>
          <w:color w:val="000000" w:themeColor="text1"/>
          <w14:textFill>
            <w14:solidFill>
              <w14:schemeClr w14:val="tx1"/>
            </w14:solidFill>
          </w14:textFill>
        </w:rPr>
        <w:t>厂界无组织非甲烷总烃排放执行《陆上石油天然气开采工业大气污染物排放标准》（GB39728-2020）的厂界标准限值（4mg/m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）要求，硫化氢排放浓度满足《恶臭污染物排放标准》（GB14554-93）表1二级新改扩建浓度</w:t>
      </w:r>
      <w:bookmarkStart w:id="91" w:name="_Hlk160374517"/>
      <w:bookmarkStart w:id="92" w:name="_Hlk35962026"/>
      <w:r>
        <w:rPr>
          <w:rFonts w:hint="eastAsia"/>
          <w:color w:val="000000" w:themeColor="text1"/>
          <w14:textFill>
            <w14:solidFill>
              <w14:schemeClr w14:val="tx1"/>
            </w14:solidFill>
          </w14:textFill>
        </w:rPr>
        <w:t>（0.06mg/m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rFonts w:hint="eastAsia" w:cs="宋体"/>
          <w:color w:val="000000" w:themeColor="text1"/>
          <w:szCs w:val="21"/>
          <w:lang w:bidi="ar"/>
          <w14:textFill>
            <w14:solidFill>
              <w14:schemeClr w14:val="tx1"/>
            </w14:solidFill>
          </w14:textFill>
        </w:rPr>
        <w:t>。</w:t>
      </w:r>
    </w:p>
    <w:bookmarkEnd w:id="91"/>
    <w:p w14:paraId="0063A3E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w:t>
      </w:r>
      <w:bookmarkEnd w:id="92"/>
      <w:r>
        <w:rPr>
          <w:color w:val="000000" w:themeColor="text1"/>
          <w14:textFill>
            <w14:solidFill>
              <w14:schemeClr w14:val="tx1"/>
            </w14:solidFill>
          </w14:textFill>
        </w:rPr>
        <w:t>噪声</w:t>
      </w:r>
    </w:p>
    <w:p w14:paraId="0993BCFF">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场界环境噪声</w:t>
      </w:r>
      <w:r>
        <w:rPr>
          <w:color w:val="000000" w:themeColor="text1"/>
          <w14:textFill>
            <w14:solidFill>
              <w14:schemeClr w14:val="tx1"/>
            </w14:solidFill>
          </w14:textFill>
        </w:rPr>
        <w:t>执行《</w:t>
      </w:r>
      <w:r>
        <w:rPr>
          <w:rFonts w:hint="eastAsia"/>
          <w:color w:val="000000" w:themeColor="text1"/>
          <w14:textFill>
            <w14:solidFill>
              <w14:schemeClr w14:val="tx1"/>
            </w14:solidFill>
          </w14:textFill>
        </w:rPr>
        <w:t>建筑施工噪声排放标准</w:t>
      </w:r>
      <w:r>
        <w:rPr>
          <w:color w:val="000000" w:themeColor="text1"/>
          <w14:textFill>
            <w14:solidFill>
              <w14:schemeClr w14:val="tx1"/>
            </w14:solidFill>
          </w14:textFill>
        </w:rPr>
        <w:t>》（GB12523-2025）</w:t>
      </w:r>
      <w:r>
        <w:rPr>
          <w:rFonts w:hint="eastAsia"/>
          <w:color w:val="000000" w:themeColor="text1"/>
          <w14:textFill>
            <w14:solidFill>
              <w14:schemeClr w14:val="tx1"/>
            </w14:solidFill>
          </w14:textFill>
        </w:rPr>
        <w:t>相</w:t>
      </w:r>
      <w:r>
        <w:rPr>
          <w:color w:val="000000" w:themeColor="text1"/>
          <w14:textFill>
            <w14:solidFill>
              <w14:schemeClr w14:val="tx1"/>
            </w14:solidFill>
          </w14:textFill>
        </w:rPr>
        <w:t>关标准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运营期</w:t>
      </w:r>
      <w:r>
        <w:rPr>
          <w:rFonts w:hint="eastAsia"/>
          <w:color w:val="000000" w:themeColor="text1"/>
          <w14:textFill>
            <w14:solidFill>
              <w14:schemeClr w14:val="tx1"/>
            </w14:solidFill>
          </w14:textFill>
        </w:rPr>
        <w:t>厂界</w:t>
      </w:r>
      <w:r>
        <w:rPr>
          <w:color w:val="000000" w:themeColor="text1"/>
          <w14:textFill>
            <w14:solidFill>
              <w14:schemeClr w14:val="tx1"/>
            </w14:solidFill>
          </w14:textFill>
        </w:rPr>
        <w:t>噪声</w:t>
      </w:r>
      <w:r>
        <w:rPr>
          <w:rFonts w:hint="eastAsia"/>
          <w:color w:val="000000" w:themeColor="text1"/>
          <w14:textFill>
            <w14:solidFill>
              <w14:schemeClr w14:val="tx1"/>
            </w14:solidFill>
          </w14:textFill>
        </w:rPr>
        <w:t>执行</w:t>
      </w:r>
      <w:r>
        <w:rPr>
          <w:color w:val="000000" w:themeColor="text1"/>
          <w14:textFill>
            <w14:solidFill>
              <w14:schemeClr w14:val="tx1"/>
            </w14:solidFill>
          </w14:textFill>
        </w:rPr>
        <w:t>《工业企业厂界</w:t>
      </w:r>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噪声排放标准》（GB12348-2008）中2类</w:t>
      </w:r>
      <w:r>
        <w:rPr>
          <w:rFonts w:hint="eastAsia"/>
          <w:color w:val="000000" w:themeColor="text1"/>
          <w14:textFill>
            <w14:solidFill>
              <w14:schemeClr w14:val="tx1"/>
            </w14:solidFill>
          </w14:textFill>
        </w:rPr>
        <w:t>限值</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具体</w:t>
      </w:r>
      <w:r>
        <w:rPr>
          <w:color w:val="000000" w:themeColor="text1"/>
          <w14:textFill>
            <w14:solidFill>
              <w14:schemeClr w14:val="tx1"/>
            </w14:solidFill>
          </w14:textFill>
        </w:rPr>
        <w:t>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-7。</w:t>
      </w:r>
    </w:p>
    <w:p w14:paraId="03C64195">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  噪声排放标准</w:t>
      </w:r>
      <w:r>
        <w:rPr>
          <w:rFonts w:hint="eastAsia"/>
          <w:color w:val="000000" w:themeColor="text1"/>
          <w14:textFill>
            <w14:solidFill>
              <w14:schemeClr w14:val="tx1"/>
            </w14:solidFill>
          </w14:textFill>
        </w:rPr>
        <w:t>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150"/>
        <w:gridCol w:w="1660"/>
        <w:gridCol w:w="1612"/>
        <w:gridCol w:w="2308"/>
      </w:tblGrid>
      <w:tr w14:paraId="7B038F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04" w:type="pct"/>
            <w:vAlign w:val="center"/>
          </w:tcPr>
          <w:p w14:paraId="67CEA2C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执行地点</w:t>
            </w:r>
          </w:p>
        </w:tc>
        <w:tc>
          <w:tcPr>
            <w:tcW w:w="951" w:type="pct"/>
            <w:vAlign w:val="center"/>
          </w:tcPr>
          <w:p w14:paraId="7D4847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昼间[</w:t>
            </w:r>
            <w:r>
              <w:rPr>
                <w:color w:val="000000" w:themeColor="text1"/>
                <w14:textFill>
                  <w14:solidFill>
                    <w14:schemeClr w14:val="tx1"/>
                  </w14:solidFill>
                </w14:textFill>
              </w:rPr>
              <w:t>dB（A）</w:t>
            </w:r>
            <w:r>
              <w:rPr>
                <w:rFonts w:hint="eastAsia"/>
                <w:color w:val="000000" w:themeColor="text1"/>
                <w14:textFill>
                  <w14:solidFill>
                    <w14:schemeClr w14:val="tx1"/>
                  </w14:solidFill>
                </w14:textFill>
              </w:rPr>
              <w:t>]</w:t>
            </w:r>
          </w:p>
        </w:tc>
        <w:tc>
          <w:tcPr>
            <w:tcW w:w="923" w:type="pct"/>
            <w:vAlign w:val="center"/>
          </w:tcPr>
          <w:p w14:paraId="58DC7E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夜间[</w:t>
            </w:r>
            <w:r>
              <w:rPr>
                <w:color w:val="000000" w:themeColor="text1"/>
                <w14:textFill>
                  <w14:solidFill>
                    <w14:schemeClr w14:val="tx1"/>
                  </w14:solidFill>
                </w14:textFill>
              </w:rPr>
              <w:t>dB（A）</w:t>
            </w:r>
            <w:r>
              <w:rPr>
                <w:rFonts w:hint="eastAsia"/>
                <w:color w:val="000000" w:themeColor="text1"/>
                <w14:textFill>
                  <w14:solidFill>
                    <w14:schemeClr w14:val="tx1"/>
                  </w14:solidFill>
                </w14:textFill>
              </w:rPr>
              <w:t>]</w:t>
            </w:r>
          </w:p>
        </w:tc>
        <w:tc>
          <w:tcPr>
            <w:tcW w:w="1322" w:type="pct"/>
            <w:vAlign w:val="center"/>
          </w:tcPr>
          <w:p w14:paraId="1DFFD7B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标准来源</w:t>
            </w:r>
          </w:p>
        </w:tc>
      </w:tr>
      <w:tr w14:paraId="45415D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04" w:type="pct"/>
            <w:vAlign w:val="center"/>
          </w:tcPr>
          <w:p w14:paraId="52ACA8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建筑施工场界</w:t>
            </w:r>
          </w:p>
        </w:tc>
        <w:tc>
          <w:tcPr>
            <w:tcW w:w="951" w:type="pct"/>
            <w:vAlign w:val="center"/>
          </w:tcPr>
          <w:p w14:paraId="44C58AA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923" w:type="pct"/>
            <w:vAlign w:val="center"/>
          </w:tcPr>
          <w:p w14:paraId="6964FF9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1322" w:type="pct"/>
            <w:vAlign w:val="center"/>
          </w:tcPr>
          <w:p w14:paraId="62ADEBF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GB12523-2025</w:t>
            </w:r>
          </w:p>
        </w:tc>
      </w:tr>
      <w:tr w14:paraId="4E9C28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04" w:type="pct"/>
            <w:vAlign w:val="center"/>
          </w:tcPr>
          <w:p w14:paraId="77A1A03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场站厂界</w:t>
            </w:r>
          </w:p>
        </w:tc>
        <w:tc>
          <w:tcPr>
            <w:tcW w:w="951" w:type="pct"/>
            <w:vAlign w:val="center"/>
          </w:tcPr>
          <w:p w14:paraId="0E8CD97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923" w:type="pct"/>
            <w:vAlign w:val="center"/>
          </w:tcPr>
          <w:p w14:paraId="4C7E8E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1322" w:type="pct"/>
            <w:vAlign w:val="center"/>
          </w:tcPr>
          <w:p w14:paraId="2E1AA0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GB12348-2008  </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w:t>
            </w:r>
          </w:p>
        </w:tc>
      </w:tr>
    </w:tbl>
    <w:p w14:paraId="57BA0611">
      <w:pPr>
        <w:pStyle w:val="120"/>
        <w:rPr>
          <w:rFonts w:hint="eastAsia"/>
          <w:color w:val="000000" w:themeColor="text1"/>
          <w14:textFill>
            <w14:solidFill>
              <w14:schemeClr w14:val="tx1"/>
            </w14:solidFill>
          </w14:textFill>
        </w:rPr>
      </w:pPr>
      <w:bookmarkStart w:id="93" w:name="_Toc445996330"/>
      <w:bookmarkStart w:id="94" w:name="_Toc475624462"/>
      <w:bookmarkStart w:id="95" w:name="_Toc459026556"/>
      <w:r>
        <w:rPr>
          <w:rFonts w:hint="eastAsia"/>
          <w:color w:val="000000" w:themeColor="text1"/>
          <w14:textFill>
            <w14:solidFill>
              <w14:schemeClr w14:val="tx1"/>
            </w14:solidFill>
          </w14:textFill>
        </w:rPr>
        <w:t>（3）污染物控制标准</w:t>
      </w:r>
    </w:p>
    <w:p w14:paraId="1687979D">
      <w:pPr>
        <w:pStyle w:val="120"/>
        <w:spacing w:line="48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①一般工业固体废物</w:t>
      </w:r>
    </w:p>
    <w:p w14:paraId="6AD028EA">
      <w:pPr>
        <w:pStyle w:val="120"/>
        <w:spacing w:line="48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非磺化水基钻井岩屑</w:t>
      </w:r>
      <w:r>
        <w:rPr>
          <w:rFonts w:hint="eastAsia"/>
          <w:color w:val="000000" w:themeColor="text1"/>
          <w14:textFill>
            <w14:solidFill>
              <w14:schemeClr w14:val="tx1"/>
            </w14:solidFill>
          </w14:textFill>
        </w:rPr>
        <w:t>中各监测因子须满足</w:t>
      </w:r>
      <w:r>
        <w:rPr>
          <w:color w:val="000000" w:themeColor="text1"/>
          <w14:textFill>
            <w14:solidFill>
              <w14:schemeClr w14:val="tx1"/>
            </w14:solidFill>
          </w14:textFill>
        </w:rPr>
        <w:t>《油气田钻井固体废物综合利用污染控制要求》（DB65/T3997-2017）中限值要求，石油烃满足《土壤环境质量 建设用地土壤污染风险管控标准（试行）》（GB36600-2018）中表2第二类用地筛选值</w:t>
      </w:r>
      <w:r>
        <w:rPr>
          <w:rFonts w:hint="eastAsia"/>
          <w:color w:val="000000" w:themeColor="text1"/>
          <w14:textFill>
            <w14:solidFill>
              <w14:schemeClr w14:val="tx1"/>
            </w14:solidFill>
          </w14:textFill>
        </w:rPr>
        <w:t>，满足上述要求</w:t>
      </w:r>
      <w:r>
        <w:rPr>
          <w:color w:val="000000" w:themeColor="text1"/>
          <w14:textFill>
            <w14:solidFill>
              <w14:schemeClr w14:val="tx1"/>
            </w14:solidFill>
          </w14:textFill>
        </w:rPr>
        <w:t>后</w:t>
      </w:r>
      <w:r>
        <w:rPr>
          <w:rFonts w:hint="eastAsia"/>
          <w:color w:val="000000" w:themeColor="text1"/>
          <w14:textFill>
            <w14:solidFill>
              <w14:schemeClr w14:val="tx1"/>
            </w14:solidFill>
          </w14:textFill>
        </w:rPr>
        <w:t>可</w:t>
      </w:r>
      <w:r>
        <w:rPr>
          <w:color w:val="000000" w:themeColor="text1"/>
          <w14:textFill>
            <w14:solidFill>
              <w14:schemeClr w14:val="tx1"/>
            </w14:solidFill>
          </w14:textFill>
        </w:rPr>
        <w:t>用于铺垫油区内的井场、道路等。</w:t>
      </w:r>
    </w:p>
    <w:p w14:paraId="4EBE92C4">
      <w:pPr>
        <w:pStyle w:val="120"/>
        <w:spacing w:line="48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一般工业固体废物贮存、运输及处置须符合《一般工业固体废物贮存和填埋污染控制标准》（GB 18599-2020）</w:t>
      </w:r>
      <w:r>
        <w:rPr>
          <w:rFonts w:hint="eastAsia"/>
          <w:color w:val="000000" w:themeColor="text1"/>
          <w14:textFill>
            <w14:solidFill>
              <w14:schemeClr w14:val="tx1"/>
            </w14:solidFill>
          </w14:textFill>
        </w:rPr>
        <w:t>。</w:t>
      </w:r>
    </w:p>
    <w:p w14:paraId="0011497D">
      <w:pPr>
        <w:pStyle w:val="120"/>
        <w:spacing w:line="48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②危险废物</w:t>
      </w:r>
    </w:p>
    <w:p w14:paraId="323D038C">
      <w:pPr>
        <w:pStyle w:val="120"/>
        <w:spacing w:line="48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危险废物收集、贮存和运输过程的污染控制执行《危险废物贮存污染控制标准》（</w:t>
      </w:r>
      <w:r>
        <w:rPr>
          <w:color w:val="000000" w:themeColor="text1"/>
          <w14:textFill>
            <w14:solidFill>
              <w14:schemeClr w14:val="tx1"/>
            </w14:solidFill>
          </w14:textFill>
        </w:rPr>
        <w:t>GB18597-2023</w:t>
      </w:r>
      <w:r>
        <w:rPr>
          <w:rFonts w:hint="eastAsia"/>
          <w:color w:val="000000" w:themeColor="text1"/>
          <w14:textFill>
            <w14:solidFill>
              <w14:schemeClr w14:val="tx1"/>
            </w14:solidFill>
          </w14:textFill>
        </w:rPr>
        <w:t>）、《危险废物收集贮存运输技术规范》（</w:t>
      </w:r>
      <w:r>
        <w:rPr>
          <w:color w:val="000000" w:themeColor="text1"/>
          <w14:textFill>
            <w14:solidFill>
              <w14:schemeClr w14:val="tx1"/>
            </w14:solidFill>
          </w14:textFill>
        </w:rPr>
        <w:t>HJ2025-2012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、《危险废物转移联单管理办法</w:t>
      </w:r>
      <w:r>
        <w:rPr>
          <w:rFonts w:hint="eastAsia"/>
          <w:color w:val="000000" w:themeColor="text1"/>
          <w14:textFill>
            <w14:solidFill>
              <w14:schemeClr w14:val="tx1"/>
            </w14:solidFill>
          </w14:textFill>
        </w:rPr>
        <w:t>》《</w:t>
      </w:r>
      <w:r>
        <w:rPr>
          <w:rFonts w:hint="eastAsia" w:cs="宋体"/>
          <w:color w:val="000000" w:themeColor="text1"/>
          <w14:textFill>
            <w14:solidFill>
              <w14:schemeClr w14:val="tx1"/>
            </w14:solidFill>
          </w14:textFill>
        </w:rPr>
        <w:t>危险废物管理计划和管理台账制定技术导则》（HJ1259-2022）</w:t>
      </w:r>
      <w:r>
        <w:rPr>
          <w:color w:val="000000" w:themeColor="text1"/>
          <w14:textFill>
            <w14:solidFill>
              <w14:schemeClr w14:val="tx1"/>
            </w14:solidFill>
          </w14:textFill>
        </w:rPr>
        <w:t>和《危险废物环境管理指南  陆上石油天然气开采》等相关要求</w:t>
      </w:r>
      <w:r>
        <w:rPr>
          <w:rFonts w:hint="eastAsia"/>
          <w:color w:val="000000" w:themeColor="text1"/>
          <w14:textFill>
            <w14:solidFill>
              <w14:schemeClr w14:val="tx1"/>
            </w14:solidFill>
          </w14:textFill>
        </w:rPr>
        <w:t>中的相关要求。</w:t>
      </w:r>
      <w:bookmarkStart w:id="96" w:name="_Hlk177305924"/>
      <w:r>
        <w:rPr>
          <w:rFonts w:hint="eastAsia"/>
          <w:color w:val="000000" w:themeColor="text1"/>
          <w14:textFill>
            <w14:solidFill>
              <w14:schemeClr w14:val="tx1"/>
            </w14:solidFill>
          </w14:textFill>
        </w:rPr>
        <w:t>项目产生的危险废物应按照《石油天然气开采业固体废物污染控制技术规范（试行）》（HJ 1461-2026）进行控制</w:t>
      </w:r>
      <w:bookmarkEnd w:id="96"/>
      <w:r>
        <w:rPr>
          <w:color w:val="000000" w:themeColor="text1"/>
          <w14:textFill>
            <w14:solidFill>
              <w14:schemeClr w14:val="tx1"/>
            </w14:solidFill>
          </w14:textFill>
        </w:rPr>
        <w:t>。</w:t>
      </w:r>
    </w:p>
    <w:p w14:paraId="69BDE21B">
      <w:pPr>
        <w:pStyle w:val="7"/>
        <w:rPr>
          <w:rFonts w:hint="eastAsia"/>
          <w:color w:val="000000" w:themeColor="text1"/>
          <w:lang w:val="zh-CN"/>
          <w14:textFill>
            <w14:solidFill>
              <w14:schemeClr w14:val="tx1"/>
            </w14:solidFill>
          </w14:textFill>
        </w:rPr>
      </w:pPr>
      <w:bookmarkStart w:id="97" w:name="_Toc29557"/>
      <w:r>
        <w:rPr>
          <w:rFonts w:hint="eastAsia"/>
          <w:color w:val="000000" w:themeColor="text1"/>
          <w:lang w:val="zh-CN"/>
          <w14:textFill>
            <w14:solidFill>
              <w14:schemeClr w14:val="tx1"/>
            </w14:solidFill>
          </w14:textFill>
        </w:rPr>
        <w:t>评价等级与</w:t>
      </w:r>
      <w:r>
        <w:rPr>
          <w:rFonts w:hint="eastAsia"/>
          <w:color w:val="000000" w:themeColor="text1"/>
          <w14:textFill>
            <w14:solidFill>
              <w14:schemeClr w14:val="tx1"/>
            </w14:solidFill>
          </w14:textFill>
        </w:rPr>
        <w:t>评价范围</w:t>
      </w:r>
      <w:bookmarkEnd w:id="93"/>
      <w:bookmarkEnd w:id="94"/>
      <w:bookmarkEnd w:id="95"/>
      <w:bookmarkEnd w:id="97"/>
    </w:p>
    <w:p w14:paraId="349821E4">
      <w:pPr>
        <w:pStyle w:val="8"/>
        <w:rPr>
          <w:rFonts w:hint="eastAsia"/>
          <w:color w:val="000000" w:themeColor="text1"/>
          <w:lang w:val="zh-CN"/>
          <w14:textFill>
            <w14:solidFill>
              <w14:schemeClr w14:val="tx1"/>
            </w14:solidFill>
          </w14:textFill>
        </w:rPr>
      </w:pPr>
      <w:bookmarkStart w:id="98" w:name="_Toc445996331"/>
      <w:bookmarkStart w:id="99" w:name="_Hlk175264910"/>
      <w:r>
        <w:rPr>
          <w:rFonts w:hint="eastAsia"/>
          <w:color w:val="000000" w:themeColor="text1"/>
          <w:lang w:val="zh-CN"/>
          <w14:textFill>
            <w14:solidFill>
              <w14:schemeClr w14:val="tx1"/>
            </w14:solidFill>
          </w14:textFill>
        </w:rPr>
        <w:t>评价等级</w:t>
      </w:r>
      <w:bookmarkEnd w:id="98"/>
    </w:p>
    <w:bookmarkEnd w:id="99"/>
    <w:p w14:paraId="4B58F9E0">
      <w:pPr>
        <w:pStyle w:val="120"/>
        <w:rPr>
          <w:rFonts w:hint="eastAsia"/>
          <w:color w:val="000000" w:themeColor="text1"/>
          <w14:textFill>
            <w14:solidFill>
              <w14:schemeClr w14:val="tx1"/>
            </w14:solidFill>
          </w14:textFill>
        </w:rPr>
      </w:pPr>
      <w:bookmarkStart w:id="100" w:name="_Toc16125"/>
      <w:bookmarkStart w:id="101" w:name="_Toc445841974"/>
      <w:r>
        <w:rPr>
          <w:rFonts w:hint="eastAsia"/>
          <w:color w:val="000000" w:themeColor="text1"/>
          <w14:textFill>
            <w14:solidFill>
              <w14:schemeClr w14:val="tx1"/>
            </w14:solidFill>
          </w14:textFill>
        </w:rPr>
        <w:t>（1）环境空气评价等级</w:t>
      </w:r>
      <w:bookmarkEnd w:id="100"/>
      <w:bookmarkEnd w:id="101"/>
    </w:p>
    <w:p w14:paraId="2F76DC3F">
      <w:pPr>
        <w:pStyle w:val="193"/>
        <w:rPr>
          <w:rFonts w:hint="eastAsia"/>
          <w:color w:val="000000" w:themeColor="text1"/>
          <w:lang w:bidi="ar"/>
          <w14:textFill>
            <w14:solidFill>
              <w14:schemeClr w14:val="tx1"/>
            </w14:solidFill>
          </w14:textFill>
        </w:rPr>
      </w:pPr>
      <w:bookmarkStart w:id="102" w:name="_Hlk511383418"/>
      <w:r>
        <w:rPr>
          <w:rFonts w:hint="eastAsia"/>
          <w:color w:val="000000" w:themeColor="text1"/>
          <w:lang w:bidi="ar"/>
          <w14:textFill>
            <w14:solidFill>
              <w14:schemeClr w14:val="tx1"/>
            </w14:solidFill>
          </w14:textFill>
        </w:rPr>
        <w:t>根据工程特点和污染特征，本次评价选取N</w:t>
      </w:r>
      <w:r>
        <w:rPr>
          <w:color w:val="000000" w:themeColor="text1"/>
          <w:lang w:bidi="ar"/>
          <w14:textFill>
            <w14:solidFill>
              <w14:schemeClr w14:val="tx1"/>
            </w14:solidFill>
          </w14:textFill>
        </w:rPr>
        <w:t>MHC</w:t>
      </w:r>
      <w:r>
        <w:rPr>
          <w:rFonts w:hint="eastAsia"/>
          <w:color w:val="000000" w:themeColor="text1"/>
          <w:lang w:bidi="ar"/>
          <w14:textFill>
            <w14:solidFill>
              <w14:schemeClr w14:val="tx1"/>
            </w14:solidFill>
          </w14:textFill>
        </w:rPr>
        <w:t>、H</w:t>
      </w:r>
      <w:r>
        <w:rPr>
          <w:rFonts w:hint="eastAsia"/>
          <w:color w:val="000000" w:themeColor="text1"/>
          <w:vertAlign w:val="subscript"/>
          <w:lang w:bidi="ar"/>
          <w14:textFill>
            <w14:solidFill>
              <w14:schemeClr w14:val="tx1"/>
            </w14:solidFill>
          </w14:textFill>
        </w:rPr>
        <w:t>2</w:t>
      </w:r>
      <w:r>
        <w:rPr>
          <w:rFonts w:hint="eastAsia"/>
          <w:color w:val="000000" w:themeColor="text1"/>
          <w:lang w:bidi="ar"/>
          <w14:textFill>
            <w14:solidFill>
              <w14:schemeClr w14:val="tx1"/>
            </w14:solidFill>
          </w14:textFill>
        </w:rPr>
        <w:t>S为预测因子，采用《环境影响评价技术导则  大气环境》（HJ2.2-2018）中推荐的AERSCREEN估算模式来计算污染物的最大地面空气质量浓度占标率（</w:t>
      </w:r>
      <w:r>
        <w:rPr>
          <w:rFonts w:hint="eastAsia"/>
          <w:i/>
          <w:color w:val="000000" w:themeColor="text1"/>
          <w:lang w:bidi="ar"/>
          <w14:textFill>
            <w14:solidFill>
              <w14:schemeClr w14:val="tx1"/>
            </w14:solidFill>
          </w14:textFill>
        </w:rPr>
        <w:t>P</w:t>
      </w:r>
      <w:r>
        <w:rPr>
          <w:rFonts w:hint="eastAsia"/>
          <w:i/>
          <w:color w:val="000000" w:themeColor="text1"/>
          <w:vertAlign w:val="subscript"/>
          <w:lang w:bidi="ar"/>
          <w14:textFill>
            <w14:solidFill>
              <w14:schemeClr w14:val="tx1"/>
            </w14:solidFill>
          </w14:textFill>
        </w:rPr>
        <w:t>i</w:t>
      </w:r>
      <w:r>
        <w:rPr>
          <w:rFonts w:hint="eastAsia"/>
          <w:color w:val="000000" w:themeColor="text1"/>
          <w:lang w:bidi="ar"/>
          <w14:textFill>
            <w14:solidFill>
              <w14:schemeClr w14:val="tx1"/>
            </w14:solidFill>
          </w14:textFill>
        </w:rPr>
        <w:t>），</w:t>
      </w:r>
      <w:r>
        <w:rPr>
          <w:rFonts w:hint="eastAsia"/>
          <w:i/>
          <w:color w:val="000000" w:themeColor="text1"/>
          <w:lang w:bidi="ar"/>
          <w14:textFill>
            <w14:solidFill>
              <w14:schemeClr w14:val="tx1"/>
            </w14:solidFill>
          </w14:textFill>
        </w:rPr>
        <w:t>P</w:t>
      </w:r>
      <w:r>
        <w:rPr>
          <w:rFonts w:hint="eastAsia"/>
          <w:i/>
          <w:color w:val="000000" w:themeColor="text1"/>
          <w:vertAlign w:val="subscript"/>
          <w:lang w:bidi="ar"/>
          <w14:textFill>
            <w14:solidFill>
              <w14:schemeClr w14:val="tx1"/>
            </w14:solidFill>
          </w14:textFill>
        </w:rPr>
        <w:t>i</w:t>
      </w:r>
      <w:r>
        <w:rPr>
          <w:rFonts w:hint="eastAsia"/>
          <w:color w:val="000000" w:themeColor="text1"/>
          <w:lang w:bidi="ar"/>
          <w14:textFill>
            <w14:solidFill>
              <w14:schemeClr w14:val="tx1"/>
            </w14:solidFill>
          </w14:textFill>
        </w:rPr>
        <w:t>定义如下：</w:t>
      </w:r>
    </w:p>
    <w:p w14:paraId="7DEC1681">
      <w:pPr>
        <w:adjustRightInd w:val="0"/>
        <w:snapToGrid w:val="0"/>
        <w:spacing w:line="360" w:lineRule="auto"/>
        <w:ind w:firstLine="480" w:firstLineChars="200"/>
        <w:jc w:val="center"/>
        <w:textAlignment w:val="baseline"/>
        <w:rPr>
          <w:color w:val="000000" w:themeColor="text1"/>
          <w:kern w:val="0"/>
          <w:sz w:val="24"/>
          <w:szCs w:val="24"/>
          <w14:textFill>
            <w14:solidFill>
              <w14:schemeClr w14:val="tx1"/>
            </w14:solidFill>
          </w14:textFill>
        </w:rPr>
      </w:pPr>
      <w:r>
        <w:rPr>
          <w:color w:val="000000" w:themeColor="text1"/>
          <w:kern w:val="0"/>
          <w:position w:val="-30"/>
          <w:sz w:val="24"/>
          <w:szCs w:val="24"/>
          <w:lang w:bidi="ar"/>
          <w14:textFill>
            <w14:solidFill>
              <w14:schemeClr w14:val="tx1"/>
            </w14:solidFill>
          </w14:textFill>
        </w:rPr>
        <w:drawing>
          <wp:inline distT="0" distB="0" distL="0" distR="0">
            <wp:extent cx="1015365" cy="448945"/>
            <wp:effectExtent l="0" t="0" r="0" b="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015365" cy="448945"/>
                    </a:xfrm>
                    <a:prstGeom prst="rect">
                      <a:avLst/>
                    </a:prstGeom>
                    <a:noFill/>
                    <a:ln>
                      <a:noFill/>
                    </a:ln>
                  </pic:spPr>
                </pic:pic>
              </a:graphicData>
            </a:graphic>
          </wp:inline>
        </w:drawing>
      </w:r>
    </w:p>
    <w:p w14:paraId="652846DA">
      <w:pPr>
        <w:pStyle w:val="193"/>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 xml:space="preserve">    其中：</w:t>
      </w:r>
      <w:r>
        <w:rPr>
          <w:rFonts w:hint="eastAsia"/>
          <w:i/>
          <w:color w:val="000000" w:themeColor="text1"/>
          <w:lang w:bidi="ar"/>
          <w14:textFill>
            <w14:solidFill>
              <w14:schemeClr w14:val="tx1"/>
            </w14:solidFill>
          </w14:textFill>
        </w:rPr>
        <w:t>P</w:t>
      </w:r>
      <w:r>
        <w:rPr>
          <w:rFonts w:hint="eastAsia"/>
          <w:i/>
          <w:color w:val="000000" w:themeColor="text1"/>
          <w:vertAlign w:val="subscript"/>
          <w:lang w:bidi="ar"/>
          <w14:textFill>
            <w14:solidFill>
              <w14:schemeClr w14:val="tx1"/>
            </w14:solidFill>
          </w14:textFill>
        </w:rPr>
        <w:t>i</w:t>
      </w:r>
      <w:r>
        <w:rPr>
          <w:rFonts w:hint="eastAsia"/>
          <w:color w:val="000000" w:themeColor="text1"/>
          <w:lang w:bidi="ar"/>
          <w14:textFill>
            <w14:solidFill>
              <w14:schemeClr w14:val="tx1"/>
            </w14:solidFill>
          </w14:textFill>
        </w:rPr>
        <w:t>——第i种污染物的最大地面空气质量浓度占标率，%；</w:t>
      </w:r>
    </w:p>
    <w:p w14:paraId="5532F9ED">
      <w:pPr>
        <w:adjustRightInd w:val="0"/>
        <w:snapToGrid w:val="0"/>
        <w:spacing w:line="500" w:lineRule="exact"/>
        <w:ind w:firstLine="480" w:firstLineChars="200"/>
        <w:rPr>
          <w:rFonts w:hint="eastAsia" w:ascii="宋体" w:hAnsi="宋体" w:cs="宋体"/>
          <w:color w:val="000000" w:themeColor="text1"/>
          <w:kern w:val="0"/>
          <w:sz w:val="24"/>
          <w:szCs w:val="24"/>
          <w:lang w:val="zh-CN" w:bidi="ar"/>
          <w14:textFill>
            <w14:solidFill>
              <w14:schemeClr w14:val="tx1"/>
            </w14:solidFill>
          </w14:textFill>
        </w:rPr>
      </w:pPr>
      <w:r>
        <w:rPr>
          <w:rFonts w:hint="eastAsia" w:ascii="宋体" w:hAnsi="宋体" w:cs="宋体"/>
          <w:color w:val="000000" w:themeColor="text1"/>
          <w:kern w:val="0"/>
          <w:sz w:val="24"/>
          <w:szCs w:val="24"/>
          <w:lang w:val="zh-CN" w:bidi="ar"/>
          <w14:textFill>
            <w14:solidFill>
              <w14:schemeClr w14:val="tx1"/>
            </w14:solidFill>
          </w14:textFill>
        </w:rPr>
        <w:t xml:space="preserve">          C</w:t>
      </w:r>
      <w:r>
        <w:rPr>
          <w:rFonts w:hint="eastAsia" w:ascii="宋体" w:hAnsi="宋体" w:cs="宋体"/>
          <w:color w:val="000000" w:themeColor="text1"/>
          <w:kern w:val="0"/>
          <w:sz w:val="24"/>
          <w:szCs w:val="24"/>
          <w:vertAlign w:val="subscript"/>
          <w:lang w:val="zh-CN" w:bidi="ar"/>
          <w14:textFill>
            <w14:solidFill>
              <w14:schemeClr w14:val="tx1"/>
            </w14:solidFill>
          </w14:textFill>
        </w:rPr>
        <w:t>i</w:t>
      </w:r>
      <w:r>
        <w:rPr>
          <w:rFonts w:hint="eastAsia" w:ascii="宋体" w:hAnsi="宋体" w:cs="宋体"/>
          <w:color w:val="000000" w:themeColor="text1"/>
          <w:kern w:val="0"/>
          <w:sz w:val="24"/>
          <w:szCs w:val="24"/>
          <w:lang w:val="zh-CN" w:bidi="ar"/>
          <w14:textFill>
            <w14:solidFill>
              <w14:schemeClr w14:val="tx1"/>
            </w14:solidFill>
          </w14:textFill>
        </w:rPr>
        <w:t>——采用估算模型计算出的第i个污染物的最大1h地面空气质量</w:t>
      </w:r>
    </w:p>
    <w:p w14:paraId="1FAAE60C">
      <w:pPr>
        <w:adjustRightInd w:val="0"/>
        <w:snapToGrid w:val="0"/>
        <w:spacing w:line="500" w:lineRule="exact"/>
        <w:ind w:firstLine="2400" w:firstLineChars="1000"/>
        <w:rPr>
          <w:rFonts w:hint="eastAsia"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bidi="ar"/>
          <w14:textFill>
            <w14:solidFill>
              <w14:schemeClr w14:val="tx1"/>
            </w14:solidFill>
          </w14:textFill>
        </w:rPr>
        <w:t>浓度，μg/m</w:t>
      </w:r>
      <w:r>
        <w:rPr>
          <w:rFonts w:hint="eastAsia" w:ascii="宋体" w:hAnsi="宋体" w:cs="宋体"/>
          <w:color w:val="000000" w:themeColor="text1"/>
          <w:kern w:val="0"/>
          <w:sz w:val="24"/>
          <w:szCs w:val="24"/>
          <w:vertAlign w:val="superscript"/>
          <w:lang w:val="zh-CN" w:bidi="ar"/>
          <w14:textFill>
            <w14:solidFill>
              <w14:schemeClr w14:val="tx1"/>
            </w14:solidFill>
          </w14:textFill>
        </w:rPr>
        <w:t>3</w:t>
      </w:r>
      <w:r>
        <w:rPr>
          <w:rFonts w:hint="eastAsia" w:ascii="宋体" w:hAnsi="宋体" w:cs="宋体"/>
          <w:color w:val="000000" w:themeColor="text1"/>
          <w:kern w:val="0"/>
          <w:sz w:val="24"/>
          <w:szCs w:val="24"/>
          <w:lang w:val="zh-CN" w:bidi="ar"/>
          <w14:textFill>
            <w14:solidFill>
              <w14:schemeClr w14:val="tx1"/>
            </w14:solidFill>
          </w14:textFill>
        </w:rPr>
        <w:t>；</w:t>
      </w:r>
    </w:p>
    <w:p w14:paraId="7A4811E1">
      <w:pPr>
        <w:pStyle w:val="193"/>
        <w:rPr>
          <w:rFonts w:hint="eastAsia"/>
          <w:color w:val="000000" w:themeColor="text1"/>
          <w14:textFill>
            <w14:solidFill>
              <w14:schemeClr w14:val="tx1"/>
            </w14:solidFill>
          </w14:textFill>
        </w:rPr>
      </w:pPr>
      <w:r>
        <w:rPr>
          <w:rFonts w:hint="eastAsia"/>
          <w:i/>
          <w:color w:val="000000" w:themeColor="text1"/>
          <w:lang w:bidi="ar"/>
          <w14:textFill>
            <w14:solidFill>
              <w14:schemeClr w14:val="tx1"/>
            </w14:solidFill>
          </w14:textFill>
        </w:rPr>
        <w:t xml:space="preserve">          C</w:t>
      </w:r>
      <w:r>
        <w:rPr>
          <w:rFonts w:hint="eastAsia"/>
          <w:i/>
          <w:color w:val="000000" w:themeColor="text1"/>
          <w:vertAlign w:val="subscript"/>
          <w:lang w:bidi="ar"/>
          <w14:textFill>
            <w14:solidFill>
              <w14:schemeClr w14:val="tx1"/>
            </w14:solidFill>
          </w14:textFill>
        </w:rPr>
        <w:t>0i</w:t>
      </w:r>
      <w:r>
        <w:rPr>
          <w:rFonts w:hint="eastAsia"/>
          <w:color w:val="000000" w:themeColor="text1"/>
          <w:lang w:bidi="ar"/>
          <w14:textFill>
            <w14:solidFill>
              <w14:schemeClr w14:val="tx1"/>
            </w14:solidFill>
          </w14:textFill>
        </w:rPr>
        <w:t>——第i个污染物的环境空气质量浓度标准，μg/m</w:t>
      </w:r>
      <w:r>
        <w:rPr>
          <w:rFonts w:hint="eastAsia"/>
          <w:color w:val="000000" w:themeColor="text1"/>
          <w:vertAlign w:val="superscript"/>
          <w:lang w:bidi="ar"/>
          <w14:textFill>
            <w14:solidFill>
              <w14:schemeClr w14:val="tx1"/>
            </w14:solidFill>
          </w14:textFill>
        </w:rPr>
        <w:t>3</w:t>
      </w:r>
      <w:r>
        <w:rPr>
          <w:rFonts w:hint="eastAsia"/>
          <w:color w:val="000000" w:themeColor="text1"/>
          <w:lang w:bidi="ar"/>
          <w14:textFill>
            <w14:solidFill>
              <w14:schemeClr w14:val="tx1"/>
            </w14:solidFill>
          </w14:textFill>
        </w:rPr>
        <w:t>。</w:t>
      </w:r>
    </w:p>
    <w:p w14:paraId="39E2D56E">
      <w:pPr>
        <w:pStyle w:val="193"/>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源强参数见</w:t>
      </w:r>
      <w:r>
        <w:rPr>
          <w:color w:val="000000" w:themeColor="text1"/>
          <w:lang w:bidi="ar"/>
          <w14:textFill>
            <w14:solidFill>
              <w14:schemeClr w14:val="tx1"/>
            </w14:solidFill>
          </w14:textFill>
        </w:rPr>
        <w:t>5</w:t>
      </w:r>
      <w:r>
        <w:rPr>
          <w:rFonts w:hint="eastAsia"/>
          <w:color w:val="000000" w:themeColor="text1"/>
          <w:lang w:bidi="ar"/>
          <w14:textFill>
            <w14:solidFill>
              <w14:schemeClr w14:val="tx1"/>
            </w14:solidFill>
          </w14:textFill>
        </w:rPr>
        <w:t>.2.1章节，预测结果见表2.</w:t>
      </w:r>
      <w:r>
        <w:rPr>
          <w:color w:val="000000" w:themeColor="text1"/>
          <w:lang w:bidi="ar"/>
          <w14:textFill>
            <w14:solidFill>
              <w14:schemeClr w14:val="tx1"/>
            </w14:solidFill>
          </w14:textFill>
        </w:rPr>
        <w:t>6</w:t>
      </w:r>
      <w:r>
        <w:rPr>
          <w:rFonts w:hint="eastAsia"/>
          <w:color w:val="000000" w:themeColor="text1"/>
          <w:lang w:bidi="ar"/>
          <w14:textFill>
            <w14:solidFill>
              <w14:schemeClr w14:val="tx1"/>
            </w14:solidFill>
          </w14:textFill>
        </w:rPr>
        <w:t>-1。</w:t>
      </w:r>
    </w:p>
    <w:p w14:paraId="4E22BDFE">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-1  大气污染物最大落地浓度及占标率估算结果一览表</w:t>
      </w:r>
    </w:p>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23"/>
        <w:gridCol w:w="1290"/>
        <w:gridCol w:w="1907"/>
        <w:gridCol w:w="1809"/>
        <w:gridCol w:w="1901"/>
      </w:tblGrid>
      <w:tr w14:paraId="628430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44" w:type="pct"/>
            <w:vAlign w:val="center"/>
          </w:tcPr>
          <w:p w14:paraId="25DF9BB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平台号</w:t>
            </w:r>
          </w:p>
        </w:tc>
        <w:tc>
          <w:tcPr>
            <w:tcW w:w="739" w:type="pct"/>
            <w:vAlign w:val="center"/>
          </w:tcPr>
          <w:p w14:paraId="0E66225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污染因子</w:t>
            </w:r>
          </w:p>
        </w:tc>
        <w:tc>
          <w:tcPr>
            <w:tcW w:w="1092" w:type="pct"/>
            <w:vAlign w:val="center"/>
          </w:tcPr>
          <w:p w14:paraId="7F40091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最大落地浓度</w:t>
            </w:r>
          </w:p>
          <w:p w14:paraId="56A8CA7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036" w:type="pct"/>
            <w:vAlign w:val="center"/>
          </w:tcPr>
          <w:p w14:paraId="246CD3E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最大浓度占标率（%</w:t>
            </w:r>
            <w:r>
              <w:rPr>
                <w:color w:val="000000" w:themeColor="text1"/>
                <w14:textFill>
                  <w14:solidFill>
                    <w14:schemeClr w14:val="tx1"/>
                  </w14:solidFill>
                </w14:textFill>
              </w:rPr>
              <w:t>）</w:t>
            </w:r>
          </w:p>
        </w:tc>
        <w:tc>
          <w:tcPr>
            <w:tcW w:w="1089" w:type="pct"/>
            <w:vAlign w:val="center"/>
          </w:tcPr>
          <w:p w14:paraId="7E0960F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最大落地浓度</w:t>
            </w:r>
          </w:p>
          <w:p w14:paraId="48D9B1B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对应距离（m）</w:t>
            </w:r>
          </w:p>
        </w:tc>
      </w:tr>
      <w:tr w14:paraId="57B4CE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44" w:type="pct"/>
            <w:vMerge w:val="restart"/>
            <w:vAlign w:val="center"/>
          </w:tcPr>
          <w:p w14:paraId="043AB3A8">
            <w:pPr>
              <w:pStyle w:val="280"/>
              <w:spacing w:line="300" w:lineRule="exact"/>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平台-1（JD6110、JD6089）</w:t>
            </w:r>
          </w:p>
        </w:tc>
        <w:tc>
          <w:tcPr>
            <w:tcW w:w="739" w:type="pct"/>
            <w:vAlign w:val="center"/>
          </w:tcPr>
          <w:p w14:paraId="5B0AE94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MHC</w:t>
            </w:r>
          </w:p>
        </w:tc>
        <w:tc>
          <w:tcPr>
            <w:tcW w:w="1954" w:type="dxa"/>
            <w:vAlign w:val="center"/>
          </w:tcPr>
          <w:p w14:paraId="4CA534CB">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80.493</w:t>
            </w:r>
          </w:p>
        </w:tc>
        <w:tc>
          <w:tcPr>
            <w:tcW w:w="1854" w:type="dxa"/>
            <w:vAlign w:val="center"/>
          </w:tcPr>
          <w:p w14:paraId="78E73951">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4.02</w:t>
            </w:r>
          </w:p>
        </w:tc>
        <w:tc>
          <w:tcPr>
            <w:tcW w:w="1089" w:type="pct"/>
            <w:vMerge w:val="restart"/>
            <w:vAlign w:val="center"/>
          </w:tcPr>
          <w:p w14:paraId="598ED601">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67</w:t>
            </w:r>
          </w:p>
        </w:tc>
      </w:tr>
      <w:tr w14:paraId="1DDCFD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44" w:type="pct"/>
            <w:vMerge w:val="continue"/>
            <w:vAlign w:val="center"/>
          </w:tcPr>
          <w:p w14:paraId="4E6A061C">
            <w:pPr>
              <w:pStyle w:val="280"/>
              <w:spacing w:line="300" w:lineRule="exact"/>
              <w:rPr>
                <w:rFonts w:hint="eastAsia"/>
                <w:color w:val="000000" w:themeColor="text1"/>
                <w14:textFill>
                  <w14:solidFill>
                    <w14:schemeClr w14:val="tx1"/>
                  </w14:solidFill>
                </w14:textFill>
              </w:rPr>
            </w:pPr>
          </w:p>
        </w:tc>
        <w:tc>
          <w:tcPr>
            <w:tcW w:w="739" w:type="pct"/>
            <w:vAlign w:val="center"/>
          </w:tcPr>
          <w:p w14:paraId="547947A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1954" w:type="dxa"/>
            <w:vAlign w:val="center"/>
          </w:tcPr>
          <w:p w14:paraId="4BBE7F39">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0.000013</w:t>
            </w:r>
          </w:p>
        </w:tc>
        <w:tc>
          <w:tcPr>
            <w:tcW w:w="1854" w:type="dxa"/>
            <w:vAlign w:val="center"/>
          </w:tcPr>
          <w:p w14:paraId="66239854">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0.00013</w:t>
            </w:r>
          </w:p>
        </w:tc>
        <w:tc>
          <w:tcPr>
            <w:tcW w:w="1089" w:type="pct"/>
            <w:vMerge w:val="continue"/>
            <w:vAlign w:val="center"/>
          </w:tcPr>
          <w:p w14:paraId="7E97BA8F">
            <w:pPr>
              <w:pStyle w:val="280"/>
              <w:spacing w:line="300" w:lineRule="exact"/>
              <w:rPr>
                <w:rFonts w:hint="eastAsia"/>
                <w:color w:val="000000" w:themeColor="text1"/>
                <w14:textFill>
                  <w14:solidFill>
                    <w14:schemeClr w14:val="tx1"/>
                  </w14:solidFill>
                </w14:textFill>
              </w:rPr>
            </w:pPr>
          </w:p>
        </w:tc>
      </w:tr>
      <w:tr w14:paraId="4065C2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44" w:type="pct"/>
            <w:vMerge w:val="restart"/>
            <w:vAlign w:val="center"/>
          </w:tcPr>
          <w:p w14:paraId="41EE6ED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平台-2（JD6167、JD6186）</w:t>
            </w:r>
          </w:p>
        </w:tc>
        <w:tc>
          <w:tcPr>
            <w:tcW w:w="739" w:type="pct"/>
            <w:vAlign w:val="center"/>
          </w:tcPr>
          <w:p w14:paraId="731E9E85">
            <w:pPr>
              <w:pStyle w:val="280"/>
              <w:spacing w:line="300" w:lineRule="exact"/>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MHC</w:t>
            </w:r>
          </w:p>
        </w:tc>
        <w:tc>
          <w:tcPr>
            <w:tcW w:w="1954" w:type="dxa"/>
            <w:vAlign w:val="center"/>
          </w:tcPr>
          <w:p w14:paraId="78B4368B">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80.493</w:t>
            </w:r>
          </w:p>
        </w:tc>
        <w:tc>
          <w:tcPr>
            <w:tcW w:w="1854" w:type="dxa"/>
            <w:vAlign w:val="center"/>
          </w:tcPr>
          <w:p w14:paraId="349D77CB">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4.02</w:t>
            </w:r>
          </w:p>
        </w:tc>
        <w:tc>
          <w:tcPr>
            <w:tcW w:w="1089" w:type="pct"/>
            <w:vMerge w:val="restart"/>
            <w:vAlign w:val="center"/>
          </w:tcPr>
          <w:p w14:paraId="180985FC">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67</w:t>
            </w:r>
          </w:p>
        </w:tc>
      </w:tr>
      <w:tr w14:paraId="2ECEA6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44" w:type="pct"/>
            <w:vMerge w:val="continue"/>
            <w:vAlign w:val="center"/>
          </w:tcPr>
          <w:p w14:paraId="1AF108C7">
            <w:pPr>
              <w:pStyle w:val="280"/>
              <w:spacing w:line="300" w:lineRule="exact"/>
              <w:rPr>
                <w:rFonts w:hint="eastAsia"/>
                <w:color w:val="000000" w:themeColor="text1"/>
                <w14:textFill>
                  <w14:solidFill>
                    <w14:schemeClr w14:val="tx1"/>
                  </w14:solidFill>
                </w14:textFill>
              </w:rPr>
            </w:pPr>
          </w:p>
        </w:tc>
        <w:tc>
          <w:tcPr>
            <w:tcW w:w="739" w:type="pct"/>
            <w:vAlign w:val="center"/>
          </w:tcPr>
          <w:p w14:paraId="2BEA7D2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1954" w:type="dxa"/>
            <w:vAlign w:val="center"/>
          </w:tcPr>
          <w:p w14:paraId="5DCF35BA">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0.000013</w:t>
            </w:r>
          </w:p>
        </w:tc>
        <w:tc>
          <w:tcPr>
            <w:tcW w:w="1854" w:type="dxa"/>
            <w:vAlign w:val="center"/>
          </w:tcPr>
          <w:p w14:paraId="714CF922">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0.00013</w:t>
            </w:r>
          </w:p>
        </w:tc>
        <w:tc>
          <w:tcPr>
            <w:tcW w:w="1089" w:type="pct"/>
            <w:vMerge w:val="continue"/>
            <w:vAlign w:val="center"/>
          </w:tcPr>
          <w:p w14:paraId="30FE8204">
            <w:pPr>
              <w:pStyle w:val="280"/>
              <w:spacing w:line="300" w:lineRule="exact"/>
              <w:rPr>
                <w:rFonts w:hint="eastAsia"/>
                <w:color w:val="000000" w:themeColor="text1"/>
                <w14:textFill>
                  <w14:solidFill>
                    <w14:schemeClr w14:val="tx1"/>
                  </w14:solidFill>
                </w14:textFill>
              </w:rPr>
            </w:pPr>
          </w:p>
        </w:tc>
      </w:tr>
      <w:tr w14:paraId="21B429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44" w:type="pct"/>
            <w:vMerge w:val="restart"/>
            <w:vAlign w:val="center"/>
          </w:tcPr>
          <w:p w14:paraId="48CCB413">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平台-3（仅</w:t>
            </w:r>
            <w:r>
              <w:rPr>
                <w:rFonts w:hint="eastAsia"/>
                <w:color w:val="000000" w:themeColor="text1"/>
                <w:lang w:bidi="ar"/>
                <w14:textFill>
                  <w14:solidFill>
                    <w14:schemeClr w14:val="tx1"/>
                  </w14:solidFill>
                </w14:textFill>
              </w:rPr>
              <w:t>J9100A参与核算，JD8399A为注水井，无废气产生</w:t>
            </w:r>
            <w:r>
              <w:rPr>
                <w:rFonts w:hint="eastAsia"/>
                <w:snapToGrid w:val="0"/>
                <w:color w:val="000000" w:themeColor="text1"/>
                <w14:textFill>
                  <w14:solidFill>
                    <w14:schemeClr w14:val="tx1"/>
                  </w14:solidFill>
                </w14:textFill>
              </w:rPr>
              <w:t>）</w:t>
            </w:r>
          </w:p>
        </w:tc>
        <w:tc>
          <w:tcPr>
            <w:tcW w:w="739" w:type="pct"/>
            <w:vAlign w:val="center"/>
          </w:tcPr>
          <w:p w14:paraId="70251A0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MHC</w:t>
            </w:r>
          </w:p>
        </w:tc>
        <w:tc>
          <w:tcPr>
            <w:tcW w:w="1954" w:type="dxa"/>
            <w:vAlign w:val="center"/>
          </w:tcPr>
          <w:p w14:paraId="5A64C301">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40.018</w:t>
            </w:r>
          </w:p>
        </w:tc>
        <w:tc>
          <w:tcPr>
            <w:tcW w:w="1854" w:type="dxa"/>
            <w:vAlign w:val="center"/>
          </w:tcPr>
          <w:p w14:paraId="6699E164">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2</w:t>
            </w:r>
          </w:p>
        </w:tc>
        <w:tc>
          <w:tcPr>
            <w:tcW w:w="1089" w:type="pct"/>
            <w:vMerge w:val="restart"/>
            <w:vAlign w:val="center"/>
          </w:tcPr>
          <w:p w14:paraId="3868A5FA">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67</w:t>
            </w:r>
          </w:p>
        </w:tc>
      </w:tr>
      <w:tr w14:paraId="50CD10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44" w:type="pct"/>
            <w:vMerge w:val="continue"/>
            <w:vAlign w:val="center"/>
          </w:tcPr>
          <w:p w14:paraId="17B5AB32">
            <w:pPr>
              <w:pStyle w:val="280"/>
              <w:spacing w:line="300" w:lineRule="exact"/>
              <w:rPr>
                <w:rFonts w:hint="eastAsia"/>
                <w:color w:val="000000" w:themeColor="text1"/>
                <w14:textFill>
                  <w14:solidFill>
                    <w14:schemeClr w14:val="tx1"/>
                  </w14:solidFill>
                </w14:textFill>
              </w:rPr>
            </w:pPr>
          </w:p>
        </w:tc>
        <w:tc>
          <w:tcPr>
            <w:tcW w:w="739" w:type="pct"/>
            <w:vAlign w:val="center"/>
          </w:tcPr>
          <w:p w14:paraId="2F75565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1954" w:type="dxa"/>
            <w:vAlign w:val="center"/>
          </w:tcPr>
          <w:p w14:paraId="437DEB6C">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0.000008</w:t>
            </w:r>
          </w:p>
        </w:tc>
        <w:tc>
          <w:tcPr>
            <w:tcW w:w="1854" w:type="dxa"/>
            <w:vAlign w:val="center"/>
          </w:tcPr>
          <w:p w14:paraId="50BD6154">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0.00008</w:t>
            </w:r>
          </w:p>
        </w:tc>
        <w:tc>
          <w:tcPr>
            <w:tcW w:w="1089" w:type="pct"/>
            <w:vMerge w:val="continue"/>
            <w:vAlign w:val="center"/>
          </w:tcPr>
          <w:p w14:paraId="0C4BBE38">
            <w:pPr>
              <w:pStyle w:val="280"/>
              <w:spacing w:line="300" w:lineRule="exact"/>
              <w:rPr>
                <w:rFonts w:hint="eastAsia"/>
                <w:color w:val="000000" w:themeColor="text1"/>
                <w14:textFill>
                  <w14:solidFill>
                    <w14:schemeClr w14:val="tx1"/>
                  </w14:solidFill>
                </w14:textFill>
              </w:rPr>
            </w:pPr>
          </w:p>
        </w:tc>
      </w:tr>
      <w:tr w14:paraId="6FEB76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44" w:type="pct"/>
            <w:vMerge w:val="restart"/>
            <w:vAlign w:val="center"/>
          </w:tcPr>
          <w:p w14:paraId="6603E9B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单井采油井（</w:t>
            </w:r>
            <w:r>
              <w:rPr>
                <w:snapToGrid w:val="0"/>
                <w:color w:val="000000" w:themeColor="text1"/>
                <w14:textFill>
                  <w14:solidFill>
                    <w14:schemeClr w14:val="tx1"/>
                  </w14:solidFill>
                </w14:textFill>
              </w:rPr>
              <w:t>J6093A</w:t>
            </w:r>
            <w:r>
              <w:rPr>
                <w:rFonts w:hint="eastAsia"/>
                <w:snapToGrid w:val="0"/>
                <w:color w:val="000000" w:themeColor="text1"/>
                <w14:textFill>
                  <w14:solidFill>
                    <w14:schemeClr w14:val="tx1"/>
                  </w14:solidFill>
                </w14:textFill>
              </w:rPr>
              <w:t>）</w:t>
            </w:r>
          </w:p>
        </w:tc>
        <w:tc>
          <w:tcPr>
            <w:tcW w:w="739" w:type="pct"/>
            <w:vAlign w:val="center"/>
          </w:tcPr>
          <w:p w14:paraId="3F2A340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MHC</w:t>
            </w:r>
          </w:p>
        </w:tc>
        <w:tc>
          <w:tcPr>
            <w:tcW w:w="1954" w:type="dxa"/>
            <w:vAlign w:val="center"/>
          </w:tcPr>
          <w:p w14:paraId="5119BD04">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63.834</w:t>
            </w:r>
          </w:p>
        </w:tc>
        <w:tc>
          <w:tcPr>
            <w:tcW w:w="1854" w:type="dxa"/>
            <w:vAlign w:val="center"/>
          </w:tcPr>
          <w:p w14:paraId="63751433">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3.19</w:t>
            </w:r>
          </w:p>
        </w:tc>
        <w:tc>
          <w:tcPr>
            <w:tcW w:w="1089" w:type="pct"/>
            <w:vMerge w:val="restart"/>
            <w:vAlign w:val="center"/>
          </w:tcPr>
          <w:p w14:paraId="1D94C8E3">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48</w:t>
            </w:r>
          </w:p>
        </w:tc>
      </w:tr>
      <w:tr w14:paraId="6E72E5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44" w:type="pct"/>
            <w:vMerge w:val="continue"/>
            <w:vAlign w:val="center"/>
          </w:tcPr>
          <w:p w14:paraId="37308B2B">
            <w:pPr>
              <w:pStyle w:val="280"/>
              <w:spacing w:line="300" w:lineRule="exact"/>
              <w:rPr>
                <w:rFonts w:hint="eastAsia"/>
                <w:color w:val="000000" w:themeColor="text1"/>
                <w14:textFill>
                  <w14:solidFill>
                    <w14:schemeClr w14:val="tx1"/>
                  </w14:solidFill>
                </w14:textFill>
              </w:rPr>
            </w:pPr>
          </w:p>
        </w:tc>
        <w:tc>
          <w:tcPr>
            <w:tcW w:w="739" w:type="pct"/>
            <w:vAlign w:val="center"/>
          </w:tcPr>
          <w:p w14:paraId="5C57B91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1954" w:type="dxa"/>
            <w:vAlign w:val="center"/>
          </w:tcPr>
          <w:p w14:paraId="2C64008B">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0.000009</w:t>
            </w:r>
          </w:p>
        </w:tc>
        <w:tc>
          <w:tcPr>
            <w:tcW w:w="1854" w:type="dxa"/>
            <w:vAlign w:val="center"/>
          </w:tcPr>
          <w:p w14:paraId="1375AAE4">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b w:val="0"/>
                <w:bCs w:val="0"/>
                <w:color w:val="000000" w:themeColor="text1"/>
                <w14:textFill>
                  <w14:solidFill>
                    <w14:schemeClr w14:val="tx1"/>
                  </w14:solidFill>
                </w14:textFill>
              </w:rPr>
            </w:pPr>
            <w:r>
              <w:rPr>
                <w:rFonts w:hint="eastAsia" w:ascii="宋体" w:hAnsi="宋体" w:eastAsia="宋体" w:cs="宋体"/>
                <w:b w:val="0"/>
                <w:bCs w:val="0"/>
                <w:i w:val="0"/>
                <w:iCs w:val="0"/>
                <w:color w:val="000000" w:themeColor="text1"/>
                <w:kern w:val="0"/>
                <w:sz w:val="21"/>
                <w:szCs w:val="21"/>
                <w:u w:val="none"/>
                <w:lang w:val="en-US" w:eastAsia="zh-CN" w:bidi="ar"/>
                <w14:textFill>
                  <w14:solidFill>
                    <w14:schemeClr w14:val="tx1"/>
                  </w14:solidFill>
                </w14:textFill>
              </w:rPr>
              <w:t>0.00009</w:t>
            </w:r>
          </w:p>
        </w:tc>
        <w:tc>
          <w:tcPr>
            <w:tcW w:w="1089" w:type="pct"/>
            <w:vMerge w:val="continue"/>
            <w:vAlign w:val="center"/>
          </w:tcPr>
          <w:p w14:paraId="2429B0DD">
            <w:pPr>
              <w:pStyle w:val="280"/>
              <w:spacing w:line="300" w:lineRule="exact"/>
              <w:rPr>
                <w:rFonts w:hint="eastAsia"/>
                <w:color w:val="000000" w:themeColor="text1"/>
                <w14:textFill>
                  <w14:solidFill>
                    <w14:schemeClr w14:val="tx1"/>
                  </w14:solidFill>
                </w14:textFill>
              </w:rPr>
            </w:pPr>
          </w:p>
        </w:tc>
      </w:tr>
    </w:tbl>
    <w:p w14:paraId="48D869F4">
      <w:pPr>
        <w:pStyle w:val="193"/>
        <w:rPr>
          <w:rFonts w:hint="eastAsia"/>
          <w:color w:val="000000" w:themeColor="text1"/>
          <w14:textFill>
            <w14:solidFill>
              <w14:schemeClr w14:val="tx1"/>
            </w14:solidFill>
          </w14:textFill>
        </w:rPr>
      </w:pPr>
      <w:bookmarkStart w:id="103" w:name="_Hlk14624692"/>
      <w:bookmarkStart w:id="104" w:name="_Hlk19211933"/>
      <w:r>
        <w:rPr>
          <w:rFonts w:hint="eastAsia"/>
          <w:color w:val="000000" w:themeColor="text1"/>
          <w:lang w:bidi="ar"/>
          <w14:textFill>
            <w14:solidFill>
              <w14:schemeClr w14:val="tx1"/>
            </w14:solidFill>
          </w14:textFill>
        </w:rPr>
        <w:t>由表2.</w:t>
      </w:r>
      <w:r>
        <w:rPr>
          <w:color w:val="000000" w:themeColor="text1"/>
          <w:lang w:bidi="ar"/>
          <w14:textFill>
            <w14:solidFill>
              <w14:schemeClr w14:val="tx1"/>
            </w14:solidFill>
          </w14:textFill>
        </w:rPr>
        <w:t>6</w:t>
      </w:r>
      <w:r>
        <w:rPr>
          <w:rFonts w:hint="eastAsia"/>
          <w:color w:val="000000" w:themeColor="text1"/>
          <w:lang w:bidi="ar"/>
          <w14:textFill>
            <w14:solidFill>
              <w14:schemeClr w14:val="tx1"/>
            </w14:solidFill>
          </w14:textFill>
        </w:rPr>
        <w:t>-1可知：各污染物最大落地浓度占标率最高为</w:t>
      </w:r>
      <w:r>
        <w:rPr>
          <w:rFonts w:hint="eastAsia"/>
          <w:color w:val="000000" w:themeColor="text1"/>
          <w:lang w:val="en-US" w:eastAsia="zh-CN" w:bidi="ar"/>
          <w14:textFill>
            <w14:solidFill>
              <w14:schemeClr w14:val="tx1"/>
            </w14:solidFill>
          </w14:textFill>
        </w:rPr>
        <w:t>4.02</w:t>
      </w:r>
      <w:r>
        <w:rPr>
          <w:rFonts w:hint="eastAsia"/>
          <w:color w:val="000000" w:themeColor="text1"/>
          <w:lang w:bidi="ar"/>
          <w14:textFill>
            <w14:solidFill>
              <w14:schemeClr w14:val="tx1"/>
            </w14:solidFill>
          </w14:textFill>
        </w:rPr>
        <w:t>%，根据《环境影响评价技术导则  大气环境》（HJ2.2-2018）分级判据（表2.</w:t>
      </w:r>
      <w:r>
        <w:rPr>
          <w:color w:val="000000" w:themeColor="text1"/>
          <w:lang w:bidi="ar"/>
          <w14:textFill>
            <w14:solidFill>
              <w14:schemeClr w14:val="tx1"/>
            </w14:solidFill>
          </w14:textFill>
        </w:rPr>
        <w:t>6</w:t>
      </w:r>
      <w:r>
        <w:rPr>
          <w:rFonts w:hint="eastAsia"/>
          <w:color w:val="000000" w:themeColor="text1"/>
          <w:lang w:bidi="ar"/>
          <w14:textFill>
            <w14:solidFill>
              <w14:schemeClr w14:val="tx1"/>
            </w14:solidFill>
          </w14:textFill>
        </w:rPr>
        <w:t>-2），评价等级判定为二级。</w:t>
      </w:r>
      <w:bookmarkEnd w:id="103"/>
    </w:p>
    <w:p w14:paraId="31658A16">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-2  评价工作等级判定依据表</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0"/>
        <w:gridCol w:w="6888"/>
      </w:tblGrid>
      <w:tr w14:paraId="3E2B92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0" w:type="dxa"/>
            <w:vAlign w:val="center"/>
          </w:tcPr>
          <w:p w14:paraId="1F6F3CAB">
            <w:pPr>
              <w:widowControl/>
              <w:spacing w:line="300" w:lineRule="exact"/>
              <w:ind w:firstLine="48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评价工作等级</w:t>
            </w:r>
          </w:p>
        </w:tc>
        <w:tc>
          <w:tcPr>
            <w:tcW w:w="6888" w:type="dxa"/>
            <w:vAlign w:val="center"/>
          </w:tcPr>
          <w:p w14:paraId="09773B53">
            <w:pPr>
              <w:widowControl/>
              <w:spacing w:line="300" w:lineRule="exact"/>
              <w:ind w:firstLine="48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评价工作分级判据</w:t>
            </w:r>
          </w:p>
        </w:tc>
      </w:tr>
      <w:tr w14:paraId="7462F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0" w:type="dxa"/>
            <w:vAlign w:val="center"/>
          </w:tcPr>
          <w:p w14:paraId="289C5C8D">
            <w:pPr>
              <w:widowControl/>
              <w:spacing w:line="300" w:lineRule="exact"/>
              <w:ind w:firstLine="48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一级</w:t>
            </w:r>
          </w:p>
        </w:tc>
        <w:tc>
          <w:tcPr>
            <w:tcW w:w="6888" w:type="dxa"/>
            <w:vAlign w:val="center"/>
          </w:tcPr>
          <w:p w14:paraId="11974C9D">
            <w:pPr>
              <w:widowControl/>
              <w:spacing w:line="300" w:lineRule="exact"/>
              <w:ind w:firstLine="48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P</w:t>
            </w:r>
            <w:r>
              <w:rPr>
                <w:rFonts w:hint="eastAsia" w:ascii="宋体" w:hAnsi="宋体" w:cs="宋体"/>
                <w:color w:val="000000" w:themeColor="text1"/>
                <w:kern w:val="0"/>
                <w:szCs w:val="21"/>
                <w:vertAlign w:val="subscript"/>
                <w:lang w:bidi="ar"/>
                <w14:textFill>
                  <w14:solidFill>
                    <w14:schemeClr w14:val="tx1"/>
                  </w14:solidFill>
                </w14:textFill>
              </w:rPr>
              <w:t>max</w:t>
            </w:r>
            <w:r>
              <w:rPr>
                <w:rFonts w:hint="eastAsia" w:ascii="宋体" w:hAnsi="宋体" w:cs="宋体"/>
                <w:color w:val="000000" w:themeColor="text1"/>
                <w:kern w:val="0"/>
                <w:szCs w:val="21"/>
                <w:lang w:bidi="ar"/>
                <w14:textFill>
                  <w14:solidFill>
                    <w14:schemeClr w14:val="tx1"/>
                  </w14:solidFill>
                </w14:textFill>
              </w:rPr>
              <w:t>≥10%</w:t>
            </w:r>
          </w:p>
        </w:tc>
      </w:tr>
      <w:tr w14:paraId="2D9DE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0" w:type="dxa"/>
            <w:vAlign w:val="center"/>
          </w:tcPr>
          <w:p w14:paraId="12A34509">
            <w:pPr>
              <w:widowControl/>
              <w:spacing w:line="300" w:lineRule="exact"/>
              <w:ind w:firstLine="48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二级</w:t>
            </w:r>
          </w:p>
        </w:tc>
        <w:tc>
          <w:tcPr>
            <w:tcW w:w="6888" w:type="dxa"/>
            <w:vAlign w:val="center"/>
          </w:tcPr>
          <w:p w14:paraId="1C9C2757">
            <w:pPr>
              <w:widowControl/>
              <w:spacing w:line="300" w:lineRule="exact"/>
              <w:ind w:firstLine="48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1%≤P</w:t>
            </w:r>
            <w:r>
              <w:rPr>
                <w:rFonts w:hint="eastAsia" w:ascii="宋体" w:hAnsi="宋体" w:cs="宋体"/>
                <w:color w:val="000000" w:themeColor="text1"/>
                <w:kern w:val="0"/>
                <w:szCs w:val="21"/>
                <w:vertAlign w:val="subscript"/>
                <w:lang w:bidi="ar"/>
                <w14:textFill>
                  <w14:solidFill>
                    <w14:schemeClr w14:val="tx1"/>
                  </w14:solidFill>
                </w14:textFill>
              </w:rPr>
              <w:t>max</w:t>
            </w:r>
            <w:r>
              <w:rPr>
                <w:rFonts w:hint="eastAsia" w:ascii="宋体" w:hAnsi="宋体" w:cs="宋体"/>
                <w:color w:val="000000" w:themeColor="text1"/>
                <w:kern w:val="0"/>
                <w:szCs w:val="21"/>
                <w:lang w:bidi="ar"/>
                <w14:textFill>
                  <w14:solidFill>
                    <w14:schemeClr w14:val="tx1"/>
                  </w14:solidFill>
                </w14:textFill>
              </w:rPr>
              <w:t>＜10%</w:t>
            </w:r>
          </w:p>
        </w:tc>
      </w:tr>
      <w:tr w14:paraId="1B8C1F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0" w:type="dxa"/>
            <w:vAlign w:val="center"/>
          </w:tcPr>
          <w:p w14:paraId="1E13DCD9">
            <w:pPr>
              <w:widowControl/>
              <w:spacing w:line="300" w:lineRule="exact"/>
              <w:ind w:firstLine="48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三级</w:t>
            </w:r>
          </w:p>
        </w:tc>
        <w:tc>
          <w:tcPr>
            <w:tcW w:w="6888" w:type="dxa"/>
            <w:vAlign w:val="center"/>
          </w:tcPr>
          <w:p w14:paraId="7B0C2248">
            <w:pPr>
              <w:widowControl/>
              <w:spacing w:line="300" w:lineRule="exact"/>
              <w:ind w:firstLine="48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P</w:t>
            </w:r>
            <w:r>
              <w:rPr>
                <w:rFonts w:hint="eastAsia" w:ascii="宋体" w:hAnsi="宋体" w:cs="宋体"/>
                <w:color w:val="000000" w:themeColor="text1"/>
                <w:kern w:val="0"/>
                <w:szCs w:val="21"/>
                <w:vertAlign w:val="subscript"/>
                <w:lang w:bidi="ar"/>
                <w14:textFill>
                  <w14:solidFill>
                    <w14:schemeClr w14:val="tx1"/>
                  </w14:solidFill>
                </w14:textFill>
              </w:rPr>
              <w:t>max</w:t>
            </w:r>
            <w:r>
              <w:rPr>
                <w:rFonts w:hint="eastAsia" w:ascii="宋体" w:hAnsi="宋体" w:cs="宋体"/>
                <w:color w:val="000000" w:themeColor="text1"/>
                <w:kern w:val="0"/>
                <w:szCs w:val="21"/>
                <w:lang w:bidi="ar"/>
                <w14:textFill>
                  <w14:solidFill>
                    <w14:schemeClr w14:val="tx1"/>
                  </w14:solidFill>
                </w14:textFill>
              </w:rPr>
              <w:t xml:space="preserve">＜1% </w:t>
            </w:r>
          </w:p>
        </w:tc>
      </w:tr>
      <w:bookmarkEnd w:id="104"/>
    </w:tbl>
    <w:p w14:paraId="69AF36ED">
      <w:pPr>
        <w:adjustRightInd w:val="0"/>
        <w:spacing w:line="480" w:lineRule="exact"/>
        <w:ind w:firstLine="480" w:firstLineChars="200"/>
        <w:textAlignment w:val="baseline"/>
        <w:rPr>
          <w:rFonts w:hint="eastAsia" w:ascii="宋体" w:hAnsi="宋体" w:cs="宋体"/>
          <w:color w:val="000000" w:themeColor="text1"/>
          <w:kern w:val="0"/>
          <w:sz w:val="24"/>
          <w:szCs w:val="20"/>
          <w:lang w:bidi="ar"/>
          <w14:textFill>
            <w14:solidFill>
              <w14:schemeClr w14:val="tx1"/>
            </w14:solidFill>
          </w14:textFill>
        </w:rPr>
      </w:pPr>
      <w:r>
        <w:rPr>
          <w:rFonts w:hint="eastAsia" w:ascii="宋体" w:hAnsi="宋体" w:cs="宋体"/>
          <w:color w:val="000000" w:themeColor="text1"/>
          <w:kern w:val="0"/>
          <w:sz w:val="24"/>
          <w:szCs w:val="20"/>
          <w:lang w:bidi="ar"/>
          <w14:textFill>
            <w14:solidFill>
              <w14:schemeClr w14:val="tx1"/>
            </w14:solidFill>
          </w14:textFill>
        </w:rPr>
        <w:t>（2）地表水评价等级</w:t>
      </w:r>
    </w:p>
    <w:p w14:paraId="01DB138B">
      <w:pPr>
        <w:adjustRightInd w:val="0"/>
        <w:spacing w:line="480" w:lineRule="exact"/>
        <w:ind w:firstLine="480" w:firstLineChars="200"/>
        <w:textAlignment w:val="baseline"/>
        <w:rPr>
          <w:rFonts w:hint="eastAsia" w:ascii="宋体" w:hAnsi="宋体" w:cs="宋体"/>
          <w:color w:val="000000" w:themeColor="text1"/>
          <w:kern w:val="0"/>
          <w:sz w:val="24"/>
          <w:szCs w:val="20"/>
          <w:lang w:bidi="ar"/>
          <w14:textFill>
            <w14:solidFill>
              <w14:schemeClr w14:val="tx1"/>
            </w14:solidFill>
          </w14:textFill>
        </w:rPr>
      </w:pPr>
      <w:r>
        <w:rPr>
          <w:rFonts w:hint="eastAsia" w:ascii="宋体" w:hAnsi="宋体" w:cs="宋体"/>
          <w:color w:val="000000" w:themeColor="text1"/>
          <w:kern w:val="0"/>
          <w:sz w:val="24"/>
          <w:szCs w:val="20"/>
          <w:lang w:bidi="ar"/>
          <w14:textFill>
            <w14:solidFill>
              <w14:schemeClr w14:val="tx1"/>
            </w14:solidFill>
          </w14:textFill>
        </w:rPr>
        <w:t>本项目周边无地表水，且与地表水无水力联系，洗井废水和井下作业废液送至</w:t>
      </w:r>
      <w:r>
        <w:rPr>
          <w:rFonts w:hint="eastAsia" w:ascii="宋体" w:cs="宋体"/>
          <w:color w:val="000000" w:themeColor="text1"/>
          <w:kern w:val="0"/>
          <w:sz w:val="24"/>
          <w:szCs w:val="24"/>
          <w14:textFill>
            <w14:solidFill>
              <w14:schemeClr w14:val="tx1"/>
            </w14:solidFill>
          </w14:textFill>
        </w:rPr>
        <w:t>吉祥联合站采出水处理系统处理</w:t>
      </w:r>
      <w:r>
        <w:rPr>
          <w:rFonts w:hint="eastAsia" w:ascii="宋体" w:hAnsi="宋体" w:cs="宋体"/>
          <w:color w:val="000000" w:themeColor="text1"/>
          <w:kern w:val="0"/>
          <w:sz w:val="24"/>
          <w:szCs w:val="20"/>
          <w:lang w:bidi="ar"/>
          <w14:textFill>
            <w14:solidFill>
              <w14:schemeClr w14:val="tx1"/>
            </w14:solidFill>
          </w14:textFill>
        </w:rPr>
        <w:t>达标后回注地层；</w:t>
      </w:r>
      <w:r>
        <w:rPr>
          <w:rFonts w:ascii="宋体" w:hAnsi="宋体" w:cs="宋体"/>
          <w:color w:val="000000" w:themeColor="text1"/>
          <w:kern w:val="0"/>
          <w:sz w:val="24"/>
          <w:szCs w:val="20"/>
          <w:lang w:bidi="ar"/>
          <w14:textFill>
            <w14:solidFill>
              <w14:schemeClr w14:val="tx1"/>
            </w14:solidFill>
          </w14:textFill>
        </w:rPr>
        <w:t>根据</w:t>
      </w:r>
      <w:r>
        <w:rPr>
          <w:rFonts w:hint="eastAsia" w:ascii="宋体" w:hAnsi="宋体" w:cs="宋体"/>
          <w:color w:val="000000" w:themeColor="text1"/>
          <w:kern w:val="0"/>
          <w:sz w:val="24"/>
          <w:szCs w:val="20"/>
          <w:lang w:bidi="ar"/>
          <w14:textFill>
            <w14:solidFill>
              <w14:schemeClr w14:val="tx1"/>
            </w14:solidFill>
          </w14:textFill>
        </w:rPr>
        <w:t>《环境影响评价技术导则 陆地石油天然气开发建设项目》（H</w:t>
      </w:r>
      <w:r>
        <w:rPr>
          <w:rFonts w:ascii="宋体" w:hAnsi="宋体" w:cs="宋体"/>
          <w:color w:val="000000" w:themeColor="text1"/>
          <w:kern w:val="0"/>
          <w:sz w:val="24"/>
          <w:szCs w:val="20"/>
          <w:lang w:bidi="ar"/>
          <w14:textFill>
            <w14:solidFill>
              <w14:schemeClr w14:val="tx1"/>
            </w14:solidFill>
          </w14:textFill>
        </w:rPr>
        <w:t>J349</w:t>
      </w:r>
      <w:r>
        <w:rPr>
          <w:rFonts w:hint="eastAsia" w:ascii="宋体" w:hAnsi="宋体" w:cs="宋体"/>
          <w:color w:val="000000" w:themeColor="text1"/>
          <w:kern w:val="0"/>
          <w:sz w:val="24"/>
          <w:szCs w:val="20"/>
          <w:lang w:bidi="ar"/>
          <w14:textFill>
            <w14:solidFill>
              <w14:schemeClr w14:val="tx1"/>
            </w14:solidFill>
          </w14:textFill>
        </w:rPr>
        <w:t>-</w:t>
      </w:r>
      <w:r>
        <w:rPr>
          <w:rFonts w:ascii="宋体" w:hAnsi="宋体" w:cs="宋体"/>
          <w:color w:val="000000" w:themeColor="text1"/>
          <w:kern w:val="0"/>
          <w:sz w:val="24"/>
          <w:szCs w:val="20"/>
          <w:lang w:bidi="ar"/>
          <w14:textFill>
            <w14:solidFill>
              <w14:schemeClr w14:val="tx1"/>
            </w14:solidFill>
          </w14:textFill>
        </w:rPr>
        <w:t>2023</w:t>
      </w:r>
      <w:r>
        <w:rPr>
          <w:rFonts w:hint="eastAsia" w:ascii="宋体" w:hAnsi="宋体" w:cs="宋体"/>
          <w:color w:val="000000" w:themeColor="text1"/>
          <w:kern w:val="0"/>
          <w:sz w:val="24"/>
          <w:szCs w:val="20"/>
          <w:lang w:bidi="ar"/>
          <w14:textFill>
            <w14:solidFill>
              <w14:schemeClr w14:val="tx1"/>
            </w14:solidFill>
          </w14:textFill>
        </w:rPr>
        <w:t>）规定：“废水处理后进行回注且无废水直接排入地表水体的建设项目，评价等级按照三级B开展评价”</w:t>
      </w:r>
      <w:r>
        <w:rPr>
          <w:rFonts w:ascii="宋体" w:hAnsi="宋体" w:cs="宋体"/>
          <w:color w:val="000000" w:themeColor="text1"/>
          <w:kern w:val="0"/>
          <w:sz w:val="24"/>
          <w:szCs w:val="20"/>
          <w:lang w:bidi="ar"/>
          <w14:textFill>
            <w14:solidFill>
              <w14:schemeClr w14:val="tx1"/>
            </w14:solidFill>
          </w14:textFill>
        </w:rPr>
        <w:t>，</w:t>
      </w:r>
      <w:r>
        <w:rPr>
          <w:rFonts w:hint="eastAsia" w:ascii="宋体" w:hAnsi="宋体" w:cs="宋体"/>
          <w:color w:val="000000" w:themeColor="text1"/>
          <w:kern w:val="0"/>
          <w:sz w:val="24"/>
          <w:szCs w:val="20"/>
          <w:lang w:bidi="ar"/>
          <w14:textFill>
            <w14:solidFill>
              <w14:schemeClr w14:val="tx1"/>
            </w14:solidFill>
          </w14:textFill>
        </w:rPr>
        <w:t>本项目</w:t>
      </w:r>
      <w:r>
        <w:rPr>
          <w:rFonts w:ascii="宋体" w:hAnsi="宋体" w:cs="宋体"/>
          <w:color w:val="000000" w:themeColor="text1"/>
          <w:kern w:val="0"/>
          <w:sz w:val="24"/>
          <w:szCs w:val="20"/>
          <w:lang w:bidi="ar"/>
          <w14:textFill>
            <w14:solidFill>
              <w14:schemeClr w14:val="tx1"/>
            </w14:solidFill>
          </w14:textFill>
        </w:rPr>
        <w:t>地表水环境影响评价等级为三级B。</w:t>
      </w:r>
    </w:p>
    <w:bookmarkEnd w:id="102"/>
    <w:p w14:paraId="4C896F1F">
      <w:pPr>
        <w:pStyle w:val="120"/>
        <w:rPr>
          <w:rFonts w:hint="eastAsia"/>
          <w:color w:val="000000" w:themeColor="text1"/>
          <w14:textFill>
            <w14:solidFill>
              <w14:schemeClr w14:val="tx1"/>
            </w14:solidFill>
          </w14:textFill>
        </w:rPr>
      </w:pP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3</w:t>
      </w:r>
      <w:r>
        <w:rPr>
          <w:rFonts w:hint="eastAsia"/>
          <w:color w:val="000000" w:themeColor="text1"/>
          <w:szCs w:val="21"/>
          <w14:textFill>
            <w14:solidFill>
              <w14:schemeClr w14:val="tx1"/>
            </w14:solidFill>
          </w14:textFill>
        </w:rPr>
        <w:t>）</w:t>
      </w:r>
      <w:r>
        <w:rPr>
          <w:color w:val="000000" w:themeColor="text1"/>
          <w14:textFill>
            <w14:solidFill>
              <w14:schemeClr w14:val="tx1"/>
            </w14:solidFill>
          </w14:textFill>
        </w:rPr>
        <w:t>地下水评价等级</w:t>
      </w:r>
    </w:p>
    <w:p w14:paraId="4F78D7DF">
      <w:pPr>
        <w:pStyle w:val="193"/>
        <w:rPr>
          <w:rFonts w:hint="eastAsia"/>
          <w:color w:val="000000" w:themeColor="text1"/>
          <w14:textFill>
            <w14:solidFill>
              <w14:schemeClr w14:val="tx1"/>
            </w14:solidFill>
          </w14:textFill>
        </w:rPr>
      </w:pPr>
      <w:bookmarkStart w:id="105" w:name="_Hlk80048561"/>
      <w:r>
        <w:rPr>
          <w:rFonts w:hint="eastAsia"/>
          <w:color w:val="000000" w:themeColor="text1"/>
          <w14:textFill>
            <w14:solidFill>
              <w14:schemeClr w14:val="tx1"/>
            </w14:solidFill>
          </w14:textFill>
        </w:rPr>
        <w:t>根据《环境影响评价技术导则 地下水环境》（H</w:t>
      </w:r>
      <w:r>
        <w:rPr>
          <w:color w:val="000000" w:themeColor="text1"/>
          <w14:textFill>
            <w14:solidFill>
              <w14:schemeClr w14:val="tx1"/>
            </w14:solidFill>
          </w14:textFill>
        </w:rPr>
        <w:t>J610-2016</w:t>
      </w:r>
      <w:r>
        <w:rPr>
          <w:rFonts w:hint="eastAsia"/>
          <w:color w:val="000000" w:themeColor="text1"/>
          <w14:textFill>
            <w14:solidFill>
              <w14:schemeClr w14:val="tx1"/>
            </w14:solidFill>
          </w14:textFill>
        </w:rPr>
        <w:t>）</w:t>
      </w:r>
      <w:bookmarkEnd w:id="105"/>
      <w:r>
        <w:rPr>
          <w:rFonts w:hint="eastAsia"/>
          <w:color w:val="000000" w:themeColor="text1"/>
          <w14:textFill>
            <w14:solidFill>
              <w14:schemeClr w14:val="tx1"/>
            </w14:solidFill>
          </w14:textFill>
        </w:rPr>
        <w:t>中的评价工作等级划分，建设项目的地下水环境敏感程度可分为敏感、较敏感，不敏感三级，分级原则见表2.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-3，评价工作等级分级表见表2.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-4。</w:t>
      </w:r>
    </w:p>
    <w:p w14:paraId="69FE6E29">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地下水环境敏感程度分级表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0"/>
        <w:gridCol w:w="7590"/>
      </w:tblGrid>
      <w:tr w14:paraId="51A541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Align w:val="center"/>
          </w:tcPr>
          <w:p w14:paraId="60D507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敏感程度</w:t>
            </w:r>
          </w:p>
        </w:tc>
        <w:tc>
          <w:tcPr>
            <w:tcW w:w="4346" w:type="pct"/>
            <w:vAlign w:val="center"/>
          </w:tcPr>
          <w:p w14:paraId="6780C2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地下水环境敏感特征</w:t>
            </w:r>
          </w:p>
        </w:tc>
      </w:tr>
      <w:tr w14:paraId="0C48E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Align w:val="center"/>
          </w:tcPr>
          <w:p w14:paraId="4BD1F5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敏感</w:t>
            </w:r>
          </w:p>
        </w:tc>
        <w:tc>
          <w:tcPr>
            <w:tcW w:w="4346" w:type="pct"/>
            <w:vAlign w:val="center"/>
          </w:tcPr>
          <w:p w14:paraId="50B6B4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45182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Align w:val="center"/>
          </w:tcPr>
          <w:p w14:paraId="6314549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较敏感</w:t>
            </w:r>
          </w:p>
        </w:tc>
        <w:tc>
          <w:tcPr>
            <w:tcW w:w="4346" w:type="pct"/>
            <w:vAlign w:val="center"/>
          </w:tcPr>
          <w:p w14:paraId="1DFE6FE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集中式饮用水源（包括已建成的在用、备用、应急水源，在建和规划的饮用水水源）准保护区以外的补给径流区；未划定准保护区的集中水式饮用水水源，其它保护区以外的补给径流区；分散式饮用水水源地；特殊地下水资源（如矿泉水、温泉等）保护区以外的分布区等其它未列入上述敏感分级的环境敏感区</w:t>
            </w:r>
            <w:r>
              <w:rPr>
                <w:rFonts w:hint="eastAsia"/>
                <w:color w:val="000000" w:themeColor="text1"/>
                <w:vertAlign w:val="superscript"/>
                <w14:textFill>
                  <w14:solidFill>
                    <w14:schemeClr w14:val="tx1"/>
                  </w14:solidFill>
                </w14:textFill>
              </w:rPr>
              <w:t>a</w:t>
            </w:r>
            <w:r>
              <w:rPr>
                <w:rFonts w:hint="eastAsia"/>
                <w:color w:val="000000" w:themeColor="text1"/>
                <w14:textFill>
                  <w14:solidFill>
                    <w14:schemeClr w14:val="tx1"/>
                  </w14:solidFill>
                </w14:textFill>
              </w:rPr>
              <w:t>。</w:t>
            </w:r>
          </w:p>
        </w:tc>
      </w:tr>
      <w:tr w14:paraId="4CC20A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Align w:val="center"/>
          </w:tcPr>
          <w:p w14:paraId="49B3F16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不敏感</w:t>
            </w:r>
          </w:p>
        </w:tc>
        <w:tc>
          <w:tcPr>
            <w:tcW w:w="4346" w:type="pct"/>
            <w:vAlign w:val="center"/>
          </w:tcPr>
          <w:p w14:paraId="1741A77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上述地区之外的其它地区</w:t>
            </w:r>
          </w:p>
        </w:tc>
      </w:tr>
      <w:tr w14:paraId="1A85B1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
            <w:vAlign w:val="center"/>
          </w:tcPr>
          <w:p w14:paraId="4B1C5F6D">
            <w:pPr>
              <w:pStyle w:val="210"/>
              <w:rPr>
                <w:rFonts w:hint="eastAsia"/>
                <w:color w:val="000000" w:themeColor="text1"/>
                <w14:textFill>
                  <w14:solidFill>
                    <w14:schemeClr w14:val="tx1"/>
                  </w14:solidFill>
                </w14:textFill>
              </w:rPr>
            </w:pPr>
            <w:r>
              <w:rPr>
                <w:rFonts w:hint="eastAsia"/>
                <w:color w:val="000000" w:themeColor="text1"/>
                <w:spacing w:val="-11"/>
                <w14:textFill>
                  <w14:solidFill>
                    <w14:schemeClr w14:val="tx1"/>
                  </w14:solidFill>
                </w14:textFill>
              </w:rPr>
              <w:t>注：a“环境敏感区”是指《建设项目环境影响分类管理名录》中所界定的涉及地下水的环境敏感区</w:t>
            </w:r>
          </w:p>
        </w:tc>
      </w:tr>
    </w:tbl>
    <w:p w14:paraId="15E4A6D2">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-4  建设项目评价工作等级分级表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81"/>
        <w:gridCol w:w="2099"/>
        <w:gridCol w:w="1987"/>
        <w:gridCol w:w="1863"/>
      </w:tblGrid>
      <w:tr w14:paraId="621ADB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3" w:type="pct"/>
            <w:tcBorders>
              <w:tl2br w:val="single" w:color="auto" w:sz="4" w:space="0"/>
            </w:tcBorders>
            <w:vAlign w:val="center"/>
          </w:tcPr>
          <w:p w14:paraId="7FE07AE3">
            <w:pPr>
              <w:pStyle w:val="62"/>
              <w:ind w:firstLine="420"/>
              <w:jc w:val="right"/>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项目类别</w:t>
            </w:r>
          </w:p>
          <w:p w14:paraId="61D743EF">
            <w:pPr>
              <w:pStyle w:val="62"/>
              <w:ind w:firstLine="420"/>
              <w:jc w:val="left"/>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环境敏感程度</w:t>
            </w:r>
          </w:p>
        </w:tc>
        <w:tc>
          <w:tcPr>
            <w:tcW w:w="1202" w:type="pct"/>
            <w:vAlign w:val="center"/>
          </w:tcPr>
          <w:p w14:paraId="1A561034">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Ⅰ类项目</w:t>
            </w:r>
          </w:p>
        </w:tc>
        <w:tc>
          <w:tcPr>
            <w:tcW w:w="1138" w:type="pct"/>
            <w:vAlign w:val="center"/>
          </w:tcPr>
          <w:p w14:paraId="72B84F56">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Ⅱ类项目</w:t>
            </w:r>
          </w:p>
        </w:tc>
        <w:tc>
          <w:tcPr>
            <w:tcW w:w="1067" w:type="pct"/>
            <w:vAlign w:val="center"/>
          </w:tcPr>
          <w:p w14:paraId="23C89C24">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Ⅲ类项目</w:t>
            </w:r>
          </w:p>
        </w:tc>
      </w:tr>
      <w:tr w14:paraId="786FA8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3" w:type="pct"/>
            <w:vAlign w:val="center"/>
          </w:tcPr>
          <w:p w14:paraId="3B5D25F1">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敏感</w:t>
            </w:r>
          </w:p>
        </w:tc>
        <w:tc>
          <w:tcPr>
            <w:tcW w:w="1202" w:type="pct"/>
            <w:vAlign w:val="center"/>
          </w:tcPr>
          <w:p w14:paraId="7F857520">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一</w:t>
            </w:r>
          </w:p>
        </w:tc>
        <w:tc>
          <w:tcPr>
            <w:tcW w:w="1138" w:type="pct"/>
            <w:vAlign w:val="center"/>
          </w:tcPr>
          <w:p w14:paraId="3DEB4004">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一</w:t>
            </w:r>
          </w:p>
        </w:tc>
        <w:tc>
          <w:tcPr>
            <w:tcW w:w="1067" w:type="pct"/>
            <w:vAlign w:val="center"/>
          </w:tcPr>
          <w:p w14:paraId="0503A8CE">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二</w:t>
            </w:r>
          </w:p>
        </w:tc>
      </w:tr>
      <w:tr w14:paraId="370D1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3" w:type="pct"/>
            <w:vAlign w:val="center"/>
          </w:tcPr>
          <w:p w14:paraId="6E8DC911">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较敏感</w:t>
            </w:r>
          </w:p>
        </w:tc>
        <w:tc>
          <w:tcPr>
            <w:tcW w:w="1202" w:type="pct"/>
            <w:vAlign w:val="center"/>
          </w:tcPr>
          <w:p w14:paraId="506777C0">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一</w:t>
            </w:r>
          </w:p>
        </w:tc>
        <w:tc>
          <w:tcPr>
            <w:tcW w:w="1138" w:type="pct"/>
            <w:vAlign w:val="center"/>
          </w:tcPr>
          <w:p w14:paraId="2C69F437">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二</w:t>
            </w:r>
          </w:p>
        </w:tc>
        <w:tc>
          <w:tcPr>
            <w:tcW w:w="1067" w:type="pct"/>
            <w:vAlign w:val="center"/>
          </w:tcPr>
          <w:p w14:paraId="77CAB84B">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三</w:t>
            </w:r>
          </w:p>
        </w:tc>
      </w:tr>
      <w:tr w14:paraId="71258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3" w:type="pct"/>
            <w:vAlign w:val="center"/>
          </w:tcPr>
          <w:p w14:paraId="0D6C9DF9">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不敏感</w:t>
            </w:r>
          </w:p>
        </w:tc>
        <w:tc>
          <w:tcPr>
            <w:tcW w:w="1202" w:type="pct"/>
            <w:vAlign w:val="center"/>
          </w:tcPr>
          <w:p w14:paraId="1AF51D0C">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二</w:t>
            </w:r>
          </w:p>
        </w:tc>
        <w:tc>
          <w:tcPr>
            <w:tcW w:w="1138" w:type="pct"/>
            <w:vAlign w:val="center"/>
          </w:tcPr>
          <w:p w14:paraId="486802B1">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三</w:t>
            </w:r>
          </w:p>
        </w:tc>
        <w:tc>
          <w:tcPr>
            <w:tcW w:w="1067" w:type="pct"/>
            <w:vAlign w:val="center"/>
          </w:tcPr>
          <w:p w14:paraId="593C1604">
            <w:pPr>
              <w:pStyle w:val="62"/>
              <w:ind w:firstLine="420"/>
              <w:rPr>
                <w:rFonts w:hint="eastAsia" w:cs="Arial"/>
                <w:color w:val="000000" w:themeColor="text1"/>
                <w:kern w:val="2"/>
                <w:sz w:val="21"/>
                <w14:textFill>
                  <w14:solidFill>
                    <w14:schemeClr w14:val="tx1"/>
                  </w14:solidFill>
                </w14:textFill>
              </w:rPr>
            </w:pPr>
            <w:r>
              <w:rPr>
                <w:rFonts w:hint="eastAsia" w:cs="Arial"/>
                <w:color w:val="000000" w:themeColor="text1"/>
                <w:kern w:val="2"/>
                <w:sz w:val="21"/>
                <w14:textFill>
                  <w14:solidFill>
                    <w14:schemeClr w14:val="tx1"/>
                  </w14:solidFill>
                </w14:textFill>
              </w:rPr>
              <w:t>三</w:t>
            </w:r>
          </w:p>
        </w:tc>
      </w:tr>
    </w:tbl>
    <w:p w14:paraId="490CE727">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项目周边无“集中式水源区的准保护区、除集中水源地的国家或地方政府设定的地下水环境相关的保护区”，也无“集中式水源区的准保护区以外的补给径流区、分散式饮用水水源地、特殊地下水资源保护区”，敏感程度为“不敏感”。</w:t>
      </w:r>
    </w:p>
    <w:p w14:paraId="0F0CA34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本项目属于陆地石油开采行业，</w:t>
      </w:r>
      <w:r>
        <w:rPr>
          <w:rFonts w:hint="eastAsia" w:cs="宋体"/>
          <w:color w:val="000000" w:themeColor="text1"/>
          <w14:textFill>
            <w14:solidFill>
              <w14:schemeClr w14:val="tx1"/>
            </w14:solidFill>
          </w14:textFill>
        </w:rPr>
        <w:t>根据</w:t>
      </w:r>
      <w:r>
        <w:rPr>
          <w:rFonts w:hint="eastAsia"/>
          <w:color w:val="000000" w:themeColor="text1"/>
          <w14:textFill>
            <w14:solidFill>
              <w14:schemeClr w14:val="tx1"/>
            </w14:solidFill>
          </w14:textFill>
        </w:rPr>
        <w:t>《环境影响评价技术导则 陆地石油天然气开发建设项目》（H</w:t>
      </w:r>
      <w:r>
        <w:rPr>
          <w:color w:val="000000" w:themeColor="text1"/>
          <w14:textFill>
            <w14:solidFill>
              <w14:schemeClr w14:val="tx1"/>
            </w14:solidFill>
          </w14:textFill>
        </w:rPr>
        <w:t>J349</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2023</w:t>
      </w:r>
      <w:r>
        <w:rPr>
          <w:rFonts w:hint="eastAsia"/>
          <w:color w:val="000000" w:themeColor="text1"/>
          <w14:textFill>
            <w14:solidFill>
              <w14:schemeClr w14:val="tx1"/>
            </w14:solidFill>
          </w14:textFill>
        </w:rPr>
        <w:t>）规定采油井场和注水井场为Ⅰ类建设项目，单井采油管线、单井注水管线和单井掺热水管线为Ⅱ类建设项目，</w:t>
      </w:r>
      <w:bookmarkStart w:id="106" w:name="_Hlk41317454"/>
      <w:bookmarkStart w:id="107" w:name="_Toc25869"/>
      <w:bookmarkStart w:id="108" w:name="_Toc445841977"/>
      <w:r>
        <w:rPr>
          <w:rFonts w:hint="eastAsia"/>
          <w:color w:val="000000" w:themeColor="text1"/>
          <w14:textFill>
            <w14:solidFill>
              <w14:schemeClr w14:val="tx1"/>
            </w14:solidFill>
          </w14:textFill>
        </w:rPr>
        <w:t>根据表2.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-4判定采油井场和注水井场地下水评价等级为二级</w:t>
      </w:r>
      <w:bookmarkEnd w:id="106"/>
      <w:r>
        <w:rPr>
          <w:rFonts w:hint="eastAsia"/>
          <w:color w:val="000000" w:themeColor="text1"/>
          <w14:textFill>
            <w14:solidFill>
              <w14:schemeClr w14:val="tx1"/>
            </w14:solidFill>
          </w14:textFill>
        </w:rPr>
        <w:t>，单井采油管线、单井注水管线和单井掺热水管线地下水评价等级为三级。</w:t>
      </w:r>
    </w:p>
    <w:p w14:paraId="72E19C88">
      <w:pPr>
        <w:pStyle w:val="120"/>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本项目拟部署2口注水井，根据《环境影响评价技术导则 陆地石油天然气开发建设项目》（HJ349-2023）7.2新建回注井（含开采井转回注井）的场地，地下水评价等级不低于二级，故本项目地下水评价等级为二级。</w:t>
      </w:r>
    </w:p>
    <w:p w14:paraId="543F0C42">
      <w:pPr>
        <w:pStyle w:val="120"/>
        <w:rPr>
          <w:rFonts w:hint="eastAsia"/>
          <w:color w:val="000000" w:themeColor="text1"/>
          <w14:textFill>
            <w14:solidFill>
              <w14:schemeClr w14:val="tx1"/>
            </w14:solidFill>
          </w14:textFill>
        </w:rPr>
      </w:pPr>
      <w:bookmarkStart w:id="109" w:name="_Hlk92203563"/>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）声环境评价等级</w:t>
      </w:r>
      <w:bookmarkEnd w:id="107"/>
      <w:bookmarkEnd w:id="108"/>
    </w:p>
    <w:p w14:paraId="11C62DC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项目区属于《声环境质量标准》（GB3096-2008）中的</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类功能区，评价范围内无声环境敏感目标，受影响人口数量变化不大。根据《环境影响评价技术导则 声环境》（HJ2.4-20</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）的有关要求，确定声环境评价等级为二级。</w:t>
      </w:r>
    </w:p>
    <w:bookmarkEnd w:id="109"/>
    <w:p w14:paraId="7AD5D632">
      <w:pPr>
        <w:pStyle w:val="120"/>
        <w:rPr>
          <w:rFonts w:hint="eastAsia"/>
          <w:color w:val="000000" w:themeColor="text1"/>
          <w14:textFill>
            <w14:solidFill>
              <w14:schemeClr w14:val="tx1"/>
            </w14:solidFill>
          </w14:textFill>
        </w:rPr>
      </w:pPr>
      <w:bookmarkStart w:id="110" w:name="_Toc445841975"/>
      <w:bookmarkStart w:id="111" w:name="_Toc31988"/>
      <w:bookmarkStart w:id="112" w:name="_Hlk92203596"/>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）生态环境评价等级</w:t>
      </w:r>
      <w:bookmarkEnd w:id="110"/>
      <w:bookmarkEnd w:id="111"/>
    </w:p>
    <w:bookmarkEnd w:id="112"/>
    <w:p w14:paraId="788725E2">
      <w:pPr>
        <w:pStyle w:val="120"/>
        <w:rPr>
          <w:rFonts w:hint="eastAsia" w:ascii="黑体" w:hAnsi="黑体" w:eastAsia="黑体"/>
          <w:color w:val="000000" w:themeColor="text1"/>
          <w:kern w:val="0"/>
          <w:szCs w:val="21"/>
          <w14:textFill>
            <w14:solidFill>
              <w14:schemeClr w14:val="tx1"/>
            </w14:solidFill>
          </w14:textFill>
        </w:rPr>
      </w:pPr>
      <w:bookmarkStart w:id="113" w:name="_Hlk80048150"/>
      <w:r>
        <w:rPr>
          <w:color w:val="000000" w:themeColor="text1"/>
          <w14:textFill>
            <w14:solidFill>
              <w14:schemeClr w14:val="tx1"/>
            </w14:solidFill>
          </w14:textFill>
        </w:rPr>
        <w:t>《环境影响评价技术导则  生态影响》（</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"http://www.360doc.com/content/10/1102/08/4330919_65871295.shtml" \t "C:UsersAdministratorDesktop环评补充克拉美丽气田环评报告-报批稿_blank"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HJ19-2022</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r>
        <w:rPr>
          <w:rFonts w:hint="eastAsia"/>
          <w:color w:val="000000" w:themeColor="text1"/>
          <w14:textFill>
            <w14:solidFill>
              <w14:schemeClr w14:val="tx1"/>
            </w14:solidFill>
          </w14:textFill>
        </w:rPr>
        <w:t>依据建设项目影响区域的生态敏感性和影响程度，评价等级划分为一级、二级和三级，具体判定情况见表</w:t>
      </w:r>
      <w:r>
        <w:rPr>
          <w:color w:val="000000" w:themeColor="text1"/>
          <w14:textFill>
            <w14:solidFill>
              <w14:schemeClr w14:val="tx1"/>
            </w14:solidFill>
          </w14:textFill>
        </w:rPr>
        <w:t>2.6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bookmarkEnd w:id="113"/>
    </w:p>
    <w:p w14:paraId="73C55AB1">
      <w:pPr>
        <w:adjustRightInd w:val="0"/>
        <w:snapToGrid w:val="0"/>
        <w:spacing w:line="500" w:lineRule="exact"/>
        <w:ind w:firstLine="420" w:firstLineChars="200"/>
        <w:jc w:val="center"/>
        <w:rPr>
          <w:rFonts w:hint="eastAsia" w:ascii="黑体" w:hAnsi="黑体" w:eastAsia="黑体"/>
          <w:color w:val="000000" w:themeColor="text1"/>
          <w:kern w:val="0"/>
          <w:szCs w:val="21"/>
          <w:lang w:val="zh-CN"/>
          <w14:textFill>
            <w14:solidFill>
              <w14:schemeClr w14:val="tx1"/>
            </w14:solidFill>
          </w14:textFill>
        </w:rPr>
      </w:pPr>
      <w:r>
        <w:rPr>
          <w:rFonts w:hint="eastAsia" w:ascii="黑体" w:hAnsi="黑体" w:eastAsia="黑体"/>
          <w:color w:val="000000" w:themeColor="text1"/>
          <w:kern w:val="0"/>
          <w:szCs w:val="21"/>
          <w:lang w:val="zh-CN"/>
          <w14:textFill>
            <w14:solidFill>
              <w14:schemeClr w14:val="tx1"/>
            </w14:solidFill>
          </w14:textFill>
        </w:rPr>
        <w:t>表2.</w:t>
      </w:r>
      <w:r>
        <w:rPr>
          <w:rFonts w:ascii="黑体" w:hAnsi="黑体" w:eastAsia="黑体"/>
          <w:color w:val="000000" w:themeColor="text1"/>
          <w:kern w:val="0"/>
          <w:szCs w:val="21"/>
          <w14:textFill>
            <w14:solidFill>
              <w14:schemeClr w14:val="tx1"/>
            </w14:solidFill>
          </w14:textFill>
        </w:rPr>
        <w:t>6</w:t>
      </w:r>
      <w:r>
        <w:rPr>
          <w:rFonts w:hint="eastAsia" w:ascii="黑体" w:hAnsi="黑体" w:eastAsia="黑体"/>
          <w:color w:val="000000" w:themeColor="text1"/>
          <w:kern w:val="0"/>
          <w:szCs w:val="21"/>
          <w14:textFill>
            <w14:solidFill>
              <w14:schemeClr w14:val="tx1"/>
            </w14:solidFill>
          </w14:textFill>
        </w:rPr>
        <w:t>-</w:t>
      </w:r>
      <w:r>
        <w:rPr>
          <w:rFonts w:ascii="黑体" w:hAnsi="黑体" w:eastAsia="黑体"/>
          <w:color w:val="000000" w:themeColor="text1"/>
          <w:kern w:val="0"/>
          <w:szCs w:val="21"/>
          <w14:textFill>
            <w14:solidFill>
              <w14:schemeClr w14:val="tx1"/>
            </w14:solidFill>
          </w14:textFill>
        </w:rPr>
        <w:t>5</w:t>
      </w:r>
      <w:r>
        <w:rPr>
          <w:rFonts w:hint="eastAsia" w:ascii="黑体" w:hAnsi="黑体" w:eastAsia="黑体"/>
          <w:color w:val="000000" w:themeColor="text1"/>
          <w:kern w:val="0"/>
          <w:szCs w:val="21"/>
          <w14:textFill>
            <w14:solidFill>
              <w14:schemeClr w14:val="tx1"/>
            </w14:solidFill>
          </w14:textFill>
        </w:rPr>
        <w:t xml:space="preserve">  生态环境影响评级等级判定</w:t>
      </w:r>
      <w:r>
        <w:rPr>
          <w:rFonts w:hint="eastAsia" w:ascii="黑体" w:hAnsi="黑体" w:eastAsia="黑体"/>
          <w:color w:val="000000" w:themeColor="text1"/>
          <w:kern w:val="0"/>
          <w:szCs w:val="21"/>
          <w:lang w:val="zh-CN"/>
          <w14:textFill>
            <w14:solidFill>
              <w14:schemeClr w14:val="tx1"/>
            </w14:solidFill>
          </w14:textFill>
        </w:rPr>
        <w:t>一览表</w:t>
      </w:r>
    </w:p>
    <w:tbl>
      <w:tblPr>
        <w:tblStyle w:val="51"/>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4877"/>
        <w:gridCol w:w="3853"/>
      </w:tblGrid>
      <w:tr w14:paraId="27DFA0C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2793" w:type="pct"/>
            <w:vAlign w:val="center"/>
          </w:tcPr>
          <w:p w14:paraId="7535216C">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s="宋体"/>
                <w:bCs/>
                <w:color w:val="000000" w:themeColor="text1"/>
                <w:kern w:val="0"/>
                <w:szCs w:val="21"/>
                <w14:textFill>
                  <w14:solidFill>
                    <w14:schemeClr w14:val="tx1"/>
                  </w14:solidFill>
                </w14:textFill>
              </w:rPr>
              <w:t>判定原则</w:t>
            </w:r>
          </w:p>
        </w:tc>
        <w:tc>
          <w:tcPr>
            <w:tcW w:w="2207" w:type="pct"/>
            <w:vAlign w:val="center"/>
          </w:tcPr>
          <w:p w14:paraId="12502672">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s="宋体"/>
                <w:bCs/>
                <w:color w:val="000000" w:themeColor="text1"/>
                <w:kern w:val="0"/>
                <w:szCs w:val="21"/>
                <w14:textFill>
                  <w14:solidFill>
                    <w14:schemeClr w14:val="tx1"/>
                  </w14:solidFill>
                </w14:textFill>
              </w:rPr>
              <w:t>判定结果</w:t>
            </w:r>
          </w:p>
        </w:tc>
      </w:tr>
      <w:tr w14:paraId="0CB2A8D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793" w:type="pct"/>
            <w:vAlign w:val="center"/>
          </w:tcPr>
          <w:p w14:paraId="4927E96E">
            <w:pPr>
              <w:adjustRightInd w:val="0"/>
              <w:snapToGrid w:val="0"/>
              <w:ind w:firstLine="480"/>
              <w:jc w:val="left"/>
              <w:textAlignment w:val="center"/>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a）涉及国家公园、自然保护区、世界自然遗产、重要生境时，评价等级为一级</w:t>
            </w:r>
          </w:p>
        </w:tc>
        <w:tc>
          <w:tcPr>
            <w:tcW w:w="2207" w:type="pct"/>
            <w:vAlign w:val="center"/>
          </w:tcPr>
          <w:p w14:paraId="1B32F376">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s="宋体"/>
                <w:bCs/>
                <w:color w:val="000000" w:themeColor="text1"/>
                <w:kern w:val="0"/>
                <w:szCs w:val="21"/>
                <w14:textFill>
                  <w14:solidFill>
                    <w14:schemeClr w14:val="tx1"/>
                  </w14:solidFill>
                </w14:textFill>
              </w:rPr>
              <w:t>评价范围内不涉及</w:t>
            </w:r>
          </w:p>
        </w:tc>
      </w:tr>
      <w:tr w14:paraId="466918E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793" w:type="pct"/>
            <w:vAlign w:val="center"/>
          </w:tcPr>
          <w:p w14:paraId="3D03478C">
            <w:pPr>
              <w:adjustRightInd w:val="0"/>
              <w:snapToGrid w:val="0"/>
              <w:ind w:firstLine="480"/>
              <w:jc w:val="left"/>
              <w:textAlignment w:val="center"/>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b）涉及自然公园时，评价等级为二级</w:t>
            </w:r>
          </w:p>
        </w:tc>
        <w:tc>
          <w:tcPr>
            <w:tcW w:w="2207" w:type="pct"/>
            <w:vAlign w:val="center"/>
          </w:tcPr>
          <w:p w14:paraId="41DC95BC">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s="宋体"/>
                <w:bCs/>
                <w:color w:val="000000" w:themeColor="text1"/>
                <w:kern w:val="0"/>
                <w:szCs w:val="21"/>
                <w14:textFill>
                  <w14:solidFill>
                    <w14:schemeClr w14:val="tx1"/>
                  </w14:solidFill>
                </w14:textFill>
              </w:rPr>
              <w:t>评价范围内不涉及</w:t>
            </w:r>
          </w:p>
        </w:tc>
      </w:tr>
      <w:tr w14:paraId="5003D0C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793" w:type="pct"/>
            <w:vAlign w:val="center"/>
          </w:tcPr>
          <w:p w14:paraId="48ED13F5">
            <w:pPr>
              <w:adjustRightInd w:val="0"/>
              <w:snapToGrid w:val="0"/>
              <w:ind w:firstLine="480"/>
              <w:jc w:val="left"/>
              <w:textAlignment w:val="center"/>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c）涉及生态保护红线时，评价等级不低于二级</w:t>
            </w:r>
          </w:p>
        </w:tc>
        <w:tc>
          <w:tcPr>
            <w:tcW w:w="2207" w:type="pct"/>
            <w:vAlign w:val="center"/>
          </w:tcPr>
          <w:p w14:paraId="4A238721">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s="宋体"/>
                <w:bCs/>
                <w:color w:val="000000" w:themeColor="text1"/>
                <w:kern w:val="0"/>
                <w:szCs w:val="21"/>
                <w14:textFill>
                  <w14:solidFill>
                    <w14:schemeClr w14:val="tx1"/>
                  </w14:solidFill>
                </w14:textFill>
              </w:rPr>
              <w:t>评价范围内不涉及</w:t>
            </w:r>
          </w:p>
        </w:tc>
      </w:tr>
      <w:tr w14:paraId="5BACAD5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793" w:type="pct"/>
            <w:vAlign w:val="center"/>
          </w:tcPr>
          <w:p w14:paraId="3D6C7F2A">
            <w:pPr>
              <w:adjustRightInd w:val="0"/>
              <w:snapToGrid w:val="0"/>
              <w:ind w:firstLine="480"/>
              <w:jc w:val="left"/>
              <w:textAlignment w:val="center"/>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d）根据HJ2.3判断属于水文要素影响型且地表水评价等级不低于二级的建设项目，生态影响评价等级不低于二级</w:t>
            </w:r>
          </w:p>
        </w:tc>
        <w:tc>
          <w:tcPr>
            <w:tcW w:w="2207" w:type="pct"/>
            <w:vAlign w:val="center"/>
          </w:tcPr>
          <w:p w14:paraId="06573C30">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不属于水文要素影响型建设项目</w:t>
            </w:r>
          </w:p>
        </w:tc>
      </w:tr>
      <w:tr w14:paraId="3552767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793" w:type="pct"/>
            <w:vAlign w:val="center"/>
          </w:tcPr>
          <w:p w14:paraId="0A81D8E4">
            <w:pPr>
              <w:adjustRightInd w:val="0"/>
              <w:snapToGrid w:val="0"/>
              <w:ind w:firstLine="480"/>
              <w:jc w:val="left"/>
              <w:textAlignment w:val="center"/>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e）根据HJ610、HJ964判断地下水水位或土壤影响范围内分布有天然林、公益林、湿地等生态保护目标的建设项目，生态影响评价等级不低于二级</w:t>
            </w:r>
          </w:p>
        </w:tc>
        <w:tc>
          <w:tcPr>
            <w:tcW w:w="2207" w:type="pct"/>
            <w:vAlign w:val="center"/>
          </w:tcPr>
          <w:p w14:paraId="326A5BDA">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s="宋体"/>
                <w:bCs/>
                <w:color w:val="000000" w:themeColor="text1"/>
                <w:kern w:val="0"/>
                <w:szCs w:val="21"/>
                <w14:textFill>
                  <w14:solidFill>
                    <w14:schemeClr w14:val="tx1"/>
                  </w14:solidFill>
                </w14:textFill>
              </w:rPr>
              <w:t>占地范围内不涉及天然林、公益林和湿地</w:t>
            </w:r>
          </w:p>
        </w:tc>
      </w:tr>
      <w:tr w14:paraId="3D1C67A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793" w:type="pct"/>
            <w:vAlign w:val="center"/>
          </w:tcPr>
          <w:p w14:paraId="37968207">
            <w:pPr>
              <w:adjustRightInd w:val="0"/>
              <w:snapToGrid w:val="0"/>
              <w:ind w:firstLine="480"/>
              <w:jc w:val="left"/>
              <w:textAlignment w:val="center"/>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f）当工程占地规模大于20km</w:t>
            </w:r>
            <w:r>
              <w:rPr>
                <w:rFonts w:hint="eastAsia" w:ascii="宋体" w:hAnsi="宋体" w:cs="宋体"/>
                <w:color w:val="000000" w:themeColor="text1"/>
                <w:szCs w:val="21"/>
                <w:vertAlign w:val="superscript"/>
                <w14:textFill>
                  <w14:solidFill>
                    <w14:schemeClr w14:val="tx1"/>
                  </w14:solidFill>
                </w14:textFill>
              </w:rPr>
              <w:t>2</w:t>
            </w:r>
            <w:r>
              <w:rPr>
                <w:rFonts w:hint="eastAsia" w:ascii="宋体" w:hAnsi="宋体" w:cs="宋体"/>
                <w:color w:val="000000" w:themeColor="text1"/>
                <w:szCs w:val="21"/>
                <w14:textFill>
                  <w14:solidFill>
                    <w14:schemeClr w14:val="tx1"/>
                  </w14:solidFill>
                </w14:textFill>
              </w:rPr>
              <w:t>时（包括永久和临时占用陆域和水域），评价等级不低于二级；改扩建项目的占地范围以新增占地（包括陆域和水域）确定</w:t>
            </w:r>
          </w:p>
        </w:tc>
        <w:tc>
          <w:tcPr>
            <w:tcW w:w="2207" w:type="pct"/>
            <w:vAlign w:val="center"/>
          </w:tcPr>
          <w:p w14:paraId="24070A21">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s="宋体"/>
                <w:bCs/>
                <w:color w:val="000000" w:themeColor="text1"/>
                <w:kern w:val="0"/>
                <w:szCs w:val="21"/>
                <w14:textFill>
                  <w14:solidFill>
                    <w14:schemeClr w14:val="tx1"/>
                  </w14:solidFill>
                </w14:textFill>
              </w:rPr>
              <w:t>新增占地约</w:t>
            </w:r>
            <w:r>
              <w:rPr>
                <w:rFonts w:hint="eastAsia" w:ascii="宋体" w:hAnsi="宋体" w:cs="宋体"/>
                <w:bCs/>
                <w:color w:val="000000" w:themeColor="text1"/>
                <w:kern w:val="0"/>
                <w:szCs w:val="21"/>
                <w:lang w:val="en-US" w:eastAsia="zh-CN"/>
                <w14:textFill>
                  <w14:solidFill>
                    <w14:schemeClr w14:val="tx1"/>
                  </w14:solidFill>
                </w14:textFill>
              </w:rPr>
              <w:t>0.09</w:t>
            </w:r>
            <w:r>
              <w:rPr>
                <w:rFonts w:ascii="宋体" w:hAnsi="宋体" w:cs="宋体"/>
                <w:bCs/>
                <w:color w:val="000000" w:themeColor="text1"/>
                <w:kern w:val="0"/>
                <w:szCs w:val="21"/>
                <w14:textFill>
                  <w14:solidFill>
                    <w14:schemeClr w14:val="tx1"/>
                  </w14:solidFill>
                </w14:textFill>
              </w:rPr>
              <w:t>km</w:t>
            </w:r>
            <w:r>
              <w:rPr>
                <w:rFonts w:ascii="宋体" w:hAnsi="宋体" w:cs="宋体"/>
                <w:bCs/>
                <w:color w:val="000000" w:themeColor="text1"/>
                <w:kern w:val="0"/>
                <w:szCs w:val="21"/>
                <w:vertAlign w:val="superscript"/>
                <w14:textFill>
                  <w14:solidFill>
                    <w14:schemeClr w14:val="tx1"/>
                  </w14:solidFill>
                </w14:textFill>
              </w:rPr>
              <w:t>2</w:t>
            </w:r>
            <w:r>
              <w:rPr>
                <w:rFonts w:hint="eastAsia" w:ascii="宋体" w:hAnsi="宋体" w:cs="宋体"/>
                <w:bCs/>
                <w:color w:val="000000" w:themeColor="text1"/>
                <w:kern w:val="0"/>
                <w:szCs w:val="21"/>
                <w14:textFill>
                  <w14:solidFill>
                    <w14:schemeClr w14:val="tx1"/>
                  </w14:solidFill>
                </w14:textFill>
              </w:rPr>
              <w:t>，小于2</w:t>
            </w:r>
            <w:r>
              <w:rPr>
                <w:rFonts w:ascii="宋体" w:hAnsi="宋体" w:cs="宋体"/>
                <w:bCs/>
                <w:color w:val="000000" w:themeColor="text1"/>
                <w:kern w:val="0"/>
                <w:szCs w:val="21"/>
                <w14:textFill>
                  <w14:solidFill>
                    <w14:schemeClr w14:val="tx1"/>
                  </w14:solidFill>
                </w14:textFill>
              </w:rPr>
              <w:t>0</w:t>
            </w:r>
            <w:r>
              <w:rPr>
                <w:rFonts w:hint="eastAsia" w:ascii="宋体" w:hAnsi="宋体" w:cs="宋体"/>
                <w:color w:val="000000" w:themeColor="text1"/>
                <w:szCs w:val="21"/>
                <w14:textFill>
                  <w14:solidFill>
                    <w14:schemeClr w14:val="tx1"/>
                  </w14:solidFill>
                </w14:textFill>
              </w:rPr>
              <w:t>km</w:t>
            </w:r>
            <w:r>
              <w:rPr>
                <w:rFonts w:hint="eastAsia" w:ascii="宋体" w:hAnsi="宋体" w:cs="宋体"/>
                <w:color w:val="000000" w:themeColor="text1"/>
                <w:szCs w:val="21"/>
                <w:vertAlign w:val="superscript"/>
                <w14:textFill>
                  <w14:solidFill>
                    <w14:schemeClr w14:val="tx1"/>
                  </w14:solidFill>
                </w14:textFill>
              </w:rPr>
              <w:t>2</w:t>
            </w:r>
          </w:p>
        </w:tc>
      </w:tr>
      <w:tr w14:paraId="24D3501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793" w:type="pct"/>
            <w:vAlign w:val="center"/>
          </w:tcPr>
          <w:p w14:paraId="05C27A4C">
            <w:pPr>
              <w:adjustRightInd w:val="0"/>
              <w:snapToGrid w:val="0"/>
              <w:ind w:firstLine="480"/>
              <w:jc w:val="left"/>
              <w:textAlignment w:val="center"/>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g）除本条a）、b）、c）、d）、e）、f）以外的情况，评价等级为三级</w:t>
            </w:r>
          </w:p>
        </w:tc>
        <w:tc>
          <w:tcPr>
            <w:tcW w:w="2207" w:type="pct"/>
            <w:vAlign w:val="center"/>
          </w:tcPr>
          <w:p w14:paraId="10DA614C">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属于《环境影响评价技术导则 生态影响》（HJ19-2022）6.1.2评价等级确定原则a）、b）、c）、d）、e）、f）以外的情况，评价等级为三级</w:t>
            </w:r>
          </w:p>
        </w:tc>
      </w:tr>
      <w:tr w14:paraId="4F54754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793" w:type="pct"/>
            <w:vAlign w:val="center"/>
          </w:tcPr>
          <w:p w14:paraId="59B54884">
            <w:pPr>
              <w:adjustRightInd w:val="0"/>
              <w:snapToGrid w:val="0"/>
              <w:ind w:firstLine="480"/>
              <w:jc w:val="left"/>
              <w:textAlignment w:val="center"/>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h）当评价等级判定同时符合上述多种情况时，应采用其中最高的评价等级</w:t>
            </w:r>
          </w:p>
        </w:tc>
        <w:tc>
          <w:tcPr>
            <w:tcW w:w="2207" w:type="pct"/>
            <w:vAlign w:val="center"/>
          </w:tcPr>
          <w:p w14:paraId="1AABE3F2">
            <w:pPr>
              <w:adjustRightInd w:val="0"/>
              <w:snapToGrid w:val="0"/>
              <w:ind w:firstLine="480"/>
              <w:jc w:val="center"/>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s="宋体"/>
                <w:bCs/>
                <w:color w:val="000000" w:themeColor="text1"/>
                <w:kern w:val="0"/>
                <w:szCs w:val="21"/>
                <w14:textFill>
                  <w14:solidFill>
                    <w14:schemeClr w14:val="tx1"/>
                  </w14:solidFill>
                </w14:textFill>
              </w:rPr>
              <w:t>仅符合上述g条，评价等级为三级</w:t>
            </w:r>
          </w:p>
        </w:tc>
      </w:tr>
      <w:tr w14:paraId="34EA564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793" w:type="pct"/>
            <w:vAlign w:val="center"/>
          </w:tcPr>
          <w:p w14:paraId="76243819">
            <w:pPr>
              <w:autoSpaceDE w:val="0"/>
              <w:autoSpaceDN w:val="0"/>
              <w:adjustRightInd w:val="0"/>
              <w:snapToGrid w:val="0"/>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建设项目涉及经论证对保护生物多样性具有重要意义的区域时，可适当上调评价等级。</w:t>
            </w:r>
          </w:p>
        </w:tc>
        <w:tc>
          <w:tcPr>
            <w:tcW w:w="2207" w:type="pct"/>
            <w:vAlign w:val="center"/>
          </w:tcPr>
          <w:p w14:paraId="66891B54">
            <w:pPr>
              <w:adjustRightInd w:val="0"/>
              <w:snapToGrid w:val="0"/>
              <w:ind w:firstLine="480"/>
              <w:textAlignment w:val="center"/>
              <w:rPr>
                <w:rFonts w:hint="eastAsia" w:ascii="宋体" w:hAnsi="宋体" w:cs="宋体"/>
                <w:bCs/>
                <w:color w:val="000000" w:themeColor="text1"/>
                <w:kern w:val="0"/>
                <w:szCs w:val="21"/>
                <w14:textFill>
                  <w14:solidFill>
                    <w14:schemeClr w14:val="tx1"/>
                  </w14:solidFill>
                </w14:textFill>
              </w:rPr>
            </w:pPr>
            <w:r>
              <w:rPr>
                <w:rFonts w:hint="eastAsia" w:ascii="宋体" w:hAnsi="宋体" w:cs="宋体"/>
                <w:bCs/>
                <w:color w:val="000000" w:themeColor="text1"/>
                <w:kern w:val="0"/>
                <w:szCs w:val="21"/>
                <w14:textFill>
                  <w14:solidFill>
                    <w14:schemeClr w14:val="tx1"/>
                  </w14:solidFill>
                </w14:textFill>
              </w:rPr>
              <w:t>评价范围内</w:t>
            </w:r>
            <w:r>
              <w:rPr>
                <w:rFonts w:hint="eastAsia" w:ascii="宋体" w:hAnsi="宋体"/>
                <w:color w:val="000000" w:themeColor="text1"/>
                <w:szCs w:val="21"/>
                <w14:textFill>
                  <w14:solidFill>
                    <w14:schemeClr w14:val="tx1"/>
                  </w14:solidFill>
                </w14:textFill>
              </w:rPr>
              <w:t>不涉及对保护生物多样性具有重要意义的区域，无需上调评价等级</w:t>
            </w:r>
          </w:p>
        </w:tc>
      </w:tr>
    </w:tbl>
    <w:p w14:paraId="1CFCF02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由表</w:t>
      </w:r>
      <w:r>
        <w:rPr>
          <w:color w:val="000000" w:themeColor="text1"/>
          <w14:textFill>
            <w14:solidFill>
              <w14:schemeClr w14:val="tx1"/>
            </w14:solidFill>
          </w14:textFill>
        </w:rPr>
        <w:t>2.6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可知，生态影响评价等级为</w:t>
      </w:r>
      <w:r>
        <w:rPr>
          <w:rFonts w:hint="eastAsia"/>
          <w:color w:val="000000" w:themeColor="text1"/>
          <w:lang w:val="en-US"/>
          <w14:textFill>
            <w14:solidFill>
              <w14:schemeClr w14:val="tx1"/>
            </w14:solidFill>
          </w14:textFill>
        </w:rPr>
        <w:t>三</w:t>
      </w:r>
      <w:r>
        <w:rPr>
          <w:rFonts w:hint="eastAsia"/>
          <w:color w:val="000000" w:themeColor="text1"/>
          <w14:textFill>
            <w14:solidFill>
              <w14:schemeClr w14:val="tx1"/>
            </w14:solidFill>
          </w14:textFill>
        </w:rPr>
        <w:t>级。</w:t>
      </w:r>
    </w:p>
    <w:p w14:paraId="2E960CDE">
      <w:pPr>
        <w:pStyle w:val="120"/>
        <w:rPr>
          <w:rFonts w:hint="eastAsia"/>
          <w:color w:val="000000" w:themeColor="text1"/>
          <w14:textFill>
            <w14:solidFill>
              <w14:schemeClr w14:val="tx1"/>
            </w14:solidFill>
          </w14:textFill>
        </w:rPr>
      </w:pPr>
      <w:bookmarkStart w:id="114" w:name="_Toc445841978"/>
      <w:bookmarkStart w:id="115" w:name="_Toc24207"/>
      <w:r>
        <w:rPr>
          <w:rFonts w:hint="eastAsia"/>
          <w:color w:val="000000" w:themeColor="text1"/>
          <w14:textFill>
            <w14:solidFill>
              <w14:schemeClr w14:val="tx1"/>
            </w14:solidFill>
          </w14:textFill>
        </w:rPr>
        <w:t>（6）土壤环境评价等级</w:t>
      </w:r>
    </w:p>
    <w:p w14:paraId="4D786E6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项目所在区域为盐化地区，根据《环境影响评价技术导则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陆地石油天然气开发建设项目》（H</w:t>
      </w:r>
      <w:r>
        <w:rPr>
          <w:color w:val="000000" w:themeColor="text1"/>
          <w14:textFill>
            <w14:solidFill>
              <w14:schemeClr w14:val="tx1"/>
            </w14:solidFill>
          </w14:textFill>
        </w:rPr>
        <w:t>J349-2023</w:t>
      </w:r>
      <w:r>
        <w:rPr>
          <w:rFonts w:hint="eastAsia"/>
          <w:color w:val="000000" w:themeColor="text1"/>
          <w14:textFill>
            <w14:solidFill>
              <w14:schemeClr w14:val="tx1"/>
            </w14:solidFill>
          </w14:textFill>
        </w:rPr>
        <w:t>）中规定，项目应按照土壤污染影响型和生态影响型，按相应等级分别开展评价工作。</w:t>
      </w:r>
    </w:p>
    <w:p w14:paraId="203113E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①土壤污染影响型</w:t>
      </w:r>
    </w:p>
    <w:p w14:paraId="15D569A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土壤污染影响型项目根据评价类别、占地规模与敏感程度划分评价等级，见表2.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-6。</w:t>
      </w:r>
    </w:p>
    <w:p w14:paraId="3741D766">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660400</wp:posOffset>
                </wp:positionH>
                <wp:positionV relativeFrom="paragraph">
                  <wp:posOffset>327025</wp:posOffset>
                </wp:positionV>
                <wp:extent cx="825500" cy="718820"/>
                <wp:effectExtent l="0" t="0" r="31750" b="24130"/>
                <wp:wrapNone/>
                <wp:docPr id="41" name="自选图形 363"/>
                <wp:cNvGraphicFramePr/>
                <a:graphic xmlns:a="http://schemas.openxmlformats.org/drawingml/2006/main">
                  <a:graphicData uri="http://schemas.microsoft.com/office/word/2010/wordprocessingShape">
                    <wps:wsp>
                      <wps:cNvCnPr>
                        <a:cxnSpLocks noChangeShapeType="1"/>
                      </wps:cNvCnPr>
                      <wps:spPr bwMode="auto">
                        <a:xfrm>
                          <a:off x="0" y="0"/>
                          <a:ext cx="825525" cy="718896"/>
                        </a:xfrm>
                        <a:prstGeom prst="straightConnector1">
                          <a:avLst/>
                        </a:prstGeom>
                        <a:noFill/>
                        <a:ln w="6350">
                          <a:solidFill>
                            <a:srgbClr val="0D0D0D"/>
                          </a:solidFill>
                          <a:round/>
                        </a:ln>
                      </wps:spPr>
                      <wps:bodyPr/>
                    </wps:wsp>
                  </a:graphicData>
                </a:graphic>
              </wp:anchor>
            </w:drawing>
          </mc:Choice>
          <mc:Fallback>
            <w:pict>
              <v:shape id="自选图形 363" o:spid="_x0000_s1026" o:spt="32" type="#_x0000_t32" style="position:absolute;left:0pt;margin-left:52pt;margin-top:25.75pt;height:56.6pt;width:65pt;z-index:251660288;mso-width-relative:page;mso-height-relative:page;" filled="f" stroked="t" coordsize="21600,21600" o:gfxdata="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ZmmIXZAAAACgEAAA8AAAAAAAAAAQAgAAAAIgAAAGRycy9kb3ducmV2LnhtbFBL&#10;AQIUABQAAAAIAIdO4kB322Hn9QEAALwDAAAOAAAAAAAAAAEAIAAAACgBAABkcnMvZTJvRG9jLnht&#10;bFBLBQYAAAAABgAGAFkBAACPBQAAAAA=&#10;">
                <v:fill on="f" focussize="0,0"/>
                <v:stroke weight="0.5pt" color="#0D0D0D" joinstyle="round"/>
                <v:imagedata o:title=""/>
                <o:lock v:ext="edit" aspectratio="f"/>
              </v:shape>
            </w:pict>
          </mc:Fallback>
        </mc:AlternateContent>
      </w: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-6  污染影响型评价工作等级划分表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55"/>
        <w:gridCol w:w="707"/>
        <w:gridCol w:w="707"/>
        <w:gridCol w:w="709"/>
        <w:gridCol w:w="707"/>
        <w:gridCol w:w="707"/>
        <w:gridCol w:w="711"/>
        <w:gridCol w:w="707"/>
        <w:gridCol w:w="707"/>
        <w:gridCol w:w="713"/>
      </w:tblGrid>
      <w:tr w14:paraId="63924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Merge w:val="restart"/>
            <w:vAlign w:val="center"/>
          </w:tcPr>
          <w:p w14:paraId="73F12756">
            <w:pPr>
              <w:pStyle w:val="280"/>
              <w:rPr>
                <w:rFonts w:hint="eastAsia"/>
                <w:color w:val="000000" w:themeColor="text1"/>
                <w14:textFill>
                  <w14:solidFill>
                    <w14:schemeClr w14:val="tx1"/>
                  </w14:solidFill>
                </w14:textFill>
              </w:rPr>
            </w:pPr>
            <w:bookmarkStart w:id="116" w:name="_Hlk78386782"/>
            <w:r>
              <w:rPr>
                <w:rFonts w:hint="eastAsia"/>
                <w:color w:val="000000" w:themeColor="text1"/>
                <w14:textFill>
                  <w14:solidFill>
                    <w14:schemeClr w14:val="tx1"/>
                  </w14:solidFill>
                </w14:textFill>
              </w:rPr>
              <w:t xml:space="preserve">            占地规模</w:t>
            </w:r>
          </w:p>
          <w:p w14:paraId="057F12CB">
            <w:pPr>
              <w:pStyle w:val="280"/>
              <w:rPr>
                <w:rFonts w:hint="eastAsia"/>
                <w:color w:val="000000" w:themeColor="text1"/>
                <w14:textFill>
                  <w14:solidFill>
                    <w14:schemeClr w14:val="tx1"/>
                  </w14:solidFill>
                </w14:textFill>
              </w:rPr>
            </w:pPr>
            <w:r>
              <w:rPr>
                <w:rFonts w:hint="eastAsia" w:cs="Arial"/>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-86360</wp:posOffset>
                      </wp:positionH>
                      <wp:positionV relativeFrom="paragraph">
                        <wp:posOffset>57785</wp:posOffset>
                      </wp:positionV>
                      <wp:extent cx="1510665" cy="498475"/>
                      <wp:effectExtent l="0" t="0" r="32385" b="34925"/>
                      <wp:wrapNone/>
                      <wp:docPr id="42" name="自选图形 364"/>
                      <wp:cNvGraphicFramePr/>
                      <a:graphic xmlns:a="http://schemas.openxmlformats.org/drawingml/2006/main">
                        <a:graphicData uri="http://schemas.microsoft.com/office/word/2010/wordprocessingShape">
                          <wps:wsp>
                            <wps:cNvCnPr>
                              <a:cxnSpLocks noChangeShapeType="1"/>
                            </wps:cNvCnPr>
                            <wps:spPr bwMode="auto">
                              <a:xfrm>
                                <a:off x="0" y="0"/>
                                <a:ext cx="1510665" cy="498475"/>
                              </a:xfrm>
                              <a:prstGeom prst="straightConnector1">
                                <a:avLst/>
                              </a:prstGeom>
                              <a:noFill/>
                              <a:ln w="6350">
                                <a:solidFill>
                                  <a:srgbClr val="0D0D0D"/>
                                </a:solidFill>
                                <a:round/>
                              </a:ln>
                            </wps:spPr>
                            <wps:bodyPr/>
                          </wps:wsp>
                        </a:graphicData>
                      </a:graphic>
                    </wp:anchor>
                  </w:drawing>
                </mc:Choice>
                <mc:Fallback>
                  <w:pict>
                    <v:shape id="自选图形 364" o:spid="_x0000_s1026" o:spt="32" type="#_x0000_t32" style="position:absolute;left:0pt;margin-left:-6.8pt;margin-top:4.55pt;height:39.25pt;width:118.95pt;z-index:251661312;mso-width-relative:page;mso-height-relative:page;" filled="f" stroked="t" coordsize="21600,21600" o:gfxdata="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0vycJ2QAAAAgBAAAPAAAAAAAAAAEAIAAAACIAAABkcnMvZG93bnJldi54bWxQ&#10;SwECFAAUAAAACACHTuJAl9Z5EfYBAAC9AwAADgAAAAAAAAABACAAAAAoAQAAZHJzL2Uyb0RvYy54&#10;bWxQSwUGAAAAAAYABgBZAQAAkAUAAAAA&#10;">
                      <v:fill on="f" focussize="0,0"/>
                      <v:stroke weight="0.5pt" color="#0D0D0D" joinstyle="round"/>
                      <v:imagedata o:title=""/>
                      <o:lock v:ext="edit" aspectratio="f"/>
                    </v:shape>
                  </w:pict>
                </mc:Fallback>
              </mc:AlternateContent>
            </w:r>
            <w:r>
              <w:rPr>
                <w:rFonts w:hint="eastAsia"/>
                <w:color w:val="000000" w:themeColor="text1"/>
                <w14:textFill>
                  <w14:solidFill>
                    <w14:schemeClr w14:val="tx1"/>
                  </w14:solidFill>
                </w14:textFill>
              </w:rPr>
              <w:t>敏感程度</w:t>
            </w:r>
          </w:p>
          <w:p w14:paraId="7700B5A8">
            <w:pPr>
              <w:pStyle w:val="280"/>
              <w:rPr>
                <w:rFonts w:hint="eastAsia"/>
                <w:color w:val="000000" w:themeColor="text1"/>
                <w14:textFill>
                  <w14:solidFill>
                    <w14:schemeClr w14:val="tx1"/>
                  </w14:solidFill>
                </w14:textFill>
              </w:rPr>
            </w:pPr>
          </w:p>
          <w:p w14:paraId="7145EBE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评价等级</w:t>
            </w:r>
          </w:p>
        </w:tc>
        <w:tc>
          <w:tcPr>
            <w:tcW w:w="1216" w:type="pct"/>
            <w:gridSpan w:val="3"/>
            <w:tcBorders>
              <w:right w:val="single" w:color="000000" w:sz="2" w:space="0"/>
            </w:tcBorders>
            <w:vAlign w:val="center"/>
          </w:tcPr>
          <w:p w14:paraId="2278297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Ⅰ类</w:t>
            </w:r>
          </w:p>
        </w:tc>
        <w:tc>
          <w:tcPr>
            <w:tcW w:w="1217" w:type="pct"/>
            <w:gridSpan w:val="3"/>
            <w:tcBorders>
              <w:left w:val="single" w:color="000000" w:sz="2" w:space="0"/>
              <w:right w:val="single" w:color="000000" w:sz="2" w:space="0"/>
            </w:tcBorders>
            <w:vAlign w:val="center"/>
          </w:tcPr>
          <w:p w14:paraId="76DC137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Ⅱ类</w:t>
            </w:r>
          </w:p>
        </w:tc>
        <w:tc>
          <w:tcPr>
            <w:tcW w:w="1218" w:type="pct"/>
            <w:gridSpan w:val="3"/>
            <w:tcBorders>
              <w:left w:val="single" w:color="000000" w:sz="2" w:space="0"/>
            </w:tcBorders>
            <w:vAlign w:val="center"/>
          </w:tcPr>
          <w:p w14:paraId="73E2EC5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Ⅲ类</w:t>
            </w:r>
          </w:p>
        </w:tc>
      </w:tr>
      <w:tr w14:paraId="4C4DE0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1349" w:type="pct"/>
            <w:vMerge w:val="continue"/>
            <w:vAlign w:val="center"/>
          </w:tcPr>
          <w:p w14:paraId="7DC58878">
            <w:pPr>
              <w:pStyle w:val="280"/>
              <w:rPr>
                <w:rFonts w:hint="eastAsia"/>
                <w:color w:val="000000" w:themeColor="text1"/>
                <w14:textFill>
                  <w14:solidFill>
                    <w14:schemeClr w14:val="tx1"/>
                  </w14:solidFill>
                </w14:textFill>
              </w:rPr>
            </w:pPr>
          </w:p>
        </w:tc>
        <w:tc>
          <w:tcPr>
            <w:tcW w:w="405" w:type="pct"/>
            <w:tcBorders>
              <w:right w:val="single" w:color="000000" w:sz="2" w:space="0"/>
            </w:tcBorders>
            <w:vAlign w:val="center"/>
          </w:tcPr>
          <w:p w14:paraId="1E11525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w:t>
            </w:r>
          </w:p>
        </w:tc>
        <w:tc>
          <w:tcPr>
            <w:tcW w:w="405" w:type="pct"/>
            <w:tcBorders>
              <w:left w:val="single" w:color="000000" w:sz="2" w:space="0"/>
              <w:right w:val="single" w:color="000000" w:sz="2" w:space="0"/>
            </w:tcBorders>
            <w:vAlign w:val="center"/>
          </w:tcPr>
          <w:p w14:paraId="1990991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w:t>
            </w:r>
          </w:p>
        </w:tc>
        <w:tc>
          <w:tcPr>
            <w:tcW w:w="406" w:type="pct"/>
            <w:tcBorders>
              <w:left w:val="single" w:color="000000" w:sz="2" w:space="0"/>
            </w:tcBorders>
            <w:vAlign w:val="center"/>
          </w:tcPr>
          <w:p w14:paraId="5B4CE3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小</w:t>
            </w:r>
          </w:p>
        </w:tc>
        <w:tc>
          <w:tcPr>
            <w:tcW w:w="405" w:type="pct"/>
            <w:tcBorders>
              <w:right w:val="single" w:color="000000" w:sz="2" w:space="0"/>
            </w:tcBorders>
            <w:vAlign w:val="center"/>
          </w:tcPr>
          <w:p w14:paraId="2FB7631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w:t>
            </w:r>
          </w:p>
        </w:tc>
        <w:tc>
          <w:tcPr>
            <w:tcW w:w="405" w:type="pct"/>
            <w:tcBorders>
              <w:left w:val="single" w:color="000000" w:sz="2" w:space="0"/>
              <w:right w:val="single" w:color="000000" w:sz="2" w:space="0"/>
            </w:tcBorders>
            <w:vAlign w:val="center"/>
          </w:tcPr>
          <w:p w14:paraId="296277A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w:t>
            </w:r>
          </w:p>
        </w:tc>
        <w:tc>
          <w:tcPr>
            <w:tcW w:w="407" w:type="pct"/>
            <w:tcBorders>
              <w:left w:val="single" w:color="000000" w:sz="2" w:space="0"/>
            </w:tcBorders>
            <w:vAlign w:val="center"/>
          </w:tcPr>
          <w:p w14:paraId="4195F26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小</w:t>
            </w:r>
          </w:p>
        </w:tc>
        <w:tc>
          <w:tcPr>
            <w:tcW w:w="405" w:type="pct"/>
            <w:tcBorders>
              <w:right w:val="single" w:color="000000" w:sz="2" w:space="0"/>
            </w:tcBorders>
            <w:vAlign w:val="center"/>
          </w:tcPr>
          <w:p w14:paraId="308128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w:t>
            </w:r>
          </w:p>
        </w:tc>
        <w:tc>
          <w:tcPr>
            <w:tcW w:w="405" w:type="pct"/>
            <w:tcBorders>
              <w:left w:val="single" w:color="000000" w:sz="2" w:space="0"/>
              <w:right w:val="single" w:color="000000" w:sz="2" w:space="0"/>
            </w:tcBorders>
            <w:vAlign w:val="center"/>
          </w:tcPr>
          <w:p w14:paraId="660E6E5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w:t>
            </w:r>
          </w:p>
        </w:tc>
        <w:tc>
          <w:tcPr>
            <w:tcW w:w="408" w:type="pct"/>
            <w:tcBorders>
              <w:left w:val="single" w:color="000000" w:sz="2" w:space="0"/>
            </w:tcBorders>
            <w:vAlign w:val="center"/>
          </w:tcPr>
          <w:p w14:paraId="52ACDAA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小</w:t>
            </w:r>
          </w:p>
        </w:tc>
      </w:tr>
      <w:tr w14:paraId="0E8E7C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Align w:val="center"/>
          </w:tcPr>
          <w:p w14:paraId="629B74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敏感</w:t>
            </w:r>
          </w:p>
        </w:tc>
        <w:tc>
          <w:tcPr>
            <w:tcW w:w="405" w:type="pct"/>
            <w:tcBorders>
              <w:right w:val="single" w:color="000000" w:sz="2" w:space="0"/>
            </w:tcBorders>
            <w:vAlign w:val="center"/>
          </w:tcPr>
          <w:p w14:paraId="00BF12E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一级</w:t>
            </w:r>
          </w:p>
        </w:tc>
        <w:tc>
          <w:tcPr>
            <w:tcW w:w="405" w:type="pct"/>
            <w:tcBorders>
              <w:left w:val="single" w:color="000000" w:sz="2" w:space="0"/>
              <w:right w:val="single" w:color="000000" w:sz="2" w:space="0"/>
            </w:tcBorders>
            <w:vAlign w:val="center"/>
          </w:tcPr>
          <w:p w14:paraId="3D45D48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一级</w:t>
            </w:r>
          </w:p>
        </w:tc>
        <w:tc>
          <w:tcPr>
            <w:tcW w:w="406" w:type="pct"/>
            <w:tcBorders>
              <w:left w:val="single" w:color="000000" w:sz="2" w:space="0"/>
            </w:tcBorders>
            <w:vAlign w:val="center"/>
          </w:tcPr>
          <w:p w14:paraId="3AF7355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一级</w:t>
            </w:r>
          </w:p>
        </w:tc>
        <w:tc>
          <w:tcPr>
            <w:tcW w:w="405" w:type="pct"/>
            <w:tcBorders>
              <w:right w:val="single" w:color="000000" w:sz="2" w:space="0"/>
            </w:tcBorders>
            <w:vAlign w:val="center"/>
          </w:tcPr>
          <w:p w14:paraId="38C6C21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405" w:type="pct"/>
            <w:tcBorders>
              <w:left w:val="single" w:color="000000" w:sz="2" w:space="0"/>
              <w:right w:val="single" w:color="000000" w:sz="2" w:space="0"/>
            </w:tcBorders>
            <w:vAlign w:val="center"/>
          </w:tcPr>
          <w:p w14:paraId="3C10EA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407" w:type="pct"/>
            <w:tcBorders>
              <w:left w:val="single" w:color="000000" w:sz="2" w:space="0"/>
            </w:tcBorders>
            <w:vAlign w:val="center"/>
          </w:tcPr>
          <w:p w14:paraId="70139E5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405" w:type="pct"/>
            <w:tcBorders>
              <w:right w:val="single" w:color="000000" w:sz="2" w:space="0"/>
            </w:tcBorders>
            <w:vAlign w:val="center"/>
          </w:tcPr>
          <w:p w14:paraId="3BAE2C7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405" w:type="pct"/>
            <w:tcBorders>
              <w:left w:val="single" w:color="000000" w:sz="2" w:space="0"/>
              <w:right w:val="single" w:color="000000" w:sz="2" w:space="0"/>
            </w:tcBorders>
            <w:vAlign w:val="center"/>
          </w:tcPr>
          <w:p w14:paraId="23EBFE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408" w:type="pct"/>
            <w:tcBorders>
              <w:left w:val="single" w:color="000000" w:sz="2" w:space="0"/>
            </w:tcBorders>
            <w:vAlign w:val="center"/>
          </w:tcPr>
          <w:p w14:paraId="2F814DB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r>
      <w:tr w14:paraId="16E9EC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Align w:val="center"/>
          </w:tcPr>
          <w:p w14:paraId="0B458E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较敏感</w:t>
            </w:r>
          </w:p>
        </w:tc>
        <w:tc>
          <w:tcPr>
            <w:tcW w:w="405" w:type="pct"/>
            <w:tcBorders>
              <w:right w:val="single" w:color="000000" w:sz="2" w:space="0"/>
            </w:tcBorders>
            <w:vAlign w:val="center"/>
          </w:tcPr>
          <w:p w14:paraId="068A86C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一级</w:t>
            </w:r>
          </w:p>
        </w:tc>
        <w:tc>
          <w:tcPr>
            <w:tcW w:w="405" w:type="pct"/>
            <w:tcBorders>
              <w:left w:val="single" w:color="000000" w:sz="2" w:space="0"/>
              <w:right w:val="single" w:color="000000" w:sz="2" w:space="0"/>
            </w:tcBorders>
            <w:vAlign w:val="center"/>
          </w:tcPr>
          <w:p w14:paraId="0B6058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一级</w:t>
            </w:r>
          </w:p>
        </w:tc>
        <w:tc>
          <w:tcPr>
            <w:tcW w:w="406" w:type="pct"/>
            <w:tcBorders>
              <w:left w:val="single" w:color="000000" w:sz="2" w:space="0"/>
            </w:tcBorders>
            <w:vAlign w:val="center"/>
          </w:tcPr>
          <w:p w14:paraId="0A33F88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405" w:type="pct"/>
            <w:tcBorders>
              <w:right w:val="single" w:color="000000" w:sz="2" w:space="0"/>
            </w:tcBorders>
            <w:vAlign w:val="center"/>
          </w:tcPr>
          <w:p w14:paraId="06D1C15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405" w:type="pct"/>
            <w:tcBorders>
              <w:left w:val="single" w:color="000000" w:sz="2" w:space="0"/>
              <w:right w:val="single" w:color="000000" w:sz="2" w:space="0"/>
            </w:tcBorders>
            <w:vAlign w:val="center"/>
          </w:tcPr>
          <w:p w14:paraId="37F3C55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407" w:type="pct"/>
            <w:tcBorders>
              <w:left w:val="single" w:color="000000" w:sz="2" w:space="0"/>
            </w:tcBorders>
            <w:vAlign w:val="center"/>
          </w:tcPr>
          <w:p w14:paraId="1DE713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405" w:type="pct"/>
            <w:tcBorders>
              <w:right w:val="single" w:color="000000" w:sz="2" w:space="0"/>
            </w:tcBorders>
            <w:vAlign w:val="center"/>
          </w:tcPr>
          <w:p w14:paraId="44D919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405" w:type="pct"/>
            <w:tcBorders>
              <w:left w:val="single" w:color="000000" w:sz="2" w:space="0"/>
              <w:right w:val="single" w:color="000000" w:sz="2" w:space="0"/>
            </w:tcBorders>
            <w:vAlign w:val="center"/>
          </w:tcPr>
          <w:p w14:paraId="57A2A2B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408" w:type="pct"/>
            <w:tcBorders>
              <w:left w:val="single" w:color="000000" w:sz="2" w:space="0"/>
            </w:tcBorders>
            <w:vAlign w:val="center"/>
          </w:tcPr>
          <w:p w14:paraId="15486F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BA24F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Align w:val="center"/>
          </w:tcPr>
          <w:p w14:paraId="2729494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不敏感</w:t>
            </w:r>
          </w:p>
        </w:tc>
        <w:tc>
          <w:tcPr>
            <w:tcW w:w="405" w:type="pct"/>
            <w:tcBorders>
              <w:right w:val="single" w:color="000000" w:sz="2" w:space="0"/>
            </w:tcBorders>
            <w:vAlign w:val="center"/>
          </w:tcPr>
          <w:p w14:paraId="75ED8EA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一级</w:t>
            </w:r>
          </w:p>
        </w:tc>
        <w:tc>
          <w:tcPr>
            <w:tcW w:w="405" w:type="pct"/>
            <w:tcBorders>
              <w:left w:val="single" w:color="000000" w:sz="2" w:space="0"/>
              <w:right w:val="single" w:color="000000" w:sz="2" w:space="0"/>
            </w:tcBorders>
            <w:vAlign w:val="center"/>
          </w:tcPr>
          <w:p w14:paraId="358740D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406" w:type="pct"/>
            <w:tcBorders>
              <w:left w:val="single" w:color="000000" w:sz="2" w:space="0"/>
            </w:tcBorders>
            <w:vAlign w:val="center"/>
          </w:tcPr>
          <w:p w14:paraId="20CE4DC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405" w:type="pct"/>
            <w:tcBorders>
              <w:right w:val="single" w:color="000000" w:sz="2" w:space="0"/>
            </w:tcBorders>
            <w:vAlign w:val="center"/>
          </w:tcPr>
          <w:p w14:paraId="258B43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405" w:type="pct"/>
            <w:tcBorders>
              <w:left w:val="single" w:color="000000" w:sz="2" w:space="0"/>
              <w:right w:val="single" w:color="000000" w:sz="2" w:space="0"/>
            </w:tcBorders>
            <w:vAlign w:val="center"/>
          </w:tcPr>
          <w:p w14:paraId="6AAD69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407" w:type="pct"/>
            <w:tcBorders>
              <w:left w:val="single" w:color="000000" w:sz="2" w:space="0"/>
            </w:tcBorders>
            <w:vAlign w:val="center"/>
          </w:tcPr>
          <w:p w14:paraId="19B5255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405" w:type="pct"/>
            <w:tcBorders>
              <w:right w:val="single" w:color="000000" w:sz="2" w:space="0"/>
            </w:tcBorders>
            <w:vAlign w:val="center"/>
          </w:tcPr>
          <w:p w14:paraId="5565A21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405" w:type="pct"/>
            <w:tcBorders>
              <w:left w:val="single" w:color="000000" w:sz="2" w:space="0"/>
              <w:right w:val="single" w:color="000000" w:sz="2" w:space="0"/>
            </w:tcBorders>
            <w:vAlign w:val="center"/>
          </w:tcPr>
          <w:p w14:paraId="37091E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8" w:type="pct"/>
            <w:tcBorders>
              <w:left w:val="single" w:color="000000" w:sz="2" w:space="0"/>
            </w:tcBorders>
            <w:vAlign w:val="center"/>
          </w:tcPr>
          <w:p w14:paraId="73F290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bookmarkEnd w:id="116"/>
    </w:tbl>
    <w:p w14:paraId="5CC6DB8F">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※占地规模</w:t>
      </w:r>
    </w:p>
    <w:p w14:paraId="53E1D537">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永久占地面积约1.25</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，占地规模为小型。</w:t>
      </w:r>
    </w:p>
    <w:p w14:paraId="19BD77C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※土壤环境敏感程度</w:t>
      </w:r>
    </w:p>
    <w:p w14:paraId="14A8A3C6">
      <w:pPr>
        <w:pStyle w:val="193"/>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建设项目所在地周边的环境影响敏感程度分为敏感、较敏感、不敏感，判别依据详见表2.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-7。</w:t>
      </w:r>
    </w:p>
    <w:p w14:paraId="249FA94A">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-7   污染影响型敏感程度分级表</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7"/>
        <w:gridCol w:w="7531"/>
      </w:tblGrid>
      <w:tr w14:paraId="51A35E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7" w:type="dxa"/>
            <w:vAlign w:val="center"/>
          </w:tcPr>
          <w:p w14:paraId="1C2E44D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敏感程度</w:t>
            </w:r>
          </w:p>
        </w:tc>
        <w:tc>
          <w:tcPr>
            <w:tcW w:w="7531" w:type="dxa"/>
            <w:vAlign w:val="center"/>
          </w:tcPr>
          <w:p w14:paraId="3614A8F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判别依据</w:t>
            </w:r>
          </w:p>
        </w:tc>
      </w:tr>
      <w:tr w14:paraId="16125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7" w:type="dxa"/>
            <w:vAlign w:val="center"/>
          </w:tcPr>
          <w:p w14:paraId="0375F2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敏感</w:t>
            </w:r>
          </w:p>
        </w:tc>
        <w:tc>
          <w:tcPr>
            <w:tcW w:w="7531" w:type="dxa"/>
            <w:vAlign w:val="center"/>
          </w:tcPr>
          <w:p w14:paraId="5EE86FB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建设项目周边存在耕地、园地、牧草地、饮用水水源地或居民区、学校、医院、疗养院、养老院等土壤环境敏感目标的</w:t>
            </w:r>
          </w:p>
        </w:tc>
      </w:tr>
      <w:tr w14:paraId="0A2DCD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7" w:type="dxa"/>
            <w:vAlign w:val="center"/>
          </w:tcPr>
          <w:p w14:paraId="59DFD48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较敏感</w:t>
            </w:r>
          </w:p>
        </w:tc>
        <w:tc>
          <w:tcPr>
            <w:tcW w:w="7531" w:type="dxa"/>
            <w:vAlign w:val="center"/>
          </w:tcPr>
          <w:p w14:paraId="7AEA50E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建设项目周边存在其他土壤环境敏感目标的</w:t>
            </w:r>
          </w:p>
        </w:tc>
      </w:tr>
      <w:tr w14:paraId="2BA07D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7" w:type="dxa"/>
            <w:vAlign w:val="center"/>
          </w:tcPr>
          <w:p w14:paraId="1A28513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不敏感</w:t>
            </w:r>
          </w:p>
        </w:tc>
        <w:tc>
          <w:tcPr>
            <w:tcW w:w="7531" w:type="dxa"/>
            <w:vAlign w:val="center"/>
          </w:tcPr>
          <w:p w14:paraId="17BF941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其他情况</w:t>
            </w:r>
          </w:p>
        </w:tc>
      </w:tr>
    </w:tbl>
    <w:p w14:paraId="46FADD0E">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项目评价范围内存在一般耕地、永久基本农田、天然牧草地和居民点等环境敏感目标，环境敏感程度为敏感。</w:t>
      </w:r>
    </w:p>
    <w:p w14:paraId="20FF4837">
      <w:pPr>
        <w:pStyle w:val="193"/>
        <w:rPr>
          <w:rFonts w:hint="eastAsia"/>
          <w:color w:val="000000" w:themeColor="text1"/>
          <w14:textFill>
            <w14:solidFill>
              <w14:schemeClr w14:val="tx1"/>
            </w14:solidFill>
          </w14:textFill>
        </w:rPr>
      </w:pPr>
      <w:bookmarkStart w:id="117" w:name="_Hlk92203632"/>
      <w:r>
        <w:rPr>
          <w:rFonts w:hint="eastAsia"/>
          <w:color w:val="000000" w:themeColor="text1"/>
          <w14:textFill>
            <w14:solidFill>
              <w14:schemeClr w14:val="tx1"/>
            </w14:solidFill>
          </w14:textFill>
        </w:rPr>
        <w:t>本项目属于陆地石油开采行业，根据《环境影响评价技术导则 陆地石油天然气开发建设项目》（H</w:t>
      </w:r>
      <w:r>
        <w:rPr>
          <w:color w:val="000000" w:themeColor="text1"/>
          <w14:textFill>
            <w14:solidFill>
              <w14:schemeClr w14:val="tx1"/>
            </w14:solidFill>
          </w14:textFill>
        </w:rPr>
        <w:t>J349</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2023</w:t>
      </w:r>
      <w:r>
        <w:rPr>
          <w:rFonts w:hint="eastAsia"/>
          <w:color w:val="000000" w:themeColor="text1"/>
          <w14:textFill>
            <w14:solidFill>
              <w14:schemeClr w14:val="tx1"/>
            </w14:solidFill>
          </w14:textFill>
        </w:rPr>
        <w:t>）规定采油井场、2井式平台井场和注水井场为Ⅰ类建设项目，单井采油管线、单井注水管线和单井掺热水管线为Ⅱ类建设项目，根据表2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可知，采油井场、2井式平台井场和注水井场土壤污染影响型评价等级为一级，单井采油管线、单井注水管线和单井掺热水管线土壤污染影响型评价等级为二级。</w:t>
      </w:r>
    </w:p>
    <w:bookmarkEnd w:id="117"/>
    <w:p w14:paraId="7C822F8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②生态影响型</w:t>
      </w:r>
    </w:p>
    <w:p w14:paraId="2967690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土壤生态影响型项目根据建设项目类别、生态影响型敏感程度分级结果划分评价工作等级，生态影响型敏感程度分级见表2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，评价工作等级划分见表2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w:t>
      </w:r>
    </w:p>
    <w:p w14:paraId="7F34F08E">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生态影响型敏感程度分级表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386"/>
        <w:gridCol w:w="1276"/>
        <w:gridCol w:w="1218"/>
      </w:tblGrid>
      <w:tr w14:paraId="2028DB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Merge w:val="restart"/>
            <w:vAlign w:val="center"/>
          </w:tcPr>
          <w:p w14:paraId="2CFD6E9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敏感程度</w:t>
            </w:r>
          </w:p>
        </w:tc>
        <w:tc>
          <w:tcPr>
            <w:tcW w:w="4513" w:type="pct"/>
            <w:gridSpan w:val="3"/>
            <w:vAlign w:val="center"/>
          </w:tcPr>
          <w:p w14:paraId="1187C1F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判别依据</w:t>
            </w:r>
          </w:p>
        </w:tc>
      </w:tr>
      <w:tr w14:paraId="712D21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Merge w:val="continue"/>
            <w:vAlign w:val="center"/>
          </w:tcPr>
          <w:p w14:paraId="5A89D99B">
            <w:pPr>
              <w:pStyle w:val="280"/>
              <w:rPr>
                <w:rFonts w:hint="eastAsia"/>
                <w:color w:val="000000" w:themeColor="text1"/>
                <w14:textFill>
                  <w14:solidFill>
                    <w14:schemeClr w14:val="tx1"/>
                  </w14:solidFill>
                </w14:textFill>
              </w:rPr>
            </w:pPr>
          </w:p>
        </w:tc>
        <w:tc>
          <w:tcPr>
            <w:tcW w:w="3085" w:type="pct"/>
          </w:tcPr>
          <w:p w14:paraId="756DE6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盐化</w:t>
            </w:r>
          </w:p>
        </w:tc>
        <w:tc>
          <w:tcPr>
            <w:tcW w:w="731" w:type="pct"/>
          </w:tcPr>
          <w:p w14:paraId="14260D8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酸化</w:t>
            </w:r>
          </w:p>
        </w:tc>
        <w:tc>
          <w:tcPr>
            <w:tcW w:w="697" w:type="pct"/>
          </w:tcPr>
          <w:p w14:paraId="12E1880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碱化</w:t>
            </w:r>
          </w:p>
        </w:tc>
      </w:tr>
      <w:tr w14:paraId="6398E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Align w:val="center"/>
          </w:tcPr>
          <w:p w14:paraId="6B638B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敏感</w:t>
            </w:r>
          </w:p>
        </w:tc>
        <w:tc>
          <w:tcPr>
            <w:tcW w:w="3085" w:type="pct"/>
            <w:vAlign w:val="center"/>
          </w:tcPr>
          <w:p w14:paraId="64E0D4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建设项目所在地干燥度</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r>
              <w:rPr>
                <w:rFonts w:cs="TimesNewRomanPSMT"/>
                <w:color w:val="000000" w:themeColor="text1"/>
                <w14:textFill>
                  <w14:solidFill>
                    <w14:schemeClr w14:val="tx1"/>
                  </w14:solidFill>
                </w14:textFill>
              </w:rPr>
              <w:t>2.5</w:t>
            </w:r>
            <w:r>
              <w:rPr>
                <w:rFonts w:hint="eastAsia"/>
                <w:color w:val="000000" w:themeColor="text1"/>
                <w14:textFill>
                  <w14:solidFill>
                    <w14:schemeClr w14:val="tx1"/>
                  </w14:solidFill>
                </w14:textFill>
              </w:rPr>
              <w:t>且常年地下水位平均埋深＜</w:t>
            </w:r>
            <w:r>
              <w:rPr>
                <w:rFonts w:cs="TimesNewRomanPSMT"/>
                <w:color w:val="000000" w:themeColor="text1"/>
                <w14:textFill>
                  <w14:solidFill>
                    <w14:schemeClr w14:val="tx1"/>
                  </w14:solidFill>
                </w14:textFill>
              </w:rPr>
              <w:t>1.5m</w:t>
            </w:r>
            <w:r>
              <w:rPr>
                <w:rFonts w:hint="eastAsia"/>
                <w:color w:val="000000" w:themeColor="text1"/>
                <w14:textFill>
                  <w14:solidFill>
                    <w14:schemeClr w14:val="tx1"/>
                  </w14:solidFill>
                </w14:textFill>
              </w:rPr>
              <w:t>的地势平坦区域；或土壤含盐量＞</w:t>
            </w:r>
            <w:r>
              <w:rPr>
                <w:rFonts w:cs="TimesNewRomanPSMT"/>
                <w:color w:val="000000" w:themeColor="text1"/>
                <w14:textFill>
                  <w14:solidFill>
                    <w14:schemeClr w14:val="tx1"/>
                  </w14:solidFill>
                </w14:textFill>
              </w:rPr>
              <w:t>4g/kg</w:t>
            </w:r>
            <w:r>
              <w:rPr>
                <w:rFonts w:hint="eastAsia"/>
                <w:color w:val="000000" w:themeColor="text1"/>
                <w14:textFill>
                  <w14:solidFill>
                    <w14:schemeClr w14:val="tx1"/>
                  </w14:solidFill>
                </w14:textFill>
              </w:rPr>
              <w:t>的区域</w:t>
            </w:r>
          </w:p>
        </w:tc>
        <w:tc>
          <w:tcPr>
            <w:tcW w:w="731" w:type="pct"/>
            <w:vAlign w:val="center"/>
          </w:tcPr>
          <w:p w14:paraId="20361E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4.5</w:t>
            </w:r>
          </w:p>
        </w:tc>
        <w:tc>
          <w:tcPr>
            <w:tcW w:w="697" w:type="pct"/>
            <w:vAlign w:val="center"/>
          </w:tcPr>
          <w:p w14:paraId="57333C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9.0</w:t>
            </w:r>
          </w:p>
        </w:tc>
      </w:tr>
      <w:tr w14:paraId="4DB92B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Align w:val="center"/>
          </w:tcPr>
          <w:p w14:paraId="7CDA6A2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较敏感</w:t>
            </w:r>
          </w:p>
        </w:tc>
        <w:tc>
          <w:tcPr>
            <w:tcW w:w="3085" w:type="pct"/>
            <w:vAlign w:val="center"/>
          </w:tcPr>
          <w:p w14:paraId="62286E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建设项目所在地干燥度＞</w:t>
            </w:r>
            <w:r>
              <w:rPr>
                <w:rFonts w:cs="TimesNewRomanPSMT"/>
                <w:color w:val="000000" w:themeColor="text1"/>
                <w14:textFill>
                  <w14:solidFill>
                    <w14:schemeClr w14:val="tx1"/>
                  </w14:solidFill>
                </w14:textFill>
              </w:rPr>
              <w:t>2.5</w:t>
            </w:r>
            <w:r>
              <w:rPr>
                <w:rFonts w:hint="eastAsia"/>
                <w:color w:val="000000" w:themeColor="text1"/>
                <w14:textFill>
                  <w14:solidFill>
                    <w14:schemeClr w14:val="tx1"/>
                  </w14:solidFill>
                </w14:textFill>
              </w:rPr>
              <w:t>且常年地下水位平均埋深≥</w:t>
            </w:r>
            <w:r>
              <w:rPr>
                <w:rFonts w:cs="TimesNewRomanPSMT"/>
                <w:color w:val="000000" w:themeColor="text1"/>
                <w14:textFill>
                  <w14:solidFill>
                    <w14:schemeClr w14:val="tx1"/>
                  </w14:solidFill>
                </w14:textFill>
              </w:rPr>
              <w:t>1.5m</w:t>
            </w:r>
            <w:r>
              <w:rPr>
                <w:rFonts w:hint="eastAsia"/>
                <w:color w:val="000000" w:themeColor="text1"/>
                <w14:textFill>
                  <w14:solidFill>
                    <w14:schemeClr w14:val="tx1"/>
                  </w14:solidFill>
                </w14:textFill>
              </w:rPr>
              <w:t>的，或</w:t>
            </w:r>
            <w:r>
              <w:rPr>
                <w:rFonts w:cs="TimesNewRomanPSMT"/>
                <w:color w:val="000000" w:themeColor="text1"/>
                <w14:textFill>
                  <w14:solidFill>
                    <w14:schemeClr w14:val="tx1"/>
                  </w14:solidFill>
                </w14:textFill>
              </w:rPr>
              <w:t>1.8</w:t>
            </w:r>
            <w:r>
              <w:rPr>
                <w:rFonts w:hint="eastAsia"/>
                <w:color w:val="000000" w:themeColor="text1"/>
                <w14:textFill>
                  <w14:solidFill>
                    <w14:schemeClr w14:val="tx1"/>
                  </w14:solidFill>
                </w14:textFill>
              </w:rPr>
              <w:t>＜干燥度≤</w:t>
            </w:r>
            <w:r>
              <w:rPr>
                <w:rFonts w:cs="TimesNewRomanPSMT"/>
                <w:color w:val="000000" w:themeColor="text1"/>
                <w14:textFill>
                  <w14:solidFill>
                    <w14:schemeClr w14:val="tx1"/>
                  </w14:solidFill>
                </w14:textFill>
              </w:rPr>
              <w:t>2.5</w:t>
            </w:r>
            <w:r>
              <w:rPr>
                <w:rFonts w:hint="eastAsia"/>
                <w:color w:val="000000" w:themeColor="text1"/>
                <w14:textFill>
                  <w14:solidFill>
                    <w14:schemeClr w14:val="tx1"/>
                  </w14:solidFill>
                </w14:textFill>
              </w:rPr>
              <w:t>且常年地下水位平均埋深＜</w:t>
            </w:r>
            <w:r>
              <w:rPr>
                <w:rFonts w:cs="TimesNewRomanPSMT"/>
                <w:color w:val="000000" w:themeColor="text1"/>
                <w14:textFill>
                  <w14:solidFill>
                    <w14:schemeClr w14:val="tx1"/>
                  </w14:solidFill>
                </w14:textFill>
              </w:rPr>
              <w:t>1.8m</w:t>
            </w:r>
            <w:r>
              <w:rPr>
                <w:rFonts w:hint="eastAsia"/>
                <w:color w:val="000000" w:themeColor="text1"/>
                <w14:textFill>
                  <w14:solidFill>
                    <w14:schemeClr w14:val="tx1"/>
                  </w14:solidFill>
                </w14:textFill>
              </w:rPr>
              <w:t>的地势平坦区域；建设项目所在地干燥度＞</w:t>
            </w:r>
            <w:r>
              <w:rPr>
                <w:rFonts w:cs="TimesNewRomanPSMT"/>
                <w:color w:val="000000" w:themeColor="text1"/>
                <w14:textFill>
                  <w14:solidFill>
                    <w14:schemeClr w14:val="tx1"/>
                  </w14:solidFill>
                </w14:textFill>
              </w:rPr>
              <w:t>2.5</w:t>
            </w:r>
            <w:r>
              <w:rPr>
                <w:rFonts w:hint="eastAsia"/>
                <w:color w:val="000000" w:themeColor="text1"/>
                <w14:textFill>
                  <w14:solidFill>
                    <w14:schemeClr w14:val="tx1"/>
                  </w14:solidFill>
                </w14:textFill>
              </w:rPr>
              <w:t>或常年地下水位平均埋深＜</w:t>
            </w:r>
            <w:r>
              <w:rPr>
                <w:rFonts w:cs="TimesNewRomanPSMT"/>
                <w:color w:val="000000" w:themeColor="text1"/>
                <w14:textFill>
                  <w14:solidFill>
                    <w14:schemeClr w14:val="tx1"/>
                  </w14:solidFill>
                </w14:textFill>
              </w:rPr>
              <w:t>1.5m</w:t>
            </w:r>
            <w:r>
              <w:rPr>
                <w:rFonts w:hint="eastAsia"/>
                <w:color w:val="000000" w:themeColor="text1"/>
                <w14:textFill>
                  <w14:solidFill>
                    <w14:schemeClr w14:val="tx1"/>
                  </w14:solidFill>
                </w14:textFill>
              </w:rPr>
              <w:t>的平原区；或</w:t>
            </w:r>
            <w:r>
              <w:rPr>
                <w:rFonts w:cs="TimesNewRomanPSMT"/>
                <w:color w:val="000000" w:themeColor="text1"/>
                <w14:textFill>
                  <w14:solidFill>
                    <w14:schemeClr w14:val="tx1"/>
                  </w14:solidFill>
                </w14:textFill>
              </w:rPr>
              <w:t>2g/k</w:t>
            </w:r>
            <w:r>
              <w:rPr>
                <w:color w:val="000000" w:themeColor="text1"/>
                <w14:textFill>
                  <w14:solidFill>
                    <w14:schemeClr w14:val="tx1"/>
                  </w14:solidFill>
                </w14:textFill>
              </w:rPr>
              <w:t>g</w:t>
            </w:r>
            <w:r>
              <w:rPr>
                <w:rFonts w:hint="eastAsia"/>
                <w:color w:val="000000" w:themeColor="text1"/>
                <w14:textFill>
                  <w14:solidFill>
                    <w14:schemeClr w14:val="tx1"/>
                  </w14:solidFill>
                </w14:textFill>
              </w:rPr>
              <w:t>＜土壤含盐量≤</w:t>
            </w:r>
            <w:r>
              <w:rPr>
                <w:rFonts w:cs="TimesNewRomanPSMT"/>
                <w:color w:val="000000" w:themeColor="text1"/>
                <w14:textFill>
                  <w14:solidFill>
                    <w14:schemeClr w14:val="tx1"/>
                  </w14:solidFill>
                </w14:textFill>
              </w:rPr>
              <w:t>4g/kg</w:t>
            </w:r>
            <w:r>
              <w:rPr>
                <w:rFonts w:hint="eastAsia"/>
                <w:color w:val="000000" w:themeColor="text1"/>
                <w14:textFill>
                  <w14:solidFill>
                    <w14:schemeClr w14:val="tx1"/>
                  </w14:solidFill>
                </w14:textFill>
              </w:rPr>
              <w:t>的区域</w:t>
            </w:r>
          </w:p>
        </w:tc>
        <w:tc>
          <w:tcPr>
            <w:tcW w:w="731" w:type="pct"/>
            <w:vAlign w:val="center"/>
          </w:tcPr>
          <w:p w14:paraId="441AA41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＜p</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.5</w:t>
            </w:r>
          </w:p>
        </w:tc>
        <w:tc>
          <w:tcPr>
            <w:tcW w:w="697" w:type="pct"/>
            <w:vAlign w:val="center"/>
          </w:tcPr>
          <w:p w14:paraId="4D1585C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≤p</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.0</w:t>
            </w:r>
          </w:p>
        </w:tc>
      </w:tr>
      <w:tr w14:paraId="0517C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Align w:val="center"/>
          </w:tcPr>
          <w:p w14:paraId="53D73C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不敏感</w:t>
            </w:r>
          </w:p>
        </w:tc>
        <w:tc>
          <w:tcPr>
            <w:tcW w:w="3085" w:type="pct"/>
            <w:vAlign w:val="center"/>
          </w:tcPr>
          <w:p w14:paraId="032987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c>
          <w:tcPr>
            <w:tcW w:w="1428" w:type="pct"/>
            <w:gridSpan w:val="2"/>
            <w:vAlign w:val="center"/>
          </w:tcPr>
          <w:p w14:paraId="6B4D072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5.5</w:t>
            </w:r>
            <w:r>
              <w:rPr>
                <w:rFonts w:hint="eastAsia"/>
                <w:color w:val="000000" w:themeColor="text1"/>
                <w14:textFill>
                  <w14:solidFill>
                    <w14:schemeClr w14:val="tx1"/>
                  </w14:solidFill>
                </w14:textFill>
              </w:rPr>
              <w:t>＜p</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.5</w:t>
            </w:r>
          </w:p>
        </w:tc>
      </w:tr>
      <w:tr w14:paraId="24752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vAlign w:val="center"/>
          </w:tcPr>
          <w:p w14:paraId="7C42A9B3">
            <w:pPr>
              <w:pStyle w:val="280"/>
              <w:rPr>
                <w:rFonts w:hint="eastAsia"/>
                <w:color w:val="000000" w:themeColor="text1"/>
                <w14:textFill>
                  <w14:solidFill>
                    <w14:schemeClr w14:val="tx1"/>
                  </w14:solidFill>
                </w14:textFill>
              </w:rPr>
            </w:pPr>
            <w:r>
              <w:rPr>
                <w:color w:val="000000" w:themeColor="text1"/>
                <w:vertAlign w:val="superscript"/>
                <w14:textFill>
                  <w14:solidFill>
                    <w14:schemeClr w14:val="tx1"/>
                  </w14:solidFill>
                </w14:textFill>
              </w:rPr>
              <w:t>a</w:t>
            </w:r>
            <w:r>
              <w:rPr>
                <w:rFonts w:hint="eastAsia"/>
                <w:color w:val="000000" w:themeColor="text1"/>
                <w14:textFill>
                  <w14:solidFill>
                    <w14:schemeClr w14:val="tx1"/>
                  </w14:solidFill>
                </w14:textFill>
              </w:rPr>
              <w:t>是指采用</w:t>
            </w:r>
            <w:r>
              <w:rPr>
                <w:rFonts w:cs="TimesNewRomanPSMT"/>
                <w:color w:val="000000" w:themeColor="text1"/>
                <w14:textFill>
                  <w14:solidFill>
                    <w14:schemeClr w14:val="tx1"/>
                  </w14:solidFill>
                </w14:textFill>
              </w:rPr>
              <w:t>E601</w:t>
            </w:r>
            <w:r>
              <w:rPr>
                <w:rFonts w:hint="eastAsia"/>
                <w:color w:val="000000" w:themeColor="text1"/>
                <w14:textFill>
                  <w14:solidFill>
                    <w14:schemeClr w14:val="tx1"/>
                  </w14:solidFill>
                </w14:textFill>
              </w:rPr>
              <w:t>观测的多年平均水面蒸发量与降水量的比值，即蒸降比值。</w:t>
            </w:r>
          </w:p>
        </w:tc>
      </w:tr>
    </w:tbl>
    <w:p w14:paraId="2E02E6EA">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658495</wp:posOffset>
                </wp:positionH>
                <wp:positionV relativeFrom="paragraph">
                  <wp:posOffset>326390</wp:posOffset>
                </wp:positionV>
                <wp:extent cx="771525" cy="571500"/>
                <wp:effectExtent l="0" t="0" r="28575" b="19050"/>
                <wp:wrapNone/>
                <wp:docPr id="57539546" name="自选图形 363"/>
                <wp:cNvGraphicFramePr/>
                <a:graphic xmlns:a="http://schemas.openxmlformats.org/drawingml/2006/main">
                  <a:graphicData uri="http://schemas.microsoft.com/office/word/2010/wordprocessingShape">
                    <wps:wsp>
                      <wps:cNvCnPr>
                        <a:cxnSpLocks noChangeShapeType="1"/>
                      </wps:cNvCnPr>
                      <wps:spPr bwMode="auto">
                        <a:xfrm>
                          <a:off x="0" y="0"/>
                          <a:ext cx="771525" cy="571500"/>
                        </a:xfrm>
                        <a:prstGeom prst="straightConnector1">
                          <a:avLst/>
                        </a:prstGeom>
                        <a:noFill/>
                        <a:ln w="6350">
                          <a:solidFill>
                            <a:srgbClr val="0D0D0D"/>
                          </a:solidFill>
                          <a:round/>
                        </a:ln>
                      </wps:spPr>
                      <wps:bodyPr/>
                    </wps:wsp>
                  </a:graphicData>
                </a:graphic>
              </wp:anchor>
            </w:drawing>
          </mc:Choice>
          <mc:Fallback>
            <w:pict>
              <v:shape id="自选图形 363" o:spid="_x0000_s1026" o:spt="32" type="#_x0000_t32" style="position:absolute;left:0pt;margin-left:51.85pt;margin-top:25.7pt;height:45pt;width:60.75pt;z-index:251671552;mso-width-relative:page;mso-height-relative:page;" filled="f" stroked="t" coordsize="21600,21600" o:gfxdata="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evdxTdkAAAAKAQAADwAAAAAAAAABACAAAAAiAAAAZHJzL2Rvd25yZXYu&#10;eG1sUEsBAhQAFAAAAAgAh07iQEhKOIf6AQAAwgMAAA4AAAAAAAAAAQAgAAAAKAEAAGRycy9lMm9E&#10;b2MueG1sUEsFBgAAAAAGAAYAWQEAAJQFAAAAAA==&#10;">
                <v:fill on="f" focussize="0,0"/>
                <v:stroke weight="0.5pt" color="#0D0D0D" joinstyle="round"/>
                <v:imagedata o:title=""/>
                <o:lock v:ext="edit" aspectratio="f"/>
              </v:shape>
            </w:pict>
          </mc:Fallback>
        </mc:AlternateContent>
      </w: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生态影响型评价工作等级划分表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67"/>
        <w:gridCol w:w="2127"/>
        <w:gridCol w:w="2127"/>
        <w:gridCol w:w="2209"/>
      </w:tblGrid>
      <w:tr w14:paraId="05A14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8" w:type="pct"/>
            <w:tcBorders>
              <w:bottom w:val="single" w:color="auto" w:sz="4" w:space="0"/>
            </w:tcBorders>
            <w:vAlign w:val="center"/>
          </w:tcPr>
          <w:p w14:paraId="406160DF">
            <w:pPr>
              <w:snapToGrid w:val="0"/>
              <w:spacing w:line="300" w:lineRule="exact"/>
              <w:ind w:firstLine="480"/>
              <w:jc w:val="right"/>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项目类别</w:t>
            </w:r>
          </w:p>
          <w:p w14:paraId="72CE17E3">
            <w:pPr>
              <w:snapToGrid w:val="0"/>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cs="Arial"/>
                <w:color w:val="000000" w:themeColor="text1"/>
                <w:szCs w:val="2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-91440</wp:posOffset>
                      </wp:positionH>
                      <wp:positionV relativeFrom="paragraph">
                        <wp:posOffset>70485</wp:posOffset>
                      </wp:positionV>
                      <wp:extent cx="1466850" cy="299720"/>
                      <wp:effectExtent l="0" t="0" r="19050" b="24130"/>
                      <wp:wrapNone/>
                      <wp:docPr id="1724271120" name="自选图形 364"/>
                      <wp:cNvGraphicFramePr/>
                      <a:graphic xmlns:a="http://schemas.openxmlformats.org/drawingml/2006/main">
                        <a:graphicData uri="http://schemas.microsoft.com/office/word/2010/wordprocessingShape">
                          <wps:wsp>
                            <wps:cNvCnPr>
                              <a:cxnSpLocks noChangeShapeType="1"/>
                            </wps:cNvCnPr>
                            <wps:spPr bwMode="auto">
                              <a:xfrm>
                                <a:off x="0" y="0"/>
                                <a:ext cx="1466850" cy="299720"/>
                              </a:xfrm>
                              <a:prstGeom prst="straightConnector1">
                                <a:avLst/>
                              </a:prstGeom>
                              <a:noFill/>
                              <a:ln w="6350">
                                <a:solidFill>
                                  <a:srgbClr val="0D0D0D"/>
                                </a:solidFill>
                                <a:round/>
                              </a:ln>
                            </wps:spPr>
                            <wps:bodyPr/>
                          </wps:wsp>
                        </a:graphicData>
                      </a:graphic>
                    </wp:anchor>
                  </w:drawing>
                </mc:Choice>
                <mc:Fallback>
                  <w:pict>
                    <v:shape id="自选图形 364" o:spid="_x0000_s1026" o:spt="32" type="#_x0000_t32" style="position:absolute;left:0pt;margin-left:-7.2pt;margin-top:5.55pt;height:23.6pt;width:115.5pt;z-index:251672576;mso-width-relative:page;mso-height-relative:page;" filled="f" stroked="t" coordsize="21600,21600" o:gfxdata="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6a3NrZAAAACQEAAA8AAAAAAAAAAQAgAAAAIgAAAGRycy9kb3ducmV2&#10;LnhtbFBLAQIUABQAAAAIAIdO4kCv5Cs3+wEAAMUDAAAOAAAAAAAAAAEAIAAAACgBAABkcnMvZTJv&#10;RG9jLnhtbFBLBQYAAAAABgAGAFkBAACVBQAAAAA=&#10;">
                      <v:fill on="f" focussize="0,0"/>
                      <v:stroke weight="0.5pt" color="#0D0D0D" joinstyle="round"/>
                      <v:imagedata o:title=""/>
                      <o:lock v:ext="edit" aspectratio="f"/>
                    </v:shape>
                  </w:pict>
                </mc:Fallback>
              </mc:AlternateContent>
            </w:r>
            <w:r>
              <w:rPr>
                <w:rFonts w:hint="eastAsia" w:ascii="宋体" w:hAnsi="宋体" w:cs="Arial"/>
                <w:color w:val="000000" w:themeColor="text1"/>
                <w:szCs w:val="21"/>
                <w14:textFill>
                  <w14:solidFill>
                    <w14:schemeClr w14:val="tx1"/>
                  </w14:solidFill>
                </w14:textFill>
              </w:rPr>
              <w:t>评价工作等级</w:t>
            </w:r>
          </w:p>
          <w:p w14:paraId="6777473D">
            <w:pPr>
              <w:snapToGrid w:val="0"/>
              <w:spacing w:line="300" w:lineRule="exact"/>
              <w:ind w:firstLine="480"/>
              <w:jc w:val="left"/>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敏感程度</w:t>
            </w:r>
          </w:p>
        </w:tc>
        <w:tc>
          <w:tcPr>
            <w:tcW w:w="1218" w:type="pct"/>
            <w:tcBorders>
              <w:bottom w:val="single" w:color="auto" w:sz="4" w:space="0"/>
              <w:right w:val="single" w:color="000000" w:sz="2" w:space="0"/>
            </w:tcBorders>
            <w:vAlign w:val="center"/>
          </w:tcPr>
          <w:p w14:paraId="65F4DF07">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Ⅰ类</w:t>
            </w:r>
          </w:p>
        </w:tc>
        <w:tc>
          <w:tcPr>
            <w:tcW w:w="1218" w:type="pct"/>
            <w:tcBorders>
              <w:left w:val="single" w:color="000000" w:sz="2" w:space="0"/>
              <w:bottom w:val="single" w:color="auto" w:sz="4" w:space="0"/>
              <w:right w:val="single" w:color="000000" w:sz="2" w:space="0"/>
            </w:tcBorders>
            <w:vAlign w:val="center"/>
          </w:tcPr>
          <w:p w14:paraId="7E1CF0A6">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Ⅱ类</w:t>
            </w:r>
          </w:p>
        </w:tc>
        <w:tc>
          <w:tcPr>
            <w:tcW w:w="1265" w:type="pct"/>
            <w:tcBorders>
              <w:left w:val="single" w:color="000000" w:sz="2" w:space="0"/>
              <w:bottom w:val="single" w:color="auto" w:sz="4" w:space="0"/>
            </w:tcBorders>
            <w:vAlign w:val="center"/>
          </w:tcPr>
          <w:p w14:paraId="3748F9BB">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Ⅲ类</w:t>
            </w:r>
          </w:p>
        </w:tc>
      </w:tr>
      <w:tr w14:paraId="3AAB5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8" w:type="pct"/>
            <w:tcBorders>
              <w:top w:val="single" w:color="auto" w:sz="4" w:space="0"/>
              <w:bottom w:val="single" w:color="auto" w:sz="4" w:space="0"/>
              <w:right w:val="single" w:color="auto" w:sz="4" w:space="0"/>
            </w:tcBorders>
            <w:vAlign w:val="center"/>
          </w:tcPr>
          <w:p w14:paraId="16C59E0E">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敏感</w:t>
            </w:r>
          </w:p>
        </w:tc>
        <w:tc>
          <w:tcPr>
            <w:tcW w:w="1218" w:type="pct"/>
            <w:tcBorders>
              <w:top w:val="single" w:color="auto" w:sz="4" w:space="0"/>
              <w:left w:val="single" w:color="auto" w:sz="4" w:space="0"/>
              <w:bottom w:val="single" w:color="auto" w:sz="4" w:space="0"/>
              <w:right w:val="single" w:color="auto" w:sz="4" w:space="0"/>
            </w:tcBorders>
            <w:vAlign w:val="center"/>
          </w:tcPr>
          <w:p w14:paraId="364D4A64">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一级</w:t>
            </w:r>
          </w:p>
        </w:tc>
        <w:tc>
          <w:tcPr>
            <w:tcW w:w="1218" w:type="pct"/>
            <w:tcBorders>
              <w:top w:val="single" w:color="auto" w:sz="4" w:space="0"/>
              <w:left w:val="single" w:color="auto" w:sz="4" w:space="0"/>
              <w:bottom w:val="single" w:color="auto" w:sz="4" w:space="0"/>
              <w:right w:val="single" w:color="auto" w:sz="4" w:space="0"/>
            </w:tcBorders>
            <w:vAlign w:val="center"/>
          </w:tcPr>
          <w:p w14:paraId="4E2BA6DC">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二级</w:t>
            </w:r>
          </w:p>
        </w:tc>
        <w:tc>
          <w:tcPr>
            <w:tcW w:w="1265" w:type="pct"/>
            <w:tcBorders>
              <w:top w:val="single" w:color="auto" w:sz="4" w:space="0"/>
              <w:left w:val="single" w:color="auto" w:sz="4" w:space="0"/>
              <w:bottom w:val="single" w:color="auto" w:sz="4" w:space="0"/>
              <w:right w:val="nil"/>
            </w:tcBorders>
            <w:vAlign w:val="center"/>
          </w:tcPr>
          <w:p w14:paraId="7BAD192A">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三级</w:t>
            </w:r>
          </w:p>
        </w:tc>
      </w:tr>
      <w:tr w14:paraId="0BF833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8" w:type="pct"/>
            <w:tcBorders>
              <w:top w:val="single" w:color="auto" w:sz="4" w:space="0"/>
              <w:bottom w:val="single" w:color="auto" w:sz="4" w:space="0"/>
              <w:right w:val="single" w:color="auto" w:sz="4" w:space="0"/>
            </w:tcBorders>
            <w:vAlign w:val="center"/>
          </w:tcPr>
          <w:p w14:paraId="5A7E0DC0">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较敏感</w:t>
            </w:r>
          </w:p>
        </w:tc>
        <w:tc>
          <w:tcPr>
            <w:tcW w:w="1218" w:type="pct"/>
            <w:tcBorders>
              <w:top w:val="single" w:color="auto" w:sz="4" w:space="0"/>
              <w:left w:val="single" w:color="auto" w:sz="4" w:space="0"/>
              <w:bottom w:val="single" w:color="auto" w:sz="4" w:space="0"/>
              <w:right w:val="single" w:color="auto" w:sz="4" w:space="0"/>
            </w:tcBorders>
            <w:vAlign w:val="center"/>
          </w:tcPr>
          <w:p w14:paraId="30E2604F">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二级</w:t>
            </w:r>
          </w:p>
        </w:tc>
        <w:tc>
          <w:tcPr>
            <w:tcW w:w="1218" w:type="pct"/>
            <w:tcBorders>
              <w:top w:val="single" w:color="auto" w:sz="4" w:space="0"/>
              <w:left w:val="single" w:color="auto" w:sz="4" w:space="0"/>
              <w:bottom w:val="single" w:color="auto" w:sz="4" w:space="0"/>
              <w:right w:val="single" w:color="auto" w:sz="4" w:space="0"/>
            </w:tcBorders>
            <w:vAlign w:val="center"/>
          </w:tcPr>
          <w:p w14:paraId="77957D34">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二级</w:t>
            </w:r>
          </w:p>
        </w:tc>
        <w:tc>
          <w:tcPr>
            <w:tcW w:w="1265" w:type="pct"/>
            <w:tcBorders>
              <w:top w:val="single" w:color="auto" w:sz="4" w:space="0"/>
              <w:left w:val="single" w:color="auto" w:sz="4" w:space="0"/>
              <w:bottom w:val="single" w:color="auto" w:sz="4" w:space="0"/>
              <w:right w:val="nil"/>
            </w:tcBorders>
            <w:vAlign w:val="center"/>
          </w:tcPr>
          <w:p w14:paraId="3CF1312C">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三级</w:t>
            </w:r>
          </w:p>
        </w:tc>
      </w:tr>
      <w:tr w14:paraId="0A0358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8" w:type="pct"/>
            <w:tcBorders>
              <w:top w:val="single" w:color="auto" w:sz="4" w:space="0"/>
              <w:bottom w:val="single" w:color="auto" w:sz="12" w:space="0"/>
              <w:right w:val="single" w:color="auto" w:sz="4" w:space="0"/>
            </w:tcBorders>
            <w:vAlign w:val="center"/>
          </w:tcPr>
          <w:p w14:paraId="4BDA09FB">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不敏感</w:t>
            </w:r>
          </w:p>
        </w:tc>
        <w:tc>
          <w:tcPr>
            <w:tcW w:w="1218" w:type="pct"/>
            <w:tcBorders>
              <w:top w:val="single" w:color="auto" w:sz="4" w:space="0"/>
              <w:left w:val="single" w:color="auto" w:sz="4" w:space="0"/>
              <w:bottom w:val="single" w:color="auto" w:sz="12" w:space="0"/>
              <w:right w:val="single" w:color="auto" w:sz="4" w:space="0"/>
            </w:tcBorders>
            <w:vAlign w:val="center"/>
          </w:tcPr>
          <w:p w14:paraId="06BDC82A">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二级</w:t>
            </w:r>
          </w:p>
        </w:tc>
        <w:tc>
          <w:tcPr>
            <w:tcW w:w="1218" w:type="pct"/>
            <w:tcBorders>
              <w:top w:val="single" w:color="auto" w:sz="4" w:space="0"/>
              <w:left w:val="single" w:color="auto" w:sz="4" w:space="0"/>
              <w:bottom w:val="single" w:color="auto" w:sz="12" w:space="0"/>
              <w:right w:val="single" w:color="auto" w:sz="4" w:space="0"/>
            </w:tcBorders>
            <w:vAlign w:val="center"/>
          </w:tcPr>
          <w:p w14:paraId="39B4AEE7">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三级</w:t>
            </w:r>
          </w:p>
        </w:tc>
        <w:tc>
          <w:tcPr>
            <w:tcW w:w="1265" w:type="pct"/>
            <w:tcBorders>
              <w:top w:val="single" w:color="auto" w:sz="4" w:space="0"/>
              <w:left w:val="single" w:color="auto" w:sz="4" w:space="0"/>
              <w:bottom w:val="single" w:color="auto" w:sz="12" w:space="0"/>
              <w:right w:val="nil"/>
            </w:tcBorders>
            <w:vAlign w:val="center"/>
          </w:tcPr>
          <w:p w14:paraId="63A69DDF">
            <w:pPr>
              <w:spacing w:line="300" w:lineRule="exact"/>
              <w:ind w:firstLine="480"/>
              <w:jc w:val="center"/>
              <w:rPr>
                <w:rFonts w:hint="eastAsia" w:ascii="宋体" w:hAnsi="宋体" w:cs="Arial"/>
                <w:color w:val="000000" w:themeColor="text1"/>
                <w:szCs w:val="21"/>
                <w14:textFill>
                  <w14:solidFill>
                    <w14:schemeClr w14:val="tx1"/>
                  </w14:solidFill>
                </w14:textFill>
              </w:rPr>
            </w:pPr>
            <w:r>
              <w:rPr>
                <w:rFonts w:hint="eastAsia" w:ascii="宋体" w:hAnsi="宋体" w:cs="Arial"/>
                <w:color w:val="000000" w:themeColor="text1"/>
                <w:szCs w:val="21"/>
                <w14:textFill>
                  <w14:solidFill>
                    <w14:schemeClr w14:val="tx1"/>
                  </w14:solidFill>
                </w14:textFill>
              </w:rPr>
              <w:t>/</w:t>
            </w:r>
          </w:p>
        </w:tc>
      </w:tr>
    </w:tbl>
    <w:p w14:paraId="3D69836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项目区土壤盐分含量＞4g</w:t>
      </w:r>
      <w:r>
        <w:rPr>
          <w:color w:val="000000" w:themeColor="text1"/>
          <w14:textFill>
            <w14:solidFill>
              <w14:schemeClr w14:val="tx1"/>
            </w14:solidFill>
          </w14:textFill>
        </w:rPr>
        <w:t>/kg</w:t>
      </w:r>
      <w:r>
        <w:rPr>
          <w:rFonts w:hint="eastAsia"/>
          <w:color w:val="000000" w:themeColor="text1"/>
          <w14:textFill>
            <w14:solidFill>
              <w14:schemeClr w14:val="tx1"/>
            </w14:solidFill>
          </w14:textFill>
        </w:rPr>
        <w:t>，生态影响型敏感程度为敏感；本项目属于陆地石油开采行业，根据《环境影响评价技术导则 陆地石油天然气开发建设项目》（H</w:t>
      </w:r>
      <w:r>
        <w:rPr>
          <w:color w:val="000000" w:themeColor="text1"/>
          <w14:textFill>
            <w14:solidFill>
              <w14:schemeClr w14:val="tx1"/>
            </w14:solidFill>
          </w14:textFill>
        </w:rPr>
        <w:t>J349</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2023</w:t>
      </w:r>
      <w:r>
        <w:rPr>
          <w:rFonts w:hint="eastAsia"/>
          <w:color w:val="000000" w:themeColor="text1"/>
          <w14:textFill>
            <w14:solidFill>
              <w14:schemeClr w14:val="tx1"/>
            </w14:solidFill>
          </w14:textFill>
        </w:rPr>
        <w:t>）规定采油井场、2井式平台井场和注水井场为Ⅰ类建设项目，单井采油管线、单井注水管线和单井掺热水管线为Ⅱ类建设项目。根据表2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可知，采油井场、2井式平台井场和注水井场土壤生态影响型评价等级为一级，单井采油管线、单井注水管线和单井掺热水管线土壤</w:t>
      </w:r>
      <w:r>
        <w:rPr>
          <w:rFonts w:hint="eastAsia"/>
          <w:color w:val="000000" w:themeColor="text1"/>
          <w:lang w:val="en-US"/>
          <w14:textFill>
            <w14:solidFill>
              <w14:schemeClr w14:val="tx1"/>
            </w14:solidFill>
          </w14:textFill>
        </w:rPr>
        <w:t>生态</w:t>
      </w:r>
      <w:r>
        <w:rPr>
          <w:rFonts w:hint="eastAsia"/>
          <w:color w:val="000000" w:themeColor="text1"/>
          <w14:textFill>
            <w14:solidFill>
              <w14:schemeClr w14:val="tx1"/>
            </w14:solidFill>
          </w14:textFill>
        </w:rPr>
        <w:t>影响型评价等级为二级。</w:t>
      </w:r>
    </w:p>
    <w:p w14:paraId="13E1C568">
      <w:pPr>
        <w:pStyle w:val="120"/>
        <w:rPr>
          <w:rFonts w:hint="eastAsia"/>
          <w:color w:val="000000" w:themeColor="text1"/>
          <w14:textFill>
            <w14:solidFill>
              <w14:schemeClr w14:val="tx1"/>
            </w14:solidFill>
          </w14:textFill>
        </w:rPr>
      </w:pPr>
      <w:bookmarkStart w:id="118" w:name="_Hlk175264963"/>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）环境风险评价等级</w:t>
      </w:r>
    </w:p>
    <w:bookmarkEnd w:id="118"/>
    <w:p w14:paraId="575EDDDA">
      <w:pPr>
        <w:pStyle w:val="120"/>
        <w:rPr>
          <w:color w:val="000000" w:themeColor="text1"/>
          <w14:textFill>
            <w14:solidFill>
              <w14:schemeClr w14:val="tx1"/>
            </w14:solidFill>
          </w14:textFill>
        </w:rPr>
      </w:pPr>
      <w:r>
        <w:rPr>
          <w:color w:val="000000" w:themeColor="text1"/>
          <w14:textFill>
            <w14:solidFill>
              <w14:schemeClr w14:val="tx1"/>
            </w14:solidFill>
          </w14:textFill>
        </w:rPr>
        <w:t>依据《建设项目环境风险评价技术导则》（HJT169-20</w:t>
      </w:r>
      <w:r>
        <w:rPr>
          <w:rFonts w:hint="eastAsia"/>
          <w:color w:val="000000" w:themeColor="text1"/>
          <w14:textFill>
            <w14:solidFill>
              <w14:schemeClr w14:val="tx1"/>
            </w14:solidFill>
          </w14:textFill>
        </w:rPr>
        <w:t>18</w:t>
      </w:r>
      <w:r>
        <w:rPr>
          <w:color w:val="000000" w:themeColor="text1"/>
          <w14:textFill>
            <w14:solidFill>
              <w14:schemeClr w14:val="tx1"/>
            </w14:solidFill>
          </w14:textFill>
        </w:rPr>
        <w:t>），环境风险评价工作级别按</w:t>
      </w: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10进行划分。</w:t>
      </w:r>
    </w:p>
    <w:p w14:paraId="4C777B99">
      <w:pPr>
        <w:pStyle w:val="112"/>
        <w:rPr>
          <w:rFonts w:hint="eastAsia"/>
          <w:color w:val="000000" w:themeColor="text1"/>
          <w14:textFill>
            <w14:solidFill>
              <w14:schemeClr w14:val="tx1"/>
            </w14:solidFill>
          </w14:textFill>
        </w:rPr>
      </w:pPr>
    </w:p>
    <w:p w14:paraId="749D7D40">
      <w:pPr>
        <w:pStyle w:val="112"/>
        <w:rPr>
          <w:rFonts w:hint="eastAsia"/>
          <w:color w:val="000000" w:themeColor="text1"/>
          <w14:textFill>
            <w14:solidFill>
              <w14:schemeClr w14:val="tx1"/>
            </w14:solidFill>
          </w14:textFill>
        </w:rPr>
      </w:pPr>
    </w:p>
    <w:p w14:paraId="04B05299">
      <w:pPr>
        <w:pStyle w:val="112"/>
        <w:rPr>
          <w:rFonts w:hint="eastAsia"/>
          <w:color w:val="000000" w:themeColor="text1"/>
          <w14:textFill>
            <w14:solidFill>
              <w14:schemeClr w14:val="tx1"/>
            </w14:solidFill>
          </w14:textFill>
        </w:rPr>
      </w:pPr>
    </w:p>
    <w:p w14:paraId="6D71E170">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10 </w:t>
      </w:r>
      <w:r>
        <w:rPr>
          <w:rFonts w:hint="eastAsia"/>
          <w:color w:val="000000" w:themeColor="text1"/>
          <w14:textFill>
            <w14:solidFill>
              <w14:schemeClr w14:val="tx1"/>
            </w14:solidFill>
          </w14:textFill>
        </w:rPr>
        <w:t xml:space="preserve"> 环境风险评价工作级别划分表</w:t>
      </w:r>
    </w:p>
    <w:tbl>
      <w:tblPr>
        <w:tblStyle w:val="51"/>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590"/>
        <w:gridCol w:w="1603"/>
        <w:gridCol w:w="1851"/>
        <w:gridCol w:w="2097"/>
        <w:gridCol w:w="1589"/>
      </w:tblGrid>
      <w:tr w14:paraId="16A6965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11" w:type="pct"/>
            <w:vAlign w:val="center"/>
          </w:tcPr>
          <w:p w14:paraId="44E27F72">
            <w:pPr>
              <w:pStyle w:val="146"/>
              <w:adjustRightInd w:val="0"/>
              <w:snapToGrid w:val="0"/>
              <w:spacing w:before="0" w:line="300" w:lineRule="exact"/>
              <w:ind w:firstLine="0" w:firstLineChars="0"/>
              <w:jc w:val="center"/>
              <w:rPr>
                <w:rFonts w:hint="eastAsia" w:ascii="宋体" w:hAnsi="宋体"/>
                <w:bCs w:val="0"/>
                <w:caps/>
                <w:color w:val="000000" w:themeColor="text1"/>
                <w:sz w:val="21"/>
                <w:szCs w:val="21"/>
                <w14:textFill>
                  <w14:solidFill>
                    <w14:schemeClr w14:val="tx1"/>
                  </w14:solidFill>
                </w14:textFill>
              </w:rPr>
            </w:pPr>
            <w:r>
              <w:rPr>
                <w:rFonts w:hint="eastAsia" w:ascii="宋体" w:hAnsi="宋体"/>
                <w:bCs w:val="0"/>
                <w:caps/>
                <w:color w:val="000000" w:themeColor="text1"/>
                <w:sz w:val="21"/>
                <w:szCs w:val="21"/>
                <w14:textFill>
                  <w14:solidFill>
                    <w14:schemeClr w14:val="tx1"/>
                  </w14:solidFill>
                </w14:textFill>
              </w:rPr>
              <w:t>环境风险潜势</w:t>
            </w:r>
          </w:p>
        </w:tc>
        <w:tc>
          <w:tcPr>
            <w:tcW w:w="918" w:type="pct"/>
            <w:vAlign w:val="center"/>
          </w:tcPr>
          <w:p w14:paraId="404018B2">
            <w:pPr>
              <w:pStyle w:val="146"/>
              <w:adjustRightInd w:val="0"/>
              <w:snapToGrid w:val="0"/>
              <w:spacing w:before="0" w:line="300" w:lineRule="exact"/>
              <w:ind w:firstLine="0" w:firstLineChars="0"/>
              <w:jc w:val="center"/>
              <w:rPr>
                <w:rFonts w:hint="eastAsia" w:ascii="宋体" w:hAnsi="宋体"/>
                <w:bCs w:val="0"/>
                <w:caps/>
                <w:color w:val="000000" w:themeColor="text1"/>
                <w:sz w:val="21"/>
                <w:szCs w:val="21"/>
                <w14:textFill>
                  <w14:solidFill>
                    <w14:schemeClr w14:val="tx1"/>
                  </w14:solidFill>
                </w14:textFill>
              </w:rPr>
            </w:pPr>
            <w:r>
              <w:rPr>
                <w:rFonts w:hint="eastAsia" w:ascii="宋体" w:hAnsi="宋体"/>
                <w:bCs w:val="0"/>
                <w:caps/>
                <w:color w:val="000000" w:themeColor="text1"/>
                <w:sz w:val="21"/>
                <w:szCs w:val="21"/>
                <w14:textFill>
                  <w14:solidFill>
                    <w14:schemeClr w14:val="tx1"/>
                  </w14:solidFill>
                </w14:textFill>
              </w:rPr>
              <w:t>Ⅳ、Ⅳ</w:t>
            </w:r>
            <w:r>
              <w:rPr>
                <w:rFonts w:hint="eastAsia" w:ascii="宋体" w:hAnsi="宋体"/>
                <w:bCs w:val="0"/>
                <w:caps/>
                <w:color w:val="000000" w:themeColor="text1"/>
                <w:sz w:val="21"/>
                <w:szCs w:val="21"/>
                <w:vertAlign w:val="superscript"/>
                <w14:textFill>
                  <w14:solidFill>
                    <w14:schemeClr w14:val="tx1"/>
                  </w14:solidFill>
                </w14:textFill>
              </w:rPr>
              <w:t>+</w:t>
            </w:r>
          </w:p>
        </w:tc>
        <w:tc>
          <w:tcPr>
            <w:tcW w:w="1060" w:type="pct"/>
            <w:vAlign w:val="center"/>
          </w:tcPr>
          <w:p w14:paraId="76004E29">
            <w:pPr>
              <w:pStyle w:val="146"/>
              <w:adjustRightInd w:val="0"/>
              <w:snapToGrid w:val="0"/>
              <w:spacing w:before="0" w:line="300" w:lineRule="exact"/>
              <w:ind w:firstLine="0" w:firstLineChars="0"/>
              <w:jc w:val="center"/>
              <w:rPr>
                <w:rFonts w:hint="eastAsia" w:ascii="宋体" w:hAnsi="宋体"/>
                <w:bCs w:val="0"/>
                <w:caps/>
                <w:color w:val="000000" w:themeColor="text1"/>
                <w:sz w:val="21"/>
                <w:szCs w:val="21"/>
                <w14:textFill>
                  <w14:solidFill>
                    <w14:schemeClr w14:val="tx1"/>
                  </w14:solidFill>
                </w14:textFill>
              </w:rPr>
            </w:pPr>
            <w:r>
              <w:rPr>
                <w:rFonts w:hint="eastAsia" w:ascii="宋体" w:hAnsi="宋体"/>
                <w:bCs w:val="0"/>
                <w:caps/>
                <w:color w:val="000000" w:themeColor="text1"/>
                <w:sz w:val="21"/>
                <w:szCs w:val="21"/>
                <w14:textFill>
                  <w14:solidFill>
                    <w14:schemeClr w14:val="tx1"/>
                  </w14:solidFill>
                </w14:textFill>
              </w:rPr>
              <w:t>Ⅲ</w:t>
            </w:r>
          </w:p>
        </w:tc>
        <w:tc>
          <w:tcPr>
            <w:tcW w:w="1201" w:type="pct"/>
            <w:vAlign w:val="center"/>
          </w:tcPr>
          <w:p w14:paraId="04C37183">
            <w:pPr>
              <w:pStyle w:val="146"/>
              <w:adjustRightInd w:val="0"/>
              <w:snapToGrid w:val="0"/>
              <w:spacing w:before="0" w:line="300" w:lineRule="exact"/>
              <w:ind w:firstLine="0" w:firstLineChars="0"/>
              <w:jc w:val="center"/>
              <w:rPr>
                <w:rFonts w:hint="eastAsia" w:ascii="宋体" w:hAnsi="宋体"/>
                <w:bCs w:val="0"/>
                <w:caps/>
                <w:color w:val="000000" w:themeColor="text1"/>
                <w:sz w:val="21"/>
                <w:szCs w:val="21"/>
                <w14:textFill>
                  <w14:solidFill>
                    <w14:schemeClr w14:val="tx1"/>
                  </w14:solidFill>
                </w14:textFill>
              </w:rPr>
            </w:pPr>
            <w:r>
              <w:rPr>
                <w:rFonts w:hint="eastAsia" w:ascii="宋体" w:hAnsi="宋体"/>
                <w:bCs w:val="0"/>
                <w:caps/>
                <w:color w:val="000000" w:themeColor="text1"/>
                <w:sz w:val="21"/>
                <w:szCs w:val="21"/>
                <w14:textFill>
                  <w14:solidFill>
                    <w14:schemeClr w14:val="tx1"/>
                  </w14:solidFill>
                </w14:textFill>
              </w:rPr>
              <w:t>Ⅱ</w:t>
            </w:r>
          </w:p>
        </w:tc>
        <w:tc>
          <w:tcPr>
            <w:tcW w:w="910" w:type="pct"/>
            <w:vAlign w:val="center"/>
          </w:tcPr>
          <w:p w14:paraId="58E65062">
            <w:pPr>
              <w:pStyle w:val="146"/>
              <w:adjustRightInd w:val="0"/>
              <w:snapToGrid w:val="0"/>
              <w:spacing w:before="0" w:line="300" w:lineRule="exact"/>
              <w:ind w:firstLine="0" w:firstLineChars="0"/>
              <w:jc w:val="center"/>
              <w:rPr>
                <w:rFonts w:hint="eastAsia" w:ascii="宋体" w:hAnsi="宋体"/>
                <w:bCs w:val="0"/>
                <w:caps/>
                <w:color w:val="000000" w:themeColor="text1"/>
                <w:sz w:val="21"/>
                <w:szCs w:val="21"/>
                <w14:textFill>
                  <w14:solidFill>
                    <w14:schemeClr w14:val="tx1"/>
                  </w14:solidFill>
                </w14:textFill>
              </w:rPr>
            </w:pPr>
            <w:r>
              <w:rPr>
                <w:rFonts w:hint="eastAsia" w:ascii="宋体" w:hAnsi="宋体"/>
                <w:bCs w:val="0"/>
                <w:caps/>
                <w:color w:val="000000" w:themeColor="text1"/>
                <w:sz w:val="21"/>
                <w:szCs w:val="21"/>
                <w14:textFill>
                  <w14:solidFill>
                    <w14:schemeClr w14:val="tx1"/>
                  </w14:solidFill>
                </w14:textFill>
              </w:rPr>
              <w:t>Ⅰ</w:t>
            </w:r>
          </w:p>
        </w:tc>
      </w:tr>
      <w:tr w14:paraId="4C260DF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11" w:type="pct"/>
            <w:vAlign w:val="center"/>
          </w:tcPr>
          <w:p w14:paraId="0FE37B07">
            <w:pPr>
              <w:pStyle w:val="146"/>
              <w:adjustRightInd w:val="0"/>
              <w:snapToGrid w:val="0"/>
              <w:spacing w:before="0" w:line="300" w:lineRule="exact"/>
              <w:ind w:firstLine="0" w:firstLineChars="0"/>
              <w:jc w:val="center"/>
              <w:rPr>
                <w:rFonts w:hint="eastAsia" w:ascii="宋体" w:hAnsi="宋体"/>
                <w:bCs w:val="0"/>
                <w:color w:val="000000" w:themeColor="text1"/>
                <w:sz w:val="21"/>
                <w:szCs w:val="21"/>
                <w14:textFill>
                  <w14:solidFill>
                    <w14:schemeClr w14:val="tx1"/>
                  </w14:solidFill>
                </w14:textFill>
              </w:rPr>
            </w:pPr>
            <w:r>
              <w:rPr>
                <w:rFonts w:hint="eastAsia" w:ascii="宋体" w:hAnsi="宋体"/>
                <w:bCs w:val="0"/>
                <w:color w:val="000000" w:themeColor="text1"/>
                <w:sz w:val="21"/>
                <w:szCs w:val="21"/>
                <w14:textFill>
                  <w14:solidFill>
                    <w14:schemeClr w14:val="tx1"/>
                  </w14:solidFill>
                </w14:textFill>
              </w:rPr>
              <w:t>评价工作等级</w:t>
            </w:r>
          </w:p>
        </w:tc>
        <w:tc>
          <w:tcPr>
            <w:tcW w:w="918" w:type="pct"/>
            <w:vAlign w:val="center"/>
          </w:tcPr>
          <w:p w14:paraId="24F37E15">
            <w:pPr>
              <w:pStyle w:val="146"/>
              <w:adjustRightInd w:val="0"/>
              <w:snapToGrid w:val="0"/>
              <w:spacing w:before="0" w:line="300" w:lineRule="exact"/>
              <w:ind w:firstLine="0" w:firstLineChars="0"/>
              <w:jc w:val="center"/>
              <w:rPr>
                <w:rFonts w:hint="eastAsia" w:ascii="宋体" w:hAnsi="宋体"/>
                <w:bCs w:val="0"/>
                <w:color w:val="000000" w:themeColor="text1"/>
                <w:sz w:val="21"/>
                <w:szCs w:val="21"/>
                <w14:textFill>
                  <w14:solidFill>
                    <w14:schemeClr w14:val="tx1"/>
                  </w14:solidFill>
                </w14:textFill>
              </w:rPr>
            </w:pPr>
            <w:r>
              <w:rPr>
                <w:rFonts w:hint="eastAsia" w:ascii="宋体" w:hAnsi="宋体"/>
                <w:bCs w:val="0"/>
                <w:color w:val="000000" w:themeColor="text1"/>
                <w:sz w:val="21"/>
                <w:szCs w:val="21"/>
                <w14:textFill>
                  <w14:solidFill>
                    <w14:schemeClr w14:val="tx1"/>
                  </w14:solidFill>
                </w14:textFill>
              </w:rPr>
              <w:t>一</w:t>
            </w:r>
          </w:p>
        </w:tc>
        <w:tc>
          <w:tcPr>
            <w:tcW w:w="1060" w:type="pct"/>
            <w:vAlign w:val="center"/>
          </w:tcPr>
          <w:p w14:paraId="2C38AA7F">
            <w:pPr>
              <w:pStyle w:val="146"/>
              <w:adjustRightInd w:val="0"/>
              <w:snapToGrid w:val="0"/>
              <w:spacing w:before="0" w:line="300" w:lineRule="exact"/>
              <w:ind w:firstLine="0" w:firstLineChars="0"/>
              <w:jc w:val="center"/>
              <w:rPr>
                <w:rFonts w:hint="eastAsia" w:ascii="宋体" w:hAnsi="宋体"/>
                <w:bCs w:val="0"/>
                <w:color w:val="000000" w:themeColor="text1"/>
                <w:sz w:val="21"/>
                <w:szCs w:val="21"/>
                <w14:textFill>
                  <w14:solidFill>
                    <w14:schemeClr w14:val="tx1"/>
                  </w14:solidFill>
                </w14:textFill>
              </w:rPr>
            </w:pPr>
            <w:r>
              <w:rPr>
                <w:rFonts w:hint="eastAsia" w:ascii="宋体" w:hAnsi="宋体"/>
                <w:bCs w:val="0"/>
                <w:color w:val="000000" w:themeColor="text1"/>
                <w:sz w:val="21"/>
                <w:szCs w:val="21"/>
                <w14:textFill>
                  <w14:solidFill>
                    <w14:schemeClr w14:val="tx1"/>
                  </w14:solidFill>
                </w14:textFill>
              </w:rPr>
              <w:t>二</w:t>
            </w:r>
          </w:p>
        </w:tc>
        <w:tc>
          <w:tcPr>
            <w:tcW w:w="1201" w:type="pct"/>
            <w:vAlign w:val="center"/>
          </w:tcPr>
          <w:p w14:paraId="14F18CD3">
            <w:pPr>
              <w:pStyle w:val="146"/>
              <w:adjustRightInd w:val="0"/>
              <w:snapToGrid w:val="0"/>
              <w:spacing w:before="0" w:line="300" w:lineRule="exact"/>
              <w:ind w:firstLine="0" w:firstLineChars="0"/>
              <w:jc w:val="center"/>
              <w:rPr>
                <w:rFonts w:hint="eastAsia" w:ascii="宋体" w:hAnsi="宋体"/>
                <w:bCs w:val="0"/>
                <w:color w:val="000000" w:themeColor="text1"/>
                <w:sz w:val="21"/>
                <w:szCs w:val="21"/>
                <w14:textFill>
                  <w14:solidFill>
                    <w14:schemeClr w14:val="tx1"/>
                  </w14:solidFill>
                </w14:textFill>
              </w:rPr>
            </w:pPr>
            <w:r>
              <w:rPr>
                <w:rFonts w:hint="eastAsia" w:ascii="宋体" w:hAnsi="宋体"/>
                <w:bCs w:val="0"/>
                <w:color w:val="000000" w:themeColor="text1"/>
                <w:sz w:val="21"/>
                <w:szCs w:val="21"/>
                <w14:textFill>
                  <w14:solidFill>
                    <w14:schemeClr w14:val="tx1"/>
                  </w14:solidFill>
                </w14:textFill>
              </w:rPr>
              <w:t>三</w:t>
            </w:r>
          </w:p>
        </w:tc>
        <w:tc>
          <w:tcPr>
            <w:tcW w:w="910" w:type="pct"/>
            <w:vAlign w:val="center"/>
          </w:tcPr>
          <w:p w14:paraId="11B44775">
            <w:pPr>
              <w:pStyle w:val="146"/>
              <w:adjustRightInd w:val="0"/>
              <w:snapToGrid w:val="0"/>
              <w:spacing w:before="0" w:line="300" w:lineRule="exact"/>
              <w:ind w:firstLine="0" w:firstLineChars="0"/>
              <w:jc w:val="center"/>
              <w:rPr>
                <w:rFonts w:hint="eastAsia" w:ascii="宋体" w:hAnsi="宋体"/>
                <w:bCs w:val="0"/>
                <w:color w:val="000000" w:themeColor="text1"/>
                <w:sz w:val="21"/>
                <w:szCs w:val="21"/>
                <w14:textFill>
                  <w14:solidFill>
                    <w14:schemeClr w14:val="tx1"/>
                  </w14:solidFill>
                </w14:textFill>
              </w:rPr>
            </w:pPr>
            <w:r>
              <w:rPr>
                <w:rFonts w:hint="eastAsia" w:ascii="宋体" w:hAnsi="宋体"/>
                <w:bCs w:val="0"/>
                <w:color w:val="000000" w:themeColor="text1"/>
                <w:sz w:val="21"/>
                <w:szCs w:val="21"/>
                <w14:textFill>
                  <w14:solidFill>
                    <w14:schemeClr w14:val="tx1"/>
                  </w14:solidFill>
                </w14:textFill>
              </w:rPr>
              <w:t>简单分析</w:t>
            </w:r>
            <w:r>
              <w:rPr>
                <w:rFonts w:hint="eastAsia" w:ascii="宋体" w:hAnsi="宋体"/>
                <w:bCs w:val="0"/>
                <w:color w:val="000000" w:themeColor="text1"/>
                <w:sz w:val="21"/>
                <w:szCs w:val="21"/>
                <w:vertAlign w:val="superscript"/>
                <w14:textFill>
                  <w14:solidFill>
                    <w14:schemeClr w14:val="tx1"/>
                  </w14:solidFill>
                </w14:textFill>
              </w:rPr>
              <w:t>a</w:t>
            </w:r>
          </w:p>
        </w:tc>
      </w:tr>
      <w:tr w14:paraId="5EB0CEC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5000" w:type="pct"/>
            <w:gridSpan w:val="5"/>
            <w:vAlign w:val="center"/>
          </w:tcPr>
          <w:p w14:paraId="6AF1F0D3">
            <w:pPr>
              <w:pStyle w:val="146"/>
              <w:adjustRightInd w:val="0"/>
              <w:snapToGrid w:val="0"/>
              <w:spacing w:before="0" w:line="300" w:lineRule="exact"/>
              <w:ind w:firstLine="0" w:firstLineChars="0"/>
              <w:jc w:val="left"/>
              <w:rPr>
                <w:rFonts w:hint="eastAsia" w:ascii="宋体" w:hAnsi="宋体"/>
                <w:bCs w:val="0"/>
                <w:color w:val="000000" w:themeColor="text1"/>
                <w:sz w:val="21"/>
                <w:szCs w:val="21"/>
                <w14:textFill>
                  <w14:solidFill>
                    <w14:schemeClr w14:val="tx1"/>
                  </w14:solidFill>
                </w14:textFill>
              </w:rPr>
            </w:pPr>
            <w:r>
              <w:rPr>
                <w:rFonts w:hint="eastAsia" w:ascii="宋体" w:hAnsi="宋体"/>
                <w:bCs w:val="0"/>
                <w:color w:val="000000" w:themeColor="text1"/>
                <w:sz w:val="21"/>
                <w:szCs w:val="21"/>
                <w:vertAlign w:val="superscript"/>
                <w14:textFill>
                  <w14:solidFill>
                    <w14:schemeClr w14:val="tx1"/>
                  </w14:solidFill>
                </w14:textFill>
              </w:rPr>
              <w:t>a</w:t>
            </w:r>
            <w:r>
              <w:rPr>
                <w:rFonts w:hint="eastAsia" w:ascii="宋体" w:hAnsi="宋体"/>
                <w:bCs w:val="0"/>
                <w:color w:val="000000" w:themeColor="text1"/>
                <w:sz w:val="21"/>
                <w:szCs w:val="21"/>
                <w14:textFill>
                  <w14:solidFill>
                    <w14:schemeClr w14:val="tx1"/>
                  </w14:solidFill>
                </w14:textFill>
              </w:rPr>
              <w:t>是相对于详细评价工作内容而言，在描述危险物质、环境影响途径、环境危害后果、风险防范措施等方面给出定性说明。</w:t>
            </w:r>
          </w:p>
        </w:tc>
      </w:tr>
    </w:tbl>
    <w:p w14:paraId="3FF99983">
      <w:pPr>
        <w:pStyle w:val="120"/>
        <w:rPr>
          <w:rFonts w:hint="eastAsia"/>
          <w:color w:val="000000" w:themeColor="text1"/>
          <w14:textFill>
            <w14:solidFill>
              <w14:schemeClr w14:val="tx1"/>
            </w14:solidFill>
          </w14:textFill>
        </w:rPr>
      </w:pPr>
      <w:bookmarkStart w:id="119" w:name="_Hlk147580791"/>
      <w:r>
        <w:rPr>
          <w:rFonts w:hint="eastAsia"/>
          <w:color w:val="000000" w:themeColor="text1"/>
          <w14:textFill>
            <w14:solidFill>
              <w14:schemeClr w14:val="tx1"/>
            </w14:solidFill>
          </w14:textFill>
        </w:rPr>
        <w:t>本项目施工期危险物质为柴油、危险废物（废润滑油、废润滑油桶、沾油废防渗材料和废危化品包装材料）。</w:t>
      </w:r>
    </w:p>
    <w:p w14:paraId="6582FBAC">
      <w:pPr>
        <w:pStyle w:val="120"/>
        <w:spacing w:line="48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施工期钻井以及井场施工过程中产生的废润滑油、废润滑油桶、沾油废防渗材料和废化学品包装在井场危险废物暂存点暂存，最终交由具有相应危险废物处置资质的单位处置。</w:t>
      </w:r>
    </w:p>
    <w:p w14:paraId="6CFDE17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运营期单井采油井场、</w:t>
      </w:r>
      <w:r>
        <w:rPr>
          <w:color w:val="000000" w:themeColor="text1"/>
          <w14:textFill>
            <w14:solidFill>
              <w14:schemeClr w14:val="tx1"/>
            </w14:solidFill>
          </w14:textFill>
        </w:rPr>
        <w:t>2井式平台井场</w:t>
      </w:r>
      <w:r>
        <w:rPr>
          <w:rFonts w:hint="eastAsia"/>
          <w:color w:val="000000" w:themeColor="text1"/>
          <w14:textFill>
            <w14:solidFill>
              <w14:schemeClr w14:val="tx1"/>
            </w14:solidFill>
          </w14:textFill>
        </w:rPr>
        <w:t>和注水井场产生的废润滑油、废润滑油桶、沾油废防渗材料、废含油抹布和劳保用品不在项目区暂存，直接转运至吉祥联合站危险废物临时贮存点，最终交由有相应危险废物处置资质的单位处置。</w:t>
      </w:r>
    </w:p>
    <w:p w14:paraId="62BF158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本项目涉及的环境风险单元为单井采油井场、</w:t>
      </w:r>
      <w:r>
        <w:rPr>
          <w:color w:val="000000" w:themeColor="text1"/>
          <w14:textFill>
            <w14:solidFill>
              <w14:schemeClr w14:val="tx1"/>
            </w14:solidFill>
          </w14:textFill>
        </w:rPr>
        <w:t>2井式平台井场</w:t>
      </w:r>
      <w:r>
        <w:rPr>
          <w:rFonts w:hint="eastAsia"/>
          <w:color w:val="000000" w:themeColor="text1"/>
          <w14:textFill>
            <w14:solidFill>
              <w14:schemeClr w14:val="tx1"/>
            </w14:solidFill>
          </w14:textFill>
        </w:rPr>
        <w:t>、注水井场和单井采油管线，危险物质与临界量的比值（Q值）计算结果详见表</w:t>
      </w:r>
      <w:r>
        <w:rPr>
          <w:color w:val="000000" w:themeColor="text1"/>
          <w14:textFill>
            <w14:solidFill>
              <w14:schemeClr w14:val="tx1"/>
            </w14:solidFill>
          </w14:textFill>
        </w:rPr>
        <w:t>2.6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w:t>
      </w:r>
    </w:p>
    <w:p w14:paraId="57A9B595">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11  </w:t>
      </w:r>
      <w:r>
        <w:rPr>
          <w:rFonts w:hint="eastAsia"/>
          <w:color w:val="000000" w:themeColor="text1"/>
          <w14:textFill>
            <w14:solidFill>
              <w14:schemeClr w14:val="tx1"/>
            </w14:solidFill>
          </w14:textFill>
        </w:rPr>
        <w:t>风险单元Q值一览表</w:t>
      </w:r>
    </w:p>
    <w:tbl>
      <w:tblPr>
        <w:tblStyle w:val="5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
      <w:tblGrid>
        <w:gridCol w:w="842"/>
        <w:gridCol w:w="860"/>
        <w:gridCol w:w="1917"/>
        <w:gridCol w:w="816"/>
        <w:gridCol w:w="670"/>
        <w:gridCol w:w="1459"/>
        <w:gridCol w:w="1089"/>
        <w:gridCol w:w="1075"/>
      </w:tblGrid>
      <w:tr w14:paraId="795B4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974" w:type="pct"/>
            <w:gridSpan w:val="2"/>
            <w:vAlign w:val="center"/>
          </w:tcPr>
          <w:p w14:paraId="24A7F14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风险单元</w:t>
            </w:r>
          </w:p>
        </w:tc>
        <w:tc>
          <w:tcPr>
            <w:tcW w:w="1097" w:type="pct"/>
            <w:vAlign w:val="center"/>
          </w:tcPr>
          <w:p w14:paraId="59E08DC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规格</w:t>
            </w:r>
          </w:p>
        </w:tc>
        <w:tc>
          <w:tcPr>
            <w:tcW w:w="851" w:type="pct"/>
            <w:gridSpan w:val="2"/>
            <w:vAlign w:val="center"/>
          </w:tcPr>
          <w:p w14:paraId="16AB183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风险物质在线量（t）</w:t>
            </w:r>
          </w:p>
        </w:tc>
        <w:tc>
          <w:tcPr>
            <w:tcW w:w="836" w:type="pct"/>
            <w:vAlign w:val="center"/>
          </w:tcPr>
          <w:p w14:paraId="3CCC5CB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风险物质临界量（t）</w:t>
            </w:r>
          </w:p>
        </w:tc>
        <w:tc>
          <w:tcPr>
            <w:tcW w:w="624" w:type="pct"/>
            <w:vAlign w:val="center"/>
          </w:tcPr>
          <w:p w14:paraId="070E439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Q值</w:t>
            </w:r>
          </w:p>
        </w:tc>
        <w:tc>
          <w:tcPr>
            <w:tcW w:w="616" w:type="pct"/>
            <w:vAlign w:val="center"/>
          </w:tcPr>
          <w:p w14:paraId="49446A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风险潜势</w:t>
            </w:r>
          </w:p>
          <w:p w14:paraId="60BE23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等级</w:t>
            </w:r>
          </w:p>
        </w:tc>
      </w:tr>
      <w:tr w14:paraId="2EEDB9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482" w:type="pct"/>
            <w:vMerge w:val="restart"/>
            <w:vAlign w:val="center"/>
          </w:tcPr>
          <w:p w14:paraId="3CC122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491" w:type="pct"/>
            <w:vMerge w:val="restart"/>
            <w:vAlign w:val="center"/>
          </w:tcPr>
          <w:p w14:paraId="584706A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w:t>
            </w:r>
          </w:p>
        </w:tc>
        <w:tc>
          <w:tcPr>
            <w:tcW w:w="1097" w:type="pct"/>
            <w:vAlign w:val="center"/>
          </w:tcPr>
          <w:p w14:paraId="37D73D7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柴油</w:t>
            </w:r>
          </w:p>
        </w:tc>
        <w:tc>
          <w:tcPr>
            <w:tcW w:w="851" w:type="pct"/>
            <w:gridSpan w:val="2"/>
            <w:vAlign w:val="center"/>
          </w:tcPr>
          <w:p w14:paraId="575EB1C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836" w:type="pct"/>
            <w:vAlign w:val="center"/>
          </w:tcPr>
          <w:p w14:paraId="66D844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2500</w:t>
            </w:r>
          </w:p>
        </w:tc>
        <w:tc>
          <w:tcPr>
            <w:tcW w:w="624" w:type="pct"/>
            <w:vAlign w:val="center"/>
          </w:tcPr>
          <w:p w14:paraId="11C483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0.008</w:t>
            </w:r>
          </w:p>
        </w:tc>
        <w:tc>
          <w:tcPr>
            <w:tcW w:w="616" w:type="pct"/>
            <w:vMerge w:val="restart"/>
            <w:vAlign w:val="center"/>
          </w:tcPr>
          <w:p w14:paraId="3AECF13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Ⅰ</w:t>
            </w:r>
          </w:p>
        </w:tc>
      </w:tr>
      <w:tr w14:paraId="3479A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482" w:type="pct"/>
            <w:vMerge w:val="continue"/>
            <w:vAlign w:val="center"/>
          </w:tcPr>
          <w:p w14:paraId="70F9B3C8">
            <w:pPr>
              <w:pStyle w:val="280"/>
              <w:rPr>
                <w:rFonts w:hint="eastAsia"/>
                <w:color w:val="000000" w:themeColor="text1"/>
                <w14:textFill>
                  <w14:solidFill>
                    <w14:schemeClr w14:val="tx1"/>
                  </w14:solidFill>
                </w14:textFill>
              </w:rPr>
            </w:pPr>
          </w:p>
        </w:tc>
        <w:tc>
          <w:tcPr>
            <w:tcW w:w="491" w:type="pct"/>
            <w:vMerge w:val="continue"/>
            <w:vAlign w:val="center"/>
          </w:tcPr>
          <w:p w14:paraId="367302DB">
            <w:pPr>
              <w:pStyle w:val="280"/>
              <w:rPr>
                <w:rFonts w:hint="eastAsia"/>
                <w:color w:val="000000" w:themeColor="text1"/>
                <w14:textFill>
                  <w14:solidFill>
                    <w14:schemeClr w14:val="tx1"/>
                  </w14:solidFill>
                </w14:textFill>
              </w:rPr>
            </w:pPr>
          </w:p>
        </w:tc>
        <w:tc>
          <w:tcPr>
            <w:tcW w:w="1097" w:type="pct"/>
            <w:vAlign w:val="center"/>
          </w:tcPr>
          <w:p w14:paraId="754167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废润滑油、废润滑油桶、沾油废防渗材料和废化学品包装</w:t>
            </w:r>
          </w:p>
        </w:tc>
        <w:tc>
          <w:tcPr>
            <w:tcW w:w="851" w:type="pct"/>
            <w:gridSpan w:val="2"/>
            <w:vAlign w:val="center"/>
          </w:tcPr>
          <w:p w14:paraId="692C48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36" w:type="pct"/>
            <w:vAlign w:val="center"/>
          </w:tcPr>
          <w:p w14:paraId="62D70D0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624" w:type="pct"/>
            <w:vAlign w:val="center"/>
          </w:tcPr>
          <w:p w14:paraId="6F1C6C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w:t>
            </w:r>
          </w:p>
        </w:tc>
        <w:tc>
          <w:tcPr>
            <w:tcW w:w="616" w:type="pct"/>
            <w:vMerge w:val="continue"/>
            <w:vAlign w:val="center"/>
          </w:tcPr>
          <w:p w14:paraId="30688316">
            <w:pPr>
              <w:pStyle w:val="280"/>
              <w:rPr>
                <w:rFonts w:hint="eastAsia"/>
                <w:color w:val="000000" w:themeColor="text1"/>
                <w14:textFill>
                  <w14:solidFill>
                    <w14:schemeClr w14:val="tx1"/>
                  </w14:solidFill>
                </w14:textFill>
              </w:rPr>
            </w:pPr>
          </w:p>
        </w:tc>
      </w:tr>
      <w:tr w14:paraId="5ED15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974" w:type="pct"/>
            <w:gridSpan w:val="2"/>
            <w:vAlign w:val="center"/>
          </w:tcPr>
          <w:p w14:paraId="3B20622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小计</w:t>
            </w:r>
          </w:p>
        </w:tc>
        <w:tc>
          <w:tcPr>
            <w:tcW w:w="1097" w:type="pct"/>
            <w:vAlign w:val="center"/>
          </w:tcPr>
          <w:p w14:paraId="6461D2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1" w:type="pct"/>
            <w:gridSpan w:val="2"/>
            <w:vAlign w:val="center"/>
          </w:tcPr>
          <w:p w14:paraId="17CE8C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36" w:type="pct"/>
            <w:vAlign w:val="center"/>
          </w:tcPr>
          <w:p w14:paraId="69EDF6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24" w:type="pct"/>
            <w:vAlign w:val="center"/>
          </w:tcPr>
          <w:p w14:paraId="69037E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0.028</w:t>
            </w:r>
          </w:p>
        </w:tc>
        <w:tc>
          <w:tcPr>
            <w:tcW w:w="616" w:type="pct"/>
            <w:vMerge w:val="continue"/>
            <w:vAlign w:val="center"/>
          </w:tcPr>
          <w:p w14:paraId="4612EB15">
            <w:pPr>
              <w:pStyle w:val="280"/>
              <w:rPr>
                <w:rFonts w:hint="eastAsia"/>
                <w:color w:val="000000" w:themeColor="text1"/>
                <w14:textFill>
                  <w14:solidFill>
                    <w14:schemeClr w14:val="tx1"/>
                  </w14:solidFill>
                </w14:textFill>
              </w:rPr>
            </w:pPr>
          </w:p>
        </w:tc>
      </w:tr>
      <w:tr w14:paraId="0E869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482" w:type="pct"/>
            <w:vMerge w:val="restart"/>
            <w:vAlign w:val="center"/>
          </w:tcPr>
          <w:p w14:paraId="209519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tc>
        <w:tc>
          <w:tcPr>
            <w:tcW w:w="491" w:type="pct"/>
            <w:vMerge w:val="restart"/>
            <w:vAlign w:val="center"/>
          </w:tcPr>
          <w:p w14:paraId="13040C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单井采油管线</w:t>
            </w:r>
          </w:p>
        </w:tc>
        <w:tc>
          <w:tcPr>
            <w:tcW w:w="1097" w:type="pct"/>
            <w:vMerge w:val="restart"/>
            <w:vAlign w:val="center"/>
          </w:tcPr>
          <w:p w14:paraId="1D5E7A0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长度1.82km、DN50 </w:t>
            </w:r>
            <w:r>
              <w:rPr>
                <w:rFonts w:cs="宋体"/>
                <w:snapToGrid w:val="0"/>
                <w:color w:val="000000" w:themeColor="text1"/>
                <w14:textFill>
                  <w14:solidFill>
                    <w14:schemeClr w14:val="tx1"/>
                  </w14:solidFill>
                </w14:textFill>
              </w:rPr>
              <w:t>2.5MPa</w:t>
            </w:r>
          </w:p>
        </w:tc>
        <w:tc>
          <w:tcPr>
            <w:tcW w:w="467" w:type="pct"/>
            <w:vAlign w:val="center"/>
          </w:tcPr>
          <w:p w14:paraId="4C7B7D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原油</w:t>
            </w:r>
          </w:p>
        </w:tc>
        <w:tc>
          <w:tcPr>
            <w:tcW w:w="383" w:type="pct"/>
            <w:vAlign w:val="center"/>
          </w:tcPr>
          <w:p w14:paraId="388DBBA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3.36</w:t>
            </w:r>
          </w:p>
        </w:tc>
        <w:tc>
          <w:tcPr>
            <w:tcW w:w="836" w:type="pct"/>
            <w:vAlign w:val="center"/>
          </w:tcPr>
          <w:p w14:paraId="3065FA6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2500</w:t>
            </w:r>
          </w:p>
        </w:tc>
        <w:tc>
          <w:tcPr>
            <w:tcW w:w="624" w:type="pct"/>
            <w:vAlign w:val="center"/>
          </w:tcPr>
          <w:p w14:paraId="5343DC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0.0013</w:t>
            </w:r>
          </w:p>
        </w:tc>
        <w:tc>
          <w:tcPr>
            <w:tcW w:w="616" w:type="pct"/>
            <w:vMerge w:val="restart"/>
            <w:vAlign w:val="center"/>
          </w:tcPr>
          <w:p w14:paraId="6D5C71C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Ⅰ</w:t>
            </w:r>
          </w:p>
        </w:tc>
      </w:tr>
      <w:tr w14:paraId="6C38DA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482" w:type="pct"/>
            <w:vMerge w:val="continue"/>
            <w:vAlign w:val="center"/>
          </w:tcPr>
          <w:p w14:paraId="5B9AE8D4">
            <w:pPr>
              <w:pStyle w:val="280"/>
              <w:rPr>
                <w:rFonts w:hint="eastAsia"/>
                <w:color w:val="000000" w:themeColor="text1"/>
                <w14:textFill>
                  <w14:solidFill>
                    <w14:schemeClr w14:val="tx1"/>
                  </w14:solidFill>
                </w14:textFill>
              </w:rPr>
            </w:pPr>
          </w:p>
        </w:tc>
        <w:tc>
          <w:tcPr>
            <w:tcW w:w="491" w:type="pct"/>
            <w:vMerge w:val="continue"/>
            <w:vAlign w:val="center"/>
          </w:tcPr>
          <w:p w14:paraId="60E2F204">
            <w:pPr>
              <w:pStyle w:val="280"/>
              <w:rPr>
                <w:rFonts w:hint="eastAsia"/>
                <w:color w:val="000000" w:themeColor="text1"/>
                <w14:textFill>
                  <w14:solidFill>
                    <w14:schemeClr w14:val="tx1"/>
                  </w14:solidFill>
                </w14:textFill>
              </w:rPr>
            </w:pPr>
          </w:p>
        </w:tc>
        <w:tc>
          <w:tcPr>
            <w:tcW w:w="1097" w:type="pct"/>
            <w:vMerge w:val="continue"/>
            <w:vAlign w:val="center"/>
          </w:tcPr>
          <w:p w14:paraId="7D6B7DF5">
            <w:pPr>
              <w:pStyle w:val="280"/>
              <w:rPr>
                <w:rFonts w:hint="eastAsia"/>
                <w:color w:val="000000" w:themeColor="text1"/>
                <w14:textFill>
                  <w14:solidFill>
                    <w14:schemeClr w14:val="tx1"/>
                  </w14:solidFill>
                </w14:textFill>
              </w:rPr>
            </w:pPr>
          </w:p>
        </w:tc>
        <w:tc>
          <w:tcPr>
            <w:tcW w:w="467" w:type="pct"/>
            <w:vAlign w:val="center"/>
          </w:tcPr>
          <w:p w14:paraId="1FCC1F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伴生气</w:t>
            </w:r>
          </w:p>
        </w:tc>
        <w:tc>
          <w:tcPr>
            <w:tcW w:w="383" w:type="pct"/>
            <w:vAlign w:val="center"/>
          </w:tcPr>
          <w:p w14:paraId="74E2843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0.0032</w:t>
            </w:r>
          </w:p>
        </w:tc>
        <w:tc>
          <w:tcPr>
            <w:tcW w:w="836" w:type="pct"/>
            <w:vAlign w:val="center"/>
          </w:tcPr>
          <w:p w14:paraId="30F7FE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624" w:type="pct"/>
            <w:vAlign w:val="center"/>
          </w:tcPr>
          <w:p w14:paraId="34E046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w:t>
            </w:r>
          </w:p>
        </w:tc>
        <w:tc>
          <w:tcPr>
            <w:tcW w:w="616" w:type="pct"/>
            <w:vMerge w:val="continue"/>
            <w:vAlign w:val="center"/>
          </w:tcPr>
          <w:p w14:paraId="1B06BACC">
            <w:pPr>
              <w:pStyle w:val="280"/>
              <w:rPr>
                <w:rFonts w:hint="eastAsia"/>
                <w:color w:val="000000" w:themeColor="text1"/>
                <w14:textFill>
                  <w14:solidFill>
                    <w14:schemeClr w14:val="tx1"/>
                  </w14:solidFill>
                </w14:textFill>
              </w:rPr>
            </w:pPr>
          </w:p>
        </w:tc>
      </w:tr>
      <w:tr w14:paraId="3BE2B4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974" w:type="pct"/>
            <w:gridSpan w:val="2"/>
            <w:vAlign w:val="center"/>
          </w:tcPr>
          <w:p w14:paraId="5C20A2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小计</w:t>
            </w:r>
          </w:p>
        </w:tc>
        <w:tc>
          <w:tcPr>
            <w:tcW w:w="1097" w:type="pct"/>
            <w:vAlign w:val="center"/>
          </w:tcPr>
          <w:p w14:paraId="6AFD477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67" w:type="pct"/>
            <w:vAlign w:val="center"/>
          </w:tcPr>
          <w:p w14:paraId="11AC893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3" w:type="pct"/>
            <w:vAlign w:val="center"/>
          </w:tcPr>
          <w:p w14:paraId="2319A25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36" w:type="pct"/>
            <w:vAlign w:val="center"/>
          </w:tcPr>
          <w:p w14:paraId="2975610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24" w:type="pct"/>
            <w:vAlign w:val="center"/>
          </w:tcPr>
          <w:p w14:paraId="17194F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0.0016</w:t>
            </w:r>
          </w:p>
        </w:tc>
        <w:tc>
          <w:tcPr>
            <w:tcW w:w="616" w:type="pct"/>
            <w:vMerge w:val="continue"/>
            <w:vAlign w:val="center"/>
          </w:tcPr>
          <w:p w14:paraId="410D7232">
            <w:pPr>
              <w:pStyle w:val="280"/>
              <w:rPr>
                <w:rFonts w:hint="eastAsia"/>
                <w:color w:val="000000" w:themeColor="text1"/>
                <w14:textFill>
                  <w14:solidFill>
                    <w14:schemeClr w14:val="tx1"/>
                  </w14:solidFill>
                </w14:textFill>
              </w:rPr>
            </w:pPr>
          </w:p>
        </w:tc>
      </w:tr>
    </w:tbl>
    <w:p w14:paraId="033F88C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根据上表计算结果可知，其中施工期Q</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0.0</w:t>
      </w:r>
      <w:r>
        <w:rPr>
          <w:rFonts w:hint="eastAsia"/>
          <w:color w:val="000000" w:themeColor="text1"/>
          <w:lang w:val="en-US"/>
          <w14:textFill>
            <w14:solidFill>
              <w14:schemeClr w14:val="tx1"/>
            </w14:solidFill>
          </w14:textFill>
        </w:rPr>
        <w:t>28</w:t>
      </w:r>
      <w:r>
        <w:rPr>
          <w:rFonts w:hint="eastAsia"/>
          <w:color w:val="000000" w:themeColor="text1"/>
          <w14:textFill>
            <w14:solidFill>
              <w14:schemeClr w14:val="tx1"/>
            </w14:solidFill>
          </w14:textFill>
        </w:rPr>
        <w:t>，运营期Q</w:t>
      </w:r>
      <w:r>
        <w:rPr>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0.0016</w:t>
      </w:r>
      <w:r>
        <w:rPr>
          <w:rFonts w:hint="eastAsia"/>
          <w:color w:val="000000" w:themeColor="text1"/>
          <w14:textFill>
            <w14:solidFill>
              <w14:schemeClr w14:val="tx1"/>
            </w14:solidFill>
          </w14:textFill>
        </w:rPr>
        <w:t>，均小于1，判断风险潜势为Ⅰ。根据《建设项目环境风险评价技术导则》（H</w:t>
      </w:r>
      <w:r>
        <w:rPr>
          <w:color w:val="000000" w:themeColor="text1"/>
          <w14:textFill>
            <w14:solidFill>
              <w14:schemeClr w14:val="tx1"/>
            </w14:solidFill>
          </w14:textFill>
        </w:rPr>
        <w:t>J169-2018</w:t>
      </w:r>
      <w:r>
        <w:rPr>
          <w:rFonts w:hint="eastAsia"/>
          <w:color w:val="000000" w:themeColor="text1"/>
          <w14:textFill>
            <w14:solidFill>
              <w14:schemeClr w14:val="tx1"/>
            </w14:solidFill>
          </w14:textFill>
        </w:rPr>
        <w:t>）相关要求，根据表2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1判定本次风险评价仅进行简单分析。</w:t>
      </w:r>
    </w:p>
    <w:bookmarkEnd w:id="114"/>
    <w:bookmarkEnd w:id="115"/>
    <w:bookmarkEnd w:id="119"/>
    <w:p w14:paraId="376FCFE7">
      <w:pPr>
        <w:pStyle w:val="8"/>
        <w:rPr>
          <w:rFonts w:hint="eastAsia"/>
          <w:color w:val="000000" w:themeColor="text1"/>
          <w:lang w:val="zh-CN"/>
          <w14:textFill>
            <w14:solidFill>
              <w14:schemeClr w14:val="tx1"/>
            </w14:solidFill>
          </w14:textFill>
        </w:rPr>
      </w:pPr>
      <w:bookmarkStart w:id="120" w:name="_Toc24149"/>
      <w:bookmarkStart w:id="121" w:name="_Toc445841979"/>
      <w:bookmarkStart w:id="122" w:name="_Toc445840375"/>
      <w:bookmarkStart w:id="123" w:name="_Toc445996332"/>
      <w:bookmarkStart w:id="124" w:name="_Hlk92203645"/>
      <w:r>
        <w:rPr>
          <w:rFonts w:hint="eastAsia"/>
          <w:color w:val="000000" w:themeColor="text1"/>
          <w:lang w:val="zh-CN"/>
          <w14:textFill>
            <w14:solidFill>
              <w14:schemeClr w14:val="tx1"/>
            </w14:solidFill>
          </w14:textFill>
        </w:rPr>
        <w:t>评价</w:t>
      </w:r>
      <w:bookmarkEnd w:id="120"/>
      <w:bookmarkEnd w:id="121"/>
      <w:bookmarkEnd w:id="122"/>
      <w:bookmarkEnd w:id="123"/>
      <w:r>
        <w:rPr>
          <w:rFonts w:hint="eastAsia"/>
          <w:color w:val="000000" w:themeColor="text1"/>
          <w14:textFill>
            <w14:solidFill>
              <w14:schemeClr w14:val="tx1"/>
            </w14:solidFill>
          </w14:textFill>
        </w:rPr>
        <w:t>范围</w:t>
      </w:r>
    </w:p>
    <w:p w14:paraId="5787A9E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根据各环境要素导则要求，结合周边环境，确定本项目各环境要素的评价范围见表2.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和图2.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-1、图2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、图2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和图2.6-4。</w:t>
      </w:r>
    </w:p>
    <w:bookmarkEnd w:id="124"/>
    <w:p w14:paraId="0A8F1E94">
      <w:pPr>
        <w:pStyle w:val="112"/>
        <w:rPr>
          <w:rFonts w:hint="eastAsia"/>
          <w:color w:val="000000" w:themeColor="text1"/>
          <w14:textFill>
            <w14:solidFill>
              <w14:schemeClr w14:val="tx1"/>
            </w14:solidFill>
          </w14:textFill>
        </w:rPr>
      </w:pPr>
      <w:bookmarkStart w:id="125" w:name="_Hlk147580904"/>
      <w:r>
        <w:rPr>
          <w:rFonts w:hint="eastAsia"/>
          <w:color w:val="000000" w:themeColor="text1"/>
          <w14:textFill>
            <w14:solidFill>
              <w14:schemeClr w14:val="tx1"/>
            </w14:solidFill>
          </w14:textFill>
        </w:rPr>
        <w:t>表2.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 xml:space="preserve">  各环境要素评价范围一览表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1278"/>
        <w:gridCol w:w="6745"/>
      </w:tblGrid>
      <w:tr w14:paraId="40A5B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blHeader/>
        </w:trPr>
        <w:tc>
          <w:tcPr>
            <w:tcW w:w="1137" w:type="pct"/>
            <w:gridSpan w:val="2"/>
            <w:vAlign w:val="center"/>
          </w:tcPr>
          <w:p w14:paraId="2F94C4B2">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环境要素</w:t>
            </w:r>
          </w:p>
        </w:tc>
        <w:tc>
          <w:tcPr>
            <w:tcW w:w="3863" w:type="pct"/>
            <w:vAlign w:val="center"/>
          </w:tcPr>
          <w:p w14:paraId="794AAB97">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范围</w:t>
            </w:r>
          </w:p>
        </w:tc>
      </w:tr>
      <w:tr w14:paraId="273F7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2FB4E8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气</w:t>
            </w:r>
          </w:p>
        </w:tc>
        <w:tc>
          <w:tcPr>
            <w:tcW w:w="3863" w:type="pct"/>
            <w:vAlign w:val="center"/>
          </w:tcPr>
          <w:p w14:paraId="4A5B2FA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以新建采油井为中心，边长为5</w:t>
            </w:r>
            <w:r>
              <w:rPr>
                <w:color w:val="000000" w:themeColor="text1"/>
                <w14:textFill>
                  <w14:solidFill>
                    <w14:schemeClr w14:val="tx1"/>
                  </w14:solidFill>
                </w14:textFill>
              </w:rPr>
              <w:t>km</w:t>
            </w:r>
            <w:r>
              <w:rPr>
                <w:rFonts w:hint="eastAsia"/>
                <w:color w:val="000000" w:themeColor="text1"/>
                <w14:textFill>
                  <w14:solidFill>
                    <w14:schemeClr w14:val="tx1"/>
                  </w14:solidFill>
                </w14:textFill>
              </w:rPr>
              <w:t>矩形先形成包络线，包络线最外侧四个边形成的矩形区域。注水井不设置大气评价范围。</w:t>
            </w:r>
          </w:p>
        </w:tc>
      </w:tr>
      <w:tr w14:paraId="35562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48FDA840">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地 下 水</w:t>
            </w:r>
          </w:p>
        </w:tc>
        <w:tc>
          <w:tcPr>
            <w:tcW w:w="3863" w:type="pct"/>
            <w:vAlign w:val="center"/>
          </w:tcPr>
          <w:p w14:paraId="462C877A">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以地下水流向为长轴，</w:t>
            </w:r>
            <w:r>
              <w:rPr>
                <w:rFonts w:hint="eastAsia"/>
                <w:color w:val="000000" w:themeColor="text1"/>
                <w14:textFill>
                  <w14:solidFill>
                    <w14:schemeClr w14:val="tx1"/>
                  </w14:solidFill>
                </w14:textFill>
              </w:rPr>
              <w:t>各井场中心上游1km、下游2km，水流垂直方向分别外扩1km；各类管线边界两侧向外延伸200m范围。</w:t>
            </w:r>
          </w:p>
        </w:tc>
      </w:tr>
      <w:tr w14:paraId="1E5CF2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441E05F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声 环 境</w:t>
            </w:r>
          </w:p>
        </w:tc>
        <w:tc>
          <w:tcPr>
            <w:tcW w:w="3863" w:type="pct"/>
            <w:vAlign w:val="center"/>
          </w:tcPr>
          <w:p w14:paraId="4ED6B7F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新部署井场厂界向外延伸2</w:t>
            </w:r>
            <w:r>
              <w:rPr>
                <w:color w:val="000000" w:themeColor="text1"/>
                <w:lang w:bidi="ar"/>
                <w14:textFill>
                  <w14:solidFill>
                    <w14:schemeClr w14:val="tx1"/>
                  </w14:solidFill>
                </w14:textFill>
              </w:rPr>
              <w:t>00m</w:t>
            </w:r>
            <w:r>
              <w:rPr>
                <w:rFonts w:hint="eastAsia"/>
                <w:color w:val="000000" w:themeColor="text1"/>
                <w:lang w:bidi="ar"/>
                <w14:textFill>
                  <w14:solidFill>
                    <w14:schemeClr w14:val="tx1"/>
                  </w14:solidFill>
                </w14:textFill>
              </w:rPr>
              <w:t>范围。</w:t>
            </w:r>
          </w:p>
        </w:tc>
      </w:tr>
      <w:tr w14:paraId="3DDC8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vMerge w:val="restart"/>
            <w:vAlign w:val="center"/>
          </w:tcPr>
          <w:p w14:paraId="6EC9215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土壤环境</w:t>
            </w:r>
          </w:p>
        </w:tc>
        <w:tc>
          <w:tcPr>
            <w:tcW w:w="732" w:type="pct"/>
            <w:vAlign w:val="center"/>
          </w:tcPr>
          <w:p w14:paraId="3510A92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污染影响型</w:t>
            </w:r>
          </w:p>
        </w:tc>
        <w:tc>
          <w:tcPr>
            <w:tcW w:w="3863" w:type="pct"/>
            <w:vAlign w:val="center"/>
          </w:tcPr>
          <w:p w14:paraId="5B35E69A">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各井场占地范围内及厂界向外延伸10</w:t>
            </w:r>
            <w:r>
              <w:rPr>
                <w:color w:val="000000" w:themeColor="text1"/>
                <w:lang w:bidi="ar"/>
                <w14:textFill>
                  <w14:solidFill>
                    <w14:schemeClr w14:val="tx1"/>
                  </w14:solidFill>
                </w14:textFill>
              </w:rPr>
              <w:t>00m</w:t>
            </w:r>
            <w:r>
              <w:rPr>
                <w:rFonts w:hint="eastAsia"/>
                <w:color w:val="000000" w:themeColor="text1"/>
                <w:lang w:bidi="ar"/>
                <w14:textFill>
                  <w14:solidFill>
                    <w14:schemeClr w14:val="tx1"/>
                  </w14:solidFill>
                </w14:textFill>
              </w:rPr>
              <w:t>形成的包络线。</w:t>
            </w:r>
          </w:p>
        </w:tc>
      </w:tr>
      <w:tr w14:paraId="7AA3E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vMerge w:val="continue"/>
            <w:vAlign w:val="center"/>
          </w:tcPr>
          <w:p w14:paraId="5117E213">
            <w:pPr>
              <w:pStyle w:val="280"/>
              <w:rPr>
                <w:rFonts w:hint="eastAsia"/>
                <w:color w:val="000000" w:themeColor="text1"/>
                <w:lang w:bidi="ar"/>
                <w14:textFill>
                  <w14:solidFill>
                    <w14:schemeClr w14:val="tx1"/>
                  </w14:solidFill>
                </w14:textFill>
              </w:rPr>
            </w:pPr>
          </w:p>
        </w:tc>
        <w:tc>
          <w:tcPr>
            <w:tcW w:w="732" w:type="pct"/>
            <w:vAlign w:val="center"/>
          </w:tcPr>
          <w:p w14:paraId="1C48DBA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生态影响型</w:t>
            </w:r>
          </w:p>
        </w:tc>
        <w:tc>
          <w:tcPr>
            <w:tcW w:w="3863" w:type="pct"/>
            <w:vAlign w:val="center"/>
          </w:tcPr>
          <w:p w14:paraId="321F6CF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各井场占地范围内及厂界向外延伸</w:t>
            </w:r>
            <w:r>
              <w:rPr>
                <w:color w:val="000000" w:themeColor="text1"/>
                <w:lang w:bidi="ar"/>
                <w14:textFill>
                  <w14:solidFill>
                    <w14:schemeClr w14:val="tx1"/>
                  </w14:solidFill>
                </w14:textFill>
              </w:rPr>
              <w:t>5</w:t>
            </w:r>
            <w:r>
              <w:rPr>
                <w:rFonts w:hint="eastAsia"/>
                <w:color w:val="000000" w:themeColor="text1"/>
                <w:lang w:bidi="ar"/>
                <w14:textFill>
                  <w14:solidFill>
                    <w14:schemeClr w14:val="tx1"/>
                  </w14:solidFill>
                </w14:textFill>
              </w:rPr>
              <w:t>k</w:t>
            </w:r>
            <w:r>
              <w:rPr>
                <w:color w:val="000000" w:themeColor="text1"/>
                <w:lang w:bidi="ar"/>
                <w14:textFill>
                  <w14:solidFill>
                    <w14:schemeClr w14:val="tx1"/>
                  </w14:solidFill>
                </w14:textFill>
              </w:rPr>
              <w:t>m</w:t>
            </w:r>
            <w:r>
              <w:rPr>
                <w:rFonts w:hint="eastAsia"/>
                <w:color w:val="000000" w:themeColor="text1"/>
                <w:lang w:bidi="ar"/>
                <w14:textFill>
                  <w14:solidFill>
                    <w14:schemeClr w14:val="tx1"/>
                  </w14:solidFill>
                </w14:textFill>
              </w:rPr>
              <w:t>形成的包络线。</w:t>
            </w:r>
          </w:p>
        </w:tc>
      </w:tr>
      <w:tr w14:paraId="776A0F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vMerge w:val="continue"/>
            <w:vAlign w:val="center"/>
          </w:tcPr>
          <w:p w14:paraId="7C7A03A9">
            <w:pPr>
              <w:pStyle w:val="280"/>
              <w:rPr>
                <w:rFonts w:hint="eastAsia"/>
                <w:color w:val="000000" w:themeColor="text1"/>
                <w:lang w:bidi="ar"/>
                <w14:textFill>
                  <w14:solidFill>
                    <w14:schemeClr w14:val="tx1"/>
                  </w14:solidFill>
                </w14:textFill>
              </w:rPr>
            </w:pPr>
          </w:p>
        </w:tc>
        <w:tc>
          <w:tcPr>
            <w:tcW w:w="732" w:type="pct"/>
            <w:vAlign w:val="center"/>
          </w:tcPr>
          <w:p w14:paraId="6FEB525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管线</w:t>
            </w:r>
          </w:p>
        </w:tc>
        <w:tc>
          <w:tcPr>
            <w:tcW w:w="3863" w:type="pct"/>
            <w:vAlign w:val="center"/>
          </w:tcPr>
          <w:p w14:paraId="31C1EB3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单井采油管线/单井掺热水管线和注水管线边界两侧向外延伸2</w:t>
            </w:r>
            <w:r>
              <w:rPr>
                <w:color w:val="000000" w:themeColor="text1"/>
                <w:lang w:bidi="ar"/>
                <w14:textFill>
                  <w14:solidFill>
                    <w14:schemeClr w14:val="tx1"/>
                  </w14:solidFill>
                </w14:textFill>
              </w:rPr>
              <w:t>00m</w:t>
            </w:r>
            <w:r>
              <w:rPr>
                <w:rFonts w:hint="eastAsia"/>
                <w:color w:val="000000" w:themeColor="text1"/>
                <w:lang w:bidi="ar"/>
                <w14:textFill>
                  <w14:solidFill>
                    <w14:schemeClr w14:val="tx1"/>
                  </w14:solidFill>
                </w14:textFill>
              </w:rPr>
              <w:t>范围。</w:t>
            </w:r>
          </w:p>
        </w:tc>
      </w:tr>
      <w:tr w14:paraId="121A3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3ADCA0A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生态影响</w:t>
            </w:r>
          </w:p>
        </w:tc>
        <w:tc>
          <w:tcPr>
            <w:tcW w:w="3863" w:type="pct"/>
            <w:vAlign w:val="center"/>
          </w:tcPr>
          <w:p w14:paraId="3D0C0B4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各井场厂界周围5</w:t>
            </w:r>
            <w:r>
              <w:rPr>
                <w:color w:val="000000" w:themeColor="text1"/>
                <w:lang w:bidi="ar"/>
                <w14:textFill>
                  <w14:solidFill>
                    <w14:schemeClr w14:val="tx1"/>
                  </w14:solidFill>
                </w14:textFill>
              </w:rPr>
              <w:t>0</w:t>
            </w:r>
            <w:r>
              <w:rPr>
                <w:rFonts w:hint="eastAsia"/>
                <w:color w:val="000000" w:themeColor="text1"/>
                <w:lang w:bidi="ar"/>
                <w14:textFill>
                  <w14:solidFill>
                    <w14:schemeClr w14:val="tx1"/>
                  </w14:solidFill>
                </w14:textFill>
              </w:rPr>
              <w:t>m范围内，单井采油管线/单井掺热水管线和注水管线两侧外延3</w:t>
            </w:r>
            <w:r>
              <w:rPr>
                <w:color w:val="000000" w:themeColor="text1"/>
                <w:lang w:bidi="ar"/>
                <w14:textFill>
                  <w14:solidFill>
                    <w14:schemeClr w14:val="tx1"/>
                  </w14:solidFill>
                </w14:textFill>
              </w:rPr>
              <w:t>00m</w:t>
            </w:r>
            <w:r>
              <w:rPr>
                <w:rFonts w:hint="eastAsia"/>
                <w:color w:val="000000" w:themeColor="text1"/>
                <w:lang w:bidi="ar"/>
                <w14:textFill>
                  <w14:solidFill>
                    <w14:schemeClr w14:val="tx1"/>
                  </w14:solidFill>
                </w14:textFill>
              </w:rPr>
              <w:t>。</w:t>
            </w:r>
          </w:p>
        </w:tc>
      </w:tr>
      <w:tr w14:paraId="070E2B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133A7D3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环境风险</w:t>
            </w:r>
          </w:p>
        </w:tc>
        <w:tc>
          <w:tcPr>
            <w:tcW w:w="3863" w:type="pct"/>
            <w:vAlign w:val="center"/>
          </w:tcPr>
          <w:p w14:paraId="45E1EB5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不设评价范围</w:t>
            </w:r>
          </w:p>
        </w:tc>
      </w:tr>
      <w:bookmarkEnd w:id="125"/>
    </w:tbl>
    <w:p w14:paraId="45B987E2">
      <w:pPr>
        <w:pStyle w:val="7"/>
        <w:rPr>
          <w:rFonts w:hint="eastAsia"/>
          <w:color w:val="000000" w:themeColor="text1"/>
          <w14:textFill>
            <w14:solidFill>
              <w14:schemeClr w14:val="tx1"/>
            </w14:solidFill>
          </w14:textFill>
        </w:rPr>
      </w:pPr>
      <w:bookmarkStart w:id="126" w:name="_Toc15957"/>
      <w:bookmarkStart w:id="127" w:name="_Hlk175251401"/>
      <w:r>
        <w:rPr>
          <w:rFonts w:hint="eastAsia"/>
          <w:color w:val="000000" w:themeColor="text1"/>
          <w14:textFill>
            <w14:solidFill>
              <w14:schemeClr w14:val="tx1"/>
            </w14:solidFill>
          </w14:textFill>
        </w:rPr>
        <w:t>环境保护目标</w:t>
      </w:r>
      <w:bookmarkEnd w:id="126"/>
    </w:p>
    <w:bookmarkEnd w:id="127"/>
    <w:p w14:paraId="799ECB2E">
      <w:pPr>
        <w:pStyle w:val="120"/>
        <w:rPr>
          <w:rFonts w:hint="eastAsia"/>
          <w:color w:val="000000" w:themeColor="text1"/>
          <w14:textFill>
            <w14:solidFill>
              <w14:schemeClr w14:val="tx1"/>
            </w14:solidFill>
          </w14:textFill>
        </w:rPr>
      </w:pPr>
      <w:bookmarkStart w:id="128" w:name="_Ref78387040"/>
      <w:bookmarkStart w:id="129" w:name="_Hlk173435579"/>
      <w:bookmarkStart w:id="130" w:name="_Hlk175251661"/>
      <w:r>
        <w:rPr>
          <w:rFonts w:hint="eastAsia"/>
          <w:color w:val="000000" w:themeColor="text1"/>
          <w14:textFill>
            <w14:solidFill>
              <w14:schemeClr w14:val="tx1"/>
            </w14:solidFill>
          </w14:textFill>
        </w:rPr>
        <w:t>根据现场调查，评价范围内无自然保护区、风景名胜区、世界文化和自然遗产、海洋特别保护区、饮用水水源保护区，无基本草原、自然公园、重要湿地、天然林，重点保护野生动物栖息地，重点保护野生植物生长繁殖地。土壤的环境保护目标为永久基本农田（距离永久基本农田的最近距离</w:t>
      </w:r>
      <w:r>
        <w:rPr>
          <w:rFonts w:hint="eastAsia"/>
          <w:color w:val="000000" w:themeColor="text1"/>
          <w:lang w:val="en-US"/>
          <w14:textFill>
            <w14:solidFill>
              <w14:schemeClr w14:val="tx1"/>
            </w14:solidFill>
          </w14:textFill>
        </w:rPr>
        <w:t>约为83</w:t>
      </w:r>
      <w:r>
        <w:rPr>
          <w:rFonts w:hint="eastAsia"/>
          <w:color w:val="000000" w:themeColor="text1"/>
          <w14:textFill>
            <w14:solidFill>
              <w14:schemeClr w14:val="tx1"/>
            </w14:solidFill>
          </w14:textFill>
        </w:rPr>
        <w:t xml:space="preserve">m）、一般耕地，生态环境保护目标主要为国家二级保护动物鹅喉羚、雀鹰、红隼和评价范围内的野生动植物，大气环境保护目标为评价范围内村庄内的居民，项目与大气环境敏感点的相对位置见图2.7-1。各环境要素保护级别见表2.7-1 </w:t>
      </w:r>
    </w:p>
    <w:p w14:paraId="5BE59AFF">
      <w:pPr>
        <w:pStyle w:val="19"/>
        <w:rPr>
          <w:rFonts w:hint="eastAsia"/>
          <w:color w:val="000000" w:themeColor="text1"/>
          <w:lang w:val="zh-CN"/>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.7-1</w:t>
      </w:r>
      <w:r>
        <w:rPr>
          <w:rFonts w:hint="eastAsia"/>
          <w:color w:val="000000" w:themeColor="text1"/>
          <w14:textFill>
            <w14:solidFill>
              <w14:schemeClr w14:val="tx1"/>
            </w14:solidFill>
          </w14:textFill>
        </w:rPr>
        <w:t xml:space="preserve">  环境保护目标一览表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2823"/>
        <w:gridCol w:w="1982"/>
        <w:gridCol w:w="3062"/>
      </w:tblGrid>
      <w:tr w14:paraId="4C1273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94" w:type="pct"/>
            <w:tcMar>
              <w:left w:w="0" w:type="dxa"/>
              <w:right w:w="0" w:type="dxa"/>
            </w:tcMar>
            <w:vAlign w:val="center"/>
          </w:tcPr>
          <w:p w14:paraId="12780913">
            <w:pPr>
              <w:pStyle w:val="280"/>
              <w:rPr>
                <w:rFonts w:hint="eastAsia"/>
                <w:color w:val="000000" w:themeColor="text1"/>
                <w14:textFill>
                  <w14:solidFill>
                    <w14:schemeClr w14:val="tx1"/>
                  </w14:solidFill>
                </w14:textFill>
              </w:rPr>
            </w:pPr>
            <w:bookmarkStart w:id="131" w:name="_Hlk175130278"/>
            <w:r>
              <w:rPr>
                <w:rFonts w:hint="eastAsia"/>
                <w:color w:val="000000" w:themeColor="text1"/>
                <w14:textFill>
                  <w14:solidFill>
                    <w14:schemeClr w14:val="tx1"/>
                  </w14:solidFill>
                </w14:textFill>
              </w:rPr>
              <w:t>保护要素</w:t>
            </w:r>
          </w:p>
        </w:tc>
        <w:tc>
          <w:tcPr>
            <w:tcW w:w="1617" w:type="pct"/>
            <w:tcMar>
              <w:left w:w="0" w:type="dxa"/>
              <w:right w:w="0" w:type="dxa"/>
            </w:tcMar>
            <w:vAlign w:val="center"/>
          </w:tcPr>
          <w:p w14:paraId="2200C89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环境保护目标</w:t>
            </w:r>
          </w:p>
        </w:tc>
        <w:tc>
          <w:tcPr>
            <w:tcW w:w="1135" w:type="pct"/>
            <w:tcMar>
              <w:left w:w="0" w:type="dxa"/>
              <w:right w:w="0" w:type="dxa"/>
            </w:tcMar>
            <w:vAlign w:val="center"/>
          </w:tcPr>
          <w:p w14:paraId="131CF7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与项目区的位置</w:t>
            </w:r>
          </w:p>
          <w:p w14:paraId="593E29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关系</w:t>
            </w:r>
          </w:p>
        </w:tc>
        <w:tc>
          <w:tcPr>
            <w:tcW w:w="1754" w:type="pct"/>
            <w:tcMar>
              <w:left w:w="0" w:type="dxa"/>
              <w:right w:w="0" w:type="dxa"/>
            </w:tcMar>
            <w:vAlign w:val="center"/>
          </w:tcPr>
          <w:p w14:paraId="40D772C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各要素保护级别及</w:t>
            </w:r>
          </w:p>
          <w:p w14:paraId="245AD7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要求</w:t>
            </w:r>
          </w:p>
        </w:tc>
      </w:tr>
      <w:tr w14:paraId="421EF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vMerge w:val="restart"/>
            <w:tcMar>
              <w:left w:w="0" w:type="dxa"/>
              <w:right w:w="0" w:type="dxa"/>
            </w:tcMar>
            <w:vAlign w:val="center"/>
          </w:tcPr>
          <w:p w14:paraId="7AEF78A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环境空气</w:t>
            </w:r>
          </w:p>
        </w:tc>
        <w:tc>
          <w:tcPr>
            <w:tcW w:w="1617" w:type="pct"/>
            <w:tcMar>
              <w:left w:w="0" w:type="dxa"/>
              <w:right w:w="0" w:type="dxa"/>
            </w:tcMar>
            <w:vAlign w:val="center"/>
          </w:tcPr>
          <w:p w14:paraId="4FF441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评价范围内的环境空气质量</w:t>
            </w:r>
          </w:p>
        </w:tc>
        <w:tc>
          <w:tcPr>
            <w:tcW w:w="1135" w:type="pct"/>
            <w:tcMar>
              <w:left w:w="0" w:type="dxa"/>
              <w:right w:w="0" w:type="dxa"/>
            </w:tcMar>
            <w:vAlign w:val="center"/>
          </w:tcPr>
          <w:p w14:paraId="687C44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4" w:type="pct"/>
            <w:vMerge w:val="restart"/>
            <w:tcMar>
              <w:left w:w="0" w:type="dxa"/>
              <w:right w:w="0" w:type="dxa"/>
            </w:tcMar>
            <w:vAlign w:val="center"/>
          </w:tcPr>
          <w:p w14:paraId="024F954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GB3095-20</w:t>
            </w:r>
            <w:r>
              <w:rPr>
                <w:rFonts w:hint="eastAsia"/>
                <w:color w:val="000000" w:themeColor="text1"/>
                <w14:textFill>
                  <w14:solidFill>
                    <w14:schemeClr w14:val="tx1"/>
                  </w14:solidFill>
                </w14:textFill>
              </w:rPr>
              <w:t>26过渡阶段二级</w:t>
            </w:r>
          </w:p>
        </w:tc>
      </w:tr>
      <w:tr w14:paraId="54296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494" w:type="pct"/>
            <w:vMerge w:val="continue"/>
            <w:tcMar>
              <w:left w:w="0" w:type="dxa"/>
              <w:right w:w="0" w:type="dxa"/>
            </w:tcMar>
            <w:vAlign w:val="center"/>
          </w:tcPr>
          <w:p w14:paraId="39881F75">
            <w:pPr>
              <w:pStyle w:val="280"/>
              <w:rPr>
                <w:rFonts w:hint="eastAsia"/>
                <w:color w:val="000000" w:themeColor="text1"/>
                <w14:textFill>
                  <w14:solidFill>
                    <w14:schemeClr w14:val="tx1"/>
                  </w14:solidFill>
                </w14:textFill>
              </w:rPr>
            </w:pPr>
          </w:p>
        </w:tc>
        <w:tc>
          <w:tcPr>
            <w:tcW w:w="1617" w:type="pct"/>
            <w:tcMar>
              <w:left w:w="0" w:type="dxa"/>
              <w:right w:w="0" w:type="dxa"/>
            </w:tcMar>
            <w:vAlign w:val="center"/>
          </w:tcPr>
          <w:p w14:paraId="362B909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张家庄子村</w:t>
            </w:r>
            <w:r>
              <w:rPr>
                <w:rFonts w:hint="eastAsia"/>
                <w:color w:val="000000" w:themeColor="text1"/>
                <w14:textFill>
                  <w14:solidFill>
                    <w14:schemeClr w14:val="tx1"/>
                  </w14:solidFill>
                </w14:textFill>
              </w:rPr>
              <w:t>居民</w:t>
            </w:r>
          </w:p>
        </w:tc>
        <w:tc>
          <w:tcPr>
            <w:tcW w:w="1135" w:type="pct"/>
            <w:tcMar>
              <w:left w:w="0" w:type="dxa"/>
              <w:right w:w="0" w:type="dxa"/>
            </w:tcMar>
            <w:vAlign w:val="center"/>
          </w:tcPr>
          <w:p w14:paraId="4056B67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JD6186</w:t>
            </w:r>
            <w:r>
              <w:rPr>
                <w:color w:val="000000" w:themeColor="text1"/>
                <w14:textFill>
                  <w14:solidFill>
                    <w14:schemeClr w14:val="tx1"/>
                  </w14:solidFill>
                </w14:textFill>
              </w:rPr>
              <w:t>井）</w:t>
            </w:r>
            <w:r>
              <w:rPr>
                <w:rFonts w:hint="eastAsia"/>
                <w:color w:val="000000" w:themeColor="text1"/>
                <w14:textFill>
                  <w14:solidFill>
                    <w14:schemeClr w14:val="tx1"/>
                  </w14:solidFill>
                </w14:textFill>
              </w:rPr>
              <w:t>西北</w:t>
            </w:r>
            <w:r>
              <w:rPr>
                <w:color w:val="000000" w:themeColor="text1"/>
                <w14:textFill>
                  <w14:solidFill>
                    <w14:schemeClr w14:val="tx1"/>
                  </w14:solidFill>
                </w14:textFill>
              </w:rPr>
              <w:t>距张家庄子村的最近距离</w:t>
            </w:r>
            <w:r>
              <w:rPr>
                <w:rFonts w:hint="eastAsia"/>
                <w:color w:val="000000" w:themeColor="text1"/>
                <w14:textFill>
                  <w14:solidFill>
                    <w14:schemeClr w14:val="tx1"/>
                  </w14:solidFill>
                </w14:textFill>
              </w:rPr>
              <w:t>约2.5k</w:t>
            </w:r>
            <w:r>
              <w:rPr>
                <w:color w:val="000000" w:themeColor="text1"/>
                <w14:textFill>
                  <w14:solidFill>
                    <w14:schemeClr w14:val="tx1"/>
                  </w14:solidFill>
                </w14:textFill>
              </w:rPr>
              <w:t>m</w:t>
            </w:r>
          </w:p>
        </w:tc>
        <w:tc>
          <w:tcPr>
            <w:tcW w:w="1754" w:type="pct"/>
            <w:vMerge w:val="continue"/>
            <w:tcMar>
              <w:left w:w="0" w:type="dxa"/>
              <w:right w:w="0" w:type="dxa"/>
            </w:tcMar>
            <w:vAlign w:val="center"/>
          </w:tcPr>
          <w:p w14:paraId="59A2C341">
            <w:pPr>
              <w:pStyle w:val="280"/>
              <w:rPr>
                <w:rFonts w:hint="eastAsia"/>
                <w:color w:val="000000" w:themeColor="text1"/>
                <w14:textFill>
                  <w14:solidFill>
                    <w14:schemeClr w14:val="tx1"/>
                  </w14:solidFill>
                </w14:textFill>
              </w:rPr>
            </w:pPr>
          </w:p>
        </w:tc>
      </w:tr>
      <w:tr w14:paraId="1A135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494" w:type="pct"/>
            <w:vMerge w:val="continue"/>
            <w:tcMar>
              <w:left w:w="0" w:type="dxa"/>
              <w:right w:w="0" w:type="dxa"/>
            </w:tcMar>
            <w:vAlign w:val="center"/>
          </w:tcPr>
          <w:p w14:paraId="5473AA54">
            <w:pPr>
              <w:pStyle w:val="280"/>
              <w:rPr>
                <w:rFonts w:hint="eastAsia"/>
                <w:color w:val="000000" w:themeColor="text1"/>
                <w14:textFill>
                  <w14:solidFill>
                    <w14:schemeClr w14:val="tx1"/>
                  </w14:solidFill>
                </w14:textFill>
              </w:rPr>
            </w:pPr>
          </w:p>
        </w:tc>
        <w:tc>
          <w:tcPr>
            <w:tcW w:w="1617" w:type="pct"/>
            <w:tcMar>
              <w:left w:w="0" w:type="dxa"/>
              <w:right w:w="0" w:type="dxa"/>
            </w:tcMar>
            <w:vAlign w:val="center"/>
          </w:tcPr>
          <w:p w14:paraId="745A426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张家庄子中村居民</w:t>
            </w:r>
          </w:p>
        </w:tc>
        <w:tc>
          <w:tcPr>
            <w:tcW w:w="1135" w:type="pct"/>
            <w:tcMar>
              <w:left w:w="0" w:type="dxa"/>
              <w:right w:w="0" w:type="dxa"/>
            </w:tcMar>
            <w:vAlign w:val="center"/>
          </w:tcPr>
          <w:p w14:paraId="45B1C30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JD6186</w:t>
            </w:r>
            <w:r>
              <w:rPr>
                <w:color w:val="000000" w:themeColor="text1"/>
                <w14:textFill>
                  <w14:solidFill>
                    <w14:schemeClr w14:val="tx1"/>
                  </w14:solidFill>
                </w14:textFill>
              </w:rPr>
              <w:t>井）</w:t>
            </w:r>
            <w:r>
              <w:rPr>
                <w:rFonts w:hint="eastAsia"/>
                <w:color w:val="000000" w:themeColor="text1"/>
                <w14:textFill>
                  <w14:solidFill>
                    <w14:schemeClr w14:val="tx1"/>
                  </w14:solidFill>
                </w14:textFill>
              </w:rPr>
              <w:t>西</w:t>
            </w:r>
            <w:r>
              <w:rPr>
                <w:color w:val="000000" w:themeColor="text1"/>
                <w14:textFill>
                  <w14:solidFill>
                    <w14:schemeClr w14:val="tx1"/>
                  </w14:solidFill>
                </w14:textFill>
              </w:rPr>
              <w:t>距张家庄子中村的最近距离</w:t>
            </w:r>
            <w:r>
              <w:rPr>
                <w:rFonts w:hint="eastAsia"/>
                <w:color w:val="000000" w:themeColor="text1"/>
                <w14:textFill>
                  <w14:solidFill>
                    <w14:schemeClr w14:val="tx1"/>
                  </w14:solidFill>
                </w14:textFill>
              </w:rPr>
              <w:t>约2.0k</w:t>
            </w:r>
            <w:r>
              <w:rPr>
                <w:color w:val="000000" w:themeColor="text1"/>
                <w14:textFill>
                  <w14:solidFill>
                    <w14:schemeClr w14:val="tx1"/>
                  </w14:solidFill>
                </w14:textFill>
              </w:rPr>
              <w:t>m</w:t>
            </w:r>
          </w:p>
        </w:tc>
        <w:tc>
          <w:tcPr>
            <w:tcW w:w="1754" w:type="pct"/>
            <w:vMerge w:val="continue"/>
            <w:tcMar>
              <w:left w:w="0" w:type="dxa"/>
              <w:right w:w="0" w:type="dxa"/>
            </w:tcMar>
            <w:vAlign w:val="center"/>
          </w:tcPr>
          <w:p w14:paraId="4F94C9ED">
            <w:pPr>
              <w:pStyle w:val="280"/>
              <w:rPr>
                <w:rFonts w:hint="eastAsia"/>
                <w:color w:val="000000" w:themeColor="text1"/>
                <w14:textFill>
                  <w14:solidFill>
                    <w14:schemeClr w14:val="tx1"/>
                  </w14:solidFill>
                </w14:textFill>
              </w:rPr>
            </w:pPr>
          </w:p>
        </w:tc>
      </w:tr>
      <w:tr w14:paraId="198C50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494" w:type="pct"/>
            <w:vMerge w:val="continue"/>
            <w:tcMar>
              <w:left w:w="0" w:type="dxa"/>
              <w:right w:w="0" w:type="dxa"/>
            </w:tcMar>
            <w:vAlign w:val="center"/>
          </w:tcPr>
          <w:p w14:paraId="738E10F4">
            <w:pPr>
              <w:pStyle w:val="280"/>
              <w:rPr>
                <w:rFonts w:hint="eastAsia"/>
                <w:color w:val="000000" w:themeColor="text1"/>
                <w14:textFill>
                  <w14:solidFill>
                    <w14:schemeClr w14:val="tx1"/>
                  </w14:solidFill>
                </w14:textFill>
              </w:rPr>
            </w:pPr>
          </w:p>
        </w:tc>
        <w:tc>
          <w:tcPr>
            <w:tcW w:w="1617" w:type="pct"/>
            <w:tcMar>
              <w:left w:w="0" w:type="dxa"/>
              <w:right w:w="0" w:type="dxa"/>
            </w:tcMar>
            <w:vAlign w:val="center"/>
          </w:tcPr>
          <w:p w14:paraId="2C2D553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张家庄子</w:t>
            </w:r>
            <w:r>
              <w:rPr>
                <w:rFonts w:hint="eastAsia"/>
                <w:color w:val="000000" w:themeColor="text1"/>
                <w14:textFill>
                  <w14:solidFill>
                    <w14:schemeClr w14:val="tx1"/>
                  </w14:solidFill>
                </w14:textFill>
              </w:rPr>
              <w:t>上村</w:t>
            </w:r>
            <w:r>
              <w:rPr>
                <w:color w:val="000000" w:themeColor="text1"/>
                <w14:textFill>
                  <w14:solidFill>
                    <w14:schemeClr w14:val="tx1"/>
                  </w14:solidFill>
                </w14:textFill>
              </w:rPr>
              <w:t>居民</w:t>
            </w:r>
          </w:p>
        </w:tc>
        <w:tc>
          <w:tcPr>
            <w:tcW w:w="1135" w:type="pct"/>
            <w:tcMar>
              <w:left w:w="0" w:type="dxa"/>
              <w:right w:w="0" w:type="dxa"/>
            </w:tcMar>
            <w:vAlign w:val="center"/>
          </w:tcPr>
          <w:p w14:paraId="622B842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JD6186</w:t>
            </w:r>
            <w:r>
              <w:rPr>
                <w:color w:val="000000" w:themeColor="text1"/>
                <w14:textFill>
                  <w14:solidFill>
                    <w14:schemeClr w14:val="tx1"/>
                  </w14:solidFill>
                </w14:textFill>
              </w:rPr>
              <w:t>井）</w:t>
            </w:r>
            <w:r>
              <w:rPr>
                <w:rFonts w:hint="eastAsia"/>
                <w:color w:val="000000" w:themeColor="text1"/>
                <w14:textFill>
                  <w14:solidFill>
                    <w14:schemeClr w14:val="tx1"/>
                  </w14:solidFill>
                </w14:textFill>
              </w:rPr>
              <w:t>西南</w:t>
            </w:r>
            <w:r>
              <w:rPr>
                <w:color w:val="000000" w:themeColor="text1"/>
                <w14:textFill>
                  <w14:solidFill>
                    <w14:schemeClr w14:val="tx1"/>
                  </w14:solidFill>
                </w14:textFill>
              </w:rPr>
              <w:t>距张家庄子</w:t>
            </w:r>
            <w:r>
              <w:rPr>
                <w:rFonts w:hint="eastAsia"/>
                <w:color w:val="000000" w:themeColor="text1"/>
                <w14:textFill>
                  <w14:solidFill>
                    <w14:schemeClr w14:val="tx1"/>
                  </w14:solidFill>
                </w14:textFill>
              </w:rPr>
              <w:t>上</w:t>
            </w:r>
            <w:r>
              <w:rPr>
                <w:color w:val="000000" w:themeColor="text1"/>
                <w14:textFill>
                  <w14:solidFill>
                    <w14:schemeClr w14:val="tx1"/>
                  </w14:solidFill>
                </w14:textFill>
              </w:rPr>
              <w:t>村的最近距离</w:t>
            </w:r>
            <w:r>
              <w:rPr>
                <w:rFonts w:hint="eastAsia"/>
                <w:color w:val="000000" w:themeColor="text1"/>
                <w14:textFill>
                  <w14:solidFill>
                    <w14:schemeClr w14:val="tx1"/>
                  </w14:solidFill>
                </w14:textFill>
              </w:rPr>
              <w:t>约1.9k</w:t>
            </w:r>
            <w:r>
              <w:rPr>
                <w:color w:val="000000" w:themeColor="text1"/>
                <w14:textFill>
                  <w14:solidFill>
                    <w14:schemeClr w14:val="tx1"/>
                  </w14:solidFill>
                </w14:textFill>
              </w:rPr>
              <w:t>m</w:t>
            </w:r>
          </w:p>
        </w:tc>
        <w:tc>
          <w:tcPr>
            <w:tcW w:w="1754" w:type="pct"/>
            <w:vMerge w:val="continue"/>
            <w:tcMar>
              <w:left w:w="0" w:type="dxa"/>
              <w:right w:w="0" w:type="dxa"/>
            </w:tcMar>
            <w:vAlign w:val="center"/>
          </w:tcPr>
          <w:p w14:paraId="3A7AF16A">
            <w:pPr>
              <w:pStyle w:val="280"/>
              <w:rPr>
                <w:rFonts w:hint="eastAsia"/>
                <w:color w:val="000000" w:themeColor="text1"/>
                <w14:textFill>
                  <w14:solidFill>
                    <w14:schemeClr w14:val="tx1"/>
                  </w14:solidFill>
                </w14:textFill>
              </w:rPr>
            </w:pPr>
          </w:p>
        </w:tc>
      </w:tr>
      <w:tr w14:paraId="13298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vMerge w:val="restart"/>
            <w:tcMar>
              <w:left w:w="0" w:type="dxa"/>
              <w:right w:w="0" w:type="dxa"/>
            </w:tcMar>
            <w:vAlign w:val="center"/>
          </w:tcPr>
          <w:p w14:paraId="36F4E0D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土壤环境</w:t>
            </w:r>
          </w:p>
        </w:tc>
        <w:tc>
          <w:tcPr>
            <w:tcW w:w="1617" w:type="pct"/>
            <w:tcMar>
              <w:left w:w="0" w:type="dxa"/>
              <w:right w:w="0" w:type="dxa"/>
            </w:tcMar>
            <w:vAlign w:val="center"/>
          </w:tcPr>
          <w:p w14:paraId="6B62BA7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占地范围内的土壤</w:t>
            </w:r>
          </w:p>
        </w:tc>
        <w:tc>
          <w:tcPr>
            <w:tcW w:w="1135" w:type="pct"/>
            <w:tcMar>
              <w:left w:w="0" w:type="dxa"/>
              <w:right w:w="0" w:type="dxa"/>
            </w:tcMar>
            <w:vAlign w:val="center"/>
          </w:tcPr>
          <w:p w14:paraId="4598A56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4" w:type="pct"/>
            <w:tcMar>
              <w:left w:w="0" w:type="dxa"/>
              <w:right w:w="0" w:type="dxa"/>
            </w:tcMar>
            <w:vAlign w:val="center"/>
          </w:tcPr>
          <w:p w14:paraId="0C0E143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GB36600-2018</w:t>
            </w:r>
            <w:r>
              <w:rPr>
                <w:rFonts w:hint="eastAsia"/>
                <w:color w:val="000000" w:themeColor="text1"/>
                <w14:textFill>
                  <w14:solidFill>
                    <w14:schemeClr w14:val="tx1"/>
                  </w14:solidFill>
                </w14:textFill>
              </w:rPr>
              <w:t xml:space="preserve"> 第二类用地筛选值</w:t>
            </w:r>
            <w:r>
              <w:rPr>
                <w:color w:val="000000" w:themeColor="text1"/>
                <w14:textFill>
                  <w14:solidFill>
                    <w14:schemeClr w14:val="tx1"/>
                  </w14:solidFill>
                </w14:textFill>
              </w:rPr>
              <w:t>标准</w:t>
            </w:r>
          </w:p>
        </w:tc>
      </w:tr>
      <w:tr w14:paraId="07A90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vMerge w:val="continue"/>
            <w:tcMar>
              <w:left w:w="0" w:type="dxa"/>
              <w:right w:w="0" w:type="dxa"/>
            </w:tcMar>
            <w:vAlign w:val="center"/>
          </w:tcPr>
          <w:p w14:paraId="3B86E43D">
            <w:pPr>
              <w:pStyle w:val="280"/>
              <w:rPr>
                <w:rFonts w:hint="eastAsia"/>
                <w:color w:val="000000" w:themeColor="text1"/>
                <w14:textFill>
                  <w14:solidFill>
                    <w14:schemeClr w14:val="tx1"/>
                  </w14:solidFill>
                </w14:textFill>
              </w:rPr>
            </w:pPr>
          </w:p>
        </w:tc>
        <w:tc>
          <w:tcPr>
            <w:tcW w:w="1617" w:type="pct"/>
            <w:tcMar>
              <w:left w:w="0" w:type="dxa"/>
              <w:right w:w="0" w:type="dxa"/>
            </w:tcMar>
            <w:vAlign w:val="center"/>
          </w:tcPr>
          <w:p w14:paraId="40EEC7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评价范围内农田（一般耕地、永久基本农田）中的土壤</w:t>
            </w:r>
          </w:p>
        </w:tc>
        <w:tc>
          <w:tcPr>
            <w:tcW w:w="1135" w:type="pct"/>
            <w:tcMar>
              <w:left w:w="0" w:type="dxa"/>
              <w:right w:w="0" w:type="dxa"/>
            </w:tcMar>
            <w:vAlign w:val="center"/>
          </w:tcPr>
          <w:p w14:paraId="23770D2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项目区周边，距离永久基本农田的最近距离约为83m</w:t>
            </w:r>
          </w:p>
        </w:tc>
        <w:tc>
          <w:tcPr>
            <w:tcW w:w="1754" w:type="pct"/>
            <w:tcMar>
              <w:left w:w="0" w:type="dxa"/>
              <w:right w:w="0" w:type="dxa"/>
            </w:tcMar>
            <w:vAlign w:val="center"/>
          </w:tcPr>
          <w:p w14:paraId="293F97A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GB15618-2018</w:t>
            </w:r>
            <w:r>
              <w:rPr>
                <w:rFonts w:hint="eastAsia"/>
                <w:color w:val="000000" w:themeColor="text1"/>
                <w14:textFill>
                  <w14:solidFill>
                    <w14:schemeClr w14:val="tx1"/>
                  </w14:solidFill>
                </w14:textFill>
              </w:rPr>
              <w:t xml:space="preserve">  表1，</w:t>
            </w:r>
            <w:r>
              <w:rPr>
                <w:color w:val="000000" w:themeColor="text1"/>
                <w14:textFill>
                  <w14:solidFill>
                    <w14:schemeClr w14:val="tx1"/>
                  </w14:solidFill>
                </w14:textFill>
              </w:rPr>
              <w:t>不得占用永久基本农田，不得影响耕种及污染基本农田土壤。</w:t>
            </w:r>
          </w:p>
        </w:tc>
      </w:tr>
      <w:tr w14:paraId="5CB611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vMerge w:val="continue"/>
            <w:tcMar>
              <w:left w:w="0" w:type="dxa"/>
              <w:right w:w="0" w:type="dxa"/>
            </w:tcMar>
            <w:vAlign w:val="center"/>
          </w:tcPr>
          <w:p w14:paraId="7AFA2DE1">
            <w:pPr>
              <w:pStyle w:val="280"/>
              <w:rPr>
                <w:rFonts w:hint="eastAsia"/>
                <w:color w:val="000000" w:themeColor="text1"/>
                <w14:textFill>
                  <w14:solidFill>
                    <w14:schemeClr w14:val="tx1"/>
                  </w14:solidFill>
                </w14:textFill>
              </w:rPr>
            </w:pPr>
          </w:p>
        </w:tc>
        <w:tc>
          <w:tcPr>
            <w:tcW w:w="1617" w:type="pct"/>
            <w:tcMar>
              <w:left w:w="0" w:type="dxa"/>
              <w:right w:w="0" w:type="dxa"/>
            </w:tcMar>
            <w:vAlign w:val="center"/>
          </w:tcPr>
          <w:p w14:paraId="6ABF16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评价范围内天然牧草地、耕地的土壤</w:t>
            </w:r>
          </w:p>
        </w:tc>
        <w:tc>
          <w:tcPr>
            <w:tcW w:w="1135" w:type="pct"/>
            <w:tcMar>
              <w:left w:w="0" w:type="dxa"/>
              <w:right w:w="0" w:type="dxa"/>
            </w:tcMar>
            <w:vAlign w:val="center"/>
          </w:tcPr>
          <w:p w14:paraId="3FD435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占地范围内及土壤评价范围内</w:t>
            </w:r>
          </w:p>
        </w:tc>
        <w:tc>
          <w:tcPr>
            <w:tcW w:w="1754" w:type="pct"/>
            <w:tcMar>
              <w:left w:w="0" w:type="dxa"/>
              <w:right w:w="0" w:type="dxa"/>
            </w:tcMar>
            <w:vAlign w:val="center"/>
          </w:tcPr>
          <w:p w14:paraId="4B1416A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GB15618-2018</w:t>
            </w:r>
            <w:r>
              <w:rPr>
                <w:rFonts w:hint="eastAsia"/>
                <w:color w:val="000000" w:themeColor="text1"/>
                <w14:textFill>
                  <w14:solidFill>
                    <w14:schemeClr w14:val="tx1"/>
                  </w14:solidFill>
                </w14:textFill>
              </w:rPr>
              <w:t xml:space="preserve">  表1</w:t>
            </w:r>
          </w:p>
        </w:tc>
      </w:tr>
      <w:tr w14:paraId="5FECA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tcMar>
              <w:left w:w="0" w:type="dxa"/>
              <w:right w:w="0" w:type="dxa"/>
            </w:tcMar>
            <w:vAlign w:val="center"/>
          </w:tcPr>
          <w:p w14:paraId="4FCE5A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地下水环境</w:t>
            </w:r>
          </w:p>
        </w:tc>
        <w:tc>
          <w:tcPr>
            <w:tcW w:w="1617" w:type="pct"/>
            <w:tcMar>
              <w:left w:w="0" w:type="dxa"/>
              <w:right w:w="0" w:type="dxa"/>
            </w:tcMar>
            <w:vAlign w:val="center"/>
          </w:tcPr>
          <w:p w14:paraId="3A7A5461">
            <w:pPr>
              <w:pStyle w:val="28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评价范围内的</w:t>
            </w:r>
            <w:r>
              <w:rPr>
                <w:rFonts w:hint="eastAsia"/>
                <w:color w:val="000000" w:themeColor="text1"/>
                <w:lang w:eastAsia="zh-CN"/>
                <w14:textFill>
                  <w14:solidFill>
                    <w14:schemeClr w14:val="tx1"/>
                  </w14:solidFill>
                </w14:textFill>
              </w:rPr>
              <w:t>浅层地下水</w:t>
            </w:r>
          </w:p>
        </w:tc>
        <w:tc>
          <w:tcPr>
            <w:tcW w:w="1135" w:type="pct"/>
            <w:tcMar>
              <w:left w:w="0" w:type="dxa"/>
              <w:right w:w="0" w:type="dxa"/>
            </w:tcMar>
            <w:vAlign w:val="center"/>
          </w:tcPr>
          <w:p w14:paraId="0203CE6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4" w:type="pct"/>
            <w:tcMar>
              <w:left w:w="0" w:type="dxa"/>
              <w:right w:w="0" w:type="dxa"/>
            </w:tcMar>
            <w:vAlign w:val="center"/>
          </w:tcPr>
          <w:p w14:paraId="6713067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GB/T14848-2017 </w:t>
            </w:r>
            <w:r>
              <w:rPr>
                <w:rFonts w:hint="eastAsia"/>
                <w:color w:val="000000" w:themeColor="text1"/>
                <w14:textFill>
                  <w14:solidFill>
                    <w14:schemeClr w14:val="tx1"/>
                  </w14:solidFill>
                </w14:textFill>
              </w:rPr>
              <w:t>Ⅲ</w:t>
            </w:r>
            <w:r>
              <w:rPr>
                <w:color w:val="000000" w:themeColor="text1"/>
                <w14:textFill>
                  <w14:solidFill>
                    <w14:schemeClr w14:val="tx1"/>
                  </w14:solidFill>
                </w14:textFill>
              </w:rPr>
              <w:t>类</w:t>
            </w:r>
          </w:p>
        </w:tc>
      </w:tr>
      <w:tr w14:paraId="724E5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tcMar>
              <w:left w:w="0" w:type="dxa"/>
              <w:right w:w="0" w:type="dxa"/>
            </w:tcMar>
            <w:vAlign w:val="center"/>
          </w:tcPr>
          <w:p w14:paraId="1531634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1617" w:type="pct"/>
            <w:tcBorders>
              <w:bottom w:val="single" w:color="auto" w:sz="4" w:space="0"/>
            </w:tcBorders>
            <w:tcMar>
              <w:left w:w="0" w:type="dxa"/>
              <w:right w:w="0" w:type="dxa"/>
            </w:tcMar>
            <w:vAlign w:val="center"/>
          </w:tcPr>
          <w:p w14:paraId="22BAB1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评价范围内的声环境</w:t>
            </w:r>
          </w:p>
        </w:tc>
        <w:tc>
          <w:tcPr>
            <w:tcW w:w="1135" w:type="pct"/>
            <w:tcBorders>
              <w:bottom w:val="single" w:color="auto" w:sz="4" w:space="0"/>
            </w:tcBorders>
            <w:tcMar>
              <w:left w:w="0" w:type="dxa"/>
              <w:right w:w="0" w:type="dxa"/>
            </w:tcMar>
            <w:vAlign w:val="center"/>
          </w:tcPr>
          <w:p w14:paraId="6F4892B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4" w:type="pct"/>
            <w:tcBorders>
              <w:bottom w:val="single" w:color="auto" w:sz="4" w:space="0"/>
            </w:tcBorders>
            <w:tcMar>
              <w:left w:w="0" w:type="dxa"/>
              <w:right w:w="0" w:type="dxa"/>
            </w:tcMar>
            <w:vAlign w:val="center"/>
          </w:tcPr>
          <w:p w14:paraId="4E3214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GB3096-2008 </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w:t>
            </w:r>
          </w:p>
        </w:tc>
      </w:tr>
      <w:tr w14:paraId="69DDF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vMerge w:val="restart"/>
            <w:tcMar>
              <w:left w:w="0" w:type="dxa"/>
              <w:right w:w="0" w:type="dxa"/>
            </w:tcMar>
            <w:vAlign w:val="center"/>
          </w:tcPr>
          <w:p w14:paraId="42ADC0A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生态影响</w:t>
            </w:r>
          </w:p>
        </w:tc>
        <w:tc>
          <w:tcPr>
            <w:tcW w:w="1617" w:type="pct"/>
            <w:tcMar>
              <w:left w:w="0" w:type="dxa"/>
              <w:right w:w="0" w:type="dxa"/>
            </w:tcMar>
            <w:vAlign w:val="center"/>
          </w:tcPr>
          <w:p w14:paraId="1EC51A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评价范围内的野生动植物</w:t>
            </w:r>
          </w:p>
        </w:tc>
        <w:tc>
          <w:tcPr>
            <w:tcW w:w="1135" w:type="pct"/>
            <w:tcMar>
              <w:left w:w="0" w:type="dxa"/>
              <w:right w:w="0" w:type="dxa"/>
            </w:tcMar>
            <w:vAlign w:val="center"/>
          </w:tcPr>
          <w:p w14:paraId="0A961A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4" w:type="pct"/>
            <w:tcMar>
              <w:left w:w="0" w:type="dxa"/>
              <w:right w:w="0" w:type="dxa"/>
            </w:tcMar>
            <w:vAlign w:val="center"/>
          </w:tcPr>
          <w:p w14:paraId="3B7DF2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保护野生动植物生境不被破坏</w:t>
            </w:r>
          </w:p>
        </w:tc>
      </w:tr>
      <w:tr w14:paraId="2918C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vMerge w:val="continue"/>
            <w:tcMar>
              <w:left w:w="0" w:type="dxa"/>
              <w:right w:w="0" w:type="dxa"/>
            </w:tcMar>
            <w:vAlign w:val="center"/>
          </w:tcPr>
          <w:p w14:paraId="0389438F">
            <w:pPr>
              <w:pStyle w:val="280"/>
              <w:rPr>
                <w:rFonts w:hint="eastAsia"/>
                <w:color w:val="000000" w:themeColor="text1"/>
                <w14:textFill>
                  <w14:solidFill>
                    <w14:schemeClr w14:val="tx1"/>
                  </w14:solidFill>
                </w14:textFill>
              </w:rPr>
            </w:pPr>
          </w:p>
        </w:tc>
        <w:tc>
          <w:tcPr>
            <w:tcW w:w="1617" w:type="pct"/>
            <w:tcBorders>
              <w:bottom w:val="single" w:color="auto" w:sz="4" w:space="0"/>
            </w:tcBorders>
            <w:tcMar>
              <w:left w:w="0" w:type="dxa"/>
              <w:right w:w="0" w:type="dxa"/>
            </w:tcMar>
            <w:vAlign w:val="center"/>
          </w:tcPr>
          <w:p w14:paraId="43F181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评价范围内的生态</w:t>
            </w:r>
          </w:p>
        </w:tc>
        <w:tc>
          <w:tcPr>
            <w:tcW w:w="1135" w:type="pct"/>
            <w:tcBorders>
              <w:bottom w:val="single" w:color="auto" w:sz="4" w:space="0"/>
            </w:tcBorders>
            <w:tcMar>
              <w:left w:w="0" w:type="dxa"/>
              <w:right w:w="0" w:type="dxa"/>
            </w:tcMar>
            <w:vAlign w:val="center"/>
          </w:tcPr>
          <w:p w14:paraId="22F05066">
            <w:pPr>
              <w:pStyle w:val="280"/>
              <w:rPr>
                <w:rFonts w:hint="eastAsia"/>
                <w:color w:val="000000" w:themeColor="text1"/>
                <w:spacing w:val="-8"/>
                <w14:textFill>
                  <w14:solidFill>
                    <w14:schemeClr w14:val="tx1"/>
                  </w14:solidFill>
                </w14:textFill>
              </w:rPr>
            </w:pPr>
            <w:r>
              <w:rPr>
                <w:rFonts w:hint="eastAsia"/>
                <w:color w:val="000000" w:themeColor="text1"/>
                <w14:textFill>
                  <w14:solidFill>
                    <w14:schemeClr w14:val="tx1"/>
                  </w14:solidFill>
                </w14:textFill>
              </w:rPr>
              <w:t>/</w:t>
            </w:r>
          </w:p>
        </w:tc>
        <w:tc>
          <w:tcPr>
            <w:tcW w:w="1754" w:type="pct"/>
            <w:tcMar>
              <w:left w:w="0" w:type="dxa"/>
              <w:right w:w="0" w:type="dxa"/>
            </w:tcMar>
            <w:vAlign w:val="center"/>
          </w:tcPr>
          <w:p w14:paraId="784924E1">
            <w:pPr>
              <w:pStyle w:val="28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项目区水土流失程度不因本项目的实施而加剧；土壤沙化程度不因本项目实施而加剧。保护项目区生态系统完整性和稳定性，使项目区现有生态环境不因本项目的建设受到破坏</w:t>
            </w:r>
          </w:p>
        </w:tc>
      </w:tr>
      <w:tr w14:paraId="6FC48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vMerge w:val="continue"/>
            <w:tcMar>
              <w:left w:w="0" w:type="dxa"/>
              <w:right w:w="0" w:type="dxa"/>
            </w:tcMar>
            <w:vAlign w:val="center"/>
          </w:tcPr>
          <w:p w14:paraId="364C3A32">
            <w:pPr>
              <w:pStyle w:val="280"/>
              <w:rPr>
                <w:rFonts w:hint="eastAsia"/>
                <w:color w:val="000000" w:themeColor="text1"/>
                <w14:textFill>
                  <w14:solidFill>
                    <w14:schemeClr w14:val="tx1"/>
                  </w14:solidFill>
                </w14:textFill>
              </w:rPr>
            </w:pPr>
          </w:p>
        </w:tc>
        <w:tc>
          <w:tcPr>
            <w:tcW w:w="1617" w:type="pct"/>
            <w:tcBorders>
              <w:top w:val="single" w:color="auto" w:sz="4" w:space="0"/>
            </w:tcBorders>
            <w:tcMar>
              <w:left w:w="0" w:type="dxa"/>
              <w:right w:w="0" w:type="dxa"/>
            </w:tcMar>
            <w:vAlign w:val="center"/>
          </w:tcPr>
          <w:p w14:paraId="25616C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评价范围内的野生动植物和国家二级保护动物鹅喉羚、</w:t>
            </w:r>
            <w:r>
              <w:rPr>
                <w:color w:val="000000" w:themeColor="text1"/>
                <w14:textFill>
                  <w14:solidFill>
                    <w14:schemeClr w14:val="tx1"/>
                  </w14:solidFill>
                </w14:textFill>
              </w:rPr>
              <w:t>雀鹰和红隼</w:t>
            </w:r>
          </w:p>
        </w:tc>
        <w:tc>
          <w:tcPr>
            <w:tcW w:w="1135" w:type="pct"/>
            <w:tcBorders>
              <w:top w:val="single" w:color="auto" w:sz="4" w:space="0"/>
            </w:tcBorders>
            <w:tcMar>
              <w:left w:w="0" w:type="dxa"/>
              <w:right w:w="0" w:type="dxa"/>
            </w:tcMar>
            <w:vAlign w:val="center"/>
          </w:tcPr>
          <w:p w14:paraId="257A16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4" w:type="pct"/>
            <w:tcMar>
              <w:left w:w="0" w:type="dxa"/>
              <w:right w:w="0" w:type="dxa"/>
            </w:tcMar>
            <w:vAlign w:val="center"/>
          </w:tcPr>
          <w:p w14:paraId="57BFAFB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保护野生动植物生境不被破坏，不捕杀鹅喉羚、</w:t>
            </w:r>
            <w:r>
              <w:rPr>
                <w:color w:val="000000" w:themeColor="text1"/>
                <w14:textFill>
                  <w14:solidFill>
                    <w14:schemeClr w14:val="tx1"/>
                  </w14:solidFill>
                </w14:textFill>
              </w:rPr>
              <w:t>雀鹰和红隼</w:t>
            </w:r>
          </w:p>
        </w:tc>
      </w:tr>
      <w:bookmarkEnd w:id="128"/>
      <w:bookmarkEnd w:id="129"/>
      <w:bookmarkEnd w:id="131"/>
    </w:tbl>
    <w:p w14:paraId="6218F77A">
      <w:pPr>
        <w:pStyle w:val="159"/>
        <w:snapToGrid w:val="0"/>
        <w:spacing w:line="500" w:lineRule="exact"/>
        <w:ind w:firstLine="480" w:firstLineChars="200"/>
        <w:rPr>
          <w:rFonts w:hint="eastAsia" w:ascii="宋体" w:hAnsi="宋体"/>
          <w:bCs/>
          <w:color w:val="000000" w:themeColor="text1"/>
          <w:szCs w:val="24"/>
          <w14:textFill>
            <w14:solidFill>
              <w14:schemeClr w14:val="tx1"/>
            </w14:solidFill>
          </w14:textFill>
        </w:rPr>
        <w:sectPr>
          <w:footerReference r:id="rId5" w:type="default"/>
          <w:pgSz w:w="11906" w:h="16838"/>
          <w:pgMar w:top="1418" w:right="1588" w:bottom="1418" w:left="1588" w:header="1020" w:footer="1020" w:gutter="0"/>
          <w:pgNumType w:start="1"/>
          <w:cols w:space="720" w:num="1"/>
          <w:docGrid w:type="lines" w:linePitch="312" w:charSpace="0"/>
        </w:sectPr>
      </w:pPr>
    </w:p>
    <w:p w14:paraId="72DAE28D">
      <w:pPr>
        <w:pStyle w:val="159"/>
        <w:snapToGrid w:val="0"/>
        <w:spacing w:line="240" w:lineRule="auto"/>
        <w:rPr>
          <w:rFonts w:hint="eastAsia" w:ascii="宋体" w:hAnsi="宋体"/>
          <w:bCs/>
          <w:color w:val="000000" w:themeColor="text1"/>
          <w:szCs w:val="24"/>
          <w14:textFill>
            <w14:solidFill>
              <w14:schemeClr w14:val="tx1"/>
            </w14:solidFill>
          </w14:textFill>
        </w:rPr>
      </w:pPr>
      <w:r>
        <w:rPr>
          <w:rFonts w:hint="eastAsia" w:ascii="宋体" w:hAnsi="宋体"/>
          <w:bCs/>
          <w:color w:val="000000" w:themeColor="text1"/>
          <w:szCs w:val="24"/>
          <w14:textFill>
            <w14:solidFill>
              <w14:schemeClr w14:val="tx1"/>
            </w14:solidFill>
          </w14:textFill>
        </w:rPr>
        <w:drawing>
          <wp:inline distT="0" distB="0" distL="114300" distR="114300">
            <wp:extent cx="8733790" cy="5187315"/>
            <wp:effectExtent l="9525" t="9525" r="19685" b="22860"/>
            <wp:docPr id="125" name="图片 125" descr="生态、和土壤污染影响型（底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生态、和土壤污染影响型（底图）"/>
                    <pic:cNvPicPr>
                      <a:picLocks noChangeAspect="1"/>
                    </pic:cNvPicPr>
                  </pic:nvPicPr>
                  <pic:blipFill>
                    <a:blip r:embed="rId22"/>
                    <a:stretch>
                      <a:fillRect/>
                    </a:stretch>
                  </pic:blipFill>
                  <pic:spPr>
                    <a:xfrm>
                      <a:off x="0" y="0"/>
                      <a:ext cx="8733790" cy="5187315"/>
                    </a:xfrm>
                    <a:prstGeom prst="rect">
                      <a:avLst/>
                    </a:prstGeom>
                    <a:ln>
                      <a:solidFill>
                        <a:schemeClr val="tx1"/>
                      </a:solidFill>
                    </a:ln>
                  </pic:spPr>
                </pic:pic>
              </a:graphicData>
            </a:graphic>
          </wp:inline>
        </w:drawing>
      </w:r>
    </w:p>
    <w:p w14:paraId="52323641">
      <w:pPr>
        <w:pStyle w:val="159"/>
        <w:snapToGrid w:val="0"/>
        <w:spacing w:line="500" w:lineRule="exact"/>
        <w:ind w:firstLine="420" w:firstLineChars="200"/>
        <w:jc w:val="center"/>
        <w:rPr>
          <w:rStyle w:val="166"/>
          <w:rFonts w:hint="eastAsia"/>
          <w:color w:val="000000" w:themeColor="text1"/>
          <w14:textFill>
            <w14:solidFill>
              <w14:schemeClr w14:val="tx1"/>
            </w14:solidFill>
          </w14:textFill>
        </w:rPr>
      </w:pPr>
      <w:r>
        <w:rPr>
          <w:rStyle w:val="166"/>
          <w:rFonts w:hint="eastAsia"/>
          <w:color w:val="000000" w:themeColor="text1"/>
          <w14:textFill>
            <w14:solidFill>
              <w14:schemeClr w14:val="tx1"/>
            </w14:solidFill>
          </w14:textFill>
        </w:rPr>
        <w:t>图2.</w:t>
      </w:r>
      <w:r>
        <w:rPr>
          <w:rStyle w:val="166"/>
          <w:color w:val="000000" w:themeColor="text1"/>
          <w14:textFill>
            <w14:solidFill>
              <w14:schemeClr w14:val="tx1"/>
            </w14:solidFill>
          </w14:textFill>
        </w:rPr>
        <w:t>6</w:t>
      </w:r>
      <w:r>
        <w:rPr>
          <w:rStyle w:val="166"/>
          <w:rFonts w:hint="eastAsia"/>
          <w:color w:val="000000" w:themeColor="text1"/>
          <w14:textFill>
            <w14:solidFill>
              <w14:schemeClr w14:val="tx1"/>
            </w14:solidFill>
          </w14:textFill>
        </w:rPr>
        <w:t xml:space="preserve">-1  </w:t>
      </w:r>
      <w:r>
        <w:rPr>
          <w:rStyle w:val="166"/>
          <w:color w:val="000000" w:themeColor="text1"/>
          <w14:textFill>
            <w14:solidFill>
              <w14:schemeClr w14:val="tx1"/>
            </w14:solidFill>
          </w14:textFill>
        </w:rPr>
        <w:t>本项目</w:t>
      </w:r>
      <w:r>
        <w:rPr>
          <w:rStyle w:val="166"/>
          <w:rFonts w:hint="eastAsia"/>
          <w:color w:val="000000" w:themeColor="text1"/>
          <w:lang w:val="en-US"/>
          <w14:textFill>
            <w14:solidFill>
              <w14:schemeClr w14:val="tx1"/>
            </w14:solidFill>
          </w14:textFill>
        </w:rPr>
        <w:t>井场土壤</w:t>
      </w:r>
      <w:r>
        <w:rPr>
          <w:rStyle w:val="166"/>
          <w:color w:val="000000" w:themeColor="text1"/>
          <w14:textFill>
            <w14:solidFill>
              <w14:schemeClr w14:val="tx1"/>
            </w14:solidFill>
          </w14:textFill>
        </w:rPr>
        <w:t>评价范围</w:t>
      </w:r>
      <w:r>
        <w:rPr>
          <w:rStyle w:val="166"/>
          <w:rFonts w:hint="eastAsia"/>
          <w:color w:val="000000" w:themeColor="text1"/>
          <w:lang w:val="en-US"/>
          <w14:textFill>
            <w14:solidFill>
              <w14:schemeClr w14:val="tx1"/>
            </w14:solidFill>
          </w14:textFill>
        </w:rPr>
        <w:t>示意</w:t>
      </w:r>
      <w:r>
        <w:rPr>
          <w:rStyle w:val="166"/>
          <w:rFonts w:hint="eastAsia"/>
          <w:color w:val="000000" w:themeColor="text1"/>
          <w14:textFill>
            <w14:solidFill>
              <w14:schemeClr w14:val="tx1"/>
            </w14:solidFill>
          </w14:textFill>
        </w:rPr>
        <w:t>图</w:t>
      </w:r>
    </w:p>
    <w:p w14:paraId="6B583F57">
      <w:pPr>
        <w:pStyle w:val="159"/>
        <w:snapToGrid w:val="0"/>
        <w:spacing w:line="240" w:lineRule="auto"/>
        <w:rPr>
          <w:rFonts w:hint="eastAsia" w:ascii="宋体" w:hAnsi="宋体"/>
          <w:bCs/>
          <w:color w:val="000000" w:themeColor="text1"/>
          <w:szCs w:val="24"/>
          <w14:textFill>
            <w14:solidFill>
              <w14:schemeClr w14:val="tx1"/>
            </w14:solidFill>
          </w14:textFill>
        </w:rPr>
      </w:pPr>
      <w:r>
        <w:rPr>
          <w:rFonts w:hint="eastAsia" w:ascii="宋体" w:hAnsi="宋体"/>
          <w:bCs/>
          <w:color w:val="000000" w:themeColor="text1"/>
          <w:szCs w:val="24"/>
          <w14:textFill>
            <w14:solidFill>
              <w14:schemeClr w14:val="tx1"/>
            </w14:solidFill>
          </w14:textFill>
        </w:rPr>
        <w:drawing>
          <wp:inline distT="0" distB="0" distL="114300" distR="114300">
            <wp:extent cx="8746490" cy="5194935"/>
            <wp:effectExtent l="9525" t="9525" r="26035" b="15240"/>
            <wp:docPr id="129" name="图片 129" descr="大气、地下水评价范围（底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大气、地下水评价范围（底图）"/>
                    <pic:cNvPicPr>
                      <a:picLocks noChangeAspect="1"/>
                    </pic:cNvPicPr>
                  </pic:nvPicPr>
                  <pic:blipFill>
                    <a:blip r:embed="rId23"/>
                    <a:stretch>
                      <a:fillRect/>
                    </a:stretch>
                  </pic:blipFill>
                  <pic:spPr>
                    <a:xfrm>
                      <a:off x="0" y="0"/>
                      <a:ext cx="8746490" cy="5194935"/>
                    </a:xfrm>
                    <a:prstGeom prst="rect">
                      <a:avLst/>
                    </a:prstGeom>
                    <a:ln>
                      <a:solidFill>
                        <a:schemeClr val="tx1"/>
                      </a:solidFill>
                    </a:ln>
                  </pic:spPr>
                </pic:pic>
              </a:graphicData>
            </a:graphic>
          </wp:inline>
        </w:drawing>
      </w:r>
    </w:p>
    <w:p w14:paraId="3382E3BE">
      <w:pPr>
        <w:pStyle w:val="159"/>
        <w:snapToGrid w:val="0"/>
        <w:spacing w:line="500" w:lineRule="exact"/>
        <w:ind w:firstLine="420" w:firstLineChars="200"/>
        <w:jc w:val="center"/>
        <w:rPr>
          <w:rStyle w:val="166"/>
          <w:rFonts w:hint="eastAsia"/>
          <w:color w:val="000000" w:themeColor="text1"/>
          <w14:textFill>
            <w14:solidFill>
              <w14:schemeClr w14:val="tx1"/>
            </w14:solidFill>
          </w14:textFill>
        </w:rPr>
      </w:pPr>
      <w:r>
        <w:rPr>
          <w:rStyle w:val="166"/>
          <w:rFonts w:hint="eastAsia"/>
          <w:color w:val="000000" w:themeColor="text1"/>
          <w14:textFill>
            <w14:solidFill>
              <w14:schemeClr w14:val="tx1"/>
            </w14:solidFill>
          </w14:textFill>
        </w:rPr>
        <w:t>图2.</w:t>
      </w:r>
      <w:r>
        <w:rPr>
          <w:rStyle w:val="166"/>
          <w:color w:val="000000" w:themeColor="text1"/>
          <w14:textFill>
            <w14:solidFill>
              <w14:schemeClr w14:val="tx1"/>
            </w14:solidFill>
          </w14:textFill>
        </w:rPr>
        <w:t>6</w:t>
      </w:r>
      <w:r>
        <w:rPr>
          <w:rStyle w:val="166"/>
          <w:rFonts w:hint="eastAsia"/>
          <w:color w:val="000000" w:themeColor="text1"/>
          <w14:textFill>
            <w14:solidFill>
              <w14:schemeClr w14:val="tx1"/>
            </w14:solidFill>
          </w14:textFill>
        </w:rPr>
        <w:t xml:space="preserve">-2  </w:t>
      </w:r>
      <w:r>
        <w:rPr>
          <w:rStyle w:val="166"/>
          <w:color w:val="000000" w:themeColor="text1"/>
          <w14:textFill>
            <w14:solidFill>
              <w14:schemeClr w14:val="tx1"/>
            </w14:solidFill>
          </w14:textFill>
        </w:rPr>
        <w:t>本项目</w:t>
      </w:r>
      <w:r>
        <w:rPr>
          <w:rStyle w:val="166"/>
          <w:rFonts w:hint="eastAsia"/>
          <w:color w:val="000000" w:themeColor="text1"/>
          <w:lang w:val="en-US"/>
          <w14:textFill>
            <w14:solidFill>
              <w14:schemeClr w14:val="tx1"/>
            </w14:solidFill>
          </w14:textFill>
        </w:rPr>
        <w:t>大气、井场</w:t>
      </w:r>
      <w:r>
        <w:rPr>
          <w:rStyle w:val="166"/>
          <w:rFonts w:hint="eastAsia"/>
          <w:color w:val="000000" w:themeColor="text1"/>
          <w14:textFill>
            <w14:solidFill>
              <w14:schemeClr w14:val="tx1"/>
            </w14:solidFill>
          </w14:textFill>
        </w:rPr>
        <w:t>地下水环境</w:t>
      </w:r>
      <w:r>
        <w:rPr>
          <w:rStyle w:val="166"/>
          <w:color w:val="000000" w:themeColor="text1"/>
          <w14:textFill>
            <w14:solidFill>
              <w14:schemeClr w14:val="tx1"/>
            </w14:solidFill>
          </w14:textFill>
        </w:rPr>
        <w:t>评价范围</w:t>
      </w:r>
    </w:p>
    <w:p w14:paraId="3F67C2AB">
      <w:pPr>
        <w:pStyle w:val="159"/>
        <w:snapToGrid w:val="0"/>
        <w:spacing w:line="240" w:lineRule="auto"/>
        <w:ind w:firstLine="480" w:firstLineChars="20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8742045" cy="5166995"/>
            <wp:effectExtent l="9525" t="9525" r="11430" b="24130"/>
            <wp:docPr id="127" name="图片 127" descr="声环境、生态底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声环境、生态底图1"/>
                    <pic:cNvPicPr>
                      <a:picLocks noChangeAspect="1"/>
                    </pic:cNvPicPr>
                  </pic:nvPicPr>
                  <pic:blipFill>
                    <a:blip r:embed="rId24"/>
                    <a:stretch>
                      <a:fillRect/>
                    </a:stretch>
                  </pic:blipFill>
                  <pic:spPr>
                    <a:xfrm>
                      <a:off x="0" y="0"/>
                      <a:ext cx="8742045" cy="5166995"/>
                    </a:xfrm>
                    <a:prstGeom prst="rect">
                      <a:avLst/>
                    </a:prstGeom>
                    <a:ln>
                      <a:solidFill>
                        <a:schemeClr val="tx1"/>
                      </a:solidFill>
                    </a:ln>
                  </pic:spPr>
                </pic:pic>
              </a:graphicData>
            </a:graphic>
          </wp:inline>
        </w:drawing>
      </w:r>
    </w:p>
    <w:p w14:paraId="0AA40160">
      <w:pPr>
        <w:pStyle w:val="159"/>
        <w:snapToGrid w:val="0"/>
        <w:spacing w:line="500" w:lineRule="exact"/>
        <w:ind w:firstLine="420" w:firstLineChars="200"/>
        <w:jc w:val="center"/>
        <w:rPr>
          <w:rStyle w:val="166"/>
          <w:rFonts w:hint="eastAsia"/>
          <w:color w:val="000000" w:themeColor="text1"/>
          <w:lang w:val="en-US"/>
          <w14:textFill>
            <w14:solidFill>
              <w14:schemeClr w14:val="tx1"/>
            </w14:solidFill>
          </w14:textFill>
        </w:rPr>
      </w:pPr>
      <w:r>
        <w:rPr>
          <w:rStyle w:val="166"/>
          <w:rFonts w:hint="eastAsia"/>
          <w:color w:val="000000" w:themeColor="text1"/>
          <w14:textFill>
            <w14:solidFill>
              <w14:schemeClr w14:val="tx1"/>
            </w14:solidFill>
          </w14:textFill>
        </w:rPr>
        <w:t>图2.</w:t>
      </w:r>
      <w:r>
        <w:rPr>
          <w:rStyle w:val="166"/>
          <w:color w:val="000000" w:themeColor="text1"/>
          <w14:textFill>
            <w14:solidFill>
              <w14:schemeClr w14:val="tx1"/>
            </w14:solidFill>
          </w14:textFill>
        </w:rPr>
        <w:t>6</w:t>
      </w:r>
      <w:r>
        <w:rPr>
          <w:rStyle w:val="166"/>
          <w:rFonts w:hint="eastAsia"/>
          <w:color w:val="000000" w:themeColor="text1"/>
          <w14:textFill>
            <w14:solidFill>
              <w14:schemeClr w14:val="tx1"/>
            </w14:solidFill>
          </w14:textFill>
        </w:rPr>
        <w:t>-</w:t>
      </w:r>
      <w:r>
        <w:rPr>
          <w:rStyle w:val="166"/>
          <w:rFonts w:hint="eastAsia"/>
          <w:color w:val="000000" w:themeColor="text1"/>
          <w:lang w:val="en-US"/>
          <w14:textFill>
            <w14:solidFill>
              <w14:schemeClr w14:val="tx1"/>
            </w14:solidFill>
          </w14:textFill>
        </w:rPr>
        <w:t>3</w:t>
      </w:r>
      <w:r>
        <w:rPr>
          <w:rStyle w:val="166"/>
          <w:rFonts w:hint="eastAsia"/>
          <w:color w:val="000000" w:themeColor="text1"/>
          <w14:textFill>
            <w14:solidFill>
              <w14:schemeClr w14:val="tx1"/>
            </w14:solidFill>
          </w14:textFill>
        </w:rPr>
        <w:t xml:space="preserve">  </w:t>
      </w:r>
      <w:r>
        <w:rPr>
          <w:rStyle w:val="166"/>
          <w:color w:val="000000" w:themeColor="text1"/>
          <w14:textFill>
            <w14:solidFill>
              <w14:schemeClr w14:val="tx1"/>
            </w14:solidFill>
          </w14:textFill>
        </w:rPr>
        <w:t>本项目</w:t>
      </w:r>
      <w:r>
        <w:rPr>
          <w:rStyle w:val="166"/>
          <w:rFonts w:hint="eastAsia"/>
          <w:color w:val="000000" w:themeColor="text1"/>
          <w:lang w:val="en-US"/>
          <w14:textFill>
            <w14:solidFill>
              <w14:schemeClr w14:val="tx1"/>
            </w14:solidFill>
          </w14:textFill>
        </w:rPr>
        <w:t>声环境、井场生态影响</w:t>
      </w:r>
      <w:r>
        <w:rPr>
          <w:rStyle w:val="166"/>
          <w:color w:val="000000" w:themeColor="text1"/>
          <w14:textFill>
            <w14:solidFill>
              <w14:schemeClr w14:val="tx1"/>
            </w14:solidFill>
          </w14:textFill>
        </w:rPr>
        <w:t>评价范围</w:t>
      </w:r>
      <w:r>
        <w:rPr>
          <w:rStyle w:val="166"/>
          <w:rFonts w:hint="eastAsia"/>
          <w:color w:val="000000" w:themeColor="text1"/>
          <w:lang w:val="en-US"/>
          <w14:textFill>
            <w14:solidFill>
              <w14:schemeClr w14:val="tx1"/>
            </w14:solidFill>
          </w14:textFill>
        </w:rPr>
        <w:t>示意图</w:t>
      </w:r>
    </w:p>
    <w:p w14:paraId="2971C174">
      <w:pPr>
        <w:pStyle w:val="159"/>
        <w:snapToGrid w:val="0"/>
        <w:spacing w:line="240" w:lineRule="auto"/>
        <w:jc w:val="center"/>
        <w:rPr>
          <w:rFonts w:eastAsia="黑体"/>
          <w:color w:val="000000" w:themeColor="text1"/>
          <w:lang w:val="en-US"/>
          <w14:textFill>
            <w14:solidFill>
              <w14:schemeClr w14:val="tx1"/>
            </w14:solidFill>
          </w14:textFill>
        </w:rPr>
      </w:pPr>
      <w:r>
        <w:rPr>
          <w:rStyle w:val="166"/>
          <w:rFonts w:hint="eastAsia"/>
          <w:color w:val="000000" w:themeColor="text1"/>
          <w14:textFill>
            <w14:solidFill>
              <w14:schemeClr w14:val="tx1"/>
            </w14:solidFill>
          </w14:textFill>
        </w:rPr>
        <w:drawing>
          <wp:inline distT="0" distB="0" distL="114300" distR="114300">
            <wp:extent cx="8888730" cy="5263515"/>
            <wp:effectExtent l="0" t="0" r="7620" b="13335"/>
            <wp:docPr id="151" name="图片 151" descr="图片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图片112"/>
                    <pic:cNvPicPr>
                      <a:picLocks noChangeAspect="1"/>
                    </pic:cNvPicPr>
                  </pic:nvPicPr>
                  <pic:blipFill>
                    <a:blip r:embed="rId25"/>
                    <a:stretch>
                      <a:fillRect/>
                    </a:stretch>
                  </pic:blipFill>
                  <pic:spPr>
                    <a:xfrm>
                      <a:off x="0" y="0"/>
                      <a:ext cx="8888730" cy="5263515"/>
                    </a:xfrm>
                    <a:prstGeom prst="rect">
                      <a:avLst/>
                    </a:prstGeom>
                  </pic:spPr>
                </pic:pic>
              </a:graphicData>
            </a:graphic>
          </wp:inline>
        </w:drawing>
      </w:r>
      <w:r>
        <w:rPr>
          <w:rStyle w:val="166"/>
          <w:rFonts w:hint="eastAsia"/>
          <w:color w:val="000000" w:themeColor="text1"/>
          <w14:textFill>
            <w14:solidFill>
              <w14:schemeClr w14:val="tx1"/>
            </w14:solidFill>
          </w14:textFill>
        </w:rPr>
        <w:t>图2.</w:t>
      </w:r>
      <w:r>
        <w:rPr>
          <w:rStyle w:val="166"/>
          <w:color w:val="000000" w:themeColor="text1"/>
          <w14:textFill>
            <w14:solidFill>
              <w14:schemeClr w14:val="tx1"/>
            </w14:solidFill>
          </w14:textFill>
        </w:rPr>
        <w:t>6</w:t>
      </w:r>
      <w:r>
        <w:rPr>
          <w:rStyle w:val="166"/>
          <w:rFonts w:hint="eastAsia"/>
          <w:color w:val="000000" w:themeColor="text1"/>
          <w14:textFill>
            <w14:solidFill>
              <w14:schemeClr w14:val="tx1"/>
            </w14:solidFill>
          </w14:textFill>
        </w:rPr>
        <w:t>-</w:t>
      </w:r>
      <w:r>
        <w:rPr>
          <w:rStyle w:val="166"/>
          <w:rFonts w:hint="eastAsia"/>
          <w:color w:val="000000" w:themeColor="text1"/>
          <w:lang w:val="en-US"/>
          <w14:textFill>
            <w14:solidFill>
              <w14:schemeClr w14:val="tx1"/>
            </w14:solidFill>
          </w14:textFill>
        </w:rPr>
        <w:t>4</w:t>
      </w:r>
      <w:r>
        <w:rPr>
          <w:rStyle w:val="166"/>
          <w:rFonts w:hint="eastAsia"/>
          <w:color w:val="000000" w:themeColor="text1"/>
          <w14:textFill>
            <w14:solidFill>
              <w14:schemeClr w14:val="tx1"/>
            </w14:solidFill>
          </w14:textFill>
        </w:rPr>
        <w:t xml:space="preserve">  </w:t>
      </w:r>
      <w:r>
        <w:rPr>
          <w:rStyle w:val="166"/>
          <w:color w:val="000000" w:themeColor="text1"/>
          <w14:textFill>
            <w14:solidFill>
              <w14:schemeClr w14:val="tx1"/>
            </w14:solidFill>
          </w14:textFill>
        </w:rPr>
        <w:t>本项目</w:t>
      </w:r>
      <w:r>
        <w:rPr>
          <w:rStyle w:val="166"/>
          <w:rFonts w:hint="eastAsia"/>
          <w:color w:val="000000" w:themeColor="text1"/>
          <w:lang w:val="en-US"/>
          <w14:textFill>
            <w14:solidFill>
              <w14:schemeClr w14:val="tx1"/>
            </w14:solidFill>
          </w14:textFill>
        </w:rPr>
        <w:t>管线生态影响、</w:t>
      </w:r>
      <w:r>
        <w:rPr>
          <w:rStyle w:val="166"/>
          <w:rFonts w:hint="eastAsia"/>
          <w:color w:val="000000" w:themeColor="text1"/>
          <w14:textFill>
            <w14:solidFill>
              <w14:schemeClr w14:val="tx1"/>
            </w14:solidFill>
          </w14:textFill>
        </w:rPr>
        <w:t>地下水、</w:t>
      </w:r>
      <w:r>
        <w:rPr>
          <w:rStyle w:val="166"/>
          <w:rFonts w:hint="eastAsia"/>
          <w:color w:val="000000" w:themeColor="text1"/>
          <w:lang w:val="en-US"/>
          <w14:textFill>
            <w14:solidFill>
              <w14:schemeClr w14:val="tx1"/>
            </w14:solidFill>
          </w14:textFill>
        </w:rPr>
        <w:t>土壤</w:t>
      </w:r>
      <w:r>
        <w:rPr>
          <w:rStyle w:val="166"/>
          <w:rFonts w:hint="eastAsia"/>
          <w:color w:val="000000" w:themeColor="text1"/>
          <w14:textFill>
            <w14:solidFill>
              <w14:schemeClr w14:val="tx1"/>
            </w14:solidFill>
          </w14:textFill>
        </w:rPr>
        <w:t>环境</w:t>
      </w:r>
      <w:r>
        <w:rPr>
          <w:rStyle w:val="166"/>
          <w:color w:val="000000" w:themeColor="text1"/>
          <w14:textFill>
            <w14:solidFill>
              <w14:schemeClr w14:val="tx1"/>
            </w14:solidFill>
          </w14:textFill>
        </w:rPr>
        <w:t>评价范围</w:t>
      </w:r>
      <w:r>
        <w:rPr>
          <w:rStyle w:val="166"/>
          <w:rFonts w:hint="eastAsia"/>
          <w:color w:val="000000" w:themeColor="text1"/>
          <w:lang w:val="en-US"/>
          <w14:textFill>
            <w14:solidFill>
              <w14:schemeClr w14:val="tx1"/>
            </w14:solidFill>
          </w14:textFill>
        </w:rPr>
        <w:t>示意图</w:t>
      </w:r>
    </w:p>
    <w:p w14:paraId="0C1743B4">
      <w:pPr>
        <w:pStyle w:val="159"/>
        <w:snapToGrid w:val="0"/>
        <w:spacing w:line="240" w:lineRule="auto"/>
        <w:ind w:firstLine="480" w:firstLineChars="200"/>
        <w:jc w:val="center"/>
        <w:rPr>
          <w:color w:val="000000" w:themeColor="text1"/>
          <w14:textFill>
            <w14:solidFill>
              <w14:schemeClr w14:val="tx1"/>
            </w14:solidFill>
          </w14:textFill>
        </w:rPr>
      </w:pPr>
      <w:r>
        <w:rPr>
          <w:rFonts w:hint="eastAsia" w:ascii="宋体" w:hAnsi="宋体"/>
          <w:bCs/>
          <w:color w:val="000000" w:themeColor="text1"/>
          <w:szCs w:val="24"/>
          <w14:textFill>
            <w14:solidFill>
              <w14:schemeClr w14:val="tx1"/>
            </w14:solidFill>
          </w14:textFill>
        </w:rPr>
        <w:drawing>
          <wp:inline distT="0" distB="0" distL="114300" distR="114300">
            <wp:extent cx="8966835" cy="5323205"/>
            <wp:effectExtent l="9525" t="9525" r="15240" b="20320"/>
            <wp:docPr id="124" name="图片 124" descr="大气环境敏感目标底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大气环境敏感目标底图"/>
                    <pic:cNvPicPr>
                      <a:picLocks noChangeAspect="1"/>
                    </pic:cNvPicPr>
                  </pic:nvPicPr>
                  <pic:blipFill>
                    <a:blip r:embed="rId26"/>
                    <a:stretch>
                      <a:fillRect/>
                    </a:stretch>
                  </pic:blipFill>
                  <pic:spPr>
                    <a:xfrm>
                      <a:off x="0" y="0"/>
                      <a:ext cx="8966835" cy="5323205"/>
                    </a:xfrm>
                    <a:prstGeom prst="rect">
                      <a:avLst/>
                    </a:prstGeom>
                    <a:ln>
                      <a:solidFill>
                        <a:schemeClr val="tx1"/>
                      </a:solidFill>
                    </a:ln>
                  </pic:spPr>
                </pic:pic>
              </a:graphicData>
            </a:graphic>
          </wp:inline>
        </w:drawing>
      </w:r>
    </w:p>
    <w:p w14:paraId="738D0B95">
      <w:pPr>
        <w:pStyle w:val="159"/>
        <w:snapToGrid w:val="0"/>
        <w:spacing w:line="240" w:lineRule="auto"/>
        <w:ind w:firstLine="420" w:firstLineChars="200"/>
        <w:jc w:val="center"/>
        <w:rPr>
          <w:rStyle w:val="166"/>
          <w:rFonts w:hint="eastAsia"/>
          <w:color w:val="000000" w:themeColor="text1"/>
          <w14:textFill>
            <w14:solidFill>
              <w14:schemeClr w14:val="tx1"/>
            </w14:solidFill>
          </w14:textFill>
        </w:rPr>
      </w:pPr>
      <w:r>
        <w:rPr>
          <w:rStyle w:val="166"/>
          <w:rFonts w:hint="eastAsia"/>
          <w:color w:val="000000" w:themeColor="text1"/>
          <w14:textFill>
            <w14:solidFill>
              <w14:schemeClr w14:val="tx1"/>
            </w14:solidFill>
          </w14:textFill>
        </w:rPr>
        <w:t>图2.</w:t>
      </w:r>
      <w:r>
        <w:rPr>
          <w:rStyle w:val="166"/>
          <w:rFonts w:hint="eastAsia"/>
          <w:color w:val="000000" w:themeColor="text1"/>
          <w:lang w:val="en-US"/>
          <w14:textFill>
            <w14:solidFill>
              <w14:schemeClr w14:val="tx1"/>
            </w14:solidFill>
          </w14:textFill>
        </w:rPr>
        <w:t>7-1</w:t>
      </w:r>
      <w:r>
        <w:rPr>
          <w:rStyle w:val="166"/>
          <w:rFonts w:hint="eastAsia"/>
          <w:color w:val="000000" w:themeColor="text1"/>
          <w14:textFill>
            <w14:solidFill>
              <w14:schemeClr w14:val="tx1"/>
            </w14:solidFill>
          </w14:textFill>
        </w:rPr>
        <w:t xml:space="preserve">  </w:t>
      </w:r>
      <w:r>
        <w:rPr>
          <w:rStyle w:val="166"/>
          <w:color w:val="000000" w:themeColor="text1"/>
          <w14:textFill>
            <w14:solidFill>
              <w14:schemeClr w14:val="tx1"/>
            </w14:solidFill>
          </w14:textFill>
        </w:rPr>
        <w:t>本项目</w:t>
      </w:r>
      <w:r>
        <w:rPr>
          <w:rStyle w:val="166"/>
          <w:rFonts w:hint="eastAsia"/>
          <w:color w:val="000000" w:themeColor="text1"/>
          <w:lang w:val="en-US"/>
          <w14:textFill>
            <w14:solidFill>
              <w14:schemeClr w14:val="tx1"/>
            </w14:solidFill>
          </w14:textFill>
        </w:rPr>
        <w:t>大气评价范围内的大气环境保护目标分布</w:t>
      </w:r>
      <w:r>
        <w:rPr>
          <w:rStyle w:val="166"/>
          <w:rFonts w:hint="eastAsia"/>
          <w:color w:val="000000" w:themeColor="text1"/>
          <w14:textFill>
            <w14:solidFill>
              <w14:schemeClr w14:val="tx1"/>
            </w14:solidFill>
          </w14:textFill>
        </w:rPr>
        <w:t>示意图</w:t>
      </w:r>
    </w:p>
    <w:p w14:paraId="05024001">
      <w:pPr>
        <w:pStyle w:val="159"/>
        <w:snapToGrid w:val="0"/>
        <w:spacing w:line="240" w:lineRule="auto"/>
        <w:ind w:firstLine="480" w:firstLineChars="200"/>
        <w:rPr>
          <w:rFonts w:hint="eastAsia" w:ascii="宋体" w:hAnsi="宋体"/>
          <w:bCs/>
          <w:color w:val="000000" w:themeColor="text1"/>
          <w:szCs w:val="24"/>
          <w:lang w:val="en-US"/>
          <w14:textFill>
            <w14:solidFill>
              <w14:schemeClr w14:val="tx1"/>
            </w14:solidFill>
          </w14:textFill>
        </w:rPr>
        <w:sectPr>
          <w:pgSz w:w="16838" w:h="11906" w:orient="landscape"/>
          <w:pgMar w:top="1588" w:right="1418" w:bottom="1588" w:left="1418" w:header="1020" w:footer="1020" w:gutter="0"/>
          <w:pgNumType w:start="1"/>
          <w:cols w:space="720" w:num="1"/>
          <w:docGrid w:type="lines" w:linePitch="312" w:charSpace="0"/>
        </w:sectPr>
      </w:pPr>
    </w:p>
    <w:bookmarkEnd w:id="130"/>
    <w:p w14:paraId="425E16FE">
      <w:pPr>
        <w:pStyle w:val="7"/>
        <w:rPr>
          <w:rFonts w:hint="eastAsia"/>
          <w:color w:val="000000" w:themeColor="text1"/>
          <w14:textFill>
            <w14:solidFill>
              <w14:schemeClr w14:val="tx1"/>
            </w14:solidFill>
          </w14:textFill>
        </w:rPr>
      </w:pPr>
      <w:bookmarkStart w:id="132" w:name="_Toc16961"/>
      <w:r>
        <w:rPr>
          <w:rFonts w:hint="eastAsia"/>
          <w:color w:val="000000" w:themeColor="text1"/>
          <w14:textFill>
            <w14:solidFill>
              <w14:schemeClr w14:val="tx1"/>
            </w14:solidFill>
          </w14:textFill>
        </w:rPr>
        <w:t>评价内容和评价重点</w:t>
      </w:r>
      <w:bookmarkEnd w:id="132"/>
    </w:p>
    <w:p w14:paraId="2EA4E3B1">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评价内容</w:t>
      </w:r>
    </w:p>
    <w:p w14:paraId="06BFD9D7">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建设项目</w:t>
      </w:r>
      <w:r>
        <w:rPr>
          <w:color w:val="000000" w:themeColor="text1"/>
          <w14:textFill>
            <w14:solidFill>
              <w14:schemeClr w14:val="tx1"/>
            </w14:solidFill>
          </w14:textFill>
        </w:rPr>
        <w:t>环境影响评价技术导则</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总纲</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w:t>
      </w:r>
      <w:r>
        <w:rPr>
          <w:color w:val="000000" w:themeColor="text1"/>
          <w14:textFill>
            <w14:solidFill>
              <w14:schemeClr w14:val="tx1"/>
            </w14:solidFill>
          </w14:textFill>
        </w:rPr>
        <w:t>J2.1-2016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要求，结合项目特点、周围区域环境现状、环境功能区划，确定本次评价内容包括建设项目工程分析、环境</w:t>
      </w:r>
      <w:r>
        <w:rPr>
          <w:rFonts w:hint="eastAsia"/>
          <w:color w:val="000000" w:themeColor="text1"/>
          <w14:textFill>
            <w14:solidFill>
              <w14:schemeClr w14:val="tx1"/>
            </w14:solidFill>
          </w14:textFill>
        </w:rPr>
        <w:t>现</w:t>
      </w:r>
      <w:r>
        <w:rPr>
          <w:color w:val="000000" w:themeColor="text1"/>
          <w14:textFill>
            <w14:solidFill>
              <w14:schemeClr w14:val="tx1"/>
            </w14:solidFill>
          </w14:textFill>
        </w:rPr>
        <w:t>状调查与评价、环境影响预测与评价、环境保护措施及其可行性论证、环境影响经济损益分析、环境管理与监测计划、环境影响评价结论</w:t>
      </w:r>
      <w:r>
        <w:rPr>
          <w:rFonts w:hint="eastAsia"/>
          <w:color w:val="000000" w:themeColor="text1"/>
          <w14:textFill>
            <w14:solidFill>
              <w14:schemeClr w14:val="tx1"/>
            </w14:solidFill>
          </w14:textFill>
        </w:rPr>
        <w:t>，具体</w:t>
      </w:r>
      <w:r>
        <w:rPr>
          <w:color w:val="000000" w:themeColor="text1"/>
          <w14:textFill>
            <w14:solidFill>
              <w14:schemeClr w14:val="tx1"/>
            </w14:solidFill>
          </w14:textFill>
        </w:rPr>
        <w:t>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p>
    <w:p w14:paraId="0914CD19">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评价内容一览表</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709"/>
        <w:gridCol w:w="1526"/>
        <w:gridCol w:w="6711"/>
      </w:tblGrid>
      <w:tr w14:paraId="0BCDF9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40" w:hRule="atLeast"/>
        </w:trPr>
        <w:tc>
          <w:tcPr>
            <w:tcW w:w="709" w:type="dxa"/>
            <w:vAlign w:val="center"/>
          </w:tcPr>
          <w:p w14:paraId="7E0CF03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526" w:type="dxa"/>
            <w:vAlign w:val="center"/>
          </w:tcPr>
          <w:p w14:paraId="5167D6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评价专题</w:t>
            </w:r>
          </w:p>
        </w:tc>
        <w:tc>
          <w:tcPr>
            <w:tcW w:w="6711" w:type="dxa"/>
            <w:vAlign w:val="center"/>
          </w:tcPr>
          <w:p w14:paraId="17A0B86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评价内容</w:t>
            </w:r>
          </w:p>
        </w:tc>
      </w:tr>
      <w:tr w14:paraId="09FC827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77FB50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526" w:type="dxa"/>
            <w:vAlign w:val="center"/>
          </w:tcPr>
          <w:p w14:paraId="7F4540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工程分析</w:t>
            </w:r>
          </w:p>
        </w:tc>
        <w:tc>
          <w:tcPr>
            <w:tcW w:w="6711" w:type="dxa"/>
            <w:vAlign w:val="center"/>
          </w:tcPr>
          <w:p w14:paraId="1ECBC2C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项目基本情况、主体工程、公辅工程、环保工程、依托工程，根据污染物产生环节、方式及治理措施，核算污染物产生和排放强度，给出污染因子及其产生和排放的方式及数量等。</w:t>
            </w:r>
          </w:p>
        </w:tc>
      </w:tr>
      <w:tr w14:paraId="410A374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372518B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526" w:type="dxa"/>
            <w:vAlign w:val="center"/>
          </w:tcPr>
          <w:p w14:paraId="253130D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环境现状</w:t>
            </w:r>
          </w:p>
          <w:p w14:paraId="6B2C84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调查与评价</w:t>
            </w:r>
          </w:p>
        </w:tc>
        <w:tc>
          <w:tcPr>
            <w:tcW w:w="6711" w:type="dxa"/>
            <w:vAlign w:val="center"/>
          </w:tcPr>
          <w:p w14:paraId="25D3950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自然环境、环境保护目标调查、环境质量现状调查（包括环境空气、地下水、声环境、土壤环境和生态环境）。</w:t>
            </w:r>
          </w:p>
        </w:tc>
      </w:tr>
      <w:tr w14:paraId="2EF3CF4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3FF7FFB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526" w:type="dxa"/>
            <w:vAlign w:val="center"/>
          </w:tcPr>
          <w:p w14:paraId="281A675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环境影响</w:t>
            </w:r>
          </w:p>
          <w:p w14:paraId="17FBA6F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预测与评价</w:t>
            </w:r>
          </w:p>
        </w:tc>
        <w:tc>
          <w:tcPr>
            <w:tcW w:w="6711" w:type="dxa"/>
            <w:vAlign w:val="center"/>
          </w:tcPr>
          <w:p w14:paraId="2C40045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分为施工期、运营期和退役期。对施工期和退役期扬尘、废水、噪声、固废、生态环境和土壤环境等进行分析。运营期对废气、废水、噪声、固体废物、土壤进行了影响预测和分析，并开展了环境风险评价。</w:t>
            </w:r>
          </w:p>
        </w:tc>
      </w:tr>
      <w:tr w14:paraId="1B0EC7C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5A62D34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526" w:type="dxa"/>
            <w:vAlign w:val="center"/>
          </w:tcPr>
          <w:p w14:paraId="1C50C68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环保措施及其可行性论证</w:t>
            </w:r>
          </w:p>
        </w:tc>
        <w:tc>
          <w:tcPr>
            <w:tcW w:w="6711" w:type="dxa"/>
            <w:vAlign w:val="center"/>
          </w:tcPr>
          <w:p w14:paraId="61DDF50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针对废气、废水、噪声、固体废物、土壤污染防治措施、生态环境保护措施和环境风险防范措施进行论证。</w:t>
            </w:r>
          </w:p>
        </w:tc>
      </w:tr>
      <w:tr w14:paraId="27BE49D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40" w:hRule="atLeast"/>
        </w:trPr>
        <w:tc>
          <w:tcPr>
            <w:tcW w:w="709" w:type="dxa"/>
            <w:vAlign w:val="center"/>
          </w:tcPr>
          <w:p w14:paraId="211388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526" w:type="dxa"/>
            <w:vAlign w:val="center"/>
          </w:tcPr>
          <w:p w14:paraId="057969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环境影响经济损益分析</w:t>
            </w:r>
          </w:p>
        </w:tc>
        <w:tc>
          <w:tcPr>
            <w:tcW w:w="6711" w:type="dxa"/>
            <w:vAlign w:val="center"/>
          </w:tcPr>
          <w:p w14:paraId="1DCB9FC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从社会效益、经济效益和环境效益等方面叙述。</w:t>
            </w:r>
          </w:p>
        </w:tc>
      </w:tr>
      <w:tr w14:paraId="02EA6D8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4A23E38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526" w:type="dxa"/>
            <w:vAlign w:val="center"/>
          </w:tcPr>
          <w:p w14:paraId="5DDC4F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环境管理与环境监测计划</w:t>
            </w:r>
          </w:p>
        </w:tc>
        <w:tc>
          <w:tcPr>
            <w:tcW w:w="6711" w:type="dxa"/>
            <w:vAlign w:val="center"/>
          </w:tcPr>
          <w:p w14:paraId="67DF77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根据国家环境管理与监测要求，给出环境管理制度和日常监测计划，给出污染物排放清单、制定环保三同时验收一览表。</w:t>
            </w:r>
          </w:p>
        </w:tc>
      </w:tr>
      <w:tr w14:paraId="5179ECD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7679B36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526" w:type="dxa"/>
            <w:vAlign w:val="center"/>
          </w:tcPr>
          <w:p w14:paraId="35E3856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结论</w:t>
            </w:r>
          </w:p>
        </w:tc>
        <w:tc>
          <w:tcPr>
            <w:tcW w:w="6711" w:type="dxa"/>
            <w:vAlign w:val="center"/>
          </w:tcPr>
          <w:p w14:paraId="74829AC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根据上述各章节的相关分析结果，从环保角度给出建设可行性结论。</w:t>
            </w:r>
          </w:p>
        </w:tc>
      </w:tr>
    </w:tbl>
    <w:p w14:paraId="4D7FAE79">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评价重点</w:t>
      </w:r>
    </w:p>
    <w:p w14:paraId="365544E7">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工</w:t>
      </w:r>
      <w:r>
        <w:rPr>
          <w:color w:val="000000" w:themeColor="text1"/>
          <w14:textFill>
            <w14:solidFill>
              <w14:schemeClr w14:val="tx1"/>
            </w14:solidFill>
          </w14:textFill>
        </w:rPr>
        <w:t>程特点及评价因子筛选的结果，结合区域环境状况，确定本次环境影响评价工作的重点为：</w:t>
      </w:r>
    </w:p>
    <w:p w14:paraId="00412FCF">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建设项目</w:t>
      </w:r>
      <w:r>
        <w:rPr>
          <w:color w:val="000000" w:themeColor="text1"/>
          <w14:textFill>
            <w14:solidFill>
              <w14:schemeClr w14:val="tx1"/>
            </w14:solidFill>
          </w14:textFill>
        </w:rPr>
        <w:t>工程分析</w:t>
      </w:r>
      <w:r>
        <w:rPr>
          <w:rFonts w:hint="eastAsia"/>
          <w:color w:val="000000" w:themeColor="text1"/>
          <w14:textFill>
            <w14:solidFill>
              <w14:schemeClr w14:val="tx1"/>
            </w14:solidFill>
          </w14:textFill>
        </w:rPr>
        <w:t>；</w:t>
      </w:r>
    </w:p>
    <w:p w14:paraId="5FD3BC2A">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大气、地下水、土壤、生态</w:t>
      </w:r>
      <w:r>
        <w:rPr>
          <w:color w:val="000000" w:themeColor="text1"/>
          <w14:textFill>
            <w14:solidFill>
              <w14:schemeClr w14:val="tx1"/>
            </w14:solidFill>
          </w14:textFill>
        </w:rPr>
        <w:t>环境影响评价</w:t>
      </w:r>
      <w:r>
        <w:rPr>
          <w:rFonts w:hint="eastAsia"/>
          <w:color w:val="000000" w:themeColor="text1"/>
          <w14:textFill>
            <w14:solidFill>
              <w14:schemeClr w14:val="tx1"/>
            </w14:solidFill>
          </w14:textFill>
        </w:rPr>
        <w:t>及环境风险分析；</w:t>
      </w:r>
    </w:p>
    <w:p w14:paraId="58E6784A">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（3）环境保护措施</w:t>
      </w:r>
      <w:r>
        <w:rPr>
          <w:rFonts w:hint="eastAsia"/>
          <w:color w:val="000000" w:themeColor="text1"/>
          <w14:textFill>
            <w14:solidFill>
              <w14:schemeClr w14:val="tx1"/>
            </w14:solidFill>
          </w14:textFill>
        </w:rPr>
        <w:t>及其可行性论证。</w:t>
      </w:r>
    </w:p>
    <w:p w14:paraId="1CA19FBA">
      <w:pPr>
        <w:pStyle w:val="7"/>
        <w:rPr>
          <w:rFonts w:hint="eastAsia"/>
          <w:color w:val="000000" w:themeColor="text1"/>
          <w:lang w:val="zh-CN"/>
          <w14:textFill>
            <w14:solidFill>
              <w14:schemeClr w14:val="tx1"/>
            </w14:solidFill>
          </w14:textFill>
        </w:rPr>
      </w:pPr>
      <w:bookmarkStart w:id="133" w:name="_Toc475624465"/>
      <w:bookmarkStart w:id="134" w:name="_Toc4548"/>
      <w:r>
        <w:rPr>
          <w:rFonts w:hint="eastAsia"/>
          <w:color w:val="000000" w:themeColor="text1"/>
          <w:lang w:val="zh-CN"/>
          <w14:textFill>
            <w14:solidFill>
              <w14:schemeClr w14:val="tx1"/>
            </w14:solidFill>
          </w14:textFill>
        </w:rPr>
        <w:t>相关规划</w:t>
      </w:r>
      <w:bookmarkEnd w:id="133"/>
      <w:r>
        <w:rPr>
          <w:rFonts w:hint="eastAsia"/>
          <w:color w:val="000000" w:themeColor="text1"/>
          <w14:textFill>
            <w14:solidFill>
              <w14:schemeClr w14:val="tx1"/>
            </w14:solidFill>
          </w14:textFill>
        </w:rPr>
        <w:t>及政策符合性分析</w:t>
      </w:r>
      <w:bookmarkEnd w:id="134"/>
    </w:p>
    <w:p w14:paraId="7F796B2C">
      <w:pPr>
        <w:pStyle w:val="8"/>
        <w:rPr>
          <w:rFonts w:hint="eastAsia"/>
          <w:color w:val="000000" w:themeColor="text1"/>
          <w:lang w:val="zh-CN"/>
          <w14:textFill>
            <w14:solidFill>
              <w14:schemeClr w14:val="tx1"/>
            </w14:solidFill>
          </w14:textFill>
        </w:rPr>
      </w:pPr>
      <w:bookmarkStart w:id="135" w:name="_Toc445996339"/>
      <w:bookmarkStart w:id="136" w:name="_Toc445842058"/>
      <w:bookmarkStart w:id="137" w:name="_Toc12849"/>
      <w:bookmarkStart w:id="138" w:name="_Hlk175248554"/>
      <w:r>
        <w:rPr>
          <w:color w:val="000000" w:themeColor="text1"/>
          <w:lang w:val="zh-CN"/>
          <w14:textFill>
            <w14:solidFill>
              <w14:schemeClr w14:val="tx1"/>
            </w14:solidFill>
          </w14:textFill>
        </w:rPr>
        <w:t>相关规划</w:t>
      </w:r>
      <w:bookmarkEnd w:id="135"/>
      <w:bookmarkEnd w:id="136"/>
      <w:bookmarkEnd w:id="137"/>
      <w:r>
        <w:rPr>
          <w:rFonts w:hint="eastAsia"/>
          <w:color w:val="000000" w:themeColor="text1"/>
          <w14:textFill>
            <w14:solidFill>
              <w14:schemeClr w14:val="tx1"/>
            </w14:solidFill>
          </w14:textFill>
        </w:rPr>
        <w:t>符合性分析</w:t>
      </w:r>
    </w:p>
    <w:bookmarkEnd w:id="138"/>
    <w:p w14:paraId="7011778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bookmarkStart w:id="139" w:name="_Hlk168583466"/>
      <w:bookmarkStart w:id="140" w:name="_Hlk168583413"/>
      <w:r>
        <w:rPr>
          <w:color w:val="000000" w:themeColor="text1"/>
          <w14:textFill>
            <w14:solidFill>
              <w14:schemeClr w14:val="tx1"/>
            </w14:solidFill>
          </w14:textFill>
        </w:rPr>
        <w:t>区域发展规划</w:t>
      </w:r>
      <w:r>
        <w:rPr>
          <w:rFonts w:hint="eastAsia"/>
          <w:color w:val="000000" w:themeColor="text1"/>
          <w14:textFill>
            <w14:solidFill>
              <w14:schemeClr w14:val="tx1"/>
            </w14:solidFill>
          </w14:textFill>
        </w:rPr>
        <w:t>符合性分析</w:t>
      </w:r>
      <w:bookmarkEnd w:id="139"/>
    </w:p>
    <w:bookmarkEnd w:id="140"/>
    <w:p w14:paraId="69249D7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bookmarkStart w:id="141" w:name="_Hlk168583445"/>
      <w:r>
        <w:rPr>
          <w:rFonts w:hint="eastAsia"/>
          <w:color w:val="000000" w:themeColor="text1"/>
          <w14:textFill>
            <w14:solidFill>
              <w14:schemeClr w14:val="tx1"/>
            </w14:solidFill>
          </w14:textFill>
        </w:rPr>
        <w:t>行政隶属于新疆维吾尔自治区昌吉回族自治州吉木萨尔县</w:t>
      </w:r>
      <w:bookmarkEnd w:id="141"/>
      <w:r>
        <w:rPr>
          <w:rFonts w:hint="eastAsia"/>
          <w:color w:val="000000" w:themeColor="text1"/>
          <w14:textFill>
            <w14:solidFill>
              <w14:schemeClr w14:val="tx1"/>
            </w14:solidFill>
          </w14:textFill>
        </w:rPr>
        <w:t>。区域发展规划符合性分析具体如下：</w:t>
      </w:r>
    </w:p>
    <w:p w14:paraId="1A7862DF">
      <w:pPr>
        <w:pStyle w:val="12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①</w:t>
      </w:r>
      <w:r>
        <w:rPr>
          <w:rFonts w:hint="eastAsia"/>
          <w:color w:val="000000" w:themeColor="text1"/>
          <w14:textFill>
            <w14:solidFill>
              <w14:schemeClr w14:val="tx1"/>
            </w14:solidFill>
          </w14:textFill>
        </w:rPr>
        <w:t>与《新疆维吾尔自治区国民经济和社会发展第十五个五年规划纲要》</w:t>
      </w:r>
      <w:r>
        <w:rPr>
          <w:rFonts w:hint="eastAsia"/>
          <w:color w:val="000000" w:themeColor="text1"/>
          <w:lang w:val="en-US" w:eastAsia="zh-CN"/>
          <w14:textFill>
            <w14:solidFill>
              <w14:schemeClr w14:val="tx1"/>
            </w14:solidFill>
          </w14:textFill>
        </w:rPr>
        <w:t>的符合性分析</w:t>
      </w:r>
    </w:p>
    <w:p w14:paraId="3FB60957">
      <w:pPr>
        <w:pStyle w:val="120"/>
        <w:bidi w:val="0"/>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《新疆维吾尔自治区国民经济和社会发展第十五个五年规划纲要》</w:t>
      </w:r>
      <w:r>
        <w:rPr>
          <w:rFonts w:hint="eastAsia"/>
          <w:color w:val="000000" w:themeColor="text1"/>
          <w:lang w:val="en-US" w:eastAsia="zh-CN"/>
          <w14:textFill>
            <w14:solidFill>
              <w14:schemeClr w14:val="tx1"/>
            </w14:solidFill>
          </w14:textFill>
        </w:rPr>
        <w:t>中规定：“</w:t>
      </w:r>
      <w:r>
        <w:rPr>
          <w:rFonts w:hint="eastAsia"/>
          <w:color w:val="000000" w:themeColor="text1"/>
          <w14:textFill>
            <w14:solidFill>
              <w14:schemeClr w14:val="tx1"/>
            </w14:solidFill>
          </w14:textFill>
        </w:rPr>
        <w:t>加快油气资源勘查开发和增储上产，加大深地和煤层气、页岩油</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气</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等非常规油气资源勘查开发力度，提高油气采收率。提高油气开发水平。深挖老区开采潜力，加快新区产能建设，持续推进塔里木盆地富满、博孜一大北、顺北和准噶尔盆地南缘、玛湖等大型油气田开发</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w:t>
      </w:r>
    </w:p>
    <w:p w14:paraId="2A0DE50F">
      <w:pPr>
        <w:pStyle w:val="12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属于</w:t>
      </w:r>
      <w:r>
        <w:rPr>
          <w:rFonts w:hint="eastAsia"/>
          <w:color w:val="000000" w:themeColor="text1"/>
          <w14:textFill>
            <w14:solidFill>
              <w14:schemeClr w14:val="tx1"/>
            </w14:solidFill>
          </w14:textFill>
        </w:rPr>
        <w:t>陆地石油开采</w:t>
      </w:r>
      <w:r>
        <w:rPr>
          <w:rFonts w:hint="eastAsia"/>
          <w:color w:val="000000" w:themeColor="text1"/>
          <w:lang w:val="en-US" w:eastAsia="zh-CN"/>
          <w14:textFill>
            <w14:solidFill>
              <w14:schemeClr w14:val="tx1"/>
            </w14:solidFill>
          </w14:textFill>
        </w:rPr>
        <w:t>项目</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属于老区块加密部署，采用注水开发的方式，</w:t>
      </w:r>
      <w:r>
        <w:rPr>
          <w:rFonts w:hint="eastAsia"/>
          <w:color w:val="000000" w:themeColor="text1"/>
          <w14:textFill>
            <w14:solidFill>
              <w14:schemeClr w14:val="tx1"/>
            </w14:solidFill>
          </w14:textFill>
        </w:rPr>
        <w:t>项目实施后有助于提高区域原油产能</w:t>
      </w:r>
      <w:r>
        <w:rPr>
          <w:rFonts w:hint="eastAsia"/>
          <w:color w:val="000000" w:themeColor="text1"/>
          <w:lang w:val="en-US" w:eastAsia="zh-CN"/>
          <w14:textFill>
            <w14:solidFill>
              <w14:schemeClr w14:val="tx1"/>
            </w14:solidFill>
          </w14:textFill>
        </w:rPr>
        <w:t>和区块油气开发水平</w:t>
      </w:r>
      <w:r>
        <w:rPr>
          <w:rFonts w:hint="eastAsia"/>
          <w:color w:val="000000" w:themeColor="text1"/>
          <w14:textFill>
            <w14:solidFill>
              <w14:schemeClr w14:val="tx1"/>
            </w14:solidFill>
          </w14:textFill>
        </w:rPr>
        <w:t>，符合规划</w:t>
      </w:r>
      <w:r>
        <w:rPr>
          <w:rFonts w:hint="eastAsia"/>
          <w:color w:val="000000" w:themeColor="text1"/>
          <w:lang w:val="en-US" w:eastAsia="zh-CN"/>
          <w14:textFill>
            <w14:solidFill>
              <w14:schemeClr w14:val="tx1"/>
            </w14:solidFill>
          </w14:textFill>
        </w:rPr>
        <w:t>纲要</w:t>
      </w:r>
      <w:r>
        <w:rPr>
          <w:rFonts w:hint="eastAsia"/>
          <w:color w:val="000000" w:themeColor="text1"/>
          <w14:textFill>
            <w14:solidFill>
              <w14:schemeClr w14:val="tx1"/>
            </w14:solidFill>
          </w14:textFill>
        </w:rPr>
        <w:t>的相关要求。</w:t>
      </w:r>
    </w:p>
    <w:p w14:paraId="08AAD107">
      <w:pPr>
        <w:pStyle w:val="12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②与</w:t>
      </w:r>
      <w:r>
        <w:rPr>
          <w:rFonts w:hint="eastAsia"/>
          <w:color w:val="000000" w:themeColor="text1"/>
          <w14:textFill>
            <w14:solidFill>
              <w14:schemeClr w14:val="tx1"/>
            </w14:solidFill>
          </w14:textFill>
        </w:rPr>
        <w:t>《昌吉回族自治州国民经济和社会发展第十五个五年规划纲要》</w:t>
      </w:r>
      <w:r>
        <w:rPr>
          <w:rFonts w:hint="eastAsia"/>
          <w:color w:val="000000" w:themeColor="text1"/>
          <w:lang w:val="en-US" w:eastAsia="zh-CN"/>
          <w14:textFill>
            <w14:solidFill>
              <w14:schemeClr w14:val="tx1"/>
            </w14:solidFill>
          </w14:textFill>
        </w:rPr>
        <w:t>的符合性分析</w:t>
      </w:r>
    </w:p>
    <w:p w14:paraId="0E2599C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根据《昌吉回族自治州国民经济和社会发展第十五个五年规划纲要》第五篇 推动准东能级跃升，建设全国能源资源战略保障基地的重要支点</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第四章 培育壮大油气生产加工产业集群：</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加快油气资源勘探开发和增储上产，提升全产业链发展水平。提高油气资源开发水平。全面推进准东、漠北、永进等油田产能建设。持续加大天然气勘探开发，推动新疆油田、吐哈油田扩能增产。加大阜康、吉木萨尔区域煤层气开发力度，同步推进昌吉市、呼图壁县、玛纳斯县等区域开发，建设压缩、液化完整产业链</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w:t>
      </w:r>
    </w:p>
    <w:p w14:paraId="38B2806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本项目属于陆地石油开采建设项目，项目建成后将新建原油产</w:t>
      </w:r>
      <w:r>
        <w:rPr>
          <w:rFonts w:hint="eastAsia"/>
          <w:color w:val="000000" w:themeColor="text1"/>
          <w:lang w:val="en-US" w:eastAsia="zh-CN"/>
          <w14:textFill>
            <w14:solidFill>
              <w14:schemeClr w14:val="tx1"/>
            </w14:solidFill>
          </w14:textFill>
        </w:rPr>
        <w:t>0.64</w:t>
      </w:r>
      <w:r>
        <w:rPr>
          <w:rFonts w:hint="eastAsia"/>
          <w:color w:val="000000" w:themeColor="text1"/>
          <w14:textFill>
            <w14:solidFill>
              <w14:schemeClr w14:val="tx1"/>
            </w14:solidFill>
          </w14:textFill>
        </w:rPr>
        <w:t>×10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t/a，项目实施后有助于提高区域原油产能</w:t>
      </w:r>
      <w:r>
        <w:rPr>
          <w:rFonts w:hint="eastAsia"/>
          <w:color w:val="000000" w:themeColor="text1"/>
          <w:lang w:val="en-US" w:eastAsia="zh-CN"/>
          <w14:textFill>
            <w14:solidFill>
              <w14:schemeClr w14:val="tx1"/>
            </w14:solidFill>
          </w14:textFill>
        </w:rPr>
        <w:t>增储上产</w:t>
      </w:r>
      <w:r>
        <w:rPr>
          <w:rFonts w:hint="eastAsia"/>
          <w:color w:val="000000" w:themeColor="text1"/>
          <w14:textFill>
            <w14:solidFill>
              <w14:schemeClr w14:val="tx1"/>
            </w14:solidFill>
          </w14:textFill>
        </w:rPr>
        <w:t>，符合规划纲要的相关要求。</w:t>
      </w:r>
    </w:p>
    <w:p w14:paraId="32F58B9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主体功能区规划</w:t>
      </w:r>
      <w:r>
        <w:rPr>
          <w:color w:val="000000" w:themeColor="text1"/>
          <w14:textFill>
            <w14:solidFill>
              <w14:schemeClr w14:val="tx1"/>
            </w14:solidFill>
          </w14:textFill>
        </w:rPr>
        <w:t>相符性分析</w:t>
      </w:r>
    </w:p>
    <w:p w14:paraId="10FA2B2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①与《新疆维吾尔自治区主体功能区规划》的符合性分析</w:t>
      </w:r>
    </w:p>
    <w:p w14:paraId="68574412">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本项目位于《新疆维吾尔自治区主体功能区规划》中的限制</w:t>
      </w:r>
      <w:r>
        <w:rPr>
          <w:color w:val="000000" w:themeColor="text1"/>
          <w14:textFill>
            <w14:solidFill>
              <w14:schemeClr w14:val="tx1"/>
            </w14:solidFill>
          </w14:textFill>
        </w:rPr>
        <w:t>开发区域（国家级农产品主产区），为天山北坡主产区。</w:t>
      </w:r>
      <w:r>
        <w:rPr>
          <w:rFonts w:hint="eastAsia"/>
          <w:color w:val="000000" w:themeColor="text1"/>
          <w14:textFill>
            <w14:solidFill>
              <w14:schemeClr w14:val="tx1"/>
            </w14:solidFill>
          </w14:textFill>
        </w:rPr>
        <w:t>该区要求位于农产品主产区的点状能源和矿产资源基地建设，必须进行生态环境影响评估，并尽可能减少对生态空间与农业空间的占用，同步修复生态环境。其中，在水资源严重短缺、环境容量很小、生态十分脆弱、地震和地质灾害频发的地区，要严格控制能源和矿产资源开发。</w:t>
      </w:r>
    </w:p>
    <w:p w14:paraId="76DB67DD">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不在主体功能区划中确定的国家和自治区层面的禁止开发区域内，所进行的石油天然气勘探活动符合“全国重要的能源基地”定位。项目所在区域不在生态红线区内，所占土地类型为天然牧草地、园地和采矿用地，不占用林地、水库水域、河流水面、湖泊水面等。为了实现区域的生态功能，项目对开发活动严格控制，尽可能减少对生态系统的干扰；在项目实施过程中需要积极采取生态补偿措施，加强对荒漠生态功能区保护和恢复，高度注意保护荒漠植被，保护野生动物，保护地貌，维护自然生态环境，积极落实本次环评提出的各项生态环境保护措施。本项目的建设符合《新疆维吾尔自治区主体功能区规划》对项目区块的开发管制原则，与区域生态功能的保护是协调的。</w:t>
      </w:r>
    </w:p>
    <w:p w14:paraId="5A2C76C1">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（3）行业发展规划及规划环评</w:t>
      </w:r>
      <w:r>
        <w:rPr>
          <w:color w:val="000000" w:themeColor="text1"/>
          <w14:textFill>
            <w14:solidFill>
              <w14:schemeClr w14:val="tx1"/>
            </w14:solidFill>
          </w14:textFill>
        </w:rPr>
        <w:t>相符性分析</w:t>
      </w:r>
    </w:p>
    <w:p w14:paraId="76D4B27C">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新疆维吾尔自治区矿产资源</w:t>
      </w:r>
      <w:r>
        <w:rPr>
          <w:rFonts w:hint="eastAsia"/>
          <w:color w:val="000000" w:themeColor="text1"/>
          <w14:textFill>
            <w14:solidFill>
              <w14:schemeClr w14:val="tx1"/>
            </w14:solidFill>
          </w14:textFill>
        </w:rPr>
        <w:t>总体</w:t>
      </w:r>
      <w:r>
        <w:rPr>
          <w:color w:val="000000" w:themeColor="text1"/>
          <w14:textFill>
            <w14:solidFill>
              <w14:schemeClr w14:val="tx1"/>
            </w14:solidFill>
          </w14:textFill>
        </w:rPr>
        <w:t>规划（2021－2025年）</w:t>
      </w:r>
      <w:r>
        <w:rPr>
          <w:rFonts w:hint="eastAsia"/>
          <w:color w:val="000000" w:themeColor="text1"/>
          <w14:textFill>
            <w14:solidFill>
              <w14:schemeClr w14:val="tx1"/>
            </w14:solidFill>
          </w14:textFill>
        </w:rPr>
        <w:t>》指出，将石油、天然气列为重点勘查开采矿种，并指出要加快玛湖、吉木萨尔、准噶尔盆地南缘等大型油气田建设，促进增储上产，支撑克拉玛依、吉木萨尔油气能源资源基地建设。</w:t>
      </w:r>
      <w:bookmarkStart w:id="142" w:name="_Hlk159578378"/>
      <w:r>
        <w:rPr>
          <w:rFonts w:hint="eastAsia"/>
          <w:color w:val="000000" w:themeColor="text1"/>
          <w14:textFill>
            <w14:solidFill>
              <w14:schemeClr w14:val="tx1"/>
            </w14:solidFill>
          </w14:textFill>
        </w:rPr>
        <w:t>本项目属于陆地石油开发项目，地理上位于新疆维吾尔自治区昌吉回族自治州吉木萨尔县，项目位于《新疆维吾尔自治区矿产资源总体规划（</w:t>
      </w:r>
      <w:r>
        <w:rPr>
          <w:color w:val="000000" w:themeColor="text1"/>
          <w14:textFill>
            <w14:solidFill>
              <w14:schemeClr w14:val="tx1"/>
            </w14:solidFill>
          </w14:textFill>
        </w:rPr>
        <w:t>2020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2025</w:t>
      </w:r>
      <w:r>
        <w:rPr>
          <w:rFonts w:hint="eastAsia"/>
          <w:color w:val="000000" w:themeColor="text1"/>
          <w14:textFill>
            <w14:solidFill>
              <w14:schemeClr w14:val="tx1"/>
            </w14:solidFill>
          </w14:textFill>
        </w:rPr>
        <w:t>年）》中的环准噶尔能源资源勘查开发区。建设符合规划及规划环评的相关要求。</w:t>
      </w:r>
      <w:bookmarkEnd w:id="142"/>
    </w:p>
    <w:p w14:paraId="58D04039">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《新疆油田公司“十四五”发展规划》指出，地面系统总体能力满足“十四五”期间新区玛湖500万吨上产、</w:t>
      </w:r>
      <w:bookmarkStart w:id="143" w:name="_Hlk159578586"/>
      <w:r>
        <w:rPr>
          <w:rFonts w:hint="eastAsia"/>
          <w:color w:val="000000" w:themeColor="text1"/>
          <w14:textFill>
            <w14:solidFill>
              <w14:schemeClr w14:val="tx1"/>
            </w14:solidFill>
          </w14:textFill>
        </w:rPr>
        <w:t>吉木萨尔页岩油建产</w:t>
      </w:r>
      <w:bookmarkEnd w:id="143"/>
      <w:r>
        <w:rPr>
          <w:rFonts w:hint="eastAsia"/>
          <w:color w:val="000000" w:themeColor="text1"/>
          <w14:textFill>
            <w14:solidFill>
              <w14:schemeClr w14:val="tx1"/>
            </w14:solidFill>
          </w14:textFill>
        </w:rPr>
        <w:t>、南缘建产，老区千万吨稳产、天然气稳产的需要，非常规油气藏地面配套关键技术取得重大突破，数字化、标准化等指标达到股份公司先进水平，生产运行、能耗等指标超越股份公司一般水平。全面建成保障坚强、结构合理、安全可靠、运行灵活、节能环保、经济高效的水、电、路、讯保障系统。本项目属于陆地石油开采项目，地理上位于新疆维吾尔自治区昌吉回族自治州吉木萨尔县，位于准噶尔盆地东部，项目实施后有助于提高区域原油产能，符合规划及规划环评的相关要求。</w:t>
      </w:r>
    </w:p>
    <w:p w14:paraId="483CAA3E">
      <w:pPr>
        <w:pStyle w:val="193"/>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《新疆油田公司“十四五”发展规划环境影响报告书》于2</w:t>
      </w:r>
      <w:r>
        <w:rPr>
          <w:color w:val="000000" w:themeColor="text1"/>
          <w:lang w:bidi="ar"/>
          <w14:textFill>
            <w14:solidFill>
              <w14:schemeClr w14:val="tx1"/>
            </w14:solidFill>
          </w14:textFill>
        </w:rPr>
        <w:t>022</w:t>
      </w:r>
      <w:r>
        <w:rPr>
          <w:rFonts w:hint="eastAsia"/>
          <w:color w:val="000000" w:themeColor="text1"/>
          <w:lang w:bidi="ar"/>
          <w14:textFill>
            <w14:solidFill>
              <w14:schemeClr w14:val="tx1"/>
            </w14:solidFill>
          </w14:textFill>
        </w:rPr>
        <w:t>年</w:t>
      </w:r>
      <w:r>
        <w:rPr>
          <w:color w:val="000000" w:themeColor="text1"/>
          <w:lang w:bidi="ar"/>
          <w14:textFill>
            <w14:solidFill>
              <w14:schemeClr w14:val="tx1"/>
            </w14:solidFill>
          </w14:textFill>
        </w:rPr>
        <w:t>12</w:t>
      </w:r>
      <w:r>
        <w:rPr>
          <w:rFonts w:hint="eastAsia"/>
          <w:color w:val="000000" w:themeColor="text1"/>
          <w:lang w:bidi="ar"/>
          <w14:textFill>
            <w14:solidFill>
              <w14:schemeClr w14:val="tx1"/>
            </w14:solidFill>
          </w14:textFill>
        </w:rPr>
        <w:t>月1日通过了新疆维吾尔自治区生态环境厅的审查，批复文号为：新环审〔2</w:t>
      </w:r>
      <w:r>
        <w:rPr>
          <w:color w:val="000000" w:themeColor="text1"/>
          <w:lang w:bidi="ar"/>
          <w14:textFill>
            <w14:solidFill>
              <w14:schemeClr w14:val="tx1"/>
            </w14:solidFill>
          </w14:textFill>
        </w:rPr>
        <w:t>022</w:t>
      </w:r>
      <w:r>
        <w:rPr>
          <w:rFonts w:hint="eastAsia"/>
          <w:color w:val="000000" w:themeColor="text1"/>
          <w:lang w:bidi="ar"/>
          <w14:textFill>
            <w14:solidFill>
              <w14:schemeClr w14:val="tx1"/>
            </w14:solidFill>
          </w14:textFill>
        </w:rPr>
        <w:t>〕2</w:t>
      </w:r>
      <w:r>
        <w:rPr>
          <w:color w:val="000000" w:themeColor="text1"/>
          <w:lang w:bidi="ar"/>
          <w14:textFill>
            <w14:solidFill>
              <w14:schemeClr w14:val="tx1"/>
            </w14:solidFill>
          </w14:textFill>
        </w:rPr>
        <w:t>52</w:t>
      </w:r>
      <w:r>
        <w:rPr>
          <w:rFonts w:hint="eastAsia"/>
          <w:color w:val="000000" w:themeColor="text1"/>
          <w:lang w:bidi="ar"/>
          <w14:textFill>
            <w14:solidFill>
              <w14:schemeClr w14:val="tx1"/>
            </w14:solidFill>
          </w14:textFill>
        </w:rPr>
        <w:t>号，项目建设符合《新疆油田公司“十四五”发展规划环境影响报告书》污染防治措施、结论及审查意见中的相关要求，具体见表</w:t>
      </w:r>
      <w:r>
        <w:rPr>
          <w:color w:val="000000" w:themeColor="text1"/>
          <w:lang w:bidi="ar"/>
          <w14:textFill>
            <w14:solidFill>
              <w14:schemeClr w14:val="tx1"/>
            </w14:solidFill>
          </w14:textFill>
        </w:rPr>
        <w:t>2.9</w:t>
      </w:r>
      <w:r>
        <w:rPr>
          <w:rFonts w:hint="eastAsia"/>
          <w:color w:val="000000" w:themeColor="text1"/>
          <w:lang w:bidi="ar"/>
          <w14:textFill>
            <w14:solidFill>
              <w14:schemeClr w14:val="tx1"/>
            </w14:solidFill>
          </w14:textFill>
        </w:rPr>
        <w:t>-1、表2</w:t>
      </w:r>
      <w:r>
        <w:rPr>
          <w:color w:val="000000" w:themeColor="text1"/>
          <w:lang w:bidi="ar"/>
          <w14:textFill>
            <w14:solidFill>
              <w14:schemeClr w14:val="tx1"/>
            </w14:solidFill>
          </w14:textFill>
        </w:rPr>
        <w:t>.9</w:t>
      </w:r>
      <w:r>
        <w:rPr>
          <w:rFonts w:hint="eastAsia"/>
          <w:color w:val="000000" w:themeColor="text1"/>
          <w:lang w:bidi="ar"/>
          <w14:textFill>
            <w14:solidFill>
              <w14:schemeClr w14:val="tx1"/>
            </w14:solidFill>
          </w14:textFill>
        </w:rPr>
        <w:t>-2、表2</w:t>
      </w:r>
      <w:r>
        <w:rPr>
          <w:color w:val="000000" w:themeColor="text1"/>
          <w:lang w:bidi="ar"/>
          <w14:textFill>
            <w14:solidFill>
              <w14:schemeClr w14:val="tx1"/>
            </w14:solidFill>
          </w14:textFill>
        </w:rPr>
        <w:t>.9</w:t>
      </w:r>
      <w:r>
        <w:rPr>
          <w:rFonts w:hint="eastAsia"/>
          <w:color w:val="000000" w:themeColor="text1"/>
          <w:lang w:bidi="ar"/>
          <w14:textFill>
            <w14:solidFill>
              <w14:schemeClr w14:val="tx1"/>
            </w14:solidFill>
          </w14:textFill>
        </w:rPr>
        <w:t>-3。</w:t>
      </w:r>
    </w:p>
    <w:p w14:paraId="5A5BD6B3">
      <w:pPr>
        <w:spacing w:line="500" w:lineRule="exact"/>
        <w:ind w:firstLine="480"/>
        <w:jc w:val="center"/>
        <w:rPr>
          <w:rFonts w:hint="eastAsia" w:ascii="黑体" w:hAnsi="黑体" w:eastAsia="黑体"/>
          <w:color w:val="000000" w:themeColor="text1"/>
          <w:sz w:val="24"/>
          <w:szCs w:val="24"/>
          <w:lang w:bidi="ar"/>
          <w14:textFill>
            <w14:solidFill>
              <w14:schemeClr w14:val="tx1"/>
            </w14:solidFill>
          </w14:textFill>
        </w:rPr>
      </w:pPr>
      <w:r>
        <w:rPr>
          <w:rFonts w:hint="eastAsia" w:ascii="黑体" w:hAnsi="黑体" w:eastAsia="黑体"/>
          <w:color w:val="000000" w:themeColor="text1"/>
          <w:szCs w:val="21"/>
          <w:lang w:bidi="ar"/>
          <w14:textFill>
            <w14:solidFill>
              <w14:schemeClr w14:val="tx1"/>
            </w14:solidFill>
          </w14:textFill>
        </w:rPr>
        <w:t>表2</w:t>
      </w:r>
      <w:r>
        <w:rPr>
          <w:rFonts w:ascii="黑体" w:hAnsi="黑体" w:eastAsia="黑体"/>
          <w:color w:val="000000" w:themeColor="text1"/>
          <w:szCs w:val="21"/>
          <w:lang w:bidi="ar"/>
          <w14:textFill>
            <w14:solidFill>
              <w14:schemeClr w14:val="tx1"/>
            </w14:solidFill>
          </w14:textFill>
        </w:rPr>
        <w:t>.9</w:t>
      </w:r>
      <w:r>
        <w:rPr>
          <w:rFonts w:hint="eastAsia" w:ascii="黑体" w:hAnsi="黑体" w:eastAsia="黑体"/>
          <w:color w:val="000000" w:themeColor="text1"/>
          <w:szCs w:val="21"/>
          <w:lang w:bidi="ar"/>
          <w14:textFill>
            <w14:solidFill>
              <w14:schemeClr w14:val="tx1"/>
            </w14:solidFill>
          </w14:textFill>
        </w:rPr>
        <w:t xml:space="preserve">-1 </w:t>
      </w:r>
      <w:r>
        <w:rPr>
          <w:rFonts w:ascii="黑体" w:hAnsi="黑体" w:eastAsia="黑体"/>
          <w:color w:val="000000" w:themeColor="text1"/>
          <w:szCs w:val="21"/>
          <w:lang w:bidi="ar"/>
          <w14:textFill>
            <w14:solidFill>
              <w14:schemeClr w14:val="tx1"/>
            </w14:solidFill>
          </w14:textFill>
        </w:rPr>
        <w:t xml:space="preserve"> </w:t>
      </w:r>
      <w:r>
        <w:rPr>
          <w:rFonts w:hint="eastAsia" w:ascii="黑体" w:hAnsi="黑体" w:eastAsia="黑体"/>
          <w:color w:val="000000" w:themeColor="text1"/>
          <w:szCs w:val="21"/>
          <w:lang w:bidi="ar"/>
          <w14:textFill>
            <w14:solidFill>
              <w14:schemeClr w14:val="tx1"/>
            </w14:solidFill>
          </w14:textFill>
        </w:rPr>
        <w:t>项目与《新疆油田公司“十四五”发展规划环境影响报告书》符合性分析</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3828"/>
        <w:gridCol w:w="3543"/>
        <w:gridCol w:w="792"/>
      </w:tblGrid>
      <w:tr w14:paraId="1655E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67" w:type="dxa"/>
            <w:tcMar>
              <w:left w:w="0" w:type="dxa"/>
              <w:right w:w="0" w:type="dxa"/>
            </w:tcMar>
            <w:vAlign w:val="center"/>
          </w:tcPr>
          <w:p w14:paraId="10488A7D">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序号</w:t>
            </w:r>
          </w:p>
        </w:tc>
        <w:tc>
          <w:tcPr>
            <w:tcW w:w="3828" w:type="dxa"/>
            <w:tcMar>
              <w:left w:w="0" w:type="dxa"/>
              <w:right w:w="0" w:type="dxa"/>
            </w:tcMar>
            <w:vAlign w:val="center"/>
          </w:tcPr>
          <w:p w14:paraId="49F5A1BF">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规划环评规定</w:t>
            </w:r>
          </w:p>
        </w:tc>
        <w:tc>
          <w:tcPr>
            <w:tcW w:w="3543" w:type="dxa"/>
            <w:tcMar>
              <w:left w:w="0" w:type="dxa"/>
              <w:right w:w="0" w:type="dxa"/>
            </w:tcMar>
            <w:vAlign w:val="center"/>
          </w:tcPr>
          <w:p w14:paraId="6F4AE909">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拟采取的相关措施</w:t>
            </w:r>
          </w:p>
        </w:tc>
        <w:tc>
          <w:tcPr>
            <w:tcW w:w="792" w:type="dxa"/>
            <w:tcMar>
              <w:left w:w="0" w:type="dxa"/>
              <w:right w:w="0" w:type="dxa"/>
            </w:tcMar>
            <w:vAlign w:val="center"/>
          </w:tcPr>
          <w:p w14:paraId="27DAF781">
            <w:pPr>
              <w:adjustRightInd w:val="0"/>
              <w:snapToGrid w:val="0"/>
              <w:spacing w:line="300" w:lineRule="exact"/>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lang w:bidi="ar"/>
                <w14:textFill>
                  <w14:solidFill>
                    <w14:schemeClr w14:val="tx1"/>
                  </w14:solidFill>
                </w14:textFill>
              </w:rPr>
              <w:t>相符性分析</w:t>
            </w:r>
          </w:p>
        </w:tc>
      </w:tr>
      <w:tr w14:paraId="685E53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Mar>
              <w:left w:w="0" w:type="dxa"/>
              <w:right w:w="0" w:type="dxa"/>
            </w:tcMar>
            <w:vAlign w:val="center"/>
          </w:tcPr>
          <w:p w14:paraId="785DF6C9">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1</w:t>
            </w:r>
          </w:p>
        </w:tc>
        <w:tc>
          <w:tcPr>
            <w:tcW w:w="3828" w:type="dxa"/>
            <w:tcMar>
              <w:left w:w="0" w:type="dxa"/>
              <w:right w:w="0" w:type="dxa"/>
            </w:tcMar>
            <w:vAlign w:val="center"/>
          </w:tcPr>
          <w:p w14:paraId="47D16C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下作业带罐作业，产生的井下作业废水采用专用收集罐集中收集后送至就近已有或配套新建的联合站污水处理系统处理。井下作业过程中所使用的各种化学药剂严格控制落地，落地残液要彻底清理干净，不得向环境排放</w:t>
            </w:r>
          </w:p>
        </w:tc>
        <w:tc>
          <w:tcPr>
            <w:tcW w:w="3543" w:type="dxa"/>
            <w:tcMar>
              <w:left w:w="0" w:type="dxa"/>
              <w:right w:w="0" w:type="dxa"/>
            </w:tcMar>
            <w:vAlign w:val="center"/>
          </w:tcPr>
          <w:p w14:paraId="484B21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本次环评要求井下作业带罐作业，洗井废水和井下作业废液集中收集后送至吉祥联合站采出水处理系统处理，处理达标后回注油藏，不外排。</w:t>
            </w:r>
          </w:p>
        </w:tc>
        <w:tc>
          <w:tcPr>
            <w:tcW w:w="792" w:type="dxa"/>
            <w:tcMar>
              <w:left w:w="0" w:type="dxa"/>
              <w:right w:w="0" w:type="dxa"/>
            </w:tcMar>
            <w:vAlign w:val="center"/>
          </w:tcPr>
          <w:p w14:paraId="0556A756">
            <w:pPr>
              <w:adjustRightInd w:val="0"/>
              <w:snapToGrid w:val="0"/>
              <w:spacing w:line="300" w:lineRule="exact"/>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符合</w:t>
            </w:r>
          </w:p>
        </w:tc>
      </w:tr>
      <w:tr w14:paraId="56379A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Mar>
              <w:left w:w="0" w:type="dxa"/>
              <w:right w:w="0" w:type="dxa"/>
            </w:tcMar>
            <w:vAlign w:val="center"/>
          </w:tcPr>
          <w:p w14:paraId="05B2630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c>
          <w:tcPr>
            <w:tcW w:w="3828" w:type="dxa"/>
            <w:tcMar>
              <w:left w:w="0" w:type="dxa"/>
              <w:right w:w="0" w:type="dxa"/>
            </w:tcMar>
            <w:vAlign w:val="center"/>
          </w:tcPr>
          <w:p w14:paraId="278C9C8A">
            <w:pPr>
              <w:pStyle w:val="28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根据《环境影响评价技术导则地下水环境》（</w:t>
            </w:r>
            <w:r>
              <w:rPr>
                <w:color w:val="000000" w:themeColor="text1"/>
                <w14:textFill>
                  <w14:solidFill>
                    <w14:schemeClr w14:val="tx1"/>
                  </w14:solidFill>
                </w14:textFill>
              </w:rPr>
              <w:t>HJ610-2016</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和《石油化工防渗工程技术规范》（</w:t>
            </w:r>
            <w:r>
              <w:rPr>
                <w:color w:val="000000" w:themeColor="text1"/>
                <w14:textFill>
                  <w14:solidFill>
                    <w14:schemeClr w14:val="tx1"/>
                  </w14:solidFill>
                </w14:textFill>
              </w:rPr>
              <w:t>GB/T50934-2013</w:t>
            </w:r>
            <w:r>
              <w:rPr>
                <w:rFonts w:hint="eastAsia"/>
                <w:color w:val="000000" w:themeColor="text1"/>
                <w14:textFill>
                  <w14:solidFill>
                    <w14:schemeClr w14:val="tx1"/>
                  </w14:solidFill>
                </w14:textFill>
              </w:rPr>
              <w:t>）对项目区进行防渗分区，防渗应满足相应防渗等级的防渗要求，并布设一定数量的长期监测井</w:t>
            </w:r>
          </w:p>
        </w:tc>
        <w:tc>
          <w:tcPr>
            <w:tcW w:w="3543" w:type="dxa"/>
            <w:tcMar>
              <w:left w:w="0" w:type="dxa"/>
              <w:right w:w="0" w:type="dxa"/>
            </w:tcMar>
            <w:vAlign w:val="center"/>
          </w:tcPr>
          <w:p w14:paraId="585E340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本项目对井场进行了分区防渗，并提出了利用现有水井作为地下水监测井。</w:t>
            </w:r>
          </w:p>
        </w:tc>
        <w:tc>
          <w:tcPr>
            <w:tcW w:w="792" w:type="dxa"/>
            <w:tcMar>
              <w:left w:w="0" w:type="dxa"/>
              <w:right w:w="0" w:type="dxa"/>
            </w:tcMar>
            <w:vAlign w:val="center"/>
          </w:tcPr>
          <w:p w14:paraId="30FF8900">
            <w:pPr>
              <w:adjustRightInd w:val="0"/>
              <w:snapToGrid w:val="0"/>
              <w:spacing w:line="300" w:lineRule="exact"/>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符合</w:t>
            </w:r>
          </w:p>
        </w:tc>
      </w:tr>
      <w:tr w14:paraId="5443F4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Mar>
              <w:left w:w="0" w:type="dxa"/>
              <w:right w:w="0" w:type="dxa"/>
            </w:tcMar>
            <w:vAlign w:val="center"/>
          </w:tcPr>
          <w:p w14:paraId="2E2617AB">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3</w:t>
            </w:r>
          </w:p>
        </w:tc>
        <w:tc>
          <w:tcPr>
            <w:tcW w:w="3828" w:type="dxa"/>
            <w:tcMar>
              <w:left w:w="0" w:type="dxa"/>
              <w:right w:w="0" w:type="dxa"/>
            </w:tcMar>
            <w:vAlign w:val="center"/>
          </w:tcPr>
          <w:p w14:paraId="0666C35B">
            <w:pPr>
              <w:pStyle w:val="280"/>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含油污泥、废分子筛等危险废物交由有相应处置资质的单位进行无害化处置。危险废物贮存设施</w:t>
            </w:r>
            <w:r>
              <w:rPr>
                <w:rFonts w:hint="eastAsia"/>
                <w:color w:val="000000" w:themeColor="text1"/>
                <w14:textFill>
                  <w14:solidFill>
                    <w14:schemeClr w14:val="tx1"/>
                  </w14:solidFill>
                </w14:textFill>
              </w:rPr>
              <w:t>必须满足《危险废物贮存污染控制标准》（</w:t>
            </w:r>
            <w:r>
              <w:rPr>
                <w:color w:val="000000" w:themeColor="text1"/>
                <w14:textFill>
                  <w14:solidFill>
                    <w14:schemeClr w14:val="tx1"/>
                  </w14:solidFill>
                </w14:textFill>
              </w:rPr>
              <w:t>GB 18597-2023</w:t>
            </w:r>
            <w:r>
              <w:rPr>
                <w:rFonts w:hint="eastAsia"/>
                <w:color w:val="000000" w:themeColor="text1"/>
                <w14:textFill>
                  <w14:solidFill>
                    <w14:schemeClr w14:val="tx1"/>
                  </w14:solidFill>
                </w14:textFill>
              </w:rPr>
              <w:t>）的相关要求，并按照《环境保护图形标志</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固体废物贮存（处置）场》《危险废物标志牌式样》设置明显标志。工作人员的垃圾设置垃圾桶集中收集后交由当地的环卫部门及时清运</w:t>
            </w:r>
          </w:p>
        </w:tc>
        <w:tc>
          <w:tcPr>
            <w:tcW w:w="3543" w:type="dxa"/>
            <w:tcMar>
              <w:left w:w="0" w:type="dxa"/>
              <w:right w:w="0" w:type="dxa"/>
            </w:tcMar>
            <w:vAlign w:val="center"/>
          </w:tcPr>
          <w:p w14:paraId="2F61316F">
            <w:pPr>
              <w:pStyle w:val="28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固体废物主要为沾油废防渗膜</w:t>
            </w:r>
            <w:r>
              <w:rPr>
                <w:rFonts w:hint="eastAsia"/>
                <w:color w:val="000000" w:themeColor="text1"/>
                <w14:textFill>
                  <w14:solidFill>
                    <w14:schemeClr w14:val="tx1"/>
                  </w14:solidFill>
                </w14:textFill>
              </w:rPr>
              <w:t>、废润滑油</w:t>
            </w:r>
            <w:r>
              <w:rPr>
                <w:rFonts w:hint="eastAsia" w:cs="宋体"/>
                <w:color w:val="000000" w:themeColor="text1"/>
                <w14:textFill>
                  <w14:solidFill>
                    <w14:schemeClr w14:val="tx1"/>
                  </w14:solidFill>
                </w14:textFill>
              </w:rPr>
              <w:t>；沾油废防渗膜</w:t>
            </w:r>
            <w:r>
              <w:rPr>
                <w:rFonts w:hint="eastAsia"/>
                <w:color w:val="000000" w:themeColor="text1"/>
                <w14:textFill>
                  <w14:solidFill>
                    <w14:schemeClr w14:val="tx1"/>
                  </w14:solidFill>
                </w14:textFill>
              </w:rPr>
              <w:t>、废润滑油集中收集后最终交由有相应危险废物处置资质的单位进行回收处置。</w:t>
            </w:r>
          </w:p>
        </w:tc>
        <w:tc>
          <w:tcPr>
            <w:tcW w:w="792" w:type="dxa"/>
            <w:tcMar>
              <w:left w:w="0" w:type="dxa"/>
              <w:right w:w="0" w:type="dxa"/>
            </w:tcMar>
            <w:vAlign w:val="center"/>
          </w:tcPr>
          <w:p w14:paraId="3EB22BB8">
            <w:pPr>
              <w:adjustRightInd w:val="0"/>
              <w:snapToGrid w:val="0"/>
              <w:spacing w:line="300" w:lineRule="exact"/>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符合</w:t>
            </w:r>
          </w:p>
        </w:tc>
      </w:tr>
      <w:tr w14:paraId="2EA55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Mar>
              <w:left w:w="0" w:type="dxa"/>
              <w:right w:w="0" w:type="dxa"/>
            </w:tcMar>
            <w:vAlign w:val="center"/>
          </w:tcPr>
          <w:p w14:paraId="4E1171D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w:t>
            </w:r>
          </w:p>
        </w:tc>
        <w:tc>
          <w:tcPr>
            <w:tcW w:w="3828" w:type="dxa"/>
            <w:tcMar>
              <w:left w:w="0" w:type="dxa"/>
              <w:right w:w="0" w:type="dxa"/>
            </w:tcMar>
            <w:vAlign w:val="center"/>
          </w:tcPr>
          <w:p w14:paraId="0E4859BD">
            <w:pPr>
              <w:pStyle w:val="28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井场清理等工作还会产生部分废弃管线、废弃建筑残渣等固体废物，对这些废弃管线、残渣等进行集中清理收集，管线外运经清洗后可回收再利用，废弃建筑残渣外运至指定处理场填埋处理。运输过程中，运输车辆均加盖篷布，以防止行驶过程中固体废物的散落。</w:t>
            </w:r>
          </w:p>
        </w:tc>
        <w:tc>
          <w:tcPr>
            <w:tcW w:w="3543" w:type="dxa"/>
            <w:tcMar>
              <w:left w:w="0" w:type="dxa"/>
              <w:right w:w="0" w:type="dxa"/>
            </w:tcMar>
            <w:vAlign w:val="center"/>
          </w:tcPr>
          <w:p w14:paraId="08A74FFA">
            <w:pPr>
              <w:pStyle w:val="28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退役期地面设施拆除、井场清理等工作中会产生废弃管线、废弃建筑残渣，应集中清理收集。管线外运清洗后可回收利用，废弃建筑残渣收集后交由环卫部门统一处置，不得遗留在场地内影响土壤环境质量。运输过程中，运输车辆均加盖篷布，以防止行驶过程中固体废物的散落。</w:t>
            </w:r>
          </w:p>
        </w:tc>
        <w:tc>
          <w:tcPr>
            <w:tcW w:w="792" w:type="dxa"/>
            <w:tcMar>
              <w:left w:w="0" w:type="dxa"/>
              <w:right w:w="0" w:type="dxa"/>
            </w:tcMar>
            <w:vAlign w:val="center"/>
          </w:tcPr>
          <w:p w14:paraId="15B3D2A9">
            <w:pPr>
              <w:adjustRightInd w:val="0"/>
              <w:snapToGrid w:val="0"/>
              <w:spacing w:line="300" w:lineRule="exact"/>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符合</w:t>
            </w:r>
          </w:p>
        </w:tc>
      </w:tr>
      <w:tr w14:paraId="312ACE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Mar>
              <w:left w:w="0" w:type="dxa"/>
              <w:right w:w="0" w:type="dxa"/>
            </w:tcMar>
            <w:vAlign w:val="center"/>
          </w:tcPr>
          <w:p w14:paraId="1713AD1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w:t>
            </w:r>
          </w:p>
        </w:tc>
        <w:tc>
          <w:tcPr>
            <w:tcW w:w="3828" w:type="dxa"/>
            <w:tcMar>
              <w:left w:w="0" w:type="dxa"/>
              <w:right w:w="0" w:type="dxa"/>
            </w:tcMar>
            <w:vAlign w:val="center"/>
          </w:tcPr>
          <w:p w14:paraId="68E3714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用技术质量可靠的设备、仪表控制、阀门等，烃类机泵采用无泄漏；在油气集输过程中，为减轻烃类的排放，油田开发采用管道密闭集输流程，一旦发生泄漏事故，紧急切断油、气源，实施关井，从而最大限度地减少油气集输过程中烃类及油的排放量。对各井场的设备、阀门等进行定期的检查、检修，以减少跑、冒、滴、漏的发生；设备或管线组件发生了泄漏，应开展修复工作</w:t>
            </w:r>
          </w:p>
        </w:tc>
        <w:tc>
          <w:tcPr>
            <w:tcW w:w="3543" w:type="dxa"/>
            <w:tcMar>
              <w:left w:w="0" w:type="dxa"/>
              <w:right w:w="0" w:type="dxa"/>
            </w:tcMar>
            <w:vAlign w:val="center"/>
          </w:tcPr>
          <w:p w14:paraId="787E17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本次环评提出的大气污染防治措施为：选用质量可靠的设备、仪表、阀门等；定期对井场的设备、阀门等检查、检修；井口采出物汇集、输送及处理的全过程均采用密闭工艺流程。</w:t>
            </w:r>
          </w:p>
        </w:tc>
        <w:tc>
          <w:tcPr>
            <w:tcW w:w="792" w:type="dxa"/>
            <w:tcMar>
              <w:left w:w="0" w:type="dxa"/>
              <w:right w:w="0" w:type="dxa"/>
            </w:tcMar>
            <w:vAlign w:val="center"/>
          </w:tcPr>
          <w:p w14:paraId="185287A7">
            <w:pPr>
              <w:adjustRightInd w:val="0"/>
              <w:snapToGrid w:val="0"/>
              <w:spacing w:line="300" w:lineRule="exact"/>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符合</w:t>
            </w:r>
          </w:p>
        </w:tc>
      </w:tr>
      <w:tr w14:paraId="62031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Mar>
              <w:left w:w="0" w:type="dxa"/>
              <w:right w:w="0" w:type="dxa"/>
            </w:tcMar>
            <w:vAlign w:val="center"/>
          </w:tcPr>
          <w:p w14:paraId="5249DD8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w:t>
            </w:r>
          </w:p>
        </w:tc>
        <w:tc>
          <w:tcPr>
            <w:tcW w:w="3828" w:type="dxa"/>
            <w:tcMar>
              <w:left w:w="0" w:type="dxa"/>
              <w:right w:w="0" w:type="dxa"/>
            </w:tcMar>
            <w:vAlign w:val="center"/>
          </w:tcPr>
          <w:p w14:paraId="76C599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尽量选用低噪声设备，对噪声强度较大的设备进行减噪处理；定期给机泵等设备加润滑油和减振垫，对各种机械设备定期保养</w:t>
            </w:r>
          </w:p>
        </w:tc>
        <w:tc>
          <w:tcPr>
            <w:tcW w:w="3543" w:type="dxa"/>
            <w:tcMar>
              <w:left w:w="0" w:type="dxa"/>
              <w:right w:w="0" w:type="dxa"/>
            </w:tcMar>
            <w:vAlign w:val="center"/>
          </w:tcPr>
          <w:p w14:paraId="15AF174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尽量选用低噪声设备，对噪声强度较大的设备进行减噪处理。定期给机泵等设备加润滑油和减振垫，对各种机械设备定期保养；加强噪声防范，做好个人防护工作</w:t>
            </w:r>
          </w:p>
        </w:tc>
        <w:tc>
          <w:tcPr>
            <w:tcW w:w="792" w:type="dxa"/>
            <w:tcMar>
              <w:left w:w="0" w:type="dxa"/>
              <w:right w:w="0" w:type="dxa"/>
            </w:tcMar>
            <w:vAlign w:val="center"/>
          </w:tcPr>
          <w:p w14:paraId="791CD422">
            <w:pPr>
              <w:adjustRightInd w:val="0"/>
              <w:snapToGrid w:val="0"/>
              <w:spacing w:line="300" w:lineRule="exact"/>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符合</w:t>
            </w:r>
          </w:p>
        </w:tc>
      </w:tr>
      <w:tr w14:paraId="483675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Mar>
              <w:left w:w="0" w:type="dxa"/>
              <w:right w:w="0" w:type="dxa"/>
            </w:tcMar>
            <w:vAlign w:val="center"/>
          </w:tcPr>
          <w:p w14:paraId="2BC76CC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7</w:t>
            </w:r>
          </w:p>
        </w:tc>
        <w:tc>
          <w:tcPr>
            <w:tcW w:w="3828" w:type="dxa"/>
            <w:tcMar>
              <w:left w:w="0" w:type="dxa"/>
              <w:right w:w="0" w:type="dxa"/>
            </w:tcMar>
            <w:vAlign w:val="center"/>
          </w:tcPr>
          <w:p w14:paraId="1CA4FA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合理规划占地，严格控制占地面积，尽量选择在植被稀少或荒漠的区域布设，避让梭梭、白梭梭等保护植物；严格控制管线施工作业带宽度，管沟分层开挖、分层堆放、分层回填；施工过程中严格规定车辆和各类工作人员的活动范围，使之限于在施工区范围内活动，最大限度减少对荒漠植物生存环境的踩踏破坏，避免破坏荒漠植物；开展环境监理；永久占地进行砾石铺垫，定期检查管线、井场等</w:t>
            </w:r>
          </w:p>
        </w:tc>
        <w:tc>
          <w:tcPr>
            <w:tcW w:w="3543" w:type="dxa"/>
            <w:tcMar>
              <w:left w:w="0" w:type="dxa"/>
              <w:right w:w="0" w:type="dxa"/>
            </w:tcMar>
            <w:vAlign w:val="center"/>
          </w:tcPr>
          <w:p w14:paraId="0024B29A">
            <w:pPr>
              <w:pStyle w:val="28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对油田区域内的临时占地和永久占地合理规划，严格控制临时占地面积；施工结束后，对井场进行地面硬化处理；在设计选线选址过程中，尽量避开植被密集的区域，避免破坏荒漠植物；管线敷设时，严格控制施工</w:t>
            </w:r>
            <w:r>
              <w:rPr>
                <w:rFonts w:hint="eastAsia"/>
                <w:color w:val="000000" w:themeColor="text1"/>
                <w14:textFill>
                  <w14:solidFill>
                    <w14:schemeClr w14:val="tx1"/>
                  </w14:solidFill>
                </w14:textFill>
              </w:rPr>
              <w:t>作业带宽度，管沟应分层开挖、分层堆放、分层回填；施工过程中严格规定车辆和各类工作人员的活动范围，使之限于在施工区范围内活动，不随意</w:t>
            </w:r>
            <w:r>
              <w:rPr>
                <w:color w:val="000000" w:themeColor="text1"/>
                <w14:textFill>
                  <w14:solidFill>
                    <w14:schemeClr w14:val="tx1"/>
                  </w14:solidFill>
                </w14:textFill>
              </w:rPr>
              <w:t>踩踏砍伐野生植被</w:t>
            </w:r>
            <w:r>
              <w:rPr>
                <w:rFonts w:hint="eastAsia"/>
                <w:color w:val="000000" w:themeColor="text1"/>
                <w14:textFill>
                  <w14:solidFill>
                    <w14:schemeClr w14:val="tx1"/>
                  </w14:solidFill>
                </w14:textFill>
              </w:rPr>
              <w:t>，尽量不侵扰野生动物的栖息地；施工结束后，及时对施工场地进行平整，以便后期自然恢复。并按相关规定对植被损失进行生态经济补偿；加强施工期环境监理。</w:t>
            </w:r>
          </w:p>
        </w:tc>
        <w:tc>
          <w:tcPr>
            <w:tcW w:w="792" w:type="dxa"/>
            <w:tcMar>
              <w:left w:w="0" w:type="dxa"/>
              <w:right w:w="0" w:type="dxa"/>
            </w:tcMar>
            <w:vAlign w:val="center"/>
          </w:tcPr>
          <w:p w14:paraId="1AE46D01">
            <w:pPr>
              <w:adjustRightInd w:val="0"/>
              <w:snapToGrid w:val="0"/>
              <w:spacing w:line="300" w:lineRule="exact"/>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符合</w:t>
            </w:r>
          </w:p>
        </w:tc>
      </w:tr>
    </w:tbl>
    <w:p w14:paraId="6C47FD81">
      <w:pPr>
        <w:spacing w:line="500" w:lineRule="exact"/>
        <w:jc w:val="center"/>
        <w:rPr>
          <w:rFonts w:hint="eastAsia" w:ascii="黑体" w:hAnsi="黑体" w:eastAsia="黑体"/>
          <w:color w:val="000000" w:themeColor="text1"/>
          <w:sz w:val="24"/>
          <w:szCs w:val="24"/>
          <w:lang w:bidi="ar"/>
          <w14:textFill>
            <w14:solidFill>
              <w14:schemeClr w14:val="tx1"/>
            </w14:solidFill>
          </w14:textFill>
        </w:rPr>
      </w:pPr>
      <w:bookmarkStart w:id="144" w:name="_Hlk133142328"/>
      <w:r>
        <w:rPr>
          <w:rFonts w:hint="eastAsia" w:ascii="黑体" w:hAnsi="黑体" w:eastAsia="黑体"/>
          <w:color w:val="000000" w:themeColor="text1"/>
          <w:szCs w:val="21"/>
          <w:lang w:bidi="ar"/>
          <w14:textFill>
            <w14:solidFill>
              <w14:schemeClr w14:val="tx1"/>
            </w14:solidFill>
          </w14:textFill>
        </w:rPr>
        <w:t>表2</w:t>
      </w:r>
      <w:r>
        <w:rPr>
          <w:rFonts w:ascii="黑体" w:hAnsi="黑体" w:eastAsia="黑体"/>
          <w:color w:val="000000" w:themeColor="text1"/>
          <w:szCs w:val="21"/>
          <w:lang w:bidi="ar"/>
          <w14:textFill>
            <w14:solidFill>
              <w14:schemeClr w14:val="tx1"/>
            </w14:solidFill>
          </w14:textFill>
        </w:rPr>
        <w:t>.9</w:t>
      </w:r>
      <w:r>
        <w:rPr>
          <w:rFonts w:hint="eastAsia" w:ascii="黑体" w:hAnsi="黑体" w:eastAsia="黑体"/>
          <w:color w:val="000000" w:themeColor="text1"/>
          <w:szCs w:val="21"/>
          <w:lang w:bidi="ar"/>
          <w14:textFill>
            <w14:solidFill>
              <w14:schemeClr w14:val="tx1"/>
            </w14:solidFill>
          </w14:textFill>
        </w:rPr>
        <w:t xml:space="preserve">-2 </w:t>
      </w:r>
      <w:r>
        <w:rPr>
          <w:rFonts w:ascii="黑体" w:hAnsi="黑体" w:eastAsia="黑体"/>
          <w:color w:val="000000" w:themeColor="text1"/>
          <w:szCs w:val="21"/>
          <w:lang w:bidi="ar"/>
          <w14:textFill>
            <w14:solidFill>
              <w14:schemeClr w14:val="tx1"/>
            </w14:solidFill>
          </w14:textFill>
        </w:rPr>
        <w:t xml:space="preserve"> </w:t>
      </w:r>
      <w:r>
        <w:rPr>
          <w:rFonts w:hint="eastAsia" w:ascii="黑体" w:hAnsi="黑体" w:eastAsia="黑体"/>
          <w:color w:val="000000" w:themeColor="text1"/>
          <w:szCs w:val="21"/>
          <w:lang w:bidi="ar"/>
          <w14:textFill>
            <w14:solidFill>
              <w14:schemeClr w14:val="tx1"/>
            </w14:solidFill>
          </w14:textFill>
        </w:rPr>
        <w:t>项目与《新疆油田公司“十四五”发展规划环境影响报告书》结论符合性分析</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84"/>
        <w:gridCol w:w="5245"/>
        <w:gridCol w:w="2409"/>
        <w:gridCol w:w="792"/>
      </w:tblGrid>
      <w:tr w14:paraId="130F73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blHeader/>
          <w:jc w:val="center"/>
        </w:trPr>
        <w:tc>
          <w:tcPr>
            <w:tcW w:w="284" w:type="dxa"/>
            <w:tcMar>
              <w:left w:w="0" w:type="dxa"/>
              <w:right w:w="0" w:type="dxa"/>
            </w:tcMar>
            <w:vAlign w:val="center"/>
          </w:tcPr>
          <w:p w14:paraId="20D53DEB">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序号</w:t>
            </w:r>
          </w:p>
        </w:tc>
        <w:tc>
          <w:tcPr>
            <w:tcW w:w="5245" w:type="dxa"/>
            <w:tcMar>
              <w:left w:w="0" w:type="dxa"/>
              <w:right w:w="0" w:type="dxa"/>
            </w:tcMar>
            <w:vAlign w:val="center"/>
          </w:tcPr>
          <w:p w14:paraId="2FB5242F">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规划环评结论</w:t>
            </w:r>
          </w:p>
        </w:tc>
        <w:tc>
          <w:tcPr>
            <w:tcW w:w="2409" w:type="dxa"/>
            <w:tcMar>
              <w:left w:w="0" w:type="dxa"/>
              <w:right w:w="0" w:type="dxa"/>
            </w:tcMar>
            <w:vAlign w:val="center"/>
          </w:tcPr>
          <w:p w14:paraId="5339E14F">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拟采取的相关措施</w:t>
            </w:r>
          </w:p>
        </w:tc>
        <w:tc>
          <w:tcPr>
            <w:tcW w:w="792" w:type="dxa"/>
            <w:tcMar>
              <w:left w:w="0" w:type="dxa"/>
              <w:right w:w="0" w:type="dxa"/>
            </w:tcMar>
            <w:vAlign w:val="center"/>
          </w:tcPr>
          <w:p w14:paraId="6E85836A">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相符性分析</w:t>
            </w:r>
          </w:p>
        </w:tc>
      </w:tr>
      <w:tr w14:paraId="3179B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84" w:type="dxa"/>
            <w:tcMar>
              <w:left w:w="0" w:type="dxa"/>
              <w:right w:w="0" w:type="dxa"/>
            </w:tcMar>
            <w:vAlign w:val="center"/>
          </w:tcPr>
          <w:p w14:paraId="52BD3873">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1</w:t>
            </w:r>
          </w:p>
        </w:tc>
        <w:tc>
          <w:tcPr>
            <w:tcW w:w="5245" w:type="dxa"/>
            <w:tcMar>
              <w:left w:w="0" w:type="dxa"/>
              <w:right w:w="0" w:type="dxa"/>
            </w:tcMar>
            <w:vAlign w:val="center"/>
          </w:tcPr>
          <w:p w14:paraId="402B6A3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规划生产运营期废气主要是各燃气设备产生的燃烧尾气，油气集输及各类储罐暂存过程中无组织逸散的烃类等，主要大气污染物为烟尘、</w:t>
            </w:r>
            <w:r>
              <w:rPr>
                <w:rFonts w:cs="TimesNewRomanPSMT"/>
                <w:color w:val="000000" w:themeColor="text1"/>
                <w14:textFill>
                  <w14:solidFill>
                    <w14:schemeClr w14:val="tx1"/>
                  </w14:solidFill>
                </w14:textFill>
              </w:rPr>
              <w:t>SO</w:t>
            </w:r>
            <w:r>
              <w:rPr>
                <w:rFonts w:cs="TimesNewRomanPSMT"/>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和</w:t>
            </w:r>
            <w:r>
              <w:rPr>
                <w:rFonts w:cs="TimesNewRomanPSMT"/>
                <w:color w:val="000000" w:themeColor="text1"/>
                <w14:textFill>
                  <w14:solidFill>
                    <w14:schemeClr w14:val="tx1"/>
                  </w14:solidFill>
                </w14:textFill>
              </w:rPr>
              <w:t>NO</w:t>
            </w:r>
            <w:r>
              <w:rPr>
                <w:rFonts w:cs="TimesNewRomanPSMT"/>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、非甲烷总烃。规划所用各燃气设备（燃气加热炉、相变加热炉、锅炉等）燃料均为天然气，为清洁能源。燃烧后污染物排放量少，对环境影响较小。燃气设备排放的</w:t>
            </w:r>
            <w:r>
              <w:rPr>
                <w:rFonts w:cs="TimesNewRomanPSMT"/>
                <w:color w:val="000000" w:themeColor="text1"/>
                <w14:textFill>
                  <w14:solidFill>
                    <w14:schemeClr w14:val="tx1"/>
                  </w14:solidFill>
                </w14:textFill>
              </w:rPr>
              <w:t>SO</w:t>
            </w:r>
            <w:r>
              <w:rPr>
                <w:rFonts w:cs="TimesNewRomanPSMT"/>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r>
              <w:rPr>
                <w:rFonts w:cs="TimesNewRomanPSMT"/>
                <w:color w:val="000000" w:themeColor="text1"/>
                <w14:textFill>
                  <w14:solidFill>
                    <w14:schemeClr w14:val="tx1"/>
                  </w14:solidFill>
                </w14:textFill>
              </w:rPr>
              <w:t>NO</w:t>
            </w:r>
            <w:r>
              <w:rPr>
                <w:rFonts w:cs="TimesNewRomanPSMT"/>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均可符合《锅炉大气污染物排放标准》标准限值，对周围环境造成的影响较小。油气集输过程及各类储罐暂存过程中产生的烃类挥发是影响规划区域环境空气的主要污染源。油气集输及处理采用全密闭流程，井口密封并设紧急截断阀，可有效减少烃类气体的挥发。严格按照</w:t>
            </w:r>
            <w:r>
              <w:rPr>
                <w:rFonts w:cs="TimesNewRomanPSMT"/>
                <w:color w:val="000000" w:themeColor="text1"/>
                <w14:textFill>
                  <w14:solidFill>
                    <w14:schemeClr w14:val="tx1"/>
                  </w14:solidFill>
                </w14:textFill>
              </w:rPr>
              <w:t xml:space="preserve">GB39728 </w:t>
            </w:r>
            <w:r>
              <w:rPr>
                <w:rFonts w:hint="eastAsia"/>
                <w:color w:val="000000" w:themeColor="text1"/>
                <w14:textFill>
                  <w14:solidFill>
                    <w14:schemeClr w14:val="tx1"/>
                  </w14:solidFill>
                </w14:textFill>
              </w:rPr>
              <w:t>标准要求，对部分不符合标准的储罐、装载系统等进行改造。通过采取相应的污染防治措施，能够有效控制无组织烃类的污染，在运行过程中严格管理，确保废气控制措施正常运转，各站场场界浓度和最大落地浓度可满足《陆上石油天然气开采工业大气污染物排放标准》（</w:t>
            </w:r>
            <w:r>
              <w:rPr>
                <w:rFonts w:cs="TimesNewRomanPSMT"/>
                <w:color w:val="000000" w:themeColor="text1"/>
                <w14:textFill>
                  <w14:solidFill>
                    <w14:schemeClr w14:val="tx1"/>
                  </w14:solidFill>
                </w14:textFill>
              </w:rPr>
              <w:t>GB39728-2020</w:t>
            </w:r>
            <w:r>
              <w:rPr>
                <w:rFonts w:hint="eastAsia"/>
                <w:color w:val="000000" w:themeColor="text1"/>
                <w14:textFill>
                  <w14:solidFill>
                    <w14:schemeClr w14:val="tx1"/>
                  </w14:solidFill>
                </w14:textFill>
              </w:rPr>
              <w:t>）的场界标准限值（</w:t>
            </w:r>
            <w:r>
              <w:rPr>
                <w:rFonts w:cs="TimesNewRomanPSMT"/>
                <w:color w:val="000000" w:themeColor="text1"/>
                <w14:textFill>
                  <w14:solidFill>
                    <w14:schemeClr w14:val="tx1"/>
                  </w14:solidFill>
                </w14:textFill>
              </w:rPr>
              <w:t>4mg/m</w:t>
            </w:r>
            <w:r>
              <w:rPr>
                <w:rFonts w:cs="TimesNewRomanPSMT"/>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2409" w:type="dxa"/>
            <w:tcMar>
              <w:left w:w="0" w:type="dxa"/>
              <w:right w:w="0" w:type="dxa"/>
            </w:tcMar>
            <w:vAlign w:val="center"/>
          </w:tcPr>
          <w:p w14:paraId="5C97BD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油气集输采用密闭集输，原油采用电加热，单井采油井场、</w:t>
            </w:r>
            <w:r>
              <w:rPr>
                <w:color w:val="000000" w:themeColor="text1"/>
                <w14:textFill>
                  <w14:solidFill>
                    <w14:schemeClr w14:val="tx1"/>
                  </w14:solidFill>
                </w14:textFill>
              </w:rPr>
              <w:t>2井式平台井场</w:t>
            </w:r>
            <w:r>
              <w:rPr>
                <w:rFonts w:hint="eastAsia"/>
                <w:color w:val="000000" w:themeColor="text1"/>
                <w14:textFill>
                  <w14:solidFill>
                    <w14:schemeClr w14:val="tx1"/>
                  </w14:solidFill>
                </w14:textFill>
              </w:rPr>
              <w:t>厂界无组织废气可满足</w:t>
            </w:r>
            <w:r>
              <w:rPr>
                <w:rFonts w:hint="eastAsia" w:cs="宋体"/>
                <w:color w:val="000000" w:themeColor="text1"/>
                <w14:textFill>
                  <w14:solidFill>
                    <w14:schemeClr w14:val="tx1"/>
                  </w14:solidFill>
                </w14:textFill>
              </w:rPr>
              <w:t>《陆上石油天然气开采工业大气污染物排放标准》（</w:t>
            </w:r>
            <w:r>
              <w:rPr>
                <w:rFonts w:cs="TimesNewRomanPSMT"/>
                <w:color w:val="000000" w:themeColor="text1"/>
                <w14:textFill>
                  <w14:solidFill>
                    <w14:schemeClr w14:val="tx1"/>
                  </w14:solidFill>
                </w14:textFill>
              </w:rPr>
              <w:t>GB39728-2020</w:t>
            </w:r>
            <w:r>
              <w:rPr>
                <w:rFonts w:hint="eastAsia" w:cs="宋体"/>
                <w:color w:val="000000" w:themeColor="text1"/>
                <w14:textFill>
                  <w14:solidFill>
                    <w14:schemeClr w14:val="tx1"/>
                  </w14:solidFill>
                </w14:textFill>
              </w:rPr>
              <w:t>）的场界标准限值（</w:t>
            </w:r>
            <w:r>
              <w:rPr>
                <w:rFonts w:cs="TimesNewRomanPSMT"/>
                <w:color w:val="000000" w:themeColor="text1"/>
                <w14:textFill>
                  <w14:solidFill>
                    <w14:schemeClr w14:val="tx1"/>
                  </w14:solidFill>
                </w14:textFill>
              </w:rPr>
              <w:t>4mg/m</w:t>
            </w:r>
            <w:r>
              <w:rPr>
                <w:rFonts w:cs="TimesNewRomanPSMT"/>
                <w:color w:val="000000" w:themeColor="text1"/>
                <w:vertAlign w:val="superscript"/>
                <w14:textFill>
                  <w14:solidFill>
                    <w14:schemeClr w14:val="tx1"/>
                  </w14:solidFill>
                </w14:textFill>
              </w:rPr>
              <w:t>3</w:t>
            </w:r>
            <w:r>
              <w:rPr>
                <w:rFonts w:hint="eastAsia" w:cs="宋体"/>
                <w:color w:val="000000" w:themeColor="text1"/>
                <w14:textFill>
                  <w14:solidFill>
                    <w14:schemeClr w14:val="tx1"/>
                  </w14:solidFill>
                </w14:textFill>
              </w:rPr>
              <w:t>）；</w:t>
            </w:r>
            <w:r>
              <w:rPr>
                <w:rFonts w:hint="eastAsia"/>
                <w:color w:val="000000" w:themeColor="text1"/>
                <w14:textFill>
                  <w14:solidFill>
                    <w14:schemeClr w14:val="tx1"/>
                  </w14:solidFill>
                </w14:textFill>
              </w:rPr>
              <w:t>厂界无组织硫化氢均满足《恶臭污染物排放标准》（G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）中的表1限值要求。</w:t>
            </w:r>
          </w:p>
        </w:tc>
        <w:tc>
          <w:tcPr>
            <w:tcW w:w="792" w:type="dxa"/>
            <w:tcMar>
              <w:left w:w="0" w:type="dxa"/>
              <w:right w:w="0" w:type="dxa"/>
            </w:tcMar>
            <w:vAlign w:val="center"/>
          </w:tcPr>
          <w:p w14:paraId="445CA6D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3719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84" w:type="dxa"/>
            <w:tcMar>
              <w:left w:w="0" w:type="dxa"/>
              <w:right w:w="0" w:type="dxa"/>
            </w:tcMar>
            <w:vAlign w:val="center"/>
          </w:tcPr>
          <w:p w14:paraId="255D831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c>
          <w:tcPr>
            <w:tcW w:w="5245" w:type="dxa"/>
            <w:tcMar>
              <w:left w:w="0" w:type="dxa"/>
              <w:right w:w="0" w:type="dxa"/>
            </w:tcMar>
            <w:vAlign w:val="center"/>
          </w:tcPr>
          <w:p w14:paraId="0F7AB5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产运营期产生的废水主要包括井场产生的井下作业废水、站场产生少量含油废水。井下作业严禁废水外排，井下作业废水采用专用废液收集罐收集后拉运至各自区块污水处理系统处理达到《碎屑岩油藏注水水质指标及分析方法》标准后，由各联合站统一调配，不外排进入环境，不会对地表水环境产生环境影响。生产运营期产生的采出水和井下作业废水拉运至各自区块污水处理系统处理，处理达标后回注地层</w:t>
            </w:r>
          </w:p>
        </w:tc>
        <w:tc>
          <w:tcPr>
            <w:tcW w:w="2409" w:type="dxa"/>
            <w:tcMar>
              <w:left w:w="0" w:type="dxa"/>
              <w:right w:w="0" w:type="dxa"/>
            </w:tcMar>
            <w:vAlign w:val="center"/>
          </w:tcPr>
          <w:p w14:paraId="719155B9">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井下作业废液和洗井废水送至</w:t>
            </w:r>
            <w:r>
              <w:rPr>
                <w:rFonts w:hint="eastAsia"/>
                <w:color w:val="000000" w:themeColor="text1"/>
                <w14:textFill>
                  <w14:solidFill>
                    <w14:schemeClr w14:val="tx1"/>
                  </w14:solidFill>
                </w14:textFill>
              </w:rPr>
              <w:t>由罐车拉运至吉祥联合站采出水处理系统处理，处理达到《碎屑岩油藏注水水质指标技术要求及分析方法》（SY/T5329-2022）等相关标准要求后回注油藏</w:t>
            </w:r>
            <w:r>
              <w:rPr>
                <w:rFonts w:hint="eastAsia"/>
                <w:color w:val="000000" w:themeColor="text1"/>
                <w:lang w:val="zh-CN"/>
                <w14:textFill>
                  <w14:solidFill>
                    <w14:schemeClr w14:val="tx1"/>
                  </w14:solidFill>
                </w14:textFill>
              </w:rPr>
              <w:t>，</w:t>
            </w:r>
            <w:r>
              <w:rPr>
                <w:rFonts w:hint="eastAsia"/>
                <w:color w:val="000000" w:themeColor="text1"/>
                <w14:textFill>
                  <w14:solidFill>
                    <w14:schemeClr w14:val="tx1"/>
                  </w14:solidFill>
                </w14:textFill>
              </w:rPr>
              <w:t>不外排。</w:t>
            </w:r>
          </w:p>
        </w:tc>
        <w:tc>
          <w:tcPr>
            <w:tcW w:w="792" w:type="dxa"/>
            <w:tcMar>
              <w:left w:w="0" w:type="dxa"/>
              <w:right w:w="0" w:type="dxa"/>
            </w:tcMar>
            <w:vAlign w:val="center"/>
          </w:tcPr>
          <w:p w14:paraId="6F9287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14:paraId="19129961">
      <w:pPr>
        <w:spacing w:line="500" w:lineRule="exact"/>
        <w:jc w:val="center"/>
        <w:rPr>
          <w:rFonts w:hint="eastAsia" w:ascii="黑体" w:hAnsi="黑体" w:eastAsia="黑体"/>
          <w:color w:val="000000" w:themeColor="text1"/>
          <w:sz w:val="24"/>
          <w:szCs w:val="24"/>
          <w:lang w:bidi="ar"/>
          <w14:textFill>
            <w14:solidFill>
              <w14:schemeClr w14:val="tx1"/>
            </w14:solidFill>
          </w14:textFill>
        </w:rPr>
      </w:pPr>
      <w:r>
        <w:rPr>
          <w:rFonts w:hint="eastAsia" w:ascii="黑体" w:hAnsi="黑体" w:eastAsia="黑体"/>
          <w:color w:val="000000" w:themeColor="text1"/>
          <w:szCs w:val="21"/>
          <w:lang w:bidi="ar"/>
          <w14:textFill>
            <w14:solidFill>
              <w14:schemeClr w14:val="tx1"/>
            </w14:solidFill>
          </w14:textFill>
        </w:rPr>
        <w:t>表2</w:t>
      </w:r>
      <w:r>
        <w:rPr>
          <w:rFonts w:ascii="黑体" w:hAnsi="黑体" w:eastAsia="黑体"/>
          <w:color w:val="000000" w:themeColor="text1"/>
          <w:szCs w:val="21"/>
          <w:lang w:bidi="ar"/>
          <w14:textFill>
            <w14:solidFill>
              <w14:schemeClr w14:val="tx1"/>
            </w14:solidFill>
          </w14:textFill>
        </w:rPr>
        <w:t>.9</w:t>
      </w:r>
      <w:r>
        <w:rPr>
          <w:rFonts w:hint="eastAsia" w:ascii="黑体" w:hAnsi="黑体" w:eastAsia="黑体"/>
          <w:color w:val="000000" w:themeColor="text1"/>
          <w:szCs w:val="21"/>
          <w:lang w:bidi="ar"/>
          <w14:textFill>
            <w14:solidFill>
              <w14:schemeClr w14:val="tx1"/>
            </w14:solidFill>
          </w14:textFill>
        </w:rPr>
        <w:t xml:space="preserve">-3 </w:t>
      </w:r>
      <w:r>
        <w:rPr>
          <w:rFonts w:ascii="黑体" w:hAnsi="黑体" w:eastAsia="黑体"/>
          <w:color w:val="000000" w:themeColor="text1"/>
          <w:szCs w:val="21"/>
          <w:lang w:bidi="ar"/>
          <w14:textFill>
            <w14:solidFill>
              <w14:schemeClr w14:val="tx1"/>
            </w14:solidFill>
          </w14:textFill>
        </w:rPr>
        <w:t xml:space="preserve"> </w:t>
      </w:r>
      <w:r>
        <w:rPr>
          <w:rFonts w:hint="eastAsia" w:ascii="黑体" w:hAnsi="黑体" w:eastAsia="黑体"/>
          <w:color w:val="000000" w:themeColor="text1"/>
          <w:szCs w:val="21"/>
          <w:lang w:bidi="ar"/>
          <w14:textFill>
            <w14:solidFill>
              <w14:schemeClr w14:val="tx1"/>
            </w14:solidFill>
          </w14:textFill>
        </w:rPr>
        <w:t>项目与《新疆油田公司“十四五”发展规划环境影响报告书》审查意见符合性分析</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1"/>
        <w:gridCol w:w="4866"/>
        <w:gridCol w:w="2757"/>
        <w:gridCol w:w="586"/>
      </w:tblGrid>
      <w:tr w14:paraId="3EAF27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tblHeader/>
          <w:jc w:val="center"/>
        </w:trPr>
        <w:tc>
          <w:tcPr>
            <w:tcW w:w="521" w:type="dxa"/>
            <w:tcMar>
              <w:left w:w="0" w:type="dxa"/>
              <w:right w:w="0" w:type="dxa"/>
            </w:tcMar>
            <w:vAlign w:val="center"/>
          </w:tcPr>
          <w:p w14:paraId="7992DF1F">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序号</w:t>
            </w:r>
          </w:p>
        </w:tc>
        <w:tc>
          <w:tcPr>
            <w:tcW w:w="4866" w:type="dxa"/>
            <w:tcMar>
              <w:left w:w="0" w:type="dxa"/>
              <w:right w:w="0" w:type="dxa"/>
            </w:tcMar>
            <w:vAlign w:val="center"/>
          </w:tcPr>
          <w:p w14:paraId="1286B402">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规划环评审查意见</w:t>
            </w:r>
          </w:p>
        </w:tc>
        <w:tc>
          <w:tcPr>
            <w:tcW w:w="2757" w:type="dxa"/>
            <w:tcMar>
              <w:left w:w="0" w:type="dxa"/>
              <w:right w:w="0" w:type="dxa"/>
            </w:tcMar>
            <w:vAlign w:val="center"/>
          </w:tcPr>
          <w:p w14:paraId="54B45B0F">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拟采取的相关措施</w:t>
            </w:r>
          </w:p>
        </w:tc>
        <w:tc>
          <w:tcPr>
            <w:tcW w:w="586" w:type="dxa"/>
            <w:tcMar>
              <w:left w:w="0" w:type="dxa"/>
              <w:right w:w="0" w:type="dxa"/>
            </w:tcMar>
            <w:vAlign w:val="center"/>
          </w:tcPr>
          <w:p w14:paraId="26164058">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相符性分析</w:t>
            </w:r>
          </w:p>
        </w:tc>
      </w:tr>
      <w:tr w14:paraId="20300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tcMar>
              <w:left w:w="0" w:type="dxa"/>
              <w:right w:w="0" w:type="dxa"/>
            </w:tcMar>
            <w:vAlign w:val="center"/>
          </w:tcPr>
          <w:p w14:paraId="607997E0">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1</w:t>
            </w:r>
          </w:p>
        </w:tc>
        <w:tc>
          <w:tcPr>
            <w:tcW w:w="4866" w:type="dxa"/>
            <w:tcMar>
              <w:left w:w="0" w:type="dxa"/>
              <w:right w:w="0" w:type="dxa"/>
            </w:tcMar>
            <w:vAlign w:val="center"/>
          </w:tcPr>
          <w:p w14:paraId="33C4662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严守生态保护红线，加强空间管控。坚持以习近平生态文明思想为指导，严守生态保护红线，严格维护区域主导生态功能，积极推动绿色发展，促进人与自然和谐共生。主动对接国土空间规划，进一步做好与“三线一单”生态环境分区管控方案、主体功能区划、生态功能区划等有关要求的有序衔接和细化分解，严格落实各项生态环境保护要求，协同推进石油天然气开发和生态环境保护相协调，切实维护区域生态系统的完整性和稳定性。加强规划区内环境敏感区和重要环境保护目标的生态环境保护工作，开展项目环评时应将油气开发对环境敏感区影响作为重点评价内容，并采取合理、有效的保护措施，确保规划涉及环境敏感区和重要环境保护目标不因油气开发而造成环境污染和生态破坏。</w:t>
            </w:r>
          </w:p>
        </w:tc>
        <w:tc>
          <w:tcPr>
            <w:tcW w:w="2757" w:type="dxa"/>
            <w:tcMar>
              <w:left w:w="0" w:type="dxa"/>
              <w:right w:w="0" w:type="dxa"/>
            </w:tcMar>
            <w:vAlign w:val="center"/>
          </w:tcPr>
          <w:p w14:paraId="108F069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本项目建设符合“三线一单”《新疆维吾尔自治区主体功能区规划》要求；采取相关措施后，单井采油井场、</w:t>
            </w:r>
            <w:r>
              <w:rPr>
                <w:color w:val="000000" w:themeColor="text1"/>
                <w14:textFill>
                  <w14:solidFill>
                    <w14:schemeClr w14:val="tx1"/>
                  </w14:solidFill>
                </w14:textFill>
              </w:rPr>
              <w:t>2井式平台井场</w:t>
            </w:r>
            <w:r>
              <w:rPr>
                <w:rFonts w:hint="eastAsia"/>
                <w:color w:val="000000" w:themeColor="text1"/>
                <w14:textFill>
                  <w14:solidFill>
                    <w14:schemeClr w14:val="tx1"/>
                  </w14:solidFill>
                </w14:textFill>
              </w:rPr>
              <w:t>厂界无组织废气可满足</w:t>
            </w:r>
            <w:r>
              <w:rPr>
                <w:rFonts w:hint="eastAsia" w:cs="宋体"/>
                <w:color w:val="000000" w:themeColor="text1"/>
                <w14:textFill>
                  <w14:solidFill>
                    <w14:schemeClr w14:val="tx1"/>
                  </w14:solidFill>
                </w14:textFill>
              </w:rPr>
              <w:t>《陆上石油天然气开采工业大气污染物排放标准》（</w:t>
            </w:r>
            <w:r>
              <w:rPr>
                <w:rFonts w:cs="TimesNewRomanPSMT"/>
                <w:color w:val="000000" w:themeColor="text1"/>
                <w14:textFill>
                  <w14:solidFill>
                    <w14:schemeClr w14:val="tx1"/>
                  </w14:solidFill>
                </w14:textFill>
              </w:rPr>
              <w:t>GB39728-2020</w:t>
            </w:r>
            <w:r>
              <w:rPr>
                <w:rFonts w:hint="eastAsia" w:cs="宋体"/>
                <w:color w:val="000000" w:themeColor="text1"/>
                <w14:textFill>
                  <w14:solidFill>
                    <w14:schemeClr w14:val="tx1"/>
                  </w14:solidFill>
                </w14:textFill>
              </w:rPr>
              <w:t>）的场界标准限值（</w:t>
            </w:r>
            <w:r>
              <w:rPr>
                <w:rFonts w:cs="TimesNewRomanPSMT"/>
                <w:color w:val="000000" w:themeColor="text1"/>
                <w14:textFill>
                  <w14:solidFill>
                    <w14:schemeClr w14:val="tx1"/>
                  </w14:solidFill>
                </w14:textFill>
              </w:rPr>
              <w:t>4mg/m</w:t>
            </w:r>
            <w:r>
              <w:rPr>
                <w:rFonts w:cs="TimesNewRomanPSMT"/>
                <w:color w:val="000000" w:themeColor="text1"/>
                <w:vertAlign w:val="superscript"/>
                <w14:textFill>
                  <w14:solidFill>
                    <w14:schemeClr w14:val="tx1"/>
                  </w14:solidFill>
                </w14:textFill>
              </w:rPr>
              <w:t>3</w:t>
            </w:r>
            <w:r>
              <w:rPr>
                <w:rFonts w:hint="eastAsia" w:cs="宋体"/>
                <w:color w:val="000000" w:themeColor="text1"/>
                <w14:textFill>
                  <w14:solidFill>
                    <w14:schemeClr w14:val="tx1"/>
                  </w14:solidFill>
                </w14:textFill>
              </w:rPr>
              <w:t>）；</w:t>
            </w:r>
            <w:r>
              <w:rPr>
                <w:rFonts w:hint="eastAsia"/>
                <w:color w:val="000000" w:themeColor="text1"/>
                <w14:textFill>
                  <w14:solidFill>
                    <w14:schemeClr w14:val="tx1"/>
                  </w14:solidFill>
                </w14:textFill>
              </w:rPr>
              <w:t>厂界无组织硫化氢均满足《恶臭污染物排放标准》（G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）中的表1限值要求，不会对区域环境空气产生明显不利影响。</w:t>
            </w:r>
          </w:p>
        </w:tc>
        <w:tc>
          <w:tcPr>
            <w:tcW w:w="586" w:type="dxa"/>
            <w:tcMar>
              <w:left w:w="0" w:type="dxa"/>
              <w:right w:w="0" w:type="dxa"/>
            </w:tcMar>
            <w:vAlign w:val="center"/>
          </w:tcPr>
          <w:p w14:paraId="59FB7E7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346EB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tcMar>
              <w:left w:w="0" w:type="dxa"/>
              <w:right w:w="0" w:type="dxa"/>
            </w:tcMar>
            <w:vAlign w:val="center"/>
          </w:tcPr>
          <w:p w14:paraId="6DD825CA">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c>
          <w:tcPr>
            <w:tcW w:w="4866" w:type="dxa"/>
            <w:tcMar>
              <w:left w:w="0" w:type="dxa"/>
              <w:right w:w="0" w:type="dxa"/>
            </w:tcMar>
            <w:vAlign w:val="center"/>
          </w:tcPr>
          <w:p w14:paraId="182EB0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合理确定开发方案，优化开发布局。根据区域主体功能定位，结合区域资源环境特征、生态保护红线等相关管控要求，依据生态环境影响评价结果，从穿越位置、穿越方式、施工场地设置、管线工艺设计、环境风险防范等方面对规划建设油气长输管道工程及油气田内部集输管道工程选址选线提出要求，进一步优化石油天然气开采规模、开发布局和建设时序，优先避让环境敏感区，远离沿线居民。总结石油天然气开发过程对生态环境影响和保护经验，及时进行优化调整。</w:t>
            </w:r>
          </w:p>
        </w:tc>
        <w:tc>
          <w:tcPr>
            <w:tcW w:w="2757" w:type="dxa"/>
            <w:tcMar>
              <w:left w:w="0" w:type="dxa"/>
              <w:right w:w="0" w:type="dxa"/>
            </w:tcMar>
            <w:vAlign w:val="center"/>
          </w:tcPr>
          <w:p w14:paraId="522555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各井场选址、各类管线选线过程中尽量选取植被稀疏区域。</w:t>
            </w:r>
          </w:p>
        </w:tc>
        <w:tc>
          <w:tcPr>
            <w:tcW w:w="586" w:type="dxa"/>
            <w:tcMar>
              <w:left w:w="0" w:type="dxa"/>
              <w:right w:w="0" w:type="dxa"/>
            </w:tcMar>
            <w:vAlign w:val="center"/>
          </w:tcPr>
          <w:p w14:paraId="7D4AAA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0AEE7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tcMar>
              <w:left w:w="0" w:type="dxa"/>
              <w:right w:w="0" w:type="dxa"/>
            </w:tcMar>
            <w:vAlign w:val="center"/>
          </w:tcPr>
          <w:p w14:paraId="1704882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4866" w:type="dxa"/>
            <w:tcMar>
              <w:left w:w="0" w:type="dxa"/>
              <w:right w:w="0" w:type="dxa"/>
            </w:tcMar>
            <w:vAlign w:val="center"/>
          </w:tcPr>
          <w:p w14:paraId="23E748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严格生态环境保护，强化各类污染物防治。针对规划实施可能出现的累积性、长期性生态环境问题，采取积极有效的生态复垦和生态恢复措施，确保实现《报告书》提出的各项生态恢复治理要求，有效减缓规划区生态环境退化趋势。根据油气开采产业政策和生态环境保护政策要求，严格落实资源环境指标要求，进一步控制污染物排放以及能源消耗水平，对油气开采产生的废弃油基泥浆、含油钻屑及其他固体废物，提出减量化的源头控制措施、资源化的利用路径、无害化的处理要求，按照国家和地方有关固体废物的管理规定进行处置，提高废弃油基泥浆和含油钻屑及其处理产物的综合利用率。根据油气开采产业政策和生态环境保护政策要求，严格落实资源环境指标要求，进一步控制污染物排放以及能源消耗水平。油气开采、输送、储存、净化等过程及非正常工况应加强挥发性有机物等污染物排放控制，确保满足区域环境空气质量要求。加强开采废水污染控制，涉及回注的应经处理满足《碎屑岩油藏注水水质指标技术要求及分析方法》（ SY/T5329）等相关标准要求，采取切实可行的地下水污染防治和监控措施，防止造成地下水污染。油气开采过程中产生的固体废物，应当遵循减量化、资源化、无害化原则，合规处置。加强伴生气、落地油、采出水等回收利用，提高综合利用水平。</w:t>
            </w:r>
          </w:p>
        </w:tc>
        <w:tc>
          <w:tcPr>
            <w:tcW w:w="2757" w:type="dxa"/>
            <w:tcMar>
              <w:left w:w="0" w:type="dxa"/>
              <w:right w:w="0" w:type="dxa"/>
            </w:tcMar>
            <w:vAlign w:val="center"/>
          </w:tcPr>
          <w:p w14:paraId="7AE3D9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采取的生态恢复措施符合规划环评报告书的要求，建筑垃圾收集后交由环卫部门统一处置；废润滑油、沾油废防渗膜、废含油抹布和劳保用品以及事故状态含油污泥</w:t>
            </w:r>
            <w:r>
              <w:rPr>
                <w:rFonts w:hint="eastAsia"/>
                <w:color w:val="000000" w:themeColor="text1"/>
                <w:lang w:bidi="ar"/>
                <w14:textFill>
                  <w14:solidFill>
                    <w14:schemeClr w14:val="tx1"/>
                  </w14:solidFill>
                </w14:textFill>
              </w:rPr>
              <w:t>均委托有资质的单位处置，产生的各类固体废物均得到合规处置；选用质量</w:t>
            </w:r>
            <w:r>
              <w:rPr>
                <w:rFonts w:hint="eastAsia"/>
                <w:color w:val="000000" w:themeColor="text1"/>
                <w14:textFill>
                  <w14:solidFill>
                    <w14:schemeClr w14:val="tx1"/>
                  </w14:solidFill>
                </w14:textFill>
              </w:rPr>
              <w:t>可靠的设备、仪表、阀门等；定期对井场的设备、阀门等检查、检修；井口采出物汇集、输送及处理的全过程均采用密闭工艺流程；吉祥联合站采出水处理系统出水水质满足</w:t>
            </w:r>
            <w:r>
              <w:rPr>
                <w:rFonts w:hint="eastAsia" w:cs="宋体"/>
                <w:color w:val="000000" w:themeColor="text1"/>
                <w14:textFill>
                  <w14:solidFill>
                    <w14:schemeClr w14:val="tx1"/>
                  </w14:solidFill>
                </w14:textFill>
              </w:rPr>
              <w:t>《碎屑岩油藏注水水质指标技术要求及分析方法》（SY/T5329-2022）等相关标准要求</w:t>
            </w:r>
            <w:r>
              <w:rPr>
                <w:rFonts w:hint="eastAsia"/>
                <w:color w:val="000000" w:themeColor="text1"/>
                <w:lang w:val="zh-CN"/>
                <w14:textFill>
                  <w14:solidFill>
                    <w14:schemeClr w14:val="tx1"/>
                  </w14:solidFill>
                </w14:textFill>
              </w:rPr>
              <w:t>后，回注油藏；井场均采取了相应的防渗措施。</w:t>
            </w:r>
          </w:p>
        </w:tc>
        <w:tc>
          <w:tcPr>
            <w:tcW w:w="586" w:type="dxa"/>
            <w:tcMar>
              <w:left w:w="0" w:type="dxa"/>
              <w:right w:w="0" w:type="dxa"/>
            </w:tcMar>
            <w:vAlign w:val="center"/>
          </w:tcPr>
          <w:p w14:paraId="1215FD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1DF66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tcMar>
              <w:left w:w="0" w:type="dxa"/>
              <w:right w:w="0" w:type="dxa"/>
            </w:tcMar>
            <w:vAlign w:val="center"/>
          </w:tcPr>
          <w:p w14:paraId="0102113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w:t>
            </w:r>
          </w:p>
        </w:tc>
        <w:tc>
          <w:tcPr>
            <w:tcW w:w="4866" w:type="dxa"/>
            <w:tcMar>
              <w:left w:w="0" w:type="dxa"/>
              <w:right w:w="0" w:type="dxa"/>
            </w:tcMar>
            <w:vAlign w:val="center"/>
          </w:tcPr>
          <w:p w14:paraId="475AE4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四）加强生态环境系统治理，维护生态安全。坚持节约优先、保护优先、自然恢复为主，统筹推进山水林田湖草沙一体化保护和系统治理，守住自然生态安全边界。严格控制油气田开发扰动范围，加大生态治理力度，结合油气开采绿色矿山建设等相关要求，落实各项生态环境保护措施，保障区域生态功能不退化。油气开发应同步制定并落实生态保护和修复方案，综合考虑防沙治沙等相关要求，因地制宜开展生态恢复治理工作。</w:t>
            </w:r>
          </w:p>
        </w:tc>
        <w:tc>
          <w:tcPr>
            <w:tcW w:w="2757" w:type="dxa"/>
            <w:tcMar>
              <w:left w:w="0" w:type="dxa"/>
              <w:right w:w="0" w:type="dxa"/>
            </w:tcMar>
            <w:vAlign w:val="center"/>
          </w:tcPr>
          <w:p w14:paraId="050CA38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报告中提出了相应的生态环境保护措施，并制定了生态恢复治理方案。</w:t>
            </w:r>
          </w:p>
        </w:tc>
        <w:tc>
          <w:tcPr>
            <w:tcW w:w="586" w:type="dxa"/>
            <w:tcMar>
              <w:left w:w="0" w:type="dxa"/>
              <w:right w:w="0" w:type="dxa"/>
            </w:tcMar>
            <w:vAlign w:val="center"/>
          </w:tcPr>
          <w:p w14:paraId="50E9372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A6E16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tcMar>
              <w:left w:w="0" w:type="dxa"/>
              <w:right w:w="0" w:type="dxa"/>
            </w:tcMar>
            <w:vAlign w:val="center"/>
          </w:tcPr>
          <w:p w14:paraId="11A86D1A">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w:t>
            </w:r>
          </w:p>
        </w:tc>
        <w:tc>
          <w:tcPr>
            <w:tcW w:w="4866" w:type="dxa"/>
            <w:tcMar>
              <w:left w:w="0" w:type="dxa"/>
              <w:right w:w="0" w:type="dxa"/>
            </w:tcMar>
            <w:vAlign w:val="center"/>
          </w:tcPr>
          <w:p w14:paraId="056E4A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加强油气开发事中事后环境管理。油气企业应切实落实生态环境保护主体责任，进一步健全生态环境管理和应急管理体系，确保各项生态环境保护和应急防控措施落实到位。建立环境空气、水环境、土壤环境、生态等监测体系，开展长期跟踪监测。根据监测结果，及时优化开发方案，并采取有效的生态环境保护措施。</w:t>
            </w:r>
          </w:p>
        </w:tc>
        <w:tc>
          <w:tcPr>
            <w:tcW w:w="2757" w:type="dxa"/>
            <w:tcMar>
              <w:left w:w="0" w:type="dxa"/>
              <w:right w:w="0" w:type="dxa"/>
            </w:tcMar>
            <w:vAlign w:val="center"/>
          </w:tcPr>
          <w:p w14:paraId="7321528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报告中提出了运营期监测计划和环境影响后评价的要求。</w:t>
            </w:r>
          </w:p>
        </w:tc>
        <w:tc>
          <w:tcPr>
            <w:tcW w:w="586" w:type="dxa"/>
            <w:tcMar>
              <w:left w:w="0" w:type="dxa"/>
              <w:right w:w="0" w:type="dxa"/>
            </w:tcMar>
            <w:vAlign w:val="center"/>
          </w:tcPr>
          <w:p w14:paraId="6066FF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bookmarkEnd w:id="144"/>
    </w:tbl>
    <w:p w14:paraId="1C7477C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（4）与</w:t>
      </w: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新疆生态环境保护“十四五”规划</w:t>
      </w:r>
      <w:r>
        <w:rPr>
          <w:rFonts w:hint="eastAsia"/>
          <w:color w:val="000000" w:themeColor="text1"/>
          <w:lang w:bidi="ar"/>
          <w14:textFill>
            <w14:solidFill>
              <w14:schemeClr w14:val="tx1"/>
            </w14:solidFill>
          </w14:textFill>
        </w:rPr>
        <w:t>》</w:t>
      </w:r>
      <w:r>
        <w:rPr>
          <w:rFonts w:hint="eastAsia"/>
          <w:color w:val="000000" w:themeColor="text1"/>
          <w14:textFill>
            <w14:solidFill>
              <w14:schemeClr w14:val="tx1"/>
            </w14:solidFill>
          </w14:textFill>
        </w:rPr>
        <w:t>的符合性分析</w:t>
      </w:r>
    </w:p>
    <w:p w14:paraId="3B249411">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项目建设符合《</w:t>
      </w:r>
      <w:r>
        <w:rPr>
          <w:color w:val="000000" w:themeColor="text1"/>
          <w:lang w:bidi="ar"/>
          <w14:textFill>
            <w14:solidFill>
              <w14:schemeClr w14:val="tx1"/>
            </w14:solidFill>
          </w14:textFill>
        </w:rPr>
        <w:t>新疆生态环境保护“十四五”规划</w:t>
      </w:r>
      <w:r>
        <w:rPr>
          <w:rFonts w:hint="eastAsia"/>
          <w:color w:val="000000" w:themeColor="text1"/>
          <w:lang w:bidi="ar"/>
          <w14:textFill>
            <w14:solidFill>
              <w14:schemeClr w14:val="tx1"/>
            </w14:solidFill>
          </w14:textFill>
        </w:rPr>
        <w:t>》中的相关要求，详见表2</w:t>
      </w:r>
      <w:r>
        <w:rPr>
          <w:color w:val="000000" w:themeColor="text1"/>
          <w:lang w:bidi="ar"/>
          <w14:textFill>
            <w14:solidFill>
              <w14:schemeClr w14:val="tx1"/>
            </w14:solidFill>
          </w14:textFill>
        </w:rPr>
        <w:t>.9-</w:t>
      </w:r>
      <w:r>
        <w:rPr>
          <w:rFonts w:hint="eastAsia"/>
          <w:color w:val="000000" w:themeColor="text1"/>
          <w:lang w:bidi="ar"/>
          <w14:textFill>
            <w14:solidFill>
              <w14:schemeClr w14:val="tx1"/>
            </w14:solidFill>
          </w14:textFill>
        </w:rPr>
        <w:t>4。</w:t>
      </w:r>
    </w:p>
    <w:p w14:paraId="05512A8B">
      <w:pPr>
        <w:spacing w:line="500" w:lineRule="exact"/>
        <w:ind w:firstLine="420" w:firstLineChars="200"/>
        <w:jc w:val="center"/>
        <w:rPr>
          <w:rFonts w:hint="eastAsia"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表2</w:t>
      </w:r>
      <w:r>
        <w:rPr>
          <w:rFonts w:ascii="黑体" w:hAnsi="黑体" w:eastAsia="黑体"/>
          <w:color w:val="000000" w:themeColor="text1"/>
          <w:szCs w:val="21"/>
          <w14:textFill>
            <w14:solidFill>
              <w14:schemeClr w14:val="tx1"/>
            </w14:solidFill>
          </w14:textFill>
        </w:rPr>
        <w:t>.9-</w:t>
      </w:r>
      <w:r>
        <w:rPr>
          <w:rFonts w:hint="eastAsia" w:ascii="黑体" w:hAnsi="黑体" w:eastAsia="黑体"/>
          <w:color w:val="000000" w:themeColor="text1"/>
          <w:szCs w:val="21"/>
          <w14:textFill>
            <w14:solidFill>
              <w14:schemeClr w14:val="tx1"/>
            </w14:solidFill>
          </w14:textFill>
        </w:rPr>
        <w:t xml:space="preserve">4 </w:t>
      </w:r>
      <w:r>
        <w:rPr>
          <w:rFonts w:ascii="黑体" w:hAnsi="黑体" w:eastAsia="黑体"/>
          <w:color w:val="000000" w:themeColor="text1"/>
          <w:szCs w:val="21"/>
          <w14:textFill>
            <w14:solidFill>
              <w14:schemeClr w14:val="tx1"/>
            </w14:solidFill>
          </w14:textFill>
        </w:rPr>
        <w:t xml:space="preserve"> </w:t>
      </w:r>
      <w:r>
        <w:rPr>
          <w:rFonts w:hint="eastAsia" w:ascii="黑体" w:hAnsi="黑体" w:eastAsia="黑体"/>
          <w:color w:val="000000" w:themeColor="text1"/>
          <w:szCs w:val="21"/>
          <w14:textFill>
            <w14:solidFill>
              <w14:schemeClr w14:val="tx1"/>
            </w14:solidFill>
          </w14:textFill>
        </w:rPr>
        <w:t>项目与《</w:t>
      </w:r>
      <w:r>
        <w:rPr>
          <w:rFonts w:ascii="黑体" w:hAnsi="黑体" w:eastAsia="黑体"/>
          <w:color w:val="000000" w:themeColor="text1"/>
          <w:szCs w:val="21"/>
          <w14:textFill>
            <w14:solidFill>
              <w14:schemeClr w14:val="tx1"/>
            </w14:solidFill>
          </w14:textFill>
        </w:rPr>
        <w:t>新疆生态环境保护“十四五”规划</w:t>
      </w:r>
      <w:r>
        <w:rPr>
          <w:rFonts w:hint="eastAsia" w:ascii="黑体" w:hAnsi="黑体" w:eastAsia="黑体"/>
          <w:color w:val="000000" w:themeColor="text1"/>
          <w:szCs w:val="21"/>
          <w14:textFill>
            <w14:solidFill>
              <w14:schemeClr w14:val="tx1"/>
            </w14:solidFill>
          </w14:textFill>
        </w:rPr>
        <w:t>》的相符性分析</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6" w:type="dxa"/>
          <w:bottom w:w="0" w:type="dxa"/>
          <w:right w:w="6" w:type="dxa"/>
        </w:tblCellMar>
      </w:tblPr>
      <w:tblGrid>
        <w:gridCol w:w="284"/>
        <w:gridCol w:w="4252"/>
        <w:gridCol w:w="3545"/>
        <w:gridCol w:w="650"/>
      </w:tblGrid>
      <w:tr w14:paraId="71DE9F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blHeader/>
        </w:trPr>
        <w:tc>
          <w:tcPr>
            <w:tcW w:w="163" w:type="pct"/>
            <w:vAlign w:val="center"/>
          </w:tcPr>
          <w:p w14:paraId="15D9CC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2435" w:type="pct"/>
            <w:vAlign w:val="center"/>
          </w:tcPr>
          <w:p w14:paraId="5F7C633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规划中相关要求</w:t>
            </w:r>
          </w:p>
        </w:tc>
        <w:tc>
          <w:tcPr>
            <w:tcW w:w="2030" w:type="pct"/>
            <w:vAlign w:val="center"/>
          </w:tcPr>
          <w:p w14:paraId="41F85F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本项目拟采取措施</w:t>
            </w:r>
          </w:p>
        </w:tc>
        <w:tc>
          <w:tcPr>
            <w:tcW w:w="372" w:type="pct"/>
            <w:vAlign w:val="center"/>
          </w:tcPr>
          <w:p w14:paraId="70651B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符合性分析</w:t>
            </w:r>
          </w:p>
        </w:tc>
      </w:tr>
      <w:tr w14:paraId="0083E9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0488A3C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435" w:type="pct"/>
            <w:vAlign w:val="center"/>
          </w:tcPr>
          <w:p w14:paraId="0900762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支持企业实施智能化改造升级，推动石油开采、石油化工、煤化工、有色金属、钢铁、焦化、建材、农副产品加工等传统产业的重点企业改进工艺、节能降耗、提质增效，促进传统产业绿色化、智能化、高端化发展</w:t>
            </w:r>
          </w:p>
        </w:tc>
        <w:tc>
          <w:tcPr>
            <w:tcW w:w="2030" w:type="pct"/>
            <w:vAlign w:val="center"/>
          </w:tcPr>
          <w:p w14:paraId="71C1234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井口采出物采用密闭集输工艺；生产过程中自动化程度较高，井口建设有自动化系统，可实现生产数据全过程自动化管理。</w:t>
            </w:r>
          </w:p>
        </w:tc>
        <w:tc>
          <w:tcPr>
            <w:tcW w:w="372" w:type="pct"/>
            <w:vAlign w:val="center"/>
          </w:tcPr>
          <w:p w14:paraId="19738A0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BE6E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5F94E54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435" w:type="pct"/>
            <w:vAlign w:val="center"/>
          </w:tcPr>
          <w:p w14:paraId="6E2D63C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强重点行业VOCs治理。实施VOCs排放总量控制，重点推进石油天然气开采、石化、化工、包装印刷、工业涂装、油品储运销等重点行业排放源以及机动车等移动源VOCs污染防治，加强重点行业、重点企业的精细化管控</w:t>
            </w:r>
          </w:p>
        </w:tc>
        <w:tc>
          <w:tcPr>
            <w:tcW w:w="2030" w:type="pct"/>
            <w:vAlign w:val="center"/>
          </w:tcPr>
          <w:p w14:paraId="5E5AE1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油气开采过程中的无组织废气通过选用质量可靠的设备和加强泄漏检测与修复工作进行防治；项目建成后交由吉庆油田作业区管辖。</w:t>
            </w:r>
          </w:p>
        </w:tc>
        <w:tc>
          <w:tcPr>
            <w:tcW w:w="372" w:type="pct"/>
            <w:vAlign w:val="center"/>
          </w:tcPr>
          <w:p w14:paraId="5F813BF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38013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6466A2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435" w:type="pct"/>
            <w:vAlign w:val="center"/>
          </w:tcPr>
          <w:p w14:paraId="5065947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加快发展现代煤化工、新材料、有色金属、煤炭、煤电、矿产开采及加工等优势产业，培育壮大先进装备制造、页岩油气加工、节能环保、新型建材、新能源等新兴产业和生产性服务业</w:t>
            </w:r>
          </w:p>
        </w:tc>
        <w:tc>
          <w:tcPr>
            <w:tcW w:w="2030" w:type="pct"/>
            <w:vAlign w:val="center"/>
          </w:tcPr>
          <w:p w14:paraId="63FE5F7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本工程为陆地石油开采项目，属于区域优势矿产资源。</w:t>
            </w:r>
          </w:p>
        </w:tc>
        <w:tc>
          <w:tcPr>
            <w:tcW w:w="372" w:type="pct"/>
            <w:vAlign w:val="center"/>
          </w:tcPr>
          <w:p w14:paraId="30A153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416D50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215CFAA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2435" w:type="pct"/>
            <w:vAlign w:val="center"/>
          </w:tcPr>
          <w:p w14:paraId="0709BF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实施最严格的生态保护制度。坚决遏制“两高”项目盲目发展，严格执行能源、矿产资源开发自治区人民政府“一支笔”审批制度、环境保护“一票否决”制度，落实“三线一单”生态环境分区管控要求，守住生态保护红线、环境质量底线和资源利用上线，实施生态环境准入清单管控。</w:t>
            </w:r>
          </w:p>
        </w:tc>
        <w:tc>
          <w:tcPr>
            <w:tcW w:w="2030" w:type="pct"/>
            <w:vAlign w:val="center"/>
          </w:tcPr>
          <w:p w14:paraId="1C0746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不属于“高污染、高环境风险产品”项目；位于一般管控单元，不涉及生态红线；废气、噪声均可实现达标排放，废水和固体废物均得到妥善处置，不会突破区域环境质量底线；施工期和运营期会消耗少量的电能和水，工程资源消耗量相对区域资料利用总量较少，符合资源上线要求；符合“三线一单”的要求。</w:t>
            </w:r>
          </w:p>
        </w:tc>
        <w:tc>
          <w:tcPr>
            <w:tcW w:w="372" w:type="pct"/>
            <w:vAlign w:val="center"/>
          </w:tcPr>
          <w:p w14:paraId="5E280C5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3D6E2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19AD66E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2435" w:type="pct"/>
            <w:vAlign w:val="center"/>
          </w:tcPr>
          <w:p w14:paraId="2C51346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积极引导重点产废企业自建危险废物利用设施，支持大型企业集团内部共享危险废物利用处置设施，推进工业废盐、废催化剂、煤焦油、电解铝大修渣等利用处置设施建设，适度发展水泥窑协同处置危险废物，引导推进有害废物处理处置能力建设，引导推进含油污泥处置、废矿物油回收利用能力过剩问题化解和布局优化。坚持兵地统筹、区域协同规划和建设危险废物利用处置设施，实现疆内危险废物处置能力与产废情况总体匹配。深入推进油气田开采历史遗留含油污泥、磺化泥浆、黄金选矿行业氰化尾渣、铜冶炼行业砷渣以及石棉矿选矿废渣等调查和污染治理</w:t>
            </w:r>
          </w:p>
        </w:tc>
        <w:tc>
          <w:tcPr>
            <w:tcW w:w="2030" w:type="pct"/>
            <w:vAlign w:val="center"/>
          </w:tcPr>
          <w:p w14:paraId="425381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运营期危险废物为废润滑油、废润滑油桶、沾油废防渗材料和废含油抹布、劳保用品，分类收集，集中收集后交由有相应资质的单位处置。</w:t>
            </w:r>
          </w:p>
        </w:tc>
        <w:tc>
          <w:tcPr>
            <w:tcW w:w="372" w:type="pct"/>
            <w:vAlign w:val="center"/>
          </w:tcPr>
          <w:p w14:paraId="189F96F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3A86B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46A1ED5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2435" w:type="pct"/>
            <w:vAlign w:val="center"/>
          </w:tcPr>
          <w:p w14:paraId="4D1B6D3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强化危险废物全过程环境监管。督促各类危险废物产生单位和经营单位依法申报危险废物产生处置情况，报备管理计划，做好信息公开工作，规范运行危险废物转移联单。</w:t>
            </w:r>
          </w:p>
        </w:tc>
        <w:tc>
          <w:tcPr>
            <w:tcW w:w="2030" w:type="pct"/>
            <w:vAlign w:val="center"/>
          </w:tcPr>
          <w:p w14:paraId="303990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吉庆油田作业区已定期申报危险废物产生处置情况，并制定有危险废物管理计划，危险废物转移时执行危险废物转移联单制度</w:t>
            </w:r>
          </w:p>
        </w:tc>
        <w:tc>
          <w:tcPr>
            <w:tcW w:w="372" w:type="pct"/>
            <w:vAlign w:val="center"/>
          </w:tcPr>
          <w:p w14:paraId="2B6771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CC8AD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5DC0681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2435" w:type="pct"/>
            <w:vAlign w:val="center"/>
          </w:tcPr>
          <w:p w14:paraId="3966B8B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严格落实排污许可制度，健全事前事中事后监管体系。加强企业环境治理责任制度建设，指导帮扶企业建立自我检查、自我纠正、自我完善的环境保护工作机制。督促企业严格执行法律法规，严格执行建设项目环境影响评价、环境保护“三同时”、排污许可证申领、自行监测、清洁生产与资源综合利用等环境保护管理制度，履行污染治理与排放控制、水资源节约和保护、生态保护与修复、突发环境事件应急管理等法定义务和社会责任，并主动接受社会监督</w:t>
            </w:r>
          </w:p>
        </w:tc>
        <w:tc>
          <w:tcPr>
            <w:tcW w:w="2030" w:type="pct"/>
            <w:vAlign w:val="center"/>
          </w:tcPr>
          <w:p w14:paraId="34C9F7D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根据《固定源排污许可分类管理名录》，本工程不涉及通用工序。环境管理依托其已建立的、完善的环境管理体系，本报告提出了严格落实环境保护“三同时”、运营期监测计划的要求，并依法公开</w:t>
            </w:r>
          </w:p>
        </w:tc>
        <w:tc>
          <w:tcPr>
            <w:tcW w:w="372" w:type="pct"/>
            <w:vAlign w:val="center"/>
          </w:tcPr>
          <w:p w14:paraId="4335AA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3BDEF3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39C25F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2435" w:type="pct"/>
            <w:vAlign w:val="center"/>
          </w:tcPr>
          <w:p w14:paraId="70E34DE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加强应急监测装备配置，定期开展应急演练，增强实战能力。</w:t>
            </w:r>
          </w:p>
        </w:tc>
        <w:tc>
          <w:tcPr>
            <w:tcW w:w="2030" w:type="pct"/>
            <w:vAlign w:val="center"/>
          </w:tcPr>
          <w:p w14:paraId="5B30D42F">
            <w:pPr>
              <w:pStyle w:val="280"/>
              <w:rPr>
                <w:rFonts w:hint="eastAsia" w:ascii="FZYaSongS-R-GB" w:hAnsi="FZYaSongS-R-GB"/>
                <w:color w:val="000000" w:themeColor="text1"/>
                <w:sz w:val="29"/>
                <w:szCs w:val="29"/>
                <w:shd w:val="clear" w:color="auto" w:fill="FFFFFF"/>
                <w14:textFill>
                  <w14:solidFill>
                    <w14:schemeClr w14:val="tx1"/>
                  </w14:solidFill>
                </w14:textFill>
              </w:rPr>
            </w:pPr>
            <w:r>
              <w:rPr>
                <w:rFonts w:hint="eastAsia"/>
                <w:color w:val="000000" w:themeColor="text1"/>
                <w14:textFill>
                  <w14:solidFill>
                    <w14:schemeClr w14:val="tx1"/>
                  </w14:solidFill>
                </w14:textFill>
              </w:rPr>
              <w:t>吉庆油田作业区已编制突发环境事件应急预案并进行备案工作，并定期进行应急演练工作</w:t>
            </w:r>
          </w:p>
        </w:tc>
        <w:tc>
          <w:tcPr>
            <w:tcW w:w="372" w:type="pct"/>
            <w:vAlign w:val="center"/>
          </w:tcPr>
          <w:p w14:paraId="7B4908AE">
            <w:pPr>
              <w:pStyle w:val="280"/>
              <w:rPr>
                <w:rFonts w:hint="eastAsia" w:ascii="FZYaSongS-R-GB" w:hAnsi="FZYaSongS-R-GB"/>
                <w:color w:val="000000" w:themeColor="text1"/>
                <w:sz w:val="29"/>
                <w:szCs w:val="29"/>
                <w:shd w:val="clear" w:color="auto" w:fill="FFFFFF"/>
                <w14:textFill>
                  <w14:solidFill>
                    <w14:schemeClr w14:val="tx1"/>
                  </w14:solidFill>
                </w14:textFill>
              </w:rPr>
            </w:pPr>
            <w:r>
              <w:rPr>
                <w:rFonts w:hint="eastAsia"/>
                <w:color w:val="000000" w:themeColor="text1"/>
                <w14:textFill>
                  <w14:solidFill>
                    <w14:schemeClr w14:val="tx1"/>
                  </w14:solidFill>
                </w14:textFill>
              </w:rPr>
              <w:t>符合</w:t>
            </w:r>
          </w:p>
        </w:tc>
      </w:tr>
    </w:tbl>
    <w:p w14:paraId="733D9063">
      <w:pPr>
        <w:pStyle w:val="120"/>
        <w:rPr>
          <w:rFonts w:hint="eastAsia"/>
          <w:color w:val="000000" w:themeColor="text1"/>
          <w14:textFill>
            <w14:solidFill>
              <w14:schemeClr w14:val="tx1"/>
            </w14:solidFill>
          </w14:textFill>
        </w:rPr>
      </w:pPr>
      <w:bookmarkStart w:id="145" w:name="_Toc391973485"/>
      <w:bookmarkStart w:id="146" w:name="_Toc395781417"/>
      <w:bookmarkStart w:id="147" w:name="_Toc445996340"/>
      <w:bookmarkStart w:id="148" w:name="_Toc445829778"/>
      <w:bookmarkStart w:id="149" w:name="_Toc387775561"/>
      <w:bookmarkStart w:id="150" w:name="_Toc396754461"/>
      <w:bookmarkStart w:id="151" w:name="_Toc445840394"/>
      <w:bookmarkStart w:id="152" w:name="_Toc395781890"/>
      <w:bookmarkStart w:id="153" w:name="_Toc387184368"/>
      <w:bookmarkStart w:id="154" w:name="_Toc445842059"/>
      <w:bookmarkStart w:id="155" w:name="_Toc389770958"/>
      <w:bookmarkStart w:id="156" w:name="_Toc22211"/>
      <w:r>
        <w:rPr>
          <w:rFonts w:hint="eastAsia"/>
          <w:color w:val="000000" w:themeColor="text1"/>
          <w14:textFill>
            <w14:solidFill>
              <w14:schemeClr w14:val="tx1"/>
            </w14:solidFill>
          </w14:textFill>
        </w:rPr>
        <w:t>（5）</w:t>
      </w:r>
      <w:r>
        <w:rPr>
          <w:color w:val="000000" w:themeColor="text1"/>
          <w14:textFill>
            <w14:solidFill>
              <w14:schemeClr w14:val="tx1"/>
            </w14:solidFill>
          </w14:textFill>
        </w:rPr>
        <w:t>与《昌吉回族自治州生态环境保护与建设“十四五”规划》符合性分析</w:t>
      </w:r>
    </w:p>
    <w:p w14:paraId="1BD92DE3">
      <w:pPr>
        <w:pStyle w:val="193"/>
        <w:contextualSpacing/>
        <w:rPr>
          <w:rFonts w:hint="eastAsia"/>
          <w:color w:val="000000" w:themeColor="text1"/>
          <w14:textFill>
            <w14:solidFill>
              <w14:schemeClr w14:val="tx1"/>
            </w14:solidFill>
          </w14:textFill>
        </w:rPr>
      </w:pPr>
      <w:r>
        <w:rPr>
          <w:color w:val="000000" w:themeColor="text1"/>
          <w14:textFill>
            <w14:solidFill>
              <w14:schemeClr w14:val="tx1"/>
            </w14:solidFill>
          </w14:textFill>
        </w:rPr>
        <w:t>项目建设符合《昌吉回族自治州生态环境保护与建设“十四五”规划》中的相关要求，具体分析见表2.9-</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w:t>
      </w:r>
    </w:p>
    <w:p w14:paraId="75C2241F">
      <w:pPr>
        <w:spacing w:line="500" w:lineRule="exact"/>
        <w:jc w:val="center"/>
        <w:rPr>
          <w:rFonts w:hint="eastAsia" w:ascii="黑体" w:hAnsi="黑体" w:eastAsia="黑体"/>
          <w:color w:val="000000" w:themeColor="text1"/>
          <w:szCs w:val="20"/>
          <w14:textFill>
            <w14:solidFill>
              <w14:schemeClr w14:val="tx1"/>
            </w14:solidFill>
          </w14:textFill>
        </w:rPr>
      </w:pPr>
      <w:r>
        <w:rPr>
          <w:rFonts w:hint="eastAsia" w:ascii="黑体" w:hAnsi="黑体" w:eastAsia="黑体"/>
          <w:color w:val="000000" w:themeColor="text1"/>
          <w:szCs w:val="20"/>
          <w14:textFill>
            <w14:solidFill>
              <w14:schemeClr w14:val="tx1"/>
            </w14:solidFill>
          </w14:textFill>
        </w:rPr>
        <w:t>表2.9-5  项目与《昌吉回族自治州生态环境保护与建设“十四五”规划》的相符性分析</w:t>
      </w:r>
    </w:p>
    <w:p w14:paraId="33F09E1E">
      <w:pPr>
        <w:spacing w:line="31" w:lineRule="exact"/>
        <w:ind w:firstLine="480"/>
        <w:rPr>
          <w:color w:val="000000" w:themeColor="text1"/>
          <w14:textFill>
            <w14:solidFill>
              <w14:schemeClr w14:val="tx1"/>
            </w14:solidFill>
          </w14:textFill>
        </w:rPr>
      </w:pPr>
    </w:p>
    <w:tbl>
      <w:tblPr>
        <w:tblStyle w:val="51"/>
        <w:tblW w:w="874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39"/>
        <w:gridCol w:w="4576"/>
        <w:gridCol w:w="3088"/>
        <w:gridCol w:w="644"/>
      </w:tblGrid>
      <w:tr w14:paraId="180F62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9" w:type="dxa"/>
            <w:vAlign w:val="center"/>
          </w:tcPr>
          <w:p w14:paraId="30EEAB42">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序号</w:t>
            </w:r>
          </w:p>
        </w:tc>
        <w:tc>
          <w:tcPr>
            <w:tcW w:w="4576" w:type="dxa"/>
            <w:vAlign w:val="center"/>
          </w:tcPr>
          <w:p w14:paraId="4F2CCBF5">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规划中相关要求</w:t>
            </w:r>
          </w:p>
        </w:tc>
        <w:tc>
          <w:tcPr>
            <w:tcW w:w="3088" w:type="dxa"/>
            <w:vAlign w:val="center"/>
          </w:tcPr>
          <w:p w14:paraId="04994CB3">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拟采取措施</w:t>
            </w:r>
          </w:p>
        </w:tc>
        <w:tc>
          <w:tcPr>
            <w:tcW w:w="644" w:type="dxa"/>
            <w:vAlign w:val="center"/>
          </w:tcPr>
          <w:p w14:paraId="08202893">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符合性</w:t>
            </w:r>
          </w:p>
          <w:p w14:paraId="54C1560F">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分析</w:t>
            </w:r>
          </w:p>
        </w:tc>
      </w:tr>
      <w:tr w14:paraId="18B167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9" w:type="dxa"/>
            <w:vAlign w:val="center"/>
          </w:tcPr>
          <w:p w14:paraId="213B108C">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1</w:t>
            </w:r>
          </w:p>
        </w:tc>
        <w:tc>
          <w:tcPr>
            <w:tcW w:w="4576" w:type="dxa"/>
            <w:vAlign w:val="center"/>
          </w:tcPr>
          <w:p w14:paraId="71F685E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加快发展现代煤化工、新材料、有色金属、煤炭、煤电、矿产开采及加工等优势产业，培育壮大先进装备制造、页岩油气加工、节能环保、新型建材、新能源等新兴产业和生产性服务业。</w:t>
            </w:r>
          </w:p>
        </w:tc>
        <w:tc>
          <w:tcPr>
            <w:tcW w:w="3088" w:type="dxa"/>
            <w:vAlign w:val="center"/>
          </w:tcPr>
          <w:p w14:paraId="197BCDD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本项目为陆地</w:t>
            </w:r>
            <w:r>
              <w:rPr>
                <w:rFonts w:hint="eastAsia"/>
                <w:color w:val="000000" w:themeColor="text1"/>
                <w14:textFill>
                  <w14:solidFill>
                    <w14:schemeClr w14:val="tx1"/>
                  </w14:solidFill>
                </w14:textFill>
              </w:rPr>
              <w:t>石油开采项目</w:t>
            </w:r>
            <w:r>
              <w:rPr>
                <w:color w:val="000000" w:themeColor="text1"/>
                <w14:textFill>
                  <w14:solidFill>
                    <w14:schemeClr w14:val="tx1"/>
                  </w14:solidFill>
                </w14:textFill>
              </w:rPr>
              <w:t>，产品主要为</w:t>
            </w:r>
            <w:r>
              <w:rPr>
                <w:rFonts w:hint="eastAsia"/>
                <w:color w:val="000000" w:themeColor="text1"/>
                <w14:textFill>
                  <w14:solidFill>
                    <w14:schemeClr w14:val="tx1"/>
                  </w14:solidFill>
                </w14:textFill>
              </w:rPr>
              <w:t>原油</w:t>
            </w:r>
          </w:p>
        </w:tc>
        <w:tc>
          <w:tcPr>
            <w:tcW w:w="644" w:type="dxa"/>
            <w:vAlign w:val="center"/>
          </w:tcPr>
          <w:p w14:paraId="3D95036E">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符合</w:t>
            </w:r>
          </w:p>
        </w:tc>
      </w:tr>
      <w:tr w14:paraId="024A32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9" w:type="dxa"/>
            <w:vAlign w:val="center"/>
          </w:tcPr>
          <w:p w14:paraId="68E16F11">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2</w:t>
            </w:r>
          </w:p>
        </w:tc>
        <w:tc>
          <w:tcPr>
            <w:tcW w:w="4576" w:type="dxa"/>
            <w:vAlign w:val="center"/>
          </w:tcPr>
          <w:p w14:paraId="2B6EC86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推进石化、化工、工业涂装、家具制造、塑料、橡胶、包装印刷、汽修等重点行业领域VOCs整治，加强VOCs源头、过程、末端全流程控制，重点加强对光化学反应活性强的VOCs物质控制，开展企业深度治理和精细化管控。</w:t>
            </w:r>
          </w:p>
        </w:tc>
        <w:tc>
          <w:tcPr>
            <w:tcW w:w="3088" w:type="dxa"/>
            <w:vAlign w:val="center"/>
          </w:tcPr>
          <w:p w14:paraId="5409E59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集输采用密闭工艺，定期对站场设备、阀门、法兰等检查、维修。</w:t>
            </w:r>
          </w:p>
        </w:tc>
        <w:tc>
          <w:tcPr>
            <w:tcW w:w="644" w:type="dxa"/>
            <w:vAlign w:val="center"/>
          </w:tcPr>
          <w:p w14:paraId="1ABA909A">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符合</w:t>
            </w:r>
          </w:p>
        </w:tc>
      </w:tr>
      <w:tr w14:paraId="3A0180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9" w:type="dxa"/>
            <w:vAlign w:val="center"/>
          </w:tcPr>
          <w:p w14:paraId="73766D9B">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3</w:t>
            </w:r>
          </w:p>
        </w:tc>
        <w:tc>
          <w:tcPr>
            <w:tcW w:w="4576" w:type="dxa"/>
            <w:vAlign w:val="center"/>
          </w:tcPr>
          <w:p w14:paraId="2157C18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健全政府、企业和跨区域流域等突发环境事件应急预案体系，加强应急演练。</w:t>
            </w:r>
          </w:p>
        </w:tc>
        <w:tc>
          <w:tcPr>
            <w:tcW w:w="3088" w:type="dxa"/>
            <w:vAlign w:val="center"/>
          </w:tcPr>
          <w:p w14:paraId="3EA8504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吉庆油田作业区</w:t>
            </w:r>
            <w:r>
              <w:rPr>
                <w:color w:val="000000" w:themeColor="text1"/>
                <w14:textFill>
                  <w14:solidFill>
                    <w14:schemeClr w14:val="tx1"/>
                  </w14:solidFill>
                </w14:textFill>
              </w:rPr>
              <w:t>编制了《</w:t>
            </w:r>
            <w:r>
              <w:rPr>
                <w:rFonts w:hint="eastAsia"/>
                <w:color w:val="000000" w:themeColor="text1"/>
                <w14:textFill>
                  <w14:solidFill>
                    <w14:schemeClr w14:val="tx1"/>
                  </w14:solidFill>
                </w14:textFill>
              </w:rPr>
              <w:t>中国石油新疆油田分公司吉庆油田作业区突发环境污染事件应急预案</w:t>
            </w:r>
            <w:r>
              <w:rPr>
                <w:color w:val="000000" w:themeColor="text1"/>
                <w14:textFill>
                  <w14:solidFill>
                    <w14:schemeClr w14:val="tx1"/>
                  </w14:solidFill>
                </w14:textFill>
              </w:rPr>
              <w:t>》，并</w:t>
            </w:r>
            <w:r>
              <w:rPr>
                <w:rFonts w:hint="eastAsia"/>
                <w:color w:val="000000" w:themeColor="text1"/>
                <w14:textFill>
                  <w14:solidFill>
                    <w14:schemeClr w14:val="tx1"/>
                  </w14:solidFill>
                </w14:textFill>
              </w:rPr>
              <w:t>在昌吉回族自治州生态环境局吉木萨尔县分局进行了备案（备案编号：652327-2023-016-L）</w:t>
            </w:r>
            <w:r>
              <w:rPr>
                <w:color w:val="000000" w:themeColor="text1"/>
                <w14:textFill>
                  <w14:solidFill>
                    <w14:schemeClr w14:val="tx1"/>
                  </w14:solidFill>
                </w14:textFill>
              </w:rPr>
              <w:t>。</w:t>
            </w:r>
          </w:p>
        </w:tc>
        <w:tc>
          <w:tcPr>
            <w:tcW w:w="644" w:type="dxa"/>
            <w:vAlign w:val="center"/>
          </w:tcPr>
          <w:p w14:paraId="5A1D8844">
            <w:pPr>
              <w:pStyle w:val="280"/>
              <w:rPr>
                <w:rFonts w:hint="eastAsia"/>
                <w:color w:val="000000" w:themeColor="text1"/>
                <w:lang w:eastAsia="en-US"/>
                <w14:textFill>
                  <w14:solidFill>
                    <w14:schemeClr w14:val="tx1"/>
                  </w14:solidFill>
                </w14:textFill>
              </w:rPr>
            </w:pPr>
            <w:r>
              <w:rPr>
                <w:color w:val="000000" w:themeColor="text1"/>
                <w:lang w:eastAsia="en-US"/>
                <w14:textFill>
                  <w14:solidFill>
                    <w14:schemeClr w14:val="tx1"/>
                  </w14:solidFill>
                </w14:textFill>
              </w:rPr>
              <w:t>符合</w:t>
            </w:r>
          </w:p>
        </w:tc>
      </w:tr>
    </w:tbl>
    <w:p w14:paraId="66BBF756">
      <w:pPr>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（6）与《昌吉回族自治州矿产资源总体规划（2021—2025年）》的符合性分析</w:t>
      </w:r>
    </w:p>
    <w:p w14:paraId="540C8604">
      <w:pPr>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《昌吉回族自治州矿产资源总体规划（2021—2025年）》取得新疆维吾尔自治区自然资源厅批复，审批文号（新自然资函</w:t>
      </w:r>
      <w:r>
        <w:rPr>
          <w:rFonts w:hint="eastAsia" w:ascii="宋体" w:hAnsi="宋体" w:cs="宋体"/>
          <w:color w:val="000000" w:themeColor="text1"/>
          <w:sz w:val="24"/>
          <w:szCs w:val="24"/>
          <w14:textFill>
            <w14:solidFill>
              <w14:schemeClr w14:val="tx1"/>
            </w14:solidFill>
          </w14:textFill>
        </w:rPr>
        <w:t>〔</w:t>
      </w:r>
      <w:r>
        <w:rPr>
          <w:rFonts w:hint="eastAsia" w:ascii="宋体" w:hAnsi="宋体"/>
          <w:color w:val="000000" w:themeColor="text1"/>
          <w:sz w:val="24"/>
          <w:szCs w:val="24"/>
          <w14:textFill>
            <w14:solidFill>
              <w14:schemeClr w14:val="tx1"/>
            </w14:solidFill>
          </w14:textFill>
        </w:rPr>
        <w:t>2022</w:t>
      </w:r>
      <w:r>
        <w:rPr>
          <w:rFonts w:hint="eastAsia" w:ascii="宋体" w:hAnsi="宋体" w:cs="宋体"/>
          <w:color w:val="000000" w:themeColor="text1"/>
          <w:sz w:val="24"/>
          <w:szCs w:val="24"/>
          <w14:textFill>
            <w14:solidFill>
              <w14:schemeClr w14:val="tx1"/>
            </w14:solidFill>
          </w14:textFill>
        </w:rPr>
        <w:t>〕</w:t>
      </w:r>
      <w:r>
        <w:rPr>
          <w:rFonts w:hint="eastAsia" w:ascii="宋体" w:hAnsi="宋体"/>
          <w:color w:val="000000" w:themeColor="text1"/>
          <w:sz w:val="24"/>
          <w:szCs w:val="24"/>
          <w14:textFill>
            <w14:solidFill>
              <w14:schemeClr w14:val="tx1"/>
            </w14:solidFill>
          </w14:textFill>
        </w:rPr>
        <w:t>467号），该规划明确指出：鼓励勘查开采的矿种：石油、天然气、煤层气、页岩气、煤、地热、金、铜、饰面用花岗岩、石灰岩、天然石英砂、石墨等矿产和自治区紧缺及市场需求量较大的矿产。</w:t>
      </w:r>
    </w:p>
    <w:p w14:paraId="7F7E373E">
      <w:pPr>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本项目属于陆地石油开采项目，实施后新建原油产能规模为</w:t>
      </w:r>
      <w:r>
        <w:rPr>
          <w:rFonts w:hint="eastAsia" w:ascii="宋体" w:hAnsi="宋体" w:cs="宋体"/>
          <w:color w:val="000000" w:themeColor="text1"/>
          <w:sz w:val="24"/>
          <w:szCs w:val="24"/>
          <w14:textFill>
            <w14:solidFill>
              <w14:schemeClr w14:val="tx1"/>
            </w14:solidFill>
          </w14:textFill>
        </w:rPr>
        <w:t>0.64×l0</w:t>
      </w:r>
      <w:r>
        <w:rPr>
          <w:rFonts w:hint="eastAsia" w:ascii="宋体" w:hAnsi="宋体" w:cs="宋体"/>
          <w:color w:val="000000" w:themeColor="text1"/>
          <w:sz w:val="24"/>
          <w:szCs w:val="24"/>
          <w:vertAlign w:val="superscript"/>
          <w14:textFill>
            <w14:solidFill>
              <w14:schemeClr w14:val="tx1"/>
            </w14:solidFill>
          </w14:textFill>
        </w:rPr>
        <w:t>4</w:t>
      </w:r>
      <w:r>
        <w:rPr>
          <w:rFonts w:hint="eastAsia" w:ascii="宋体" w:hAnsi="宋体" w:cs="宋体"/>
          <w:color w:val="000000" w:themeColor="text1"/>
          <w:sz w:val="24"/>
          <w:szCs w:val="24"/>
          <w14:textFill>
            <w14:solidFill>
              <w14:schemeClr w14:val="tx1"/>
            </w14:solidFill>
          </w14:textFill>
        </w:rPr>
        <w:t>t/a</w:t>
      </w:r>
      <w:r>
        <w:rPr>
          <w:rFonts w:hint="eastAsia" w:ascii="宋体" w:hAnsi="宋体"/>
          <w:color w:val="000000" w:themeColor="text1"/>
          <w:sz w:val="24"/>
          <w:szCs w:val="24"/>
          <w14:textFill>
            <w14:solidFill>
              <w14:schemeClr w14:val="tx1"/>
            </w14:solidFill>
          </w14:textFill>
        </w:rPr>
        <w:t>，开发建设符合该矿产资源总体规划。</w:t>
      </w:r>
    </w:p>
    <w:p w14:paraId="281A4607">
      <w:pPr>
        <w:pStyle w:val="165"/>
        <w:rPr>
          <w:rFonts w:hint="eastAsia"/>
          <w:color w:val="000000" w:themeColor="text1"/>
          <w14:textFill>
            <w14:solidFill>
              <w14:schemeClr w14:val="tx1"/>
            </w14:solidFill>
          </w14:textFill>
        </w:rPr>
      </w:pPr>
      <w:bookmarkStart w:id="157" w:name="_Hlk175248745"/>
      <w:r>
        <w:rPr>
          <w:rFonts w:hint="eastAsia"/>
          <w:color w:val="000000" w:themeColor="text1"/>
          <w14:textFill>
            <w14:solidFill>
              <w14:schemeClr w14:val="tx1"/>
            </w14:solidFill>
          </w14:textFill>
        </w:rPr>
        <w:t>（7）与《</w:t>
      </w:r>
      <w:bookmarkStart w:id="158" w:name="_Hlk174958816"/>
      <w:r>
        <w:rPr>
          <w:rFonts w:hint="eastAsia"/>
          <w:color w:val="000000" w:themeColor="text1"/>
          <w14:textFill>
            <w14:solidFill>
              <w14:schemeClr w14:val="tx1"/>
            </w14:solidFill>
          </w14:textFill>
        </w:rPr>
        <w:t>新疆维吾尔自治区国土空间规划（2021—2035年）</w:t>
      </w:r>
      <w:bookmarkEnd w:id="158"/>
      <w:r>
        <w:rPr>
          <w:rFonts w:hint="eastAsia"/>
          <w:color w:val="000000" w:themeColor="text1"/>
          <w14:textFill>
            <w14:solidFill>
              <w14:schemeClr w14:val="tx1"/>
            </w14:solidFill>
          </w14:textFill>
        </w:rPr>
        <w:t>》的符合性分析</w:t>
      </w:r>
    </w:p>
    <w:p w14:paraId="12FD41CE">
      <w:pPr>
        <w:pStyle w:val="19"/>
        <w:ind w:firstLine="428"/>
        <w:rPr>
          <w:rFonts w:hint="eastAsia"/>
          <w:snapToGrid w:val="0"/>
          <w:color w:val="000000" w:themeColor="text1"/>
          <w14:textFill>
            <w14:solidFill>
              <w14:schemeClr w14:val="tx1"/>
            </w14:solidFill>
          </w14:textFill>
        </w:rPr>
      </w:pPr>
      <w:r>
        <w:rPr>
          <w:rFonts w:hint="eastAsia"/>
          <w:snapToGrid w:val="0"/>
          <w:color w:val="000000" w:themeColor="text1"/>
          <w:spacing w:val="-26"/>
          <w14:textFill>
            <w14:solidFill>
              <w14:schemeClr w14:val="tx1"/>
            </w14:solidFill>
          </w14:textFill>
        </w:rPr>
        <w:t xml:space="preserve">表2.9-6  </w:t>
      </w:r>
      <w:r>
        <w:rPr>
          <w:rFonts w:hint="eastAsia"/>
          <w:snapToGrid w:val="0"/>
          <w:color w:val="000000" w:themeColor="text1"/>
          <w14:textFill>
            <w14:solidFill>
              <w14:schemeClr w14:val="tx1"/>
            </w14:solidFill>
          </w14:textFill>
        </w:rPr>
        <w:t>项目与《新疆维吾尔自治区国土空间规划（2021—2035年）》符合性分析</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6" w:type="dxa"/>
          <w:bottom w:w="0" w:type="dxa"/>
          <w:right w:w="6" w:type="dxa"/>
        </w:tblCellMar>
      </w:tblPr>
      <w:tblGrid>
        <w:gridCol w:w="566"/>
        <w:gridCol w:w="3086"/>
        <w:gridCol w:w="4429"/>
        <w:gridCol w:w="650"/>
      </w:tblGrid>
      <w:tr w14:paraId="15663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blHeader/>
        </w:trPr>
        <w:tc>
          <w:tcPr>
            <w:tcW w:w="324" w:type="pct"/>
            <w:vAlign w:val="center"/>
          </w:tcPr>
          <w:p w14:paraId="18D2255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767" w:type="pct"/>
            <w:vAlign w:val="center"/>
          </w:tcPr>
          <w:p w14:paraId="50EF92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规划中相关要求</w:t>
            </w:r>
          </w:p>
        </w:tc>
        <w:tc>
          <w:tcPr>
            <w:tcW w:w="2536" w:type="pct"/>
            <w:vAlign w:val="center"/>
          </w:tcPr>
          <w:p w14:paraId="11E4BF3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本项目拟采取措施</w:t>
            </w:r>
          </w:p>
        </w:tc>
        <w:tc>
          <w:tcPr>
            <w:tcW w:w="372" w:type="pct"/>
            <w:vAlign w:val="center"/>
          </w:tcPr>
          <w:p w14:paraId="0F88FD3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符合性分析</w:t>
            </w:r>
          </w:p>
        </w:tc>
      </w:tr>
      <w:tr w14:paraId="4C15B3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324" w:type="pct"/>
            <w:vAlign w:val="center"/>
          </w:tcPr>
          <w:p w14:paraId="0DEFBF8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767" w:type="pct"/>
            <w:vAlign w:val="center"/>
          </w:tcPr>
          <w:p w14:paraId="4192D28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将耕地和永久基本农田、生态保护红线、城镇开发边界三条控制线作为构建国土空间开发保护总体格局的基础，按照耕地和永久基本农田、生态保护红线、城镇开发边界优先序，统筹划定三条控制线，制定分类管控机制，统筹优化国土空间的布局结构。</w:t>
            </w:r>
          </w:p>
        </w:tc>
        <w:tc>
          <w:tcPr>
            <w:tcW w:w="2536" w:type="pct"/>
            <w:vAlign w:val="center"/>
          </w:tcPr>
          <w:p w14:paraId="38A2E83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项目占地为草地（天然牧草地）、</w:t>
            </w:r>
            <w:r>
              <w:rPr>
                <w:rFonts w:hint="eastAsia"/>
                <w:color w:val="000000" w:themeColor="text1"/>
                <w:lang w:val="en-US" w:eastAsia="zh-CN"/>
                <w14:textFill>
                  <w14:solidFill>
                    <w14:schemeClr w14:val="tx1"/>
                  </w14:solidFill>
                </w14:textFill>
              </w:rPr>
              <w:t>其他</w:t>
            </w:r>
            <w:r>
              <w:rPr>
                <w:rFonts w:hint="eastAsia"/>
                <w:color w:val="000000" w:themeColor="text1"/>
                <w14:textFill>
                  <w14:solidFill>
                    <w14:schemeClr w14:val="tx1"/>
                  </w14:solidFill>
                </w14:textFill>
              </w:rPr>
              <w:t>园地和采矿用地，不占用耕地，不占用永久基本农田、生态保护红线。</w:t>
            </w:r>
          </w:p>
        </w:tc>
        <w:tc>
          <w:tcPr>
            <w:tcW w:w="372" w:type="pct"/>
            <w:vAlign w:val="center"/>
          </w:tcPr>
          <w:p w14:paraId="5CB2A2A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9E727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324" w:type="pct"/>
            <w:vAlign w:val="center"/>
          </w:tcPr>
          <w:p w14:paraId="779464D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767" w:type="pct"/>
            <w:vAlign w:val="center"/>
          </w:tcPr>
          <w:p w14:paraId="12ED1A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强林地资源保护利用。以天然林保护为重点，着力构建阿尔泰山、天山、昆仑山－阿尔金山生态屏障。以荒漠植被保护、防沙治沙、绿洲内部修复为重点，着力构建塔里木和准噶尔两大盆地边缘绿洲区生态屏障。</w:t>
            </w:r>
          </w:p>
        </w:tc>
        <w:tc>
          <w:tcPr>
            <w:tcW w:w="2536" w:type="pct"/>
            <w:vAlign w:val="center"/>
          </w:tcPr>
          <w:p w14:paraId="2D26C88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本项目不占用林地</w:t>
            </w:r>
          </w:p>
        </w:tc>
        <w:tc>
          <w:tcPr>
            <w:tcW w:w="372" w:type="pct"/>
            <w:vAlign w:val="center"/>
          </w:tcPr>
          <w:p w14:paraId="43E6D78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213881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324" w:type="pct"/>
            <w:vAlign w:val="center"/>
          </w:tcPr>
          <w:p w14:paraId="03E891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767" w:type="pct"/>
            <w:vAlign w:val="center"/>
          </w:tcPr>
          <w:p w14:paraId="0C0F7F5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加强草地资源保护利用。推进和完善基本草原划定工作，实行严格保护，认真落实以草定畜、禁休牧等政策要求，严防超载过牧。禁止在生态脆弱草原采挖植物和从事破坏草原植被的其他活动。</w:t>
            </w:r>
          </w:p>
        </w:tc>
        <w:tc>
          <w:tcPr>
            <w:tcW w:w="2536" w:type="pct"/>
            <w:vAlign w:val="center"/>
          </w:tcPr>
          <w:p w14:paraId="499544B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占用的草地为天然牧草地，严格控制施工作业带宽度，管线施工作业带宽度不超过12m；管沟应分层开挖、分层堆放、分层回填，表层土壤单独堆放，妥善保存，用于后期植被的恢复；土石方不得随意堆放，应集中堆置于管沟一侧，且不影响施工安全的距离内，施工完毕后全部用于回填并分层压实。施工过程中严格规定车辆和各类工作人员的活动范围，使之限于在施工区范围内活动，不随意踩踏砍伐野生植被，尽量不侵扰野生动物的栖息地。</w:t>
            </w:r>
          </w:p>
        </w:tc>
        <w:tc>
          <w:tcPr>
            <w:tcW w:w="372" w:type="pct"/>
            <w:vAlign w:val="center"/>
          </w:tcPr>
          <w:p w14:paraId="7E79C99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3093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324" w:type="pct"/>
            <w:vAlign w:val="center"/>
          </w:tcPr>
          <w:p w14:paraId="0FCDC4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767" w:type="pct"/>
            <w:vAlign w:val="center"/>
          </w:tcPr>
          <w:p w14:paraId="63F18B6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推进水土流失治理。加强水土流失的预防保护，针对重点防治地区实施治理工程。到2035年，新疆水土流失面积和侵蚀强度有明显下降，人为水土流失得到全面防治。</w:t>
            </w:r>
          </w:p>
        </w:tc>
        <w:tc>
          <w:tcPr>
            <w:tcW w:w="2536" w:type="pct"/>
            <w:vAlign w:val="center"/>
          </w:tcPr>
          <w:p w14:paraId="447DD3C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针对本项目施工期可能产生的水土流失影响，提出相应的防治措施：严格控制各项工程作业面积，井场范围采取彩条旗限界措施；单井采油井场、2井式平台井场、注水井场处采用砾石铺垫，管线管沟开挖时产生的临时土方临时堆放在管沟旁，采用防尘布（或网）进行苫盖；严格控制和管理运输车辆的运行范围；建设单位自行或委托有资质的单位编制水土保持方案，并报相关部门审批；并根据相关技术规范进行水土保持监测，并将监测情况定期上报当地水行政主管部门；管沟开挖土方全部回填，管沟回填应分层回填；施工区域设置水土保持宣传警示牌；优化施工组织，避免大风、雨天气下施工；合理安排施工进度与时序；管线施工作业结束后，对现场进行回填平整，并尽可能覆土压实。</w:t>
            </w:r>
          </w:p>
        </w:tc>
        <w:tc>
          <w:tcPr>
            <w:tcW w:w="372" w:type="pct"/>
            <w:vAlign w:val="center"/>
          </w:tcPr>
          <w:p w14:paraId="2A3309B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1EFDB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324" w:type="pct"/>
            <w:vAlign w:val="center"/>
          </w:tcPr>
          <w:p w14:paraId="1363F41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767" w:type="pct"/>
            <w:vAlign w:val="center"/>
          </w:tcPr>
          <w:p w14:paraId="7C98E9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强荒漠生态保护。强化沙化土地封禁保护区管控，减少沙区人类活动影响。继续推行禁止滥樵采、禁止滥放牧、禁止滥开垦的“三禁”制度。依法加强沙化土地封禁保护区的管控，规范沙区各类开发建设活动，促进荒漠植被自然修复，减少人为破坏影响。</w:t>
            </w:r>
          </w:p>
        </w:tc>
        <w:tc>
          <w:tcPr>
            <w:tcW w:w="2536" w:type="pct"/>
            <w:vAlign w:val="center"/>
          </w:tcPr>
          <w:p w14:paraId="113F28B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占地为非沙化土地，对防止土地沙化提出了相应的防治措施，具体如下：大力宣传《中华人民共和国防沙治沙法》。施工结束后对占地进行平整，清运现场遗留的污染物，按照正式征地文件的规定对占地进行经济补偿；严格控制各项工程作业面积，井场永久占地范围内用砾石铺垫，道路采用砂石路面结构，所有车辆尽量走统一车辙，避免开辟新路，以减少风沙活动。加强对野生植物的保护，严禁破坏梭梭、柽柳等优良固沙植被；加强运营期管理，严禁随意开设巡检道路，防止因人为扰动而加剧项目区沙化程度；优化施工组织，避免在大风天气进行土方作业。缩短施工时间，管线施工作业时应分段作业，开挖的土方应分层开挖、分层堆放、分层回填，挖方全部回填，管廊上方土方平整压实；管线施工产生的临时堆土采用防尘网苫盖；项目新建2井式平台井场、单井采油井场、注水井场、各类集输管线、架空线路及巡检道路在选址选线阶段尽可能避开植物分布密集区域；工程施工结束后采取自然恢复的方式对区域植被进行恢复；加强对工作人员的培训和教育，不随意采挖沿线植被；施工结束后对井场等临时占地进行清理、平整。</w:t>
            </w:r>
          </w:p>
        </w:tc>
        <w:tc>
          <w:tcPr>
            <w:tcW w:w="372" w:type="pct"/>
            <w:vAlign w:val="center"/>
          </w:tcPr>
          <w:p w14:paraId="3F0946D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bookmarkEnd w:id="157"/>
    </w:tbl>
    <w:p w14:paraId="49BC3AF0">
      <w:pPr>
        <w:pStyle w:val="8"/>
        <w:rPr>
          <w:rFonts w:hint="eastAsia"/>
          <w:color w:val="000000" w:themeColor="text1"/>
          <w:lang w:val="zh-CN"/>
          <w14:textFill>
            <w14:solidFill>
              <w14:schemeClr w14:val="tx1"/>
            </w14:solidFill>
          </w14:textFill>
        </w:rPr>
      </w:pPr>
      <w:bookmarkStart w:id="159" w:name="_Hlk175248603"/>
      <w:r>
        <w:rPr>
          <w:rFonts w:hint="eastAsia"/>
          <w:color w:val="000000" w:themeColor="text1"/>
          <w14:textFill>
            <w14:solidFill>
              <w14:schemeClr w14:val="tx1"/>
            </w14:solidFill>
          </w14:textFill>
        </w:rPr>
        <w:t>环保政策符合性分析</w:t>
      </w:r>
      <w:bookmarkEnd w:id="145"/>
      <w:bookmarkEnd w:id="146"/>
      <w:bookmarkEnd w:id="147"/>
      <w:bookmarkEnd w:id="148"/>
      <w:bookmarkEnd w:id="149"/>
      <w:bookmarkEnd w:id="150"/>
      <w:bookmarkEnd w:id="151"/>
      <w:bookmarkEnd w:id="152"/>
      <w:bookmarkEnd w:id="153"/>
      <w:bookmarkEnd w:id="154"/>
      <w:bookmarkEnd w:id="155"/>
      <w:bookmarkEnd w:id="156"/>
    </w:p>
    <w:bookmarkEnd w:id="159"/>
    <w:p w14:paraId="552DE499">
      <w:pPr>
        <w:pStyle w:val="120"/>
        <w:rPr>
          <w:rFonts w:hint="eastAsia"/>
          <w:color w:val="000000" w:themeColor="text1"/>
          <w:lang w:bidi="ar"/>
          <w14:textFill>
            <w14:solidFill>
              <w14:schemeClr w14:val="tx1"/>
            </w14:solidFill>
          </w14:textFill>
        </w:rPr>
      </w:pPr>
      <w:bookmarkStart w:id="160" w:name="_Hlk7018936"/>
      <w:r>
        <w:rPr>
          <w:rFonts w:hint="eastAsia"/>
          <w:color w:val="000000" w:themeColor="text1"/>
          <w:lang w:bidi="ar"/>
          <w14:textFill>
            <w14:solidFill>
              <w14:schemeClr w14:val="tx1"/>
            </w14:solidFill>
          </w14:textFill>
        </w:rPr>
        <w:t>（1）与《石油天然气开采业污染防治技术政策》的符合性分析</w:t>
      </w:r>
    </w:p>
    <w:p w14:paraId="5CA7B27F">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本项目采取的各项环保措施符合《石油天然气开采业污染防治技术政策》中相关要求，详见表</w:t>
      </w:r>
      <w:r>
        <w:rPr>
          <w:color w:val="000000" w:themeColor="text1"/>
          <w:lang w:bidi="ar"/>
          <w14:textFill>
            <w14:solidFill>
              <w14:schemeClr w14:val="tx1"/>
            </w14:solidFill>
          </w14:textFill>
        </w:rPr>
        <w:t>2.9</w:t>
      </w:r>
      <w:r>
        <w:rPr>
          <w:rFonts w:hint="eastAsia"/>
          <w:color w:val="000000" w:themeColor="text1"/>
          <w:lang w:bidi="ar"/>
          <w14:textFill>
            <w14:solidFill>
              <w14:schemeClr w14:val="tx1"/>
            </w14:solidFill>
          </w14:textFill>
        </w:rPr>
        <w:t>-7。</w:t>
      </w:r>
    </w:p>
    <w:p w14:paraId="2877A813">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-7  项目与</w:t>
      </w:r>
      <w:bookmarkStart w:id="161" w:name="_Hlk80467726"/>
      <w:r>
        <w:rPr>
          <w:rFonts w:hint="eastAsia"/>
          <w:color w:val="000000" w:themeColor="text1"/>
          <w14:textFill>
            <w14:solidFill>
              <w14:schemeClr w14:val="tx1"/>
            </w14:solidFill>
          </w14:textFill>
        </w:rPr>
        <w:t>《石油天然气开采业污染防治技术政策》</w:t>
      </w:r>
      <w:bookmarkEnd w:id="161"/>
      <w:r>
        <w:rPr>
          <w:rFonts w:hint="eastAsia"/>
          <w:color w:val="000000" w:themeColor="text1"/>
          <w14:textFill>
            <w14:solidFill>
              <w14:schemeClr w14:val="tx1"/>
            </w14:solidFill>
          </w14:textFill>
        </w:rPr>
        <w:t>的相符性分析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3827"/>
        <w:gridCol w:w="3685"/>
        <w:gridCol w:w="792"/>
      </w:tblGrid>
      <w:tr w14:paraId="4A8C2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26" w:type="dxa"/>
            <w:tcMar>
              <w:left w:w="0" w:type="dxa"/>
              <w:right w:w="0" w:type="dxa"/>
            </w:tcMar>
            <w:vAlign w:val="center"/>
          </w:tcPr>
          <w:p w14:paraId="1177B700">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序号</w:t>
            </w:r>
          </w:p>
        </w:tc>
        <w:tc>
          <w:tcPr>
            <w:tcW w:w="3827" w:type="dxa"/>
            <w:tcMar>
              <w:left w:w="0" w:type="dxa"/>
              <w:right w:w="0" w:type="dxa"/>
            </w:tcMar>
            <w:vAlign w:val="center"/>
          </w:tcPr>
          <w:p w14:paraId="38B4232A">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《政策》中相关规定</w:t>
            </w:r>
          </w:p>
        </w:tc>
        <w:tc>
          <w:tcPr>
            <w:tcW w:w="3685" w:type="dxa"/>
            <w:tcMar>
              <w:left w:w="0" w:type="dxa"/>
              <w:right w:w="0" w:type="dxa"/>
            </w:tcMar>
            <w:vAlign w:val="center"/>
          </w:tcPr>
          <w:p w14:paraId="71B5C385">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本项目采取的相关措施</w:t>
            </w:r>
          </w:p>
        </w:tc>
        <w:tc>
          <w:tcPr>
            <w:tcW w:w="792" w:type="dxa"/>
            <w:tcMar>
              <w:left w:w="0" w:type="dxa"/>
              <w:right w:w="0" w:type="dxa"/>
            </w:tcMar>
            <w:vAlign w:val="center"/>
          </w:tcPr>
          <w:p w14:paraId="651AA72C">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相符性分析</w:t>
            </w:r>
          </w:p>
        </w:tc>
      </w:tr>
      <w:tr w14:paraId="2D445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7D880D52">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1</w:t>
            </w:r>
          </w:p>
        </w:tc>
        <w:tc>
          <w:tcPr>
            <w:tcW w:w="3827" w:type="dxa"/>
            <w:tcMar>
              <w:left w:w="0" w:type="dxa"/>
              <w:right w:w="0" w:type="dxa"/>
            </w:tcMar>
            <w:vAlign w:val="center"/>
          </w:tcPr>
          <w:p w14:paraId="6773F0DB">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在勘探开发过程中，应防止产生落地原油。其中井下作业过程中应配备泄油器、刮油器等。落地原油应及时回收，落地原油回收率应达到100%</w:t>
            </w:r>
          </w:p>
        </w:tc>
        <w:tc>
          <w:tcPr>
            <w:tcW w:w="3685" w:type="dxa"/>
            <w:tcMar>
              <w:left w:w="0" w:type="dxa"/>
              <w:right w:w="0" w:type="dxa"/>
            </w:tcMar>
            <w:vAlign w:val="center"/>
          </w:tcPr>
          <w:p w14:paraId="65EBFB51">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本项目为陆地石油开采项目，井下作业时产生的洗井废水和井下作业废液送至吉祥联合站采出水处理系统处理，井下作业时下部铺设防渗膜，落地油100%回收。</w:t>
            </w:r>
          </w:p>
        </w:tc>
        <w:tc>
          <w:tcPr>
            <w:tcW w:w="792" w:type="dxa"/>
            <w:tcMar>
              <w:left w:w="0" w:type="dxa"/>
              <w:right w:w="0" w:type="dxa"/>
            </w:tcMar>
            <w:vAlign w:val="center"/>
          </w:tcPr>
          <w:p w14:paraId="291532A3">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符合</w:t>
            </w:r>
          </w:p>
        </w:tc>
      </w:tr>
      <w:tr w14:paraId="701368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313FAAF9">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c>
          <w:tcPr>
            <w:tcW w:w="3827" w:type="dxa"/>
            <w:tcMar>
              <w:left w:w="0" w:type="dxa"/>
              <w:right w:w="0" w:type="dxa"/>
            </w:tcMar>
            <w:vAlign w:val="center"/>
          </w:tcPr>
          <w:p w14:paraId="728EDA29">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在井下作业过程中，酸化液和压裂液宜集中配制，酸化残液、压裂残液和返排液应回收利用或进行无害化处置，压裂放喷返排入罐率应达到100%。酸化、压裂作业和试油（气）过程应采取防喷、地面管线防刺、防漏、防溢等措施。</w:t>
            </w:r>
          </w:p>
        </w:tc>
        <w:tc>
          <w:tcPr>
            <w:tcW w:w="3685" w:type="dxa"/>
            <w:tcMar>
              <w:left w:w="0" w:type="dxa"/>
              <w:right w:w="0" w:type="dxa"/>
            </w:tcMar>
            <w:vAlign w:val="center"/>
          </w:tcPr>
          <w:p w14:paraId="6D54509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井下作业时，洗井液和压裂返排液配制好，由罐车拉运至井场，井下作业时带罐作业，产生的压裂返排液和废洗井液由罐车拉运至吉祥联合站采出水处理系统处理</w:t>
            </w:r>
          </w:p>
        </w:tc>
        <w:tc>
          <w:tcPr>
            <w:tcW w:w="792" w:type="dxa"/>
            <w:tcMar>
              <w:left w:w="0" w:type="dxa"/>
              <w:right w:w="0" w:type="dxa"/>
            </w:tcMar>
            <w:vAlign w:val="center"/>
          </w:tcPr>
          <w:p w14:paraId="56A4170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32E728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338D15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3827" w:type="dxa"/>
            <w:tcMar>
              <w:left w:w="0" w:type="dxa"/>
              <w:right w:w="0" w:type="dxa"/>
            </w:tcMar>
            <w:vAlign w:val="center"/>
          </w:tcPr>
          <w:p w14:paraId="4677B20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在开发过程中，适宜注水开采的油气田，应将采出水处理满足标准后回注</w:t>
            </w:r>
          </w:p>
        </w:tc>
        <w:tc>
          <w:tcPr>
            <w:tcW w:w="3685" w:type="dxa"/>
            <w:tcMar>
              <w:left w:w="0" w:type="dxa"/>
              <w:right w:w="0" w:type="dxa"/>
            </w:tcMar>
            <w:vAlign w:val="center"/>
          </w:tcPr>
          <w:p w14:paraId="78F6463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本项目采用天然能量开采，不采用注水开发。</w:t>
            </w:r>
          </w:p>
        </w:tc>
        <w:tc>
          <w:tcPr>
            <w:tcW w:w="792" w:type="dxa"/>
            <w:tcMar>
              <w:left w:w="0" w:type="dxa"/>
              <w:right w:w="0" w:type="dxa"/>
            </w:tcMar>
            <w:vAlign w:val="center"/>
          </w:tcPr>
          <w:p w14:paraId="1AF1376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56A5EA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690AD97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w:t>
            </w:r>
          </w:p>
        </w:tc>
        <w:tc>
          <w:tcPr>
            <w:tcW w:w="3827" w:type="dxa"/>
            <w:tcMar>
              <w:left w:w="0" w:type="dxa"/>
              <w:right w:w="0" w:type="dxa"/>
            </w:tcMar>
            <w:vAlign w:val="center"/>
          </w:tcPr>
          <w:p w14:paraId="6046D326">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在油气集输过程中，应采用密闭流程，减少烃类气体排放。新建3000m</w:t>
            </w:r>
            <w:r>
              <w:rPr>
                <w:color w:val="000000" w:themeColor="text1"/>
                <w:vertAlign w:val="superscript"/>
                <w:lang w:bidi="ar"/>
                <w14:textFill>
                  <w14:solidFill>
                    <w14:schemeClr w14:val="tx1"/>
                  </w14:solidFill>
                </w14:textFill>
              </w:rPr>
              <w:t>3</w:t>
            </w:r>
            <w:r>
              <w:rPr>
                <w:color w:val="000000" w:themeColor="text1"/>
                <w:lang w:bidi="ar"/>
                <w14:textFill>
                  <w14:solidFill>
                    <w14:schemeClr w14:val="tx1"/>
                  </w14:solidFill>
                </w14:textFill>
              </w:rPr>
              <w:t>及以上原油储罐应采用浮顶型式，新、改、扩建油气储罐应安装泄漏报警系统。新、改、扩建油气田油气集输损耗率不高于0.5%。</w:t>
            </w:r>
          </w:p>
        </w:tc>
        <w:tc>
          <w:tcPr>
            <w:tcW w:w="3685" w:type="dxa"/>
            <w:tcMar>
              <w:left w:w="0" w:type="dxa"/>
              <w:right w:w="0" w:type="dxa"/>
            </w:tcMar>
            <w:vAlign w:val="center"/>
          </w:tcPr>
          <w:p w14:paraId="181F35D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油气采用密闭集输工艺，本项目不涉及新建储罐，油气损耗率在0.5%以下。</w:t>
            </w:r>
          </w:p>
        </w:tc>
        <w:tc>
          <w:tcPr>
            <w:tcW w:w="792" w:type="dxa"/>
            <w:tcMar>
              <w:left w:w="0" w:type="dxa"/>
              <w:right w:w="0" w:type="dxa"/>
            </w:tcMar>
            <w:vAlign w:val="center"/>
          </w:tcPr>
          <w:p w14:paraId="0062500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497E7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362A99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3827" w:type="dxa"/>
            <w:tcMar>
              <w:left w:w="0" w:type="dxa"/>
              <w:right w:w="0" w:type="dxa"/>
            </w:tcMar>
            <w:vAlign w:val="center"/>
          </w:tcPr>
          <w:p w14:paraId="1B5145A9">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在开发过程中，伴生气应回收利用，减少温室气体排放，不具备回收利用条件的，应充分燃烧，伴生气回收利用率应达到80%以上；站场放空天然气应充分燃烧。燃烧放空设施应避开鸟类迁徙通道</w:t>
            </w:r>
          </w:p>
        </w:tc>
        <w:tc>
          <w:tcPr>
            <w:tcW w:w="3685" w:type="dxa"/>
            <w:tcMar>
              <w:left w:w="0" w:type="dxa"/>
              <w:right w:w="0" w:type="dxa"/>
            </w:tcMar>
            <w:vAlign w:val="center"/>
          </w:tcPr>
          <w:p w14:paraId="17EA27E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伴生气同采出液通过管线密闭集输至吉祥联合站，经三相分离器分离出的伴生气经站内伴生气处理装置处理，回收利用率达到99.5%以上。</w:t>
            </w:r>
          </w:p>
        </w:tc>
        <w:tc>
          <w:tcPr>
            <w:tcW w:w="792" w:type="dxa"/>
            <w:tcMar>
              <w:left w:w="0" w:type="dxa"/>
              <w:right w:w="0" w:type="dxa"/>
            </w:tcMar>
            <w:vAlign w:val="center"/>
          </w:tcPr>
          <w:p w14:paraId="0D09BC03">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符合</w:t>
            </w:r>
          </w:p>
        </w:tc>
      </w:tr>
      <w:tr w14:paraId="731C81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12FDF65A">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w:t>
            </w:r>
          </w:p>
        </w:tc>
        <w:tc>
          <w:tcPr>
            <w:tcW w:w="3827" w:type="dxa"/>
            <w:tcMar>
              <w:left w:w="0" w:type="dxa"/>
              <w:right w:w="0" w:type="dxa"/>
            </w:tcMar>
            <w:vAlign w:val="center"/>
          </w:tcPr>
          <w:p w14:paraId="33E08DB9">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在油气开发过程中，应采取措施减轻生态影响并及时用适地植物进行植被恢复。井场周围应设置围堤或井界沟。应设立地下水水质监测井，加强对油气田地下水水质的监控，防止回注过程对地下水造成污染。</w:t>
            </w:r>
          </w:p>
        </w:tc>
        <w:tc>
          <w:tcPr>
            <w:tcW w:w="3685" w:type="dxa"/>
            <w:tcMar>
              <w:left w:w="0" w:type="dxa"/>
              <w:right w:w="0" w:type="dxa"/>
            </w:tcMar>
            <w:vAlign w:val="center"/>
          </w:tcPr>
          <w:p w14:paraId="48A9C06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报告中提出了生态环境保护措施，占地范围内的植被主要靠自然恢复，运营期监测计划章节提出了地下水的监测计划</w:t>
            </w:r>
          </w:p>
        </w:tc>
        <w:tc>
          <w:tcPr>
            <w:tcW w:w="792" w:type="dxa"/>
            <w:tcMar>
              <w:left w:w="0" w:type="dxa"/>
              <w:right w:w="0" w:type="dxa"/>
            </w:tcMar>
            <w:vAlign w:val="center"/>
          </w:tcPr>
          <w:p w14:paraId="33482E1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38A43B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2797086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7</w:t>
            </w:r>
          </w:p>
        </w:tc>
        <w:tc>
          <w:tcPr>
            <w:tcW w:w="3827" w:type="dxa"/>
            <w:tcMar>
              <w:left w:w="0" w:type="dxa"/>
              <w:right w:w="0" w:type="dxa"/>
            </w:tcMar>
            <w:vAlign w:val="center"/>
          </w:tcPr>
          <w:p w14:paraId="682A526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油气田退役前应进行环境影响后评价，油气田企业应按照后评价要求进行生态恢复。</w:t>
            </w:r>
          </w:p>
        </w:tc>
        <w:tc>
          <w:tcPr>
            <w:tcW w:w="3685" w:type="dxa"/>
            <w:tcMar>
              <w:left w:w="0" w:type="dxa"/>
              <w:right w:w="0" w:type="dxa"/>
            </w:tcMar>
            <w:vAlign w:val="center"/>
          </w:tcPr>
          <w:p w14:paraId="3AA7097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建设单位应在项目完成竣工环保验收并稳定运行3至5年后、退役前开展后评价工作</w:t>
            </w:r>
          </w:p>
        </w:tc>
        <w:tc>
          <w:tcPr>
            <w:tcW w:w="792" w:type="dxa"/>
            <w:tcMar>
              <w:left w:w="0" w:type="dxa"/>
              <w:right w:w="0" w:type="dxa"/>
            </w:tcMar>
            <w:vAlign w:val="center"/>
          </w:tcPr>
          <w:p w14:paraId="3523C75E">
            <w:pPr>
              <w:pStyle w:val="280"/>
              <w:rPr>
                <w:rFonts w:hint="eastAsia"/>
                <w:color w:val="000000" w:themeColor="text1"/>
                <w:lang w:bidi="ar"/>
                <w14:textFill>
                  <w14:solidFill>
                    <w14:schemeClr w14:val="tx1"/>
                  </w14:solidFill>
                </w14:textFill>
              </w:rPr>
            </w:pPr>
          </w:p>
        </w:tc>
      </w:tr>
      <w:tr w14:paraId="387A31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0F8BEC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3827" w:type="dxa"/>
            <w:tcMar>
              <w:left w:w="0" w:type="dxa"/>
              <w:right w:w="0" w:type="dxa"/>
            </w:tcMar>
            <w:vAlign w:val="center"/>
          </w:tcPr>
          <w:p w14:paraId="06038BC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在钻井和井下作业过程中，鼓励污油、污水进入生产流程循环利用，未进入生产流程的污油、污水应采用固液分离、废水处理一体化装置等处理后达标外排</w:t>
            </w:r>
          </w:p>
        </w:tc>
        <w:tc>
          <w:tcPr>
            <w:tcW w:w="3685" w:type="dxa"/>
            <w:tcMar>
              <w:left w:w="0" w:type="dxa"/>
              <w:right w:w="0" w:type="dxa"/>
            </w:tcMar>
            <w:vAlign w:val="center"/>
          </w:tcPr>
          <w:p w14:paraId="51153BF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项目不涉及钻井工程，井下作业时产生的洗井废水和井下作业废液送至吉祥联合站采出水处理系统处理，出水水质</w:t>
            </w:r>
            <w:r>
              <w:rPr>
                <w:rFonts w:hint="eastAsia" w:cs="宋体"/>
                <w:color w:val="000000" w:themeColor="text1"/>
                <w14:textFill>
                  <w14:solidFill>
                    <w14:schemeClr w14:val="tx1"/>
                  </w14:solidFill>
                </w14:textFill>
              </w:rPr>
              <w:t>《碎屑岩油藏注水水质指标技术要求及分析方法》（SY/T5329-2022）相关标准要求后，回注油藏</w:t>
            </w:r>
            <w:r>
              <w:rPr>
                <w:rFonts w:hint="eastAsia"/>
                <w:color w:val="000000" w:themeColor="text1"/>
                <w:lang w:bidi="ar"/>
                <w14:textFill>
                  <w14:solidFill>
                    <w14:schemeClr w14:val="tx1"/>
                  </w14:solidFill>
                </w14:textFill>
              </w:rPr>
              <w:t>。</w:t>
            </w:r>
          </w:p>
        </w:tc>
        <w:tc>
          <w:tcPr>
            <w:tcW w:w="792" w:type="dxa"/>
            <w:tcMar>
              <w:left w:w="0" w:type="dxa"/>
              <w:right w:w="0" w:type="dxa"/>
            </w:tcMar>
            <w:vAlign w:val="center"/>
          </w:tcPr>
          <w:p w14:paraId="36AA25D5">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符合</w:t>
            </w:r>
          </w:p>
        </w:tc>
      </w:tr>
      <w:tr w14:paraId="6F9D1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42CC9C0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3827" w:type="dxa"/>
            <w:tcMar>
              <w:left w:w="0" w:type="dxa"/>
              <w:right w:w="0" w:type="dxa"/>
            </w:tcMar>
            <w:vAlign w:val="center"/>
          </w:tcPr>
          <w:p w14:paraId="3E8AD19F">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应回收落地原油，以及原油处理、废水处理产生的油泥（砂）等中的油类物质，含油污泥资源化利用率应达到90%以上，残余固体废物应按照《国家危险废物名录》和危险废物鉴别标准识别</w:t>
            </w:r>
          </w:p>
        </w:tc>
        <w:tc>
          <w:tcPr>
            <w:tcW w:w="3685" w:type="dxa"/>
            <w:tcMar>
              <w:left w:w="0" w:type="dxa"/>
              <w:right w:w="0" w:type="dxa"/>
            </w:tcMar>
            <w:vAlign w:val="center"/>
          </w:tcPr>
          <w:p w14:paraId="6E989E1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危险废物主要为废润滑油、废润滑油桶、沾油废防渗材料和废含油抹布、劳保用品，分类收集，集中收集后交由有相应资质的单位处置</w:t>
            </w:r>
            <w:r>
              <w:rPr>
                <w:rFonts w:hint="eastAsia"/>
                <w:color w:val="000000" w:themeColor="text1"/>
                <w:lang w:bidi="ar"/>
                <w14:textFill>
                  <w14:solidFill>
                    <w14:schemeClr w14:val="tx1"/>
                  </w14:solidFill>
                </w14:textFill>
              </w:rPr>
              <w:t>。</w:t>
            </w:r>
          </w:p>
        </w:tc>
        <w:tc>
          <w:tcPr>
            <w:tcW w:w="792" w:type="dxa"/>
            <w:tcMar>
              <w:left w:w="0" w:type="dxa"/>
              <w:right w:w="0" w:type="dxa"/>
            </w:tcMar>
            <w:vAlign w:val="center"/>
          </w:tcPr>
          <w:p w14:paraId="6FF6F189">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符合</w:t>
            </w:r>
          </w:p>
        </w:tc>
      </w:tr>
      <w:tr w14:paraId="03A4F5CC">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tcBorders>
              <w:top w:val="single" w:color="auto" w:sz="6" w:space="0"/>
              <w:left w:val="nil"/>
              <w:bottom w:val="single" w:color="auto" w:sz="12" w:space="0"/>
              <w:right w:val="single" w:color="auto" w:sz="6" w:space="0"/>
            </w:tcBorders>
            <w:tcMar>
              <w:left w:w="0" w:type="dxa"/>
              <w:right w:w="0" w:type="dxa"/>
            </w:tcMar>
            <w:vAlign w:val="center"/>
          </w:tcPr>
          <w:p w14:paraId="77E42A1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3827" w:type="dxa"/>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072F50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油气田企业应制定环境保护管理规定，建立并运行健康、安全与环境管理体系；2）加强油气田建设、勘探开发过程的环境监督管理。油气田建设过程应开展工程环境监理；3）在开发过程中，企业应加强油气井套管的检测和维护，防止油气泄漏污染地下水；4）建立环境保护人员培训制度；5）油气田企业应对勘探开发过程进行环境风险因素识别，制定突发环境事件应急预案并定期进行演练。开展特征污染物监测工作，采取环境风险防范和应急措施，防止发生由突发性油气泄漏产生的环境事故</w:t>
            </w:r>
          </w:p>
        </w:tc>
        <w:tc>
          <w:tcPr>
            <w:tcW w:w="3685" w:type="dxa"/>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3D341038">
            <w:pPr>
              <w:pStyle w:val="28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运营后建设单位应将本项目纳入吉庆油田作业区已有的HSE管理体系、突发环境污染事件应急预案及污染源日常监控计划。</w:t>
            </w:r>
          </w:p>
        </w:tc>
        <w:tc>
          <w:tcPr>
            <w:tcW w:w="792" w:type="dxa"/>
            <w:tcBorders>
              <w:top w:val="single" w:color="auto" w:sz="6" w:space="0"/>
              <w:left w:val="single" w:color="auto" w:sz="6" w:space="0"/>
              <w:bottom w:val="single" w:color="auto" w:sz="12" w:space="0"/>
              <w:right w:val="nil"/>
            </w:tcBorders>
            <w:tcMar>
              <w:left w:w="0" w:type="dxa"/>
              <w:right w:w="0" w:type="dxa"/>
            </w:tcMar>
            <w:vAlign w:val="center"/>
          </w:tcPr>
          <w:p w14:paraId="115EF9E1">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符合</w:t>
            </w:r>
          </w:p>
        </w:tc>
      </w:tr>
      <w:bookmarkEnd w:id="160"/>
    </w:tbl>
    <w:p w14:paraId="6A764A67">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2</w:t>
      </w:r>
      <w:r>
        <w:rPr>
          <w:rFonts w:hint="eastAsia"/>
          <w:color w:val="000000" w:themeColor="text1"/>
          <w:lang w:bidi="ar"/>
          <w14:textFill>
            <w14:solidFill>
              <w14:schemeClr w14:val="tx1"/>
            </w14:solidFill>
          </w14:textFill>
        </w:rPr>
        <w:t>）与</w:t>
      </w:r>
      <w:bookmarkStart w:id="162" w:name="_Hlk80047840"/>
      <w:r>
        <w:rPr>
          <w:rFonts w:hint="eastAsia"/>
          <w:color w:val="000000" w:themeColor="text1"/>
          <w:lang w:bidi="ar"/>
          <w14:textFill>
            <w14:solidFill>
              <w14:schemeClr w14:val="tx1"/>
            </w14:solidFill>
          </w14:textFill>
        </w:rPr>
        <w:t>《</w:t>
      </w:r>
      <w:bookmarkStart w:id="163" w:name="_Hlk80039235"/>
      <w:r>
        <w:rPr>
          <w:rFonts w:hint="eastAsia"/>
          <w:color w:val="000000" w:themeColor="text1"/>
          <w:lang w:bidi="ar"/>
          <w14:textFill>
            <w14:solidFill>
              <w14:schemeClr w14:val="tx1"/>
            </w14:solidFill>
          </w14:textFill>
        </w:rPr>
        <w:t>陆上石油天然气开采业绿色矿山建设规范</w:t>
      </w:r>
      <w:bookmarkEnd w:id="163"/>
      <w:r>
        <w:rPr>
          <w:rFonts w:hint="eastAsia"/>
          <w:color w:val="000000" w:themeColor="text1"/>
          <w:lang w:bidi="ar"/>
          <w14:textFill>
            <w14:solidFill>
              <w14:schemeClr w14:val="tx1"/>
            </w14:solidFill>
          </w14:textFill>
        </w:rPr>
        <w:t>》</w:t>
      </w:r>
      <w:bookmarkEnd w:id="162"/>
      <w:r>
        <w:rPr>
          <w:rFonts w:hint="eastAsia"/>
          <w:color w:val="000000" w:themeColor="text1"/>
          <w:lang w:bidi="ar"/>
          <w14:textFill>
            <w14:solidFill>
              <w14:schemeClr w14:val="tx1"/>
            </w14:solidFill>
          </w14:textFill>
        </w:rPr>
        <w:t>要求的相符性分析</w:t>
      </w:r>
    </w:p>
    <w:p w14:paraId="57115391">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本项目采取的各项环保措施符合《陆上石油天然气开采业绿色矿山建设规范》中相关要求，相符性分析详见表</w:t>
      </w:r>
      <w:r>
        <w:rPr>
          <w:color w:val="000000" w:themeColor="text1"/>
          <w:lang w:bidi="ar"/>
          <w14:textFill>
            <w14:solidFill>
              <w14:schemeClr w14:val="tx1"/>
            </w14:solidFill>
          </w14:textFill>
        </w:rPr>
        <w:t>2.9</w:t>
      </w:r>
      <w:r>
        <w:rPr>
          <w:rFonts w:hint="eastAsia"/>
          <w:color w:val="000000" w:themeColor="text1"/>
          <w:lang w:bidi="ar"/>
          <w14:textFill>
            <w14:solidFill>
              <w14:schemeClr w14:val="tx1"/>
            </w14:solidFill>
          </w14:textFill>
        </w:rPr>
        <w:t>-8。</w:t>
      </w:r>
    </w:p>
    <w:p w14:paraId="211530FB">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 xml:space="preserve">-8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本项目与《陆上石油天然气开采业绿色矿山建设规范》的相符性分析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253"/>
        <w:gridCol w:w="3117"/>
        <w:gridCol w:w="793"/>
      </w:tblGrid>
      <w:tr w14:paraId="67839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4504CA1A">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序号</w:t>
            </w:r>
          </w:p>
        </w:tc>
        <w:tc>
          <w:tcPr>
            <w:tcW w:w="4253" w:type="dxa"/>
            <w:tcMar>
              <w:left w:w="0" w:type="dxa"/>
              <w:right w:w="0" w:type="dxa"/>
            </w:tcMar>
            <w:vAlign w:val="center"/>
          </w:tcPr>
          <w:p w14:paraId="63CA14C5">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w:t>
            </w:r>
            <w:r>
              <w:rPr>
                <w:rFonts w:hint="eastAsia"/>
                <w:bCs/>
                <w:color w:val="000000" w:themeColor="text1"/>
                <w:lang w:bidi="ar"/>
                <w14:textFill>
                  <w14:solidFill>
                    <w14:schemeClr w14:val="tx1"/>
                  </w14:solidFill>
                </w14:textFill>
              </w:rPr>
              <w:t>规范</w:t>
            </w:r>
            <w:r>
              <w:rPr>
                <w:rFonts w:hint="eastAsia"/>
                <w:color w:val="000000" w:themeColor="text1"/>
                <w:lang w:bidi="ar"/>
                <w14:textFill>
                  <w14:solidFill>
                    <w14:schemeClr w14:val="tx1"/>
                  </w14:solidFill>
                </w14:textFill>
              </w:rPr>
              <w:t>》中相关规定</w:t>
            </w:r>
          </w:p>
        </w:tc>
        <w:tc>
          <w:tcPr>
            <w:tcW w:w="3117" w:type="dxa"/>
            <w:tcMar>
              <w:left w:w="0" w:type="dxa"/>
              <w:right w:w="0" w:type="dxa"/>
            </w:tcMar>
            <w:vAlign w:val="center"/>
          </w:tcPr>
          <w:p w14:paraId="5A8BB4CA">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拟采取的相关措施</w:t>
            </w:r>
          </w:p>
        </w:tc>
        <w:tc>
          <w:tcPr>
            <w:tcW w:w="793" w:type="dxa"/>
            <w:tcMar>
              <w:left w:w="0" w:type="dxa"/>
              <w:right w:w="0" w:type="dxa"/>
            </w:tcMar>
            <w:vAlign w:val="center"/>
          </w:tcPr>
          <w:p w14:paraId="3CA38073">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相符性分析</w:t>
            </w:r>
          </w:p>
        </w:tc>
      </w:tr>
      <w:tr w14:paraId="07FC2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3E715BAC">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1</w:t>
            </w:r>
          </w:p>
        </w:tc>
        <w:tc>
          <w:tcPr>
            <w:tcW w:w="4253" w:type="dxa"/>
            <w:tcMar>
              <w:left w:w="0" w:type="dxa"/>
              <w:right w:w="0" w:type="dxa"/>
            </w:tcMar>
            <w:vAlign w:val="center"/>
          </w:tcPr>
          <w:p w14:paraId="1DD6BC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资源开发应与环境保护、资源保护、城乡建设相协调，最大限度减少对自然环境的扰动和破坏，选择资源节约型、环境友好型开发方式；因矿制宜选择开采工艺和装备，符合清洁生产要求；应贯彻“边开采、边治理、边恢复”的原则，及时治理恢复矿区地质环境，复垦矿区压占和损毁土地；应遵循矿区油气资源赋存状况、生态环境特征等条件，科学合理确定开发方案，选择与油气藏类型相适应的先进开采技术和工艺，推广使用成熟、先进的技术装备，严禁使用国家明文规定的限制和淘汰的技术工艺及装备；集约节约利用土地资源，土地利用符合用地指标政策。合理确定站址、场址、管网、路网建设占地规模</w:t>
            </w:r>
          </w:p>
        </w:tc>
        <w:tc>
          <w:tcPr>
            <w:tcW w:w="3117" w:type="dxa"/>
            <w:tcMar>
              <w:left w:w="0" w:type="dxa"/>
              <w:right w:w="0" w:type="dxa"/>
            </w:tcMar>
            <w:vAlign w:val="center"/>
          </w:tcPr>
          <w:p w14:paraId="51FF3E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项目建设符合相关规划，符合区域“三线一单”中空间布局约束、污染物排放管控、环境风险防控、资源利用效率相关要求；</w:t>
            </w:r>
          </w:p>
          <w:p w14:paraId="4810A1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针对井型、油藏类型选用专用井控设备、开采设备，从采油及井下作业均符合清洁生产要求；</w:t>
            </w:r>
          </w:p>
          <w:p w14:paraId="410663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吉庆作业区建有完善的H</w:t>
            </w:r>
            <w:r>
              <w:rPr>
                <w:color w:val="000000" w:themeColor="text1"/>
                <w14:textFill>
                  <w14:solidFill>
                    <w14:schemeClr w14:val="tx1"/>
                  </w14:solidFill>
                </w14:textFill>
              </w:rPr>
              <w:t>SE</w:t>
            </w:r>
            <w:r>
              <w:rPr>
                <w:rFonts w:hint="eastAsia"/>
                <w:color w:val="000000" w:themeColor="text1"/>
                <w14:textFill>
                  <w14:solidFill>
                    <w14:schemeClr w14:val="tx1"/>
                  </w14:solidFill>
                </w14:textFill>
              </w:rPr>
              <w:t>管理体系；采用注水开发开采工艺，油气集输密闭集输工艺；严格控制管线施工作业带宽度；按照规定对占地进行补偿，施工结束后临时占地要及时恢复，退役期要及时释放永久占地；植被主要靠自然恢复。</w:t>
            </w:r>
          </w:p>
        </w:tc>
        <w:tc>
          <w:tcPr>
            <w:tcW w:w="793" w:type="dxa"/>
            <w:tcMar>
              <w:left w:w="0" w:type="dxa"/>
              <w:right w:w="0" w:type="dxa"/>
            </w:tcMar>
            <w:vAlign w:val="center"/>
          </w:tcPr>
          <w:p w14:paraId="2D1489EE">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符合</w:t>
            </w:r>
          </w:p>
        </w:tc>
      </w:tr>
      <w:tr w14:paraId="26E7A9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704DB1EA">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c>
          <w:tcPr>
            <w:tcW w:w="4253" w:type="dxa"/>
            <w:tcMar>
              <w:left w:w="0" w:type="dxa"/>
              <w:right w:w="0" w:type="dxa"/>
            </w:tcMar>
            <w:vAlign w:val="center"/>
          </w:tcPr>
          <w:p w14:paraId="6FAF5A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应实施绿色钻井技术体系，科学选择钻井方式、环境友好型钻井液及井控措施，配备完善的固控系统，及时妥善处置钻井泥浆</w:t>
            </w:r>
          </w:p>
        </w:tc>
        <w:tc>
          <w:tcPr>
            <w:tcW w:w="3117" w:type="dxa"/>
            <w:tcMar>
              <w:left w:w="0" w:type="dxa"/>
              <w:right w:w="0" w:type="dxa"/>
            </w:tcMar>
            <w:vAlign w:val="center"/>
          </w:tcPr>
          <w:p w14:paraId="354274DA">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本项目一开和二开均采用非磺化水基钻井液体系，设有防喷器，钻井岩屑和钻井液进入不落地系统进行处理，分离出的液相回用，分离出的水基钻井岩屑交由岩屑处置单位拉运处置。</w:t>
            </w:r>
          </w:p>
        </w:tc>
        <w:tc>
          <w:tcPr>
            <w:tcW w:w="793" w:type="dxa"/>
            <w:tcMar>
              <w:left w:w="0" w:type="dxa"/>
              <w:right w:w="0" w:type="dxa"/>
            </w:tcMar>
            <w:vAlign w:val="center"/>
          </w:tcPr>
          <w:p w14:paraId="51899A0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5112BB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206A2FC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4253" w:type="dxa"/>
            <w:tcMar>
              <w:left w:w="0" w:type="dxa"/>
              <w:right w:w="0" w:type="dxa"/>
            </w:tcMar>
            <w:vAlign w:val="center"/>
          </w:tcPr>
          <w:p w14:paraId="24B8E83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对伴生有</w:t>
            </w:r>
            <w:bookmarkStart w:id="164" w:name="OLE_LINK16"/>
            <w:r>
              <w:rPr>
                <w:rFonts w:hint="eastAsia"/>
                <w:color w:val="000000" w:themeColor="text1"/>
                <w14:textFill>
                  <w14:solidFill>
                    <w14:schemeClr w14:val="tx1"/>
                  </w14:solidFill>
                </w14:textFill>
              </w:rPr>
              <w:t>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气体的油气藏</w:t>
            </w:r>
            <w:bookmarkEnd w:id="164"/>
            <w:r>
              <w:rPr>
                <w:rFonts w:hint="eastAsia"/>
                <w:color w:val="000000" w:themeColor="text1"/>
                <w14:textFill>
                  <w14:solidFill>
                    <w14:schemeClr w14:val="tx1"/>
                  </w14:solidFill>
                </w14:textFill>
              </w:rPr>
              <w:t>，CO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气体含量未达到工业综合利用要求的，应采取有效处置方案，未制定CO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气体处置方案的油气藏不得开发。</w:t>
            </w:r>
          </w:p>
        </w:tc>
        <w:tc>
          <w:tcPr>
            <w:tcW w:w="3117" w:type="dxa"/>
            <w:tcMar>
              <w:left w:w="0" w:type="dxa"/>
              <w:right w:w="0" w:type="dxa"/>
            </w:tcMar>
            <w:vAlign w:val="center"/>
          </w:tcPr>
          <w:p w14:paraId="64B1AC3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拟开发油气藏不属于伴生有</w:t>
            </w:r>
            <w:r>
              <w:rPr>
                <w:rFonts w:hint="eastAsia"/>
                <w:color w:val="000000" w:themeColor="text1"/>
                <w14:textFill>
                  <w14:solidFill>
                    <w14:schemeClr w14:val="tx1"/>
                  </w14:solidFill>
                </w14:textFill>
              </w:rPr>
              <w:t>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气体的油气藏，</w:t>
            </w:r>
            <w:r>
              <w:rPr>
                <w:rFonts w:hint="eastAsia"/>
                <w:color w:val="000000" w:themeColor="text1"/>
                <w:lang w:bidi="ar"/>
                <w14:textFill>
                  <w14:solidFill>
                    <w14:schemeClr w14:val="tx1"/>
                  </w14:solidFill>
                </w14:textFill>
              </w:rPr>
              <w:t>伴生气中含量最大约为1%，含量较少</w:t>
            </w:r>
          </w:p>
        </w:tc>
        <w:tc>
          <w:tcPr>
            <w:tcW w:w="793" w:type="dxa"/>
            <w:tcMar>
              <w:left w:w="0" w:type="dxa"/>
              <w:right w:w="0" w:type="dxa"/>
            </w:tcMar>
            <w:vAlign w:val="center"/>
          </w:tcPr>
          <w:p w14:paraId="0F29C90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7683D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56A5B98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w:t>
            </w:r>
          </w:p>
        </w:tc>
        <w:tc>
          <w:tcPr>
            <w:tcW w:w="4253" w:type="dxa"/>
            <w:tcMar>
              <w:left w:w="0" w:type="dxa"/>
              <w:right w:w="0" w:type="dxa"/>
            </w:tcMar>
            <w:vAlign w:val="center"/>
          </w:tcPr>
          <w:p w14:paraId="2ECB238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对伴生有H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S气体的油气藏，</w:t>
            </w:r>
            <w:bookmarkStart w:id="165" w:name="OLE_LINK15"/>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bookmarkEnd w:id="165"/>
            <w:r>
              <w:rPr>
                <w:rFonts w:hint="eastAsia"/>
                <w:color w:val="000000" w:themeColor="text1"/>
                <w14:textFill>
                  <w14:solidFill>
                    <w14:schemeClr w14:val="tx1"/>
                  </w14:solidFill>
                </w14:textFill>
              </w:rPr>
              <w:t>气体含量未达到工业综合利用要求的，应采取有效处置方案，未制定</w:t>
            </w:r>
            <w:r>
              <w:rPr>
                <w:color w:val="000000" w:themeColor="text1"/>
                <w14:textFill>
                  <w14:solidFill>
                    <w14:schemeClr w14:val="tx1"/>
                  </w14:solidFill>
                </w14:textFill>
              </w:rPr>
              <w:t>H</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气体处置方案的油气藏不得开发。</w:t>
            </w:r>
          </w:p>
        </w:tc>
        <w:tc>
          <w:tcPr>
            <w:tcW w:w="3117" w:type="dxa"/>
            <w:tcMar>
              <w:left w:w="0" w:type="dxa"/>
              <w:right w:w="0" w:type="dxa"/>
            </w:tcMar>
            <w:vAlign w:val="center"/>
          </w:tcPr>
          <w:p w14:paraId="421E76F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本项目伴生气中硫化氢含量较低，送至吉祥联合站伴生气处理系统处理</w:t>
            </w:r>
          </w:p>
        </w:tc>
        <w:tc>
          <w:tcPr>
            <w:tcW w:w="793" w:type="dxa"/>
            <w:tcMar>
              <w:left w:w="0" w:type="dxa"/>
              <w:right w:w="0" w:type="dxa"/>
            </w:tcMar>
            <w:vAlign w:val="center"/>
          </w:tcPr>
          <w:p w14:paraId="25C7A14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394DA3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3A96D14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w:t>
            </w:r>
          </w:p>
        </w:tc>
        <w:tc>
          <w:tcPr>
            <w:tcW w:w="4253" w:type="dxa"/>
            <w:tcMar>
              <w:left w:w="0" w:type="dxa"/>
              <w:right w:w="0" w:type="dxa"/>
            </w:tcMar>
            <w:vAlign w:val="center"/>
          </w:tcPr>
          <w:p w14:paraId="46E7833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油气开发全过程应采取措施防止地下水污染，建立动态监测评估、处理及报告机制</w:t>
            </w:r>
          </w:p>
        </w:tc>
        <w:tc>
          <w:tcPr>
            <w:tcW w:w="3117" w:type="dxa"/>
            <w:tcMar>
              <w:left w:w="0" w:type="dxa"/>
              <w:right w:w="0" w:type="dxa"/>
            </w:tcMar>
            <w:vAlign w:val="center"/>
          </w:tcPr>
          <w:p w14:paraId="3AA1701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运营期利用油区已有地下水源井落实地下水监测计划。</w:t>
            </w:r>
          </w:p>
        </w:tc>
        <w:tc>
          <w:tcPr>
            <w:tcW w:w="793" w:type="dxa"/>
            <w:tcMar>
              <w:left w:w="0" w:type="dxa"/>
              <w:right w:w="0" w:type="dxa"/>
            </w:tcMar>
            <w:vAlign w:val="center"/>
          </w:tcPr>
          <w:p w14:paraId="5E568C3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0B72C5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727D7BF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w:t>
            </w:r>
          </w:p>
        </w:tc>
        <w:tc>
          <w:tcPr>
            <w:tcW w:w="4253" w:type="dxa"/>
            <w:tcMar>
              <w:left w:w="0" w:type="dxa"/>
              <w:right w:w="0" w:type="dxa"/>
            </w:tcMar>
            <w:vAlign w:val="center"/>
          </w:tcPr>
          <w:p w14:paraId="530A5E4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防止油气生产、储存、转运过程中发生渗漏、泄漏，防止对矿区生态环境造成污染和破坏；应制定突发环境事件应急预案，配备相应的应急物资</w:t>
            </w:r>
          </w:p>
        </w:tc>
        <w:tc>
          <w:tcPr>
            <w:tcW w:w="3117" w:type="dxa"/>
            <w:tcMar>
              <w:left w:w="0" w:type="dxa"/>
              <w:right w:w="0" w:type="dxa"/>
            </w:tcMar>
            <w:vAlign w:val="center"/>
          </w:tcPr>
          <w:p w14:paraId="4FD044E1">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吉庆油田作业区</w:t>
            </w:r>
            <w:r>
              <w:rPr>
                <w:rFonts w:hint="eastAsia"/>
                <w:color w:val="000000" w:themeColor="text1"/>
                <w:lang w:bidi="ar"/>
                <w14:textFill>
                  <w14:solidFill>
                    <w14:schemeClr w14:val="tx1"/>
                  </w14:solidFill>
                </w14:textFill>
              </w:rPr>
              <w:t>具备完善的应急管理体系，可依托其应急预案及应急物资。</w:t>
            </w:r>
          </w:p>
        </w:tc>
        <w:tc>
          <w:tcPr>
            <w:tcW w:w="793" w:type="dxa"/>
            <w:tcMar>
              <w:left w:w="0" w:type="dxa"/>
              <w:right w:w="0" w:type="dxa"/>
            </w:tcMar>
            <w:vAlign w:val="center"/>
          </w:tcPr>
          <w:p w14:paraId="03EF393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383D45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4D1A321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7</w:t>
            </w:r>
          </w:p>
        </w:tc>
        <w:tc>
          <w:tcPr>
            <w:tcW w:w="4253" w:type="dxa"/>
            <w:tcMar>
              <w:left w:w="0" w:type="dxa"/>
              <w:right w:w="0" w:type="dxa"/>
            </w:tcMar>
            <w:vAlign w:val="center"/>
          </w:tcPr>
          <w:p w14:paraId="0101860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按照减量化、资源化、再利用的原则，综合开发利用油气藏共伴生资源，综合利用固体废弃物、废水等，发展循环经济；气田伴生资源综合利用：与甲烷气伴生的凝析油综合利用率不低于90%；油气生产过程中产生的废液、废气、固体废物应建档分类管理，并清洁化、无害化处置，处置率应达到100%；油气生产过程中的采出水应清洁处理后循环利用；不能循环利用的，应达标排放、回注或采取其它有效利用方式；油气开采过程中产生的落地原油，应及时全部回收</w:t>
            </w:r>
          </w:p>
        </w:tc>
        <w:tc>
          <w:tcPr>
            <w:tcW w:w="3117" w:type="dxa"/>
            <w:tcMar>
              <w:left w:w="0" w:type="dxa"/>
              <w:right w:w="0" w:type="dxa"/>
            </w:tcMar>
            <w:vAlign w:val="center"/>
          </w:tcPr>
          <w:p w14:paraId="327FD8A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井下作业时产生的洗井废水和井下作业废液送至压裂液返排装置处理，出水水质达标后回注油藏。</w:t>
            </w:r>
            <w:r>
              <w:rPr>
                <w:rFonts w:hint="eastAsia"/>
                <w:color w:val="000000" w:themeColor="text1"/>
                <w14:textFill>
                  <w14:solidFill>
                    <w14:schemeClr w14:val="tx1"/>
                  </w14:solidFill>
                </w14:textFill>
              </w:rPr>
              <w:t>危险废物主要为废润滑油、废润滑油桶、沾油废防渗材料和废含油抹布、劳保用品，分类收集，集中收集后交由有相应资质的单位处置</w:t>
            </w:r>
            <w:r>
              <w:rPr>
                <w:rFonts w:hint="eastAsia"/>
                <w:color w:val="000000" w:themeColor="text1"/>
                <w:lang w:bidi="ar"/>
                <w14:textFill>
                  <w14:solidFill>
                    <w14:schemeClr w14:val="tx1"/>
                  </w14:solidFill>
                </w14:textFill>
              </w:rPr>
              <w:t>。</w:t>
            </w:r>
          </w:p>
        </w:tc>
        <w:tc>
          <w:tcPr>
            <w:tcW w:w="793" w:type="dxa"/>
            <w:tcMar>
              <w:left w:w="0" w:type="dxa"/>
              <w:right w:w="0" w:type="dxa"/>
            </w:tcMar>
            <w:vAlign w:val="center"/>
          </w:tcPr>
          <w:p w14:paraId="6DA6EF7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499B7E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21A8566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w:t>
            </w:r>
          </w:p>
        </w:tc>
        <w:tc>
          <w:tcPr>
            <w:tcW w:w="4253" w:type="dxa"/>
            <w:tcMar>
              <w:left w:w="0" w:type="dxa"/>
              <w:right w:w="0" w:type="dxa"/>
            </w:tcMar>
            <w:vAlign w:val="center"/>
          </w:tcPr>
          <w:p w14:paraId="5208380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建立油气田生产全过程能耗核算体系，通过采取节能减排措施，控制并减少单位产品能耗、物耗、水耗，减少</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三废</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排放；生产主要环节应选用高效节能的新技术、新工艺、新设备和新材料，及时淘汰高能耗、高污染、低效率的工艺和装备</w:t>
            </w:r>
          </w:p>
        </w:tc>
        <w:tc>
          <w:tcPr>
            <w:tcW w:w="3117" w:type="dxa"/>
            <w:tcMar>
              <w:left w:w="0" w:type="dxa"/>
              <w:right w:w="0" w:type="dxa"/>
            </w:tcMar>
            <w:vAlign w:val="center"/>
          </w:tcPr>
          <w:p w14:paraId="2059AF9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吉庆油田作业区按要求开展了清洁生产审核与验收工作，针对节能降耗、新工艺、新设备等的环保效果进行严格把控，确保清洁生产水平保持先进</w:t>
            </w:r>
          </w:p>
        </w:tc>
        <w:tc>
          <w:tcPr>
            <w:tcW w:w="793" w:type="dxa"/>
            <w:tcMar>
              <w:left w:w="0" w:type="dxa"/>
              <w:right w:w="0" w:type="dxa"/>
            </w:tcMar>
            <w:vAlign w:val="center"/>
          </w:tcPr>
          <w:p w14:paraId="2BB13DC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bl>
    <w:p w14:paraId="6D45E10A">
      <w:pPr>
        <w:pStyle w:val="120"/>
        <w:rPr>
          <w:rFonts w:hint="eastAsia"/>
          <w:color w:val="000000" w:themeColor="text1"/>
          <w14:textFill>
            <w14:solidFill>
              <w14:schemeClr w14:val="tx1"/>
            </w14:solidFill>
          </w14:textFill>
        </w:rPr>
      </w:pPr>
      <w:bookmarkStart w:id="166" w:name="_Hlk80611172"/>
      <w:r>
        <w:rPr>
          <w:rFonts w:hint="eastAsia"/>
          <w:color w:val="000000" w:themeColor="text1"/>
          <w14:textFill>
            <w14:solidFill>
              <w14:schemeClr w14:val="tx1"/>
            </w14:solidFill>
          </w14:textFill>
        </w:rPr>
        <w:t>（3）与《关于进一步加强石油天然气行业环境影响评价管理的通知》的相符性分析</w:t>
      </w:r>
    </w:p>
    <w:p w14:paraId="2CD72D6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本项目的建设</w:t>
      </w:r>
      <w:bookmarkStart w:id="167" w:name="_Hlk80042711"/>
      <w:r>
        <w:rPr>
          <w:rFonts w:hint="eastAsia"/>
          <w:color w:val="000000" w:themeColor="text1"/>
          <w14:textFill>
            <w14:solidFill>
              <w14:schemeClr w14:val="tx1"/>
            </w14:solidFill>
          </w14:textFill>
        </w:rPr>
        <w:t>符合</w:t>
      </w:r>
      <w:bookmarkStart w:id="168" w:name="_Hlk80047852"/>
      <w:r>
        <w:rPr>
          <w:rFonts w:hint="eastAsia"/>
          <w:color w:val="000000" w:themeColor="text1"/>
          <w14:textFill>
            <w14:solidFill>
              <w14:schemeClr w14:val="tx1"/>
            </w14:solidFill>
          </w14:textFill>
        </w:rPr>
        <w:t>《关于进一步加强石油天然气行业环境影响评价管理的通知》</w:t>
      </w:r>
      <w:bookmarkEnd w:id="167"/>
      <w:bookmarkEnd w:id="168"/>
      <w:r>
        <w:rPr>
          <w:rFonts w:hint="eastAsia"/>
          <w:color w:val="000000" w:themeColor="text1"/>
          <w14:textFill>
            <w14:solidFill>
              <w14:schemeClr w14:val="tx1"/>
            </w14:solidFill>
          </w14:textFill>
        </w:rPr>
        <w:t>中的相关要求，具体见表</w:t>
      </w:r>
      <w:r>
        <w:rPr>
          <w:color w:val="000000" w:themeColor="text1"/>
          <w14:textFill>
            <w14:solidFill>
              <w14:schemeClr w14:val="tx1"/>
            </w14:solidFill>
          </w14:textFill>
        </w:rPr>
        <w:t>2.9</w:t>
      </w:r>
      <w:r>
        <w:rPr>
          <w:rFonts w:hint="eastAsia"/>
          <w:color w:val="000000" w:themeColor="text1"/>
          <w14:textFill>
            <w14:solidFill>
              <w14:schemeClr w14:val="tx1"/>
            </w14:solidFill>
          </w14:textFill>
        </w:rPr>
        <w:t>-9。</w:t>
      </w:r>
    </w:p>
    <w:p w14:paraId="55F58A21">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与</w:t>
      </w:r>
      <w:bookmarkStart w:id="169" w:name="_Hlk80467751"/>
      <w:r>
        <w:rPr>
          <w:rFonts w:hint="eastAsia"/>
          <w:color w:val="000000" w:themeColor="text1"/>
          <w14:textFill>
            <w14:solidFill>
              <w14:schemeClr w14:val="tx1"/>
            </w14:solidFill>
          </w14:textFill>
        </w:rPr>
        <w:t>《关于进一步加强石油天然气行业环境影响评价管理的通知》</w:t>
      </w:r>
      <w:bookmarkEnd w:id="169"/>
      <w:r>
        <w:rPr>
          <w:rFonts w:hint="eastAsia"/>
          <w:color w:val="000000" w:themeColor="text1"/>
          <w14:textFill>
            <w14:solidFill>
              <w14:schemeClr w14:val="tx1"/>
            </w14:solidFill>
          </w14:textFill>
        </w:rPr>
        <w:t>的符合性分析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
        <w:gridCol w:w="4678"/>
        <w:gridCol w:w="2951"/>
        <w:gridCol w:w="817"/>
      </w:tblGrid>
      <w:tr w14:paraId="38D5CE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84" w:type="dxa"/>
            <w:tcMar>
              <w:left w:w="0" w:type="dxa"/>
              <w:right w:w="0" w:type="dxa"/>
            </w:tcMar>
            <w:vAlign w:val="center"/>
          </w:tcPr>
          <w:p w14:paraId="47C0F94B">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序号</w:t>
            </w:r>
          </w:p>
        </w:tc>
        <w:tc>
          <w:tcPr>
            <w:tcW w:w="4678" w:type="dxa"/>
            <w:tcMar>
              <w:left w:w="0" w:type="dxa"/>
              <w:right w:w="0" w:type="dxa"/>
            </w:tcMar>
            <w:vAlign w:val="center"/>
          </w:tcPr>
          <w:p w14:paraId="51287BE6">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《关于进一步加强石油天然气行业环境影响评价管理的通知》中相关规定</w:t>
            </w:r>
          </w:p>
        </w:tc>
        <w:tc>
          <w:tcPr>
            <w:tcW w:w="2951" w:type="dxa"/>
            <w:tcMar>
              <w:left w:w="0" w:type="dxa"/>
              <w:right w:w="0" w:type="dxa"/>
            </w:tcMar>
            <w:vAlign w:val="center"/>
          </w:tcPr>
          <w:p w14:paraId="1926159A">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本项目采取的相关措施</w:t>
            </w:r>
          </w:p>
        </w:tc>
        <w:tc>
          <w:tcPr>
            <w:tcW w:w="817" w:type="dxa"/>
            <w:tcMar>
              <w:left w:w="0" w:type="dxa"/>
              <w:right w:w="0" w:type="dxa"/>
            </w:tcMar>
            <w:vAlign w:val="center"/>
          </w:tcPr>
          <w:p w14:paraId="65176FC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相符性</w:t>
            </w:r>
          </w:p>
          <w:p w14:paraId="4F277C3B">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分析</w:t>
            </w:r>
          </w:p>
        </w:tc>
      </w:tr>
      <w:tr w14:paraId="0A5BB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7D71599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w:t>
            </w:r>
          </w:p>
        </w:tc>
        <w:tc>
          <w:tcPr>
            <w:tcW w:w="4678" w:type="dxa"/>
            <w:tcMar>
              <w:left w:w="0" w:type="dxa"/>
              <w:right w:w="0" w:type="dxa"/>
            </w:tcMar>
            <w:vAlign w:val="center"/>
          </w:tcPr>
          <w:p w14:paraId="00867509">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油气企业在编制内部相关油气开发专项规划时，鼓励同步编制规划环境影响报告书，重点就规划实施的累积性、长期性环境影响进行分析，提出预防和减轻不良环境影响的对策措施，自行组织专家论证，相关成果向省级生态环境主管部门通报</w:t>
            </w:r>
          </w:p>
        </w:tc>
        <w:tc>
          <w:tcPr>
            <w:tcW w:w="2951" w:type="dxa"/>
            <w:tcMar>
              <w:left w:w="0" w:type="dxa"/>
              <w:right w:w="0" w:type="dxa"/>
            </w:tcMar>
            <w:vAlign w:val="center"/>
          </w:tcPr>
          <w:p w14:paraId="41448DE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中国石油新疆油田分公司编制了《新疆油田公司“十四五”发展规划》和《新疆油田公司“十四五”发展规划环境影响报告书》，规划环境影响报告书已取得自治区生态环境厅审查意见（新环审〔2</w:t>
            </w:r>
            <w:r>
              <w:rPr>
                <w:color w:val="000000" w:themeColor="text1"/>
                <w:lang w:bidi="ar"/>
                <w14:textFill>
                  <w14:solidFill>
                    <w14:schemeClr w14:val="tx1"/>
                  </w14:solidFill>
                </w14:textFill>
              </w:rPr>
              <w:t>022</w:t>
            </w:r>
            <w:r>
              <w:rPr>
                <w:rFonts w:hint="eastAsia"/>
                <w:color w:val="000000" w:themeColor="text1"/>
                <w:lang w:bidi="ar"/>
                <w14:textFill>
                  <w14:solidFill>
                    <w14:schemeClr w14:val="tx1"/>
                  </w14:solidFill>
                </w14:textFill>
              </w:rPr>
              <w:t>〕2</w:t>
            </w:r>
            <w:r>
              <w:rPr>
                <w:color w:val="000000" w:themeColor="text1"/>
                <w:lang w:bidi="ar"/>
                <w14:textFill>
                  <w14:solidFill>
                    <w14:schemeClr w14:val="tx1"/>
                  </w14:solidFill>
                </w14:textFill>
              </w:rPr>
              <w:t>52</w:t>
            </w:r>
            <w:r>
              <w:rPr>
                <w:rFonts w:hint="eastAsia"/>
                <w:color w:val="000000" w:themeColor="text1"/>
                <w:lang w:bidi="ar"/>
                <w14:textFill>
                  <w14:solidFill>
                    <w14:schemeClr w14:val="tx1"/>
                  </w14:solidFill>
                </w14:textFill>
              </w:rPr>
              <w:t>号）。</w:t>
            </w:r>
          </w:p>
        </w:tc>
        <w:tc>
          <w:tcPr>
            <w:tcW w:w="817" w:type="dxa"/>
            <w:tcMar>
              <w:left w:w="0" w:type="dxa"/>
              <w:right w:w="0" w:type="dxa"/>
            </w:tcMar>
            <w:vAlign w:val="center"/>
          </w:tcPr>
          <w:p w14:paraId="7E0469C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0A9AC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7BFEA4F2">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2</w:t>
            </w:r>
          </w:p>
        </w:tc>
        <w:tc>
          <w:tcPr>
            <w:tcW w:w="4678" w:type="dxa"/>
            <w:tcMar>
              <w:left w:w="0" w:type="dxa"/>
              <w:right w:w="0" w:type="dxa"/>
            </w:tcMar>
            <w:vAlign w:val="center"/>
          </w:tcPr>
          <w:p w14:paraId="730AD8A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气开采项目（含新开发和滚动开发项目）原则上应以区块为单位开展环评，一般包括区块内拟建的新井、加密井、调整井、站场、设备、管道和电缆及其更换工程、弃置工程及配套工程等。项目环评应深入评价项目建设、运营带来的环境影响和环境风险，提出有效的生态环境保护和环境风险防范措施。滚动开发区块产能建设项目，还应对现有工程环境影响进行回顾性评价，对相关生态环境问题提出有效防治措施。依托其他防治设施的或者委托第三方处置的，应在环评中论证其可行性和有效性。</w:t>
            </w:r>
          </w:p>
        </w:tc>
        <w:tc>
          <w:tcPr>
            <w:tcW w:w="2951" w:type="dxa"/>
            <w:tcMar>
              <w:left w:w="0" w:type="dxa"/>
              <w:right w:w="0" w:type="dxa"/>
            </w:tcMar>
            <w:vAlign w:val="center"/>
          </w:tcPr>
          <w:p w14:paraId="0225E7D2">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本项目为陆地石油开采，以区块为单位开展环评，在报告中对</w:t>
            </w:r>
            <w:r>
              <w:rPr>
                <w:rFonts w:hint="eastAsia"/>
                <w:color w:val="000000" w:themeColor="text1"/>
                <w14:textFill>
                  <w14:solidFill>
                    <w14:schemeClr w14:val="tx1"/>
                  </w14:solidFill>
                </w14:textFill>
              </w:rPr>
              <w:t>施工期、运营期环境影响和环境风险进行了分析，并提出了有效的环境保护措施、污染防治措施和环境风险防范措施，并分析了依托工程可行性和有效性；同时对拟转产井也进行了回顾性评价，对相关生态环境问题提出有效防治措施。</w:t>
            </w:r>
          </w:p>
        </w:tc>
        <w:tc>
          <w:tcPr>
            <w:tcW w:w="817" w:type="dxa"/>
            <w:tcMar>
              <w:left w:w="0" w:type="dxa"/>
              <w:right w:w="0" w:type="dxa"/>
            </w:tcMar>
            <w:vAlign w:val="center"/>
          </w:tcPr>
          <w:p w14:paraId="033B077C">
            <w:pPr>
              <w:pStyle w:val="280"/>
              <w:rPr>
                <w:rFonts w:hint="eastAsia"/>
                <w:color w:val="000000" w:themeColor="text1"/>
                <w14:textFill>
                  <w14:solidFill>
                    <w14:schemeClr w14:val="tx1"/>
                  </w14:solidFill>
                </w14:textFill>
              </w:rPr>
            </w:pPr>
            <w:r>
              <w:rPr>
                <w:color w:val="000000" w:themeColor="text1"/>
                <w:lang w:bidi="ar"/>
                <w14:textFill>
                  <w14:solidFill>
                    <w14:schemeClr w14:val="tx1"/>
                  </w14:solidFill>
                </w14:textFill>
              </w:rPr>
              <w:t>符合</w:t>
            </w:r>
          </w:p>
        </w:tc>
      </w:tr>
      <w:tr w14:paraId="5A0A9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6F27D61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4678" w:type="dxa"/>
            <w:tcMar>
              <w:left w:w="0" w:type="dxa"/>
              <w:right w:w="0" w:type="dxa"/>
            </w:tcMar>
            <w:vAlign w:val="center"/>
          </w:tcPr>
          <w:p w14:paraId="664C2E5F">
            <w:pPr>
              <w:adjustRightInd w:val="0"/>
              <w:snapToGrid w:val="0"/>
              <w:spacing w:line="300" w:lineRule="exact"/>
              <w:jc w:val="center"/>
              <w:rPr>
                <w:color w:val="000000" w:themeColor="text1"/>
                <w14:textFill>
                  <w14:solidFill>
                    <w14:schemeClr w14:val="tx1"/>
                  </w14:solidFill>
                </w14:textFill>
              </w:rPr>
            </w:pPr>
            <w:r>
              <w:rPr>
                <w:rFonts w:hint="eastAsia" w:ascii="宋体" w:hAnsi="宋体" w:cs="宋体"/>
                <w:color w:val="000000" w:themeColor="text1"/>
                <w:kern w:val="0"/>
                <w:szCs w:val="21"/>
                <w:lang w:val="en"/>
                <w14:textFill>
                  <w14:solidFill>
                    <w14:schemeClr w14:val="tx1"/>
                  </w14:solidFill>
                </w14:textFill>
              </w:rPr>
              <w:t>未确定产能建设规模的陆地油气开采新区块，建设勘探井应当依法编制环境影响报告表。海洋油气勘探工程应当填报环境影响登记表并进行备案。确定产能建设规模后，原则上不得以勘探名义继续开展单井环评。勘探井转为生产井的，可以纳入区块环评。自2021年1月1日起，原则上不以单井形式开展环评。过渡期间，项目建设单位可以根据实际情况，报批区块环评或单井环评。</w:t>
            </w:r>
          </w:p>
        </w:tc>
        <w:tc>
          <w:tcPr>
            <w:tcW w:w="2951" w:type="dxa"/>
            <w:tcMar>
              <w:left w:w="0" w:type="dxa"/>
              <w:right w:w="0" w:type="dxa"/>
            </w:tcMar>
            <w:vAlign w:val="center"/>
          </w:tcPr>
          <w:p w14:paraId="139BE561">
            <w:pPr>
              <w:adjustRightInd w:val="0"/>
              <w:snapToGrid w:val="0"/>
              <w:spacing w:line="300" w:lineRule="exact"/>
              <w:rPr>
                <w:color w:val="000000" w:themeColor="text1"/>
                <w:lang w:bidi="ar"/>
                <w14:textFill>
                  <w14:solidFill>
                    <w14:schemeClr w14:val="tx1"/>
                  </w14:solidFill>
                </w14:textFill>
              </w:rPr>
            </w:pPr>
            <w:r>
              <w:rPr>
                <w:rFonts w:hint="eastAsia" w:ascii="宋体" w:hAnsi="宋体"/>
                <w:color w:val="000000" w:themeColor="text1"/>
                <w:szCs w:val="21"/>
                <w:lang w:bidi="ar"/>
                <w14:textFill>
                  <w14:solidFill>
                    <w14:schemeClr w14:val="tx1"/>
                  </w14:solidFill>
                </w14:textFill>
              </w:rPr>
              <w:t>本项目所在区块属于已确定产能规模的老区块，本项目纳入吉庆油田吉7井区区块环评</w:t>
            </w:r>
          </w:p>
        </w:tc>
        <w:tc>
          <w:tcPr>
            <w:tcW w:w="817" w:type="dxa"/>
            <w:tcMar>
              <w:left w:w="0" w:type="dxa"/>
              <w:right w:w="0" w:type="dxa"/>
            </w:tcMar>
            <w:vAlign w:val="center"/>
          </w:tcPr>
          <w:p w14:paraId="5EBB7F2C">
            <w:pPr>
              <w:adjustRightInd w:val="0"/>
              <w:snapToGrid w:val="0"/>
              <w:spacing w:line="300" w:lineRule="exact"/>
              <w:jc w:val="center"/>
              <w:rPr>
                <w:color w:val="000000" w:themeColor="text1"/>
                <w:lang w:bidi="ar"/>
                <w14:textFill>
                  <w14:solidFill>
                    <w14:schemeClr w14:val="tx1"/>
                  </w14:solidFill>
                </w14:textFill>
              </w:rPr>
            </w:pPr>
            <w:r>
              <w:rPr>
                <w:rFonts w:hint="eastAsia" w:ascii="宋体" w:hAnsi="宋体"/>
                <w:color w:val="000000" w:themeColor="text1"/>
                <w:szCs w:val="21"/>
                <w:lang w:bidi="ar"/>
                <w14:textFill>
                  <w14:solidFill>
                    <w14:schemeClr w14:val="tx1"/>
                  </w14:solidFill>
                </w14:textFill>
              </w:rPr>
              <w:t>符合</w:t>
            </w:r>
          </w:p>
        </w:tc>
      </w:tr>
      <w:tr w14:paraId="20A953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639D2D1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w:t>
            </w:r>
          </w:p>
        </w:tc>
        <w:tc>
          <w:tcPr>
            <w:tcW w:w="4678" w:type="dxa"/>
            <w:tcMar>
              <w:left w:w="0" w:type="dxa"/>
              <w:right w:w="0" w:type="dxa"/>
            </w:tcMar>
            <w:vAlign w:val="center"/>
          </w:tcPr>
          <w:p w14:paraId="1FD7576C">
            <w:pPr>
              <w:pStyle w:val="280"/>
              <w:rPr>
                <w:rFonts w:hint="eastAsia"/>
                <w:color w:val="000000" w:themeColor="text1"/>
                <w:lang w:val="en"/>
                <w14:textFill>
                  <w14:solidFill>
                    <w14:schemeClr w14:val="tx1"/>
                  </w14:solidFill>
                </w14:textFill>
              </w:rPr>
            </w:pPr>
            <w:r>
              <w:rPr>
                <w:rFonts w:hint="eastAsia" w:cs="宋体"/>
                <w:color w:val="000000" w:themeColor="text1"/>
                <w:lang w:val="en"/>
                <w14:textFill>
                  <w14:solidFill>
                    <w14:schemeClr w14:val="tx1"/>
                  </w14:solidFill>
                </w14:textFill>
              </w:rPr>
              <w:t>涉</w:t>
            </w:r>
            <w:r>
              <w:rPr>
                <w:rFonts w:hint="eastAsia"/>
                <w:color w:val="000000" w:themeColor="text1"/>
                <w14:textFill>
                  <w14:solidFill>
                    <w14:schemeClr w14:val="tx1"/>
                  </w14:solidFill>
                </w14:textFill>
              </w:rPr>
              <w:t>及向地表水体排放污染物的陆地油气开采项目，应当符合国家和地方污染物排放标准，满足重点污染物排放总量控制要求。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指标技术要求及分析方法》（SY/T5329）等相关标准要求后回注，同步采取切实可行措施防治污染。回注目的层应当为地质构造封闭地层，一般应当回注到现役油气藏或枯竭废弃油气藏。相关部门及油气企业应当加强采出水等污水回注的研究，重点关注回注井井位合理性、过程控制有效性、风险防控系统性等，提出从源头到末端的全过程生态环境保护及风险防控措施、监控要求。建设项目环评文件中应当包含钻井液、压裂液中重金属等有毒有害物质的相关信息，涉及商业秘密、技术秘密等情形的除外</w:t>
            </w:r>
          </w:p>
        </w:tc>
        <w:tc>
          <w:tcPr>
            <w:tcW w:w="2951" w:type="dxa"/>
            <w:tcMar>
              <w:left w:w="0" w:type="dxa"/>
              <w:right w:w="0" w:type="dxa"/>
            </w:tcMar>
            <w:vAlign w:val="center"/>
          </w:tcPr>
          <w:p w14:paraId="2341871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本项目采用注水开发，注水井注水水源为吉祥联合站采出水处理系统处理后的采出水，水质满足《碎屑岩油藏注水水质指标技术要求及分析方法》（SY/T5329-2022）相关标准要求；</w:t>
            </w:r>
          </w:p>
          <w:p w14:paraId="23E7D0A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报告中从回注井井筒完整性、回注层可注性和回注层封闭性等方面评价对地下水的影响，论证了采出水回注的环境可行性并提出了相应的污染防治措施；回注目的层为正在开发的油藏；</w:t>
            </w:r>
          </w:p>
          <w:p w14:paraId="0F3B531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运营期井下作业时产生的洗井废水和井下作业废液送至吉祥联合站采出水处理系统处理，出水水质《碎屑岩油藏注水水质指标技术要求及分析方法》（SY/T5329-2022）相关标准要求后，回注油藏。</w:t>
            </w:r>
          </w:p>
        </w:tc>
        <w:tc>
          <w:tcPr>
            <w:tcW w:w="817" w:type="dxa"/>
            <w:tcMar>
              <w:left w:w="0" w:type="dxa"/>
              <w:right w:w="0" w:type="dxa"/>
            </w:tcMar>
            <w:vAlign w:val="center"/>
          </w:tcPr>
          <w:p w14:paraId="71F0097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7F619D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1AF1A9C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w:t>
            </w:r>
          </w:p>
        </w:tc>
        <w:tc>
          <w:tcPr>
            <w:tcW w:w="4678" w:type="dxa"/>
            <w:tcMar>
              <w:left w:w="0" w:type="dxa"/>
              <w:right w:w="0" w:type="dxa"/>
            </w:tcMar>
            <w:vAlign w:val="center"/>
          </w:tcPr>
          <w:p w14:paraId="440C0254">
            <w:pPr>
              <w:pStyle w:val="280"/>
              <w:rPr>
                <w:rFonts w:hint="eastAsia" w:cs="宋体"/>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油气开采产生的废弃油基泥浆、含油钻屑及其他固体废物，应遵循减量化、资源化、无害化原则，按照国家和地方有关固体废物的管理规定进行处置。鼓励企业自建含油污泥集中式综合处理和利用设施，提高废弃油基泥浆和含油钻屑及其处理产物的综合利用率。油气开采项目产生的危险废物，应按照《建设项目危险废物环境影响评价指南》要求评价。相关部门及油气企业应加强固体废物处置的研究，重点关注固体废物产生类型、主要污染因子及潜在环境影响，分别提出减量化源头控制措施、资源化利用路径、无害化处理要求，促进固体废物合理利用和妥善处置</w:t>
            </w:r>
          </w:p>
        </w:tc>
        <w:tc>
          <w:tcPr>
            <w:tcW w:w="2951" w:type="dxa"/>
            <w:tcMar>
              <w:left w:w="0" w:type="dxa"/>
              <w:right w:w="0" w:type="dxa"/>
            </w:tcMar>
            <w:vAlign w:val="center"/>
          </w:tcPr>
          <w:p w14:paraId="1BC216BA">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危险废物主要为废润滑油、废润滑油桶、沾油废防渗材料和废含油抹布、劳保用品，分类收集，集中收集后交由有相应资质的单位处置</w:t>
            </w:r>
            <w:r>
              <w:rPr>
                <w:rFonts w:hint="eastAsia"/>
                <w:color w:val="000000" w:themeColor="text1"/>
                <w:lang w:bidi="ar"/>
                <w14:textFill>
                  <w14:solidFill>
                    <w14:schemeClr w14:val="tx1"/>
                  </w14:solidFill>
                </w14:textFill>
              </w:rPr>
              <w:t>；</w:t>
            </w:r>
            <w:r>
              <w:rPr>
                <w:rFonts w:hint="eastAsia" w:cs="宋体"/>
                <w:color w:val="000000" w:themeColor="text1"/>
                <w14:textFill>
                  <w14:solidFill>
                    <w14:schemeClr w14:val="tx1"/>
                  </w14:solidFill>
                </w14:textFill>
              </w:rPr>
              <w:t>固体废物均得到妥善处置，</w:t>
            </w:r>
            <w:r>
              <w:rPr>
                <w:rFonts w:hint="eastAsia"/>
                <w:color w:val="000000" w:themeColor="text1"/>
                <w14:textFill>
                  <w14:solidFill>
                    <w14:schemeClr w14:val="tx1"/>
                  </w14:solidFill>
                </w14:textFill>
              </w:rPr>
              <w:t>不会对区域环境造成不利影响。</w:t>
            </w:r>
          </w:p>
        </w:tc>
        <w:tc>
          <w:tcPr>
            <w:tcW w:w="817" w:type="dxa"/>
            <w:tcMar>
              <w:left w:w="0" w:type="dxa"/>
              <w:right w:w="0" w:type="dxa"/>
            </w:tcMar>
            <w:vAlign w:val="center"/>
          </w:tcPr>
          <w:p w14:paraId="7FEE989C">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0451E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5EF6125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w:t>
            </w:r>
          </w:p>
        </w:tc>
        <w:tc>
          <w:tcPr>
            <w:tcW w:w="4678" w:type="dxa"/>
            <w:tcMar>
              <w:left w:w="0" w:type="dxa"/>
              <w:right w:w="0" w:type="dxa"/>
            </w:tcMar>
            <w:vAlign w:val="center"/>
          </w:tcPr>
          <w:p w14:paraId="2129F54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2951" w:type="dxa"/>
            <w:tcMar>
              <w:left w:w="0" w:type="dxa"/>
              <w:right w:w="0" w:type="dxa"/>
            </w:tcMar>
            <w:vAlign w:val="center"/>
          </w:tcPr>
          <w:p w14:paraId="61B2CF8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油气通过密闭集输工艺，油气开采过程中的无组织废气通过选用质量可靠的设备和加强检修进行防治。</w:t>
            </w:r>
          </w:p>
        </w:tc>
        <w:tc>
          <w:tcPr>
            <w:tcW w:w="817" w:type="dxa"/>
            <w:tcMar>
              <w:left w:w="0" w:type="dxa"/>
              <w:right w:w="0" w:type="dxa"/>
            </w:tcMar>
            <w:vAlign w:val="center"/>
          </w:tcPr>
          <w:p w14:paraId="23D02CC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4AA6D5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557B1AE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7</w:t>
            </w:r>
          </w:p>
        </w:tc>
        <w:tc>
          <w:tcPr>
            <w:tcW w:w="4678" w:type="dxa"/>
            <w:tcMar>
              <w:left w:w="0" w:type="dxa"/>
              <w:right w:w="0" w:type="dxa"/>
            </w:tcMar>
            <w:vAlign w:val="center"/>
          </w:tcPr>
          <w:p w14:paraId="6EC3C99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后，应当及时落实环评提出的生态保护措施</w:t>
            </w:r>
          </w:p>
        </w:tc>
        <w:tc>
          <w:tcPr>
            <w:tcW w:w="2951" w:type="dxa"/>
            <w:tcMar>
              <w:left w:w="0" w:type="dxa"/>
              <w:right w:w="0" w:type="dxa"/>
            </w:tcMar>
            <w:vAlign w:val="center"/>
          </w:tcPr>
          <w:p w14:paraId="681A60A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施工期严格按照既定方案施工，合理制定施工方案，加强施工管理，严禁施工人员和机械在施工范围外作业；优先选用低噪声设备，对高噪声设备</w:t>
            </w:r>
            <w:r>
              <w:rPr>
                <w:rFonts w:hint="eastAsia"/>
                <w:color w:val="000000" w:themeColor="text1"/>
                <w:lang w:eastAsia="zh-CN" w:bidi="ar"/>
                <w14:textFill>
                  <w14:solidFill>
                    <w14:schemeClr w14:val="tx1"/>
                  </w14:solidFill>
                </w14:textFill>
              </w:rPr>
              <w:t>采取基础减振</w:t>
            </w:r>
            <w:r>
              <w:rPr>
                <w:rFonts w:hint="eastAsia"/>
                <w:color w:val="000000" w:themeColor="text1"/>
                <w:lang w:bidi="ar"/>
                <w14:textFill>
                  <w14:solidFill>
                    <w14:schemeClr w14:val="tx1"/>
                  </w14:solidFill>
                </w14:textFill>
              </w:rPr>
              <w:t>措施，评价范围内无声环境敏感目标，不会造成扰民现象；施工结束后应及时对施工区进行平整、清理，恢复临时占地。</w:t>
            </w:r>
          </w:p>
        </w:tc>
        <w:tc>
          <w:tcPr>
            <w:tcW w:w="817" w:type="dxa"/>
            <w:tcMar>
              <w:left w:w="0" w:type="dxa"/>
              <w:right w:w="0" w:type="dxa"/>
            </w:tcMar>
            <w:vAlign w:val="center"/>
          </w:tcPr>
          <w:p w14:paraId="56F9DD2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2AE2F4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7D50B4A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w:t>
            </w:r>
          </w:p>
        </w:tc>
        <w:tc>
          <w:tcPr>
            <w:tcW w:w="4678" w:type="dxa"/>
            <w:tcMar>
              <w:left w:w="0" w:type="dxa"/>
              <w:right w:w="0" w:type="dxa"/>
            </w:tcMar>
            <w:vAlign w:val="center"/>
          </w:tcPr>
          <w:p w14:paraId="1C3006F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油气企业应当加强风险防控，按规定编制突发环境事件应急预案，报所在地生态环境主管部门备案</w:t>
            </w:r>
          </w:p>
        </w:tc>
        <w:tc>
          <w:tcPr>
            <w:tcW w:w="2951" w:type="dxa"/>
            <w:tcMar>
              <w:left w:w="0" w:type="dxa"/>
              <w:right w:w="0" w:type="dxa"/>
            </w:tcMar>
            <w:vAlign w:val="center"/>
          </w:tcPr>
          <w:p w14:paraId="7987517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吉庆油田作业区具备完善的应急管理体系，可依托其应急预案及应急物资。</w:t>
            </w:r>
          </w:p>
        </w:tc>
        <w:tc>
          <w:tcPr>
            <w:tcW w:w="817" w:type="dxa"/>
            <w:tcMar>
              <w:left w:w="0" w:type="dxa"/>
              <w:right w:w="0" w:type="dxa"/>
            </w:tcMar>
            <w:vAlign w:val="center"/>
          </w:tcPr>
          <w:p w14:paraId="574C72F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355DC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5FC10D8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9</w:t>
            </w:r>
          </w:p>
        </w:tc>
        <w:tc>
          <w:tcPr>
            <w:tcW w:w="4678" w:type="dxa"/>
            <w:tcMar>
              <w:left w:w="0" w:type="dxa"/>
              <w:right w:w="0" w:type="dxa"/>
            </w:tcMar>
            <w:vAlign w:val="center"/>
          </w:tcPr>
          <w:p w14:paraId="0C309218">
            <w:pPr>
              <w:widowControl/>
              <w:shd w:val="clear" w:color="auto" w:fill="FFFFFF"/>
              <w:adjustRightInd w:val="0"/>
              <w:snapToGrid w:val="0"/>
              <w:spacing w:line="300" w:lineRule="exact"/>
              <w:jc w:val="left"/>
              <w:rPr>
                <w:color w:val="000000" w:themeColor="text1"/>
                <w:lang w:bidi="ar"/>
                <w14:textFill>
                  <w14:solidFill>
                    <w14:schemeClr w14:val="tx1"/>
                  </w14:solidFill>
                </w14:textFill>
              </w:rPr>
            </w:pPr>
            <w:r>
              <w:rPr>
                <w:rFonts w:hint="eastAsia" w:ascii="宋体" w:hAnsi="宋体"/>
                <w:color w:val="000000" w:themeColor="text1"/>
                <w:szCs w:val="21"/>
                <w:lang w:bidi="ar"/>
                <w14:textFill>
                  <w14:solidFill>
                    <w14:schemeClr w14:val="tx1"/>
                  </w14:solidFill>
                </w14:textFill>
              </w:rPr>
              <w:t>建设单位或生产经营单位按规定开展建设项目竣工环境保护验收，并录入全国建设项目竣工环境保护验收信息平台。分期建设、分期投入生产或者使用的建设项目，其相应的环境保护设施应当分期验收。</w:t>
            </w:r>
          </w:p>
        </w:tc>
        <w:tc>
          <w:tcPr>
            <w:tcW w:w="2951" w:type="dxa"/>
            <w:tcMar>
              <w:left w:w="0" w:type="dxa"/>
              <w:right w:w="0" w:type="dxa"/>
            </w:tcMar>
            <w:vAlign w:val="center"/>
          </w:tcPr>
          <w:p w14:paraId="3E614FFA">
            <w:pPr>
              <w:adjustRightInd w:val="0"/>
              <w:snapToGrid w:val="0"/>
              <w:spacing w:line="300" w:lineRule="exact"/>
              <w:jc w:val="center"/>
              <w:rPr>
                <w:color w:val="000000" w:themeColor="text1"/>
                <w:lang w:bidi="ar"/>
                <w14:textFill>
                  <w14:solidFill>
                    <w14:schemeClr w14:val="tx1"/>
                  </w14:solidFill>
                </w14:textFill>
              </w:rPr>
            </w:pPr>
            <w:r>
              <w:rPr>
                <w:rFonts w:hint="eastAsia" w:ascii="宋体" w:hAnsi="宋体"/>
                <w:color w:val="000000" w:themeColor="text1"/>
                <w:szCs w:val="21"/>
                <w:lang w:bidi="ar"/>
                <w14:textFill>
                  <w14:solidFill>
                    <w14:schemeClr w14:val="tx1"/>
                  </w14:solidFill>
                </w14:textFill>
              </w:rPr>
              <w:t>报告中提出了建设单位应开展建设项目竣工环境保护验收，并录入全国建设项目竣工环境保护验收信息平台</w:t>
            </w:r>
          </w:p>
        </w:tc>
        <w:tc>
          <w:tcPr>
            <w:tcW w:w="817" w:type="dxa"/>
            <w:tcMar>
              <w:left w:w="0" w:type="dxa"/>
              <w:right w:w="0" w:type="dxa"/>
            </w:tcMar>
            <w:vAlign w:val="center"/>
          </w:tcPr>
          <w:p w14:paraId="3645F892">
            <w:pPr>
              <w:adjustRightInd w:val="0"/>
              <w:snapToGrid w:val="0"/>
              <w:spacing w:line="300" w:lineRule="exact"/>
              <w:jc w:val="center"/>
              <w:rPr>
                <w:color w:val="000000" w:themeColor="text1"/>
                <w:lang w:bidi="ar"/>
                <w14:textFill>
                  <w14:solidFill>
                    <w14:schemeClr w14:val="tx1"/>
                  </w14:solidFill>
                </w14:textFill>
              </w:rPr>
            </w:pPr>
            <w:r>
              <w:rPr>
                <w:rFonts w:hint="eastAsia" w:ascii="宋体" w:hAnsi="宋体"/>
                <w:color w:val="000000" w:themeColor="text1"/>
                <w:szCs w:val="21"/>
                <w:lang w:bidi="ar"/>
                <w14:textFill>
                  <w14:solidFill>
                    <w14:schemeClr w14:val="tx1"/>
                  </w14:solidFill>
                </w14:textFill>
              </w:rPr>
              <w:t>符合</w:t>
            </w:r>
          </w:p>
        </w:tc>
      </w:tr>
      <w:tr w14:paraId="46709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6AE2F9B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w:t>
            </w:r>
          </w:p>
        </w:tc>
        <w:tc>
          <w:tcPr>
            <w:tcW w:w="4678" w:type="dxa"/>
            <w:tcMar>
              <w:left w:w="0" w:type="dxa"/>
              <w:right w:w="0" w:type="dxa"/>
            </w:tcMar>
            <w:vAlign w:val="center"/>
          </w:tcPr>
          <w:p w14:paraId="2093F7E5">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（一）</w:t>
            </w:r>
            <w:r>
              <w:rPr>
                <w:color w:val="000000" w:themeColor="text1"/>
                <w14:textFill>
                  <w14:solidFill>
                    <w14:schemeClr w14:val="tx1"/>
                  </w14:solidFill>
                </w14:textFill>
              </w:rPr>
              <w:t>油气田开发建设项目的建设运营单位</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即项目业主单</w:t>
            </w:r>
            <w:r>
              <w:rPr>
                <w:rFonts w:hint="eastAsia"/>
                <w:color w:val="000000" w:themeColor="text1"/>
                <w14:textFill>
                  <w14:solidFill>
                    <w14:schemeClr w14:val="tx1"/>
                  </w14:solidFill>
                </w14:textFill>
              </w:rPr>
              <w:t>位）</w:t>
            </w:r>
            <w:r>
              <w:rPr>
                <w:color w:val="000000" w:themeColor="text1"/>
                <w14:textFill>
                  <w14:solidFill>
                    <w14:schemeClr w14:val="tx1"/>
                  </w14:solidFill>
                </w14:textFill>
              </w:rPr>
              <w:t>为油气田勘探开发活动环保责任单位，对在其作业区域内生</w:t>
            </w:r>
            <w:r>
              <w:rPr>
                <w:rFonts w:hint="eastAsia"/>
                <w:color w:val="000000" w:themeColor="text1"/>
                <w14:textFill>
                  <w14:solidFill>
                    <w14:schemeClr w14:val="tx1"/>
                  </w14:solidFill>
                </w14:textFill>
              </w:rPr>
              <w:t>产运营活动负有监督和管理的责任。业主单位责任人为该油气田开发区域内环保第一责任人，要切实履行好监督管理的责任。</w:t>
            </w:r>
          </w:p>
        </w:tc>
        <w:tc>
          <w:tcPr>
            <w:tcW w:w="2951" w:type="dxa"/>
            <w:tcMar>
              <w:left w:w="0" w:type="dxa"/>
              <w:right w:w="0" w:type="dxa"/>
            </w:tcMar>
            <w:vAlign w:val="center"/>
          </w:tcPr>
          <w:p w14:paraId="6799C80F">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运行期由吉庆油田作业区运营管理</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新疆油田分公司已经建立了环境保护指标体系，对各二级单位的环保指标完成情况按《新疆油田分公司环境保护管理规定》的各项指标进行考核。推行环境保护目标责任制，明确了各单位企业行政一把手为本单位环保第一责任人，并规定了应负的法律责任和行政责任。吉庆油田作业区属于新疆油田分公司的二级单位，其单位行政一把手是该单位的环保第一责任人，本次环评要求吉庆油田作业区行政一把手应按照《新疆油田分公司环境保护管理规定》及其他规定在本项目生产运营过程中负起相应法律责任和行政责任</w:t>
            </w:r>
          </w:p>
        </w:tc>
        <w:tc>
          <w:tcPr>
            <w:tcW w:w="817" w:type="dxa"/>
            <w:tcMar>
              <w:left w:w="0" w:type="dxa"/>
              <w:right w:w="0" w:type="dxa"/>
            </w:tcMar>
            <w:vAlign w:val="center"/>
          </w:tcPr>
          <w:p w14:paraId="119CC650">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5B0E52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693FA8A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11</w:t>
            </w:r>
          </w:p>
        </w:tc>
        <w:tc>
          <w:tcPr>
            <w:tcW w:w="4678" w:type="dxa"/>
            <w:tcMar>
              <w:left w:w="0" w:type="dxa"/>
              <w:right w:w="0" w:type="dxa"/>
            </w:tcMar>
            <w:vAlign w:val="center"/>
          </w:tcPr>
          <w:p w14:paraId="4A35CFA1">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严格落实油气田开发项目环评等级及权限。各油气田</w:t>
            </w:r>
            <w:r>
              <w:rPr>
                <w:rFonts w:hint="eastAsia"/>
                <w:color w:val="000000" w:themeColor="text1"/>
                <w14:textFill>
                  <w14:solidFill>
                    <w14:schemeClr w14:val="tx1"/>
                  </w14:solidFill>
                </w14:textFill>
              </w:rPr>
              <w:t>开发业主单位认真梳理区域内油气开发现状，明确环境影响已评价和开发范围（</w:t>
            </w:r>
            <w:r>
              <w:rPr>
                <w:color w:val="000000" w:themeColor="text1"/>
                <w14:textFill>
                  <w14:solidFill>
                    <w14:schemeClr w14:val="tx1"/>
                  </w14:solidFill>
                </w14:textFill>
              </w:rPr>
              <w:t>即老区块</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、未评价和开发范围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即新区块</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的范</w:t>
            </w:r>
            <w:r>
              <w:rPr>
                <w:rFonts w:hint="eastAsia"/>
                <w:color w:val="000000" w:themeColor="text1"/>
                <w14:textFill>
                  <w14:solidFill>
                    <w14:schemeClr w14:val="tx1"/>
                  </w14:solidFill>
                </w14:textFill>
              </w:rPr>
              <w:t>围坐标，整理形成油气田开发情况“一张图”报我厅环境影响评价处，凡属于环境影响评价文件批复区域内新增油气田开发建设行为，其增层开采、加密建井等均按照老区块开发建设编制环评文件，报地州市环保局审批；</w:t>
            </w:r>
            <w:r>
              <w:rPr>
                <w:color w:val="000000" w:themeColor="text1"/>
                <w14:textFill>
                  <w14:solidFill>
                    <w14:schemeClr w14:val="tx1"/>
                  </w14:solidFill>
                </w14:textFill>
              </w:rPr>
              <w:t>凡属于环境影响评价文件批复未涉</w:t>
            </w:r>
            <w:r>
              <w:rPr>
                <w:rFonts w:hint="eastAsia"/>
                <w:color w:val="000000" w:themeColor="text1"/>
                <w14:textFill>
                  <w14:solidFill>
                    <w14:schemeClr w14:val="tx1"/>
                  </w14:solidFill>
                </w14:textFill>
              </w:rPr>
              <w:t>及区域内的开发建设行为均按照新区块编报环评文件。未提交“一张图”的单位我厅暂不予受理其新申请项目环境影响评价审批文件。</w:t>
            </w:r>
          </w:p>
        </w:tc>
        <w:tc>
          <w:tcPr>
            <w:tcW w:w="2951" w:type="dxa"/>
            <w:tcMar>
              <w:left w:w="0" w:type="dxa"/>
              <w:right w:w="0" w:type="dxa"/>
            </w:tcMar>
            <w:vAlign w:val="center"/>
          </w:tcPr>
          <w:p w14:paraId="0D6B3FD7">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新疆油田分公司已明确了区域内油气开发现状，明确了环境影响已评价和开发范围</w:t>
            </w:r>
            <w:r>
              <w:rPr>
                <w:color w:val="000000" w:themeColor="text1"/>
                <w14:textFill>
                  <w14:solidFill>
                    <w14:schemeClr w14:val="tx1"/>
                  </w14:solidFill>
                </w14:textFill>
              </w:rPr>
              <w:t>、未评价和开发范围的范</w:t>
            </w:r>
            <w:r>
              <w:rPr>
                <w:rFonts w:hint="eastAsia"/>
                <w:color w:val="000000" w:themeColor="text1"/>
                <w14:textFill>
                  <w14:solidFill>
                    <w14:schemeClr w14:val="tx1"/>
                  </w14:solidFill>
                </w14:textFill>
              </w:rPr>
              <w:t>围坐标，整理形成油气田开发情况“一张图”。通过对比“一张图”，本项目属于环境影响评价文件批复区域内新增油气田开发建设行为，本次按照老区块开发建设编制了环评文件，拟报项目所在新疆维吾尔自治区昌吉回族自治州生态环境局进行审批</w:t>
            </w:r>
          </w:p>
        </w:tc>
        <w:tc>
          <w:tcPr>
            <w:tcW w:w="817" w:type="dxa"/>
            <w:tcMar>
              <w:left w:w="0" w:type="dxa"/>
              <w:right w:w="0" w:type="dxa"/>
            </w:tcMar>
            <w:vAlign w:val="center"/>
          </w:tcPr>
          <w:p w14:paraId="667CC13E">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10D7A9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4F8C2053">
            <w:pPr>
              <w:pStyle w:val="280"/>
              <w:rPr>
                <w:rFonts w:hint="eastAsia"/>
                <w:color w:val="000000" w:themeColor="text1"/>
                <w:lang w:bidi="ar"/>
                <w14:textFill>
                  <w14:solidFill>
                    <w14:schemeClr w14:val="tx1"/>
                  </w14:solidFill>
                </w14:textFill>
              </w:rPr>
            </w:pPr>
            <w:bookmarkStart w:id="170" w:name="_Hlk80612761"/>
            <w:r>
              <w:rPr>
                <w:rFonts w:hint="eastAsia"/>
                <w:color w:val="000000" w:themeColor="text1"/>
                <w:lang w:bidi="ar"/>
                <w14:textFill>
                  <w14:solidFill>
                    <w14:schemeClr w14:val="tx1"/>
                  </w14:solidFill>
                </w14:textFill>
              </w:rPr>
              <w:t>12</w:t>
            </w:r>
          </w:p>
        </w:tc>
        <w:tc>
          <w:tcPr>
            <w:tcW w:w="4678" w:type="dxa"/>
            <w:tcMar>
              <w:left w:w="0" w:type="dxa"/>
              <w:right w:w="0" w:type="dxa"/>
            </w:tcMar>
            <w:vAlign w:val="center"/>
          </w:tcPr>
          <w:p w14:paraId="4DC0E86B">
            <w:pPr>
              <w:widowControl/>
              <w:shd w:val="clear" w:color="auto" w:fill="FFFFFF"/>
              <w:adjustRightInd w:val="0"/>
              <w:snapToGrid w:val="0"/>
              <w:spacing w:line="300" w:lineRule="exact"/>
              <w:jc w:val="left"/>
              <w:rPr>
                <w:color w:val="000000" w:themeColor="text1"/>
                <w14:textFill>
                  <w14:solidFill>
                    <w14:schemeClr w14:val="tx1"/>
                  </w14:solidFill>
                </w14:textFill>
              </w:rPr>
            </w:pPr>
            <w:r>
              <w:rPr>
                <w:rFonts w:hint="eastAsia" w:ascii="宋体" w:hAnsi="宋体" w:cs="宋体"/>
                <w:color w:val="000000" w:themeColor="text1"/>
                <w:kern w:val="0"/>
                <w:szCs w:val="21"/>
                <w:lang w:val="en"/>
                <w14:textFill>
                  <w14:solidFill>
                    <w14:schemeClr w14:val="tx1"/>
                  </w14:solidFill>
                </w14:textFill>
              </w:rPr>
              <w:t>陆地区块产能建设项目实施后，建设单位或生产经营单位应对地下水、生态、土壤等开展长期跟踪监测，发现问题应及时整改。项目正式投入生产或运营后，每3—5年开展一次环境影响后评价，依法报生态环境主管部门备案。按要求开展环评的现有滚动开发区块，可以不单独开展环境影响后评价，法律法规另有规定的除外。海洋油气开发项目环境影响后评价的具体要求另行规定。</w:t>
            </w:r>
          </w:p>
        </w:tc>
        <w:tc>
          <w:tcPr>
            <w:tcW w:w="2951" w:type="dxa"/>
            <w:tcMar>
              <w:left w:w="0" w:type="dxa"/>
              <w:right w:w="0" w:type="dxa"/>
            </w:tcMar>
            <w:vAlign w:val="center"/>
          </w:tcPr>
          <w:p w14:paraId="7CA129A8">
            <w:pPr>
              <w:adjustRightInd w:val="0"/>
              <w:snapToGrid w:val="0"/>
              <w:spacing w:line="300" w:lineRule="exact"/>
              <w:jc w:val="center"/>
              <w:rPr>
                <w:color w:val="000000" w:themeColor="text1"/>
                <w14:textFill>
                  <w14:solidFill>
                    <w14:schemeClr w14:val="tx1"/>
                  </w14:solidFill>
                </w14:textFill>
              </w:rPr>
            </w:pPr>
            <w:r>
              <w:rPr>
                <w:rFonts w:hint="eastAsia" w:ascii="宋体" w:hAnsi="宋体"/>
                <w:color w:val="000000" w:themeColor="text1"/>
                <w:szCs w:val="21"/>
                <w:lang w:bidi="ar"/>
                <w14:textFill>
                  <w14:solidFill>
                    <w14:schemeClr w14:val="tx1"/>
                  </w14:solidFill>
                </w14:textFill>
              </w:rPr>
              <w:t>报告中提出了建设单位应对地下水、土壤环境和生态环境进行跟踪监测，在项目投入运营后每3到5年开展一次环境影响后评价</w:t>
            </w:r>
          </w:p>
        </w:tc>
        <w:tc>
          <w:tcPr>
            <w:tcW w:w="817" w:type="dxa"/>
            <w:tcMar>
              <w:left w:w="0" w:type="dxa"/>
              <w:right w:w="0" w:type="dxa"/>
            </w:tcMar>
            <w:vAlign w:val="center"/>
          </w:tcPr>
          <w:p w14:paraId="4DC81B99">
            <w:pPr>
              <w:adjustRightInd w:val="0"/>
              <w:snapToGrid w:val="0"/>
              <w:spacing w:line="300" w:lineRule="exact"/>
              <w:jc w:val="center"/>
              <w:rPr>
                <w:color w:val="000000" w:themeColor="text1"/>
                <w:lang w:bidi="ar"/>
                <w14:textFill>
                  <w14:solidFill>
                    <w14:schemeClr w14:val="tx1"/>
                  </w14:solidFill>
                </w14:textFill>
              </w:rPr>
            </w:pPr>
            <w:r>
              <w:rPr>
                <w:rFonts w:hint="eastAsia" w:ascii="宋体" w:hAnsi="宋体"/>
                <w:color w:val="000000" w:themeColor="text1"/>
                <w:szCs w:val="21"/>
                <w:lang w:bidi="ar"/>
                <w14:textFill>
                  <w14:solidFill>
                    <w14:schemeClr w14:val="tx1"/>
                  </w14:solidFill>
                </w14:textFill>
              </w:rPr>
              <w:t>符合</w:t>
            </w:r>
          </w:p>
        </w:tc>
      </w:tr>
      <w:tr w14:paraId="357B63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3C86DE5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13</w:t>
            </w:r>
          </w:p>
        </w:tc>
        <w:tc>
          <w:tcPr>
            <w:tcW w:w="4678" w:type="dxa"/>
            <w:tcMar>
              <w:left w:w="0" w:type="dxa"/>
              <w:right w:w="0" w:type="dxa"/>
            </w:tcMar>
            <w:vAlign w:val="center"/>
          </w:tcPr>
          <w:p w14:paraId="1D0BA01F">
            <w:pPr>
              <w:widowControl/>
              <w:shd w:val="clear" w:color="auto" w:fill="FFFFFF"/>
              <w:adjustRightInd w:val="0"/>
              <w:snapToGrid w:val="0"/>
              <w:spacing w:line="300" w:lineRule="exact"/>
              <w:jc w:val="left"/>
              <w:rPr>
                <w:color w:val="000000" w:themeColor="text1"/>
                <w14:textFill>
                  <w14:solidFill>
                    <w14:schemeClr w14:val="tx1"/>
                  </w14:solidFill>
                </w14:textFill>
              </w:rPr>
            </w:pPr>
            <w:r>
              <w:rPr>
                <w:rFonts w:hint="eastAsia" w:ascii="宋体" w:hAnsi="宋体" w:cs="宋体"/>
                <w:color w:val="000000" w:themeColor="text1"/>
                <w:kern w:val="0"/>
                <w:szCs w:val="21"/>
                <w:lang w:val="en"/>
                <w14:textFill>
                  <w14:solidFill>
                    <w14:schemeClr w14:val="tx1"/>
                  </w14:solidFill>
                </w14:textFill>
              </w:rPr>
              <w:t>工程设施退役，建设单位或生产经营单位应当按照相关要求，采取有效生态环境保护措施。同时，按照《中华人民共和国土壤污染防治法》《土壤环境质量 建设用地土壤污染风险管控标准（试行）》（GB36600）的要求，对永久停用、拆除或弃置的各类井、管道等工程设施落实封堵、土壤及地下水修复、生态修复等措施。</w:t>
            </w:r>
          </w:p>
        </w:tc>
        <w:tc>
          <w:tcPr>
            <w:tcW w:w="2951" w:type="dxa"/>
            <w:tcMar>
              <w:left w:w="0" w:type="dxa"/>
              <w:right w:w="0" w:type="dxa"/>
            </w:tcMar>
            <w:vAlign w:val="center"/>
          </w:tcPr>
          <w:p w14:paraId="620A7ECE">
            <w:pPr>
              <w:adjustRightInd w:val="0"/>
              <w:snapToGrid w:val="0"/>
              <w:spacing w:line="300" w:lineRule="exact"/>
              <w:jc w:val="center"/>
              <w:rPr>
                <w:color w:val="000000" w:themeColor="text1"/>
                <w14:textFill>
                  <w14:solidFill>
                    <w14:schemeClr w14:val="tx1"/>
                  </w14:solidFill>
                </w14:textFill>
              </w:rPr>
            </w:pPr>
            <w:r>
              <w:rPr>
                <w:rFonts w:hint="eastAsia" w:ascii="宋体" w:hAnsi="宋体"/>
                <w:color w:val="000000" w:themeColor="text1"/>
                <w:szCs w:val="21"/>
                <w:lang w:bidi="ar"/>
                <w14:textFill>
                  <w14:solidFill>
                    <w14:schemeClr w14:val="tx1"/>
                  </w14:solidFill>
                </w14:textFill>
              </w:rPr>
              <w:t>报告中对退役期提出了生态恢复措施，对永久</w:t>
            </w:r>
            <w:r>
              <w:rPr>
                <w:rFonts w:hint="eastAsia" w:ascii="宋体" w:hAnsi="宋体" w:cs="宋体"/>
                <w:color w:val="000000" w:themeColor="text1"/>
                <w:kern w:val="0"/>
                <w:szCs w:val="21"/>
                <w:lang w:val="en"/>
                <w14:textFill>
                  <w14:solidFill>
                    <w14:schemeClr w14:val="tx1"/>
                  </w14:solidFill>
                </w14:textFill>
              </w:rPr>
              <w:t>停用、拆除或弃置的各类井、管道等工程设施落实封堵。</w:t>
            </w:r>
          </w:p>
        </w:tc>
        <w:tc>
          <w:tcPr>
            <w:tcW w:w="817" w:type="dxa"/>
            <w:tcMar>
              <w:left w:w="0" w:type="dxa"/>
              <w:right w:w="0" w:type="dxa"/>
            </w:tcMar>
            <w:vAlign w:val="center"/>
          </w:tcPr>
          <w:p w14:paraId="47AF91DB">
            <w:pPr>
              <w:adjustRightInd w:val="0"/>
              <w:snapToGrid w:val="0"/>
              <w:spacing w:line="300" w:lineRule="exact"/>
              <w:jc w:val="center"/>
              <w:rPr>
                <w:color w:val="000000" w:themeColor="text1"/>
                <w:lang w:bidi="ar"/>
                <w14:textFill>
                  <w14:solidFill>
                    <w14:schemeClr w14:val="tx1"/>
                  </w14:solidFill>
                </w14:textFill>
              </w:rPr>
            </w:pPr>
            <w:r>
              <w:rPr>
                <w:rFonts w:hint="eastAsia" w:ascii="宋体" w:hAnsi="宋体"/>
                <w:color w:val="000000" w:themeColor="text1"/>
                <w:szCs w:val="21"/>
                <w:lang w:bidi="ar"/>
                <w14:textFill>
                  <w14:solidFill>
                    <w14:schemeClr w14:val="tx1"/>
                  </w14:solidFill>
                </w14:textFill>
              </w:rPr>
              <w:t>符合</w:t>
            </w:r>
          </w:p>
        </w:tc>
      </w:tr>
      <w:bookmarkEnd w:id="166"/>
    </w:tbl>
    <w:p w14:paraId="59A19FB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（5）与</w:t>
      </w:r>
      <w:bookmarkStart w:id="171" w:name="_Hlk174014235"/>
      <w:r>
        <w:rPr>
          <w:rFonts w:hint="eastAsia"/>
          <w:color w:val="000000" w:themeColor="text1"/>
          <w14:textFill>
            <w14:solidFill>
              <w14:schemeClr w14:val="tx1"/>
            </w14:solidFill>
          </w14:textFill>
        </w:rPr>
        <w:t>《新疆维吾尔自治区重点行业生态环境准入条件（2024年）》</w:t>
      </w:r>
      <w:bookmarkEnd w:id="171"/>
      <w:r>
        <w:rPr>
          <w:rFonts w:hint="eastAsia"/>
          <w:color w:val="000000" w:themeColor="text1"/>
          <w14:textFill>
            <w14:solidFill>
              <w14:schemeClr w14:val="tx1"/>
            </w14:solidFill>
          </w14:textFill>
        </w:rPr>
        <w:t>符合性分析</w:t>
      </w:r>
    </w:p>
    <w:p w14:paraId="287910E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项目建设符合《新疆维吾尔自治区重点行业生态环境准入条件（2024年）》中的相关要求，详见表2.9-10。</w:t>
      </w:r>
    </w:p>
    <w:p w14:paraId="70BCD659">
      <w:pPr>
        <w:pStyle w:val="120"/>
        <w:rPr>
          <w:rFonts w:hint="eastAsia"/>
          <w:color w:val="000000" w:themeColor="text1"/>
          <w14:textFill>
            <w14:solidFill>
              <w14:schemeClr w14:val="tx1"/>
            </w14:solidFill>
          </w14:textFill>
        </w:rPr>
      </w:pPr>
    </w:p>
    <w:p w14:paraId="70563377">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 xml:space="preserve">-10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项目与《新疆维吾尔自治区重点行业生态环境准入条件（2024年）》符合性分析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538"/>
        <w:gridCol w:w="4282"/>
        <w:gridCol w:w="2551"/>
        <w:gridCol w:w="792"/>
      </w:tblGrid>
      <w:tr w14:paraId="0205F8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360160EE">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序号</w:t>
            </w:r>
          </w:p>
        </w:tc>
        <w:tc>
          <w:tcPr>
            <w:tcW w:w="4820" w:type="dxa"/>
            <w:gridSpan w:val="2"/>
            <w:tcMar>
              <w:left w:w="0" w:type="dxa"/>
              <w:right w:w="0" w:type="dxa"/>
            </w:tcMar>
            <w:vAlign w:val="center"/>
          </w:tcPr>
          <w:p w14:paraId="6DF0584F">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条件规定</w:t>
            </w:r>
          </w:p>
        </w:tc>
        <w:tc>
          <w:tcPr>
            <w:tcW w:w="2551" w:type="dxa"/>
            <w:tcMar>
              <w:left w:w="0" w:type="dxa"/>
              <w:right w:w="0" w:type="dxa"/>
            </w:tcMar>
            <w:vAlign w:val="center"/>
          </w:tcPr>
          <w:p w14:paraId="3878C456">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拟采取的相关措施</w:t>
            </w:r>
          </w:p>
        </w:tc>
        <w:tc>
          <w:tcPr>
            <w:tcW w:w="792" w:type="dxa"/>
            <w:tcMar>
              <w:left w:w="0" w:type="dxa"/>
              <w:right w:w="0" w:type="dxa"/>
            </w:tcMar>
            <w:vAlign w:val="center"/>
          </w:tcPr>
          <w:p w14:paraId="0C10F7FA">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符合性分析</w:t>
            </w:r>
          </w:p>
        </w:tc>
      </w:tr>
      <w:tr w14:paraId="675FC2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3A17654E">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1</w:t>
            </w:r>
          </w:p>
        </w:tc>
        <w:tc>
          <w:tcPr>
            <w:tcW w:w="538" w:type="dxa"/>
            <w:tcMar>
              <w:left w:w="0" w:type="dxa"/>
              <w:right w:w="0" w:type="dxa"/>
            </w:tcMar>
            <w:vAlign w:val="center"/>
          </w:tcPr>
          <w:p w14:paraId="2E962BA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选址与空间布局</w:t>
            </w:r>
          </w:p>
        </w:tc>
        <w:tc>
          <w:tcPr>
            <w:tcW w:w="4282" w:type="dxa"/>
            <w:vAlign w:val="center"/>
          </w:tcPr>
          <w:p w14:paraId="521610C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1.石油、天然气开发项目的选址与布局应符合自治区或油气企业相关油气开发专项规划及规划环评要求，原则上应当以区块为单位开展环境影响评价工作。</w:t>
            </w:r>
          </w:p>
        </w:tc>
        <w:tc>
          <w:tcPr>
            <w:tcW w:w="2551" w:type="dxa"/>
            <w:tcMar>
              <w:left w:w="0" w:type="dxa"/>
              <w:right w:w="0" w:type="dxa"/>
            </w:tcMar>
            <w:vAlign w:val="center"/>
          </w:tcPr>
          <w:p w14:paraId="338F15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项目建设符合</w:t>
            </w:r>
            <w:r>
              <w:rPr>
                <w:rFonts w:hint="eastAsia"/>
                <w:color w:val="000000" w:themeColor="text1"/>
                <w:lang w:bidi="ar"/>
                <w14:textFill>
                  <w14:solidFill>
                    <w14:schemeClr w14:val="tx1"/>
                  </w14:solidFill>
                </w14:textFill>
              </w:rPr>
              <w:t>《新疆油田公司“十四五”发展规划》和《新疆油田公司“十四五”发展规划环境影响报告书》的要求。</w:t>
            </w:r>
          </w:p>
        </w:tc>
        <w:tc>
          <w:tcPr>
            <w:tcW w:w="792" w:type="dxa"/>
            <w:tcMar>
              <w:left w:w="0" w:type="dxa"/>
              <w:right w:w="0" w:type="dxa"/>
            </w:tcMar>
            <w:vAlign w:val="center"/>
          </w:tcPr>
          <w:p w14:paraId="132AADF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2E368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5FADF650">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2</w:t>
            </w:r>
          </w:p>
        </w:tc>
        <w:tc>
          <w:tcPr>
            <w:tcW w:w="538" w:type="dxa"/>
            <w:vMerge w:val="restart"/>
            <w:tcMar>
              <w:left w:w="0" w:type="dxa"/>
              <w:right w:w="0" w:type="dxa"/>
            </w:tcMar>
            <w:vAlign w:val="center"/>
          </w:tcPr>
          <w:p w14:paraId="2FCF3B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污染防治与环境影响</w:t>
            </w:r>
          </w:p>
        </w:tc>
        <w:tc>
          <w:tcPr>
            <w:tcW w:w="4282" w:type="dxa"/>
            <w:vAlign w:val="center"/>
          </w:tcPr>
          <w:p w14:paraId="3C3B876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施工期应当尽量减少施工占地、严格控制施工作业面积、缩短施工时间、选择合理施工方式、落实环境敏感区管控要求以及其他生态环境保护措施，有效降低生态环境影响。</w:t>
            </w:r>
          </w:p>
        </w:tc>
        <w:tc>
          <w:tcPr>
            <w:tcW w:w="2551" w:type="dxa"/>
            <w:tcMar>
              <w:left w:w="0" w:type="dxa"/>
              <w:right w:w="0" w:type="dxa"/>
            </w:tcMar>
            <w:vAlign w:val="center"/>
          </w:tcPr>
          <w:p w14:paraId="52C782F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施工期严格控制施工作业面积，尽量减少施工占地、缩短施工时间，项目区周围无环境敏感区。</w:t>
            </w:r>
          </w:p>
        </w:tc>
        <w:tc>
          <w:tcPr>
            <w:tcW w:w="792" w:type="dxa"/>
            <w:tcMar>
              <w:left w:w="0" w:type="dxa"/>
              <w:right w:w="0" w:type="dxa"/>
            </w:tcMar>
            <w:vAlign w:val="center"/>
          </w:tcPr>
          <w:p w14:paraId="4AF82F2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086CAB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7C98241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538" w:type="dxa"/>
            <w:vMerge w:val="continue"/>
            <w:tcMar>
              <w:left w:w="0" w:type="dxa"/>
              <w:right w:w="0" w:type="dxa"/>
            </w:tcMar>
            <w:vAlign w:val="center"/>
          </w:tcPr>
          <w:p w14:paraId="73AC7152">
            <w:pPr>
              <w:pStyle w:val="280"/>
              <w:rPr>
                <w:rFonts w:hint="eastAsia"/>
                <w:color w:val="000000" w:themeColor="text1"/>
                <w14:textFill>
                  <w14:solidFill>
                    <w14:schemeClr w14:val="tx1"/>
                  </w14:solidFill>
                </w14:textFill>
              </w:rPr>
            </w:pPr>
          </w:p>
        </w:tc>
        <w:tc>
          <w:tcPr>
            <w:tcW w:w="4282" w:type="dxa"/>
            <w:vAlign w:val="center"/>
          </w:tcPr>
          <w:p w14:paraId="39844C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陆地油气开发项目应当对挥发性有机物液体储存和装载损失、废水集输和处理系统、设备与管线组件泄漏、非正常工况等挥发性有机物无组织排放源进行有效管控，通过采取设备密闭、废气有效收集及配套高效末端处理设施等措施，有效控制挥发性有机物和恶臭气体无组织排放，油气集输损耗率不得高于0.5%；工艺过程控制措施、废气收集处理措施以及站场边界非甲烷总烃排放浓度应满足《陆上石油天然气开采工业大气污染物排放标准》（GB39728）要求。炉、加热炉、压缩机等装置应优先使用清洁燃料或能源，燃煤燃气锅炉、加热炉废气排放应达到《锅炉大气污染物排放标准》（GB13271）要求，有地方标准的按地方标准执行。涉及高含硫天然气开采的，应当强化钻井、输送、净化等环节环境风险防范措施。高含硫气田回注采出水，应当采取有效措施减少废水处理站和回注井场硫化氢的无组织排放。高含硫天然气净化厂应采用先进高效的硫磺回收工艺，减少二氧化硫排放。</w:t>
            </w:r>
          </w:p>
        </w:tc>
        <w:tc>
          <w:tcPr>
            <w:tcW w:w="2551" w:type="dxa"/>
            <w:tcMar>
              <w:left w:w="0" w:type="dxa"/>
              <w:right w:w="0" w:type="dxa"/>
            </w:tcMar>
            <w:vAlign w:val="center"/>
          </w:tcPr>
          <w:p w14:paraId="236C32A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口采出物通过管线管输至吉祥联合站处理。选用质量可靠的设备、仪表、阀门等；定期对采油井场、阀门和管线等检查、检修；项目不涉及燃煤、燃气锅炉、加热炉；采取以上措施后井场厂界非甲烷总烃满足《陆上石油天然气开采工业大气污染物排放标准》（GB39728-2020）的场界标准限值（4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）要求，硫化氢排放浓度满足《恶臭污染物排放标准》（GB14554-93）表1二级新改扩建浓度中的相关要求。</w:t>
            </w:r>
          </w:p>
        </w:tc>
        <w:tc>
          <w:tcPr>
            <w:tcW w:w="792" w:type="dxa"/>
            <w:tcMar>
              <w:left w:w="0" w:type="dxa"/>
              <w:right w:w="0" w:type="dxa"/>
            </w:tcMar>
            <w:vAlign w:val="center"/>
          </w:tcPr>
          <w:p w14:paraId="08DFAFEC">
            <w:pPr>
              <w:pStyle w:val="280"/>
              <w:rPr>
                <w:rFonts w:hint="eastAsia"/>
                <w:color w:val="000000" w:themeColor="text1"/>
                <w:lang w:bidi="ar"/>
                <w14:textFill>
                  <w14:solidFill>
                    <w14:schemeClr w14:val="tx1"/>
                  </w14:solidFill>
                </w14:textFill>
              </w:rPr>
            </w:pPr>
          </w:p>
        </w:tc>
      </w:tr>
      <w:tr w14:paraId="4D8A5F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4BF2B12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w:t>
            </w:r>
          </w:p>
        </w:tc>
        <w:tc>
          <w:tcPr>
            <w:tcW w:w="538" w:type="dxa"/>
            <w:vMerge w:val="continue"/>
            <w:tcMar>
              <w:left w:w="0" w:type="dxa"/>
              <w:right w:w="0" w:type="dxa"/>
            </w:tcMar>
            <w:vAlign w:val="center"/>
          </w:tcPr>
          <w:p w14:paraId="38823AFF">
            <w:pPr>
              <w:pStyle w:val="280"/>
              <w:rPr>
                <w:rFonts w:hint="eastAsia"/>
                <w:color w:val="000000" w:themeColor="text1"/>
                <w14:textFill>
                  <w14:solidFill>
                    <w14:schemeClr w14:val="tx1"/>
                  </w14:solidFill>
                </w14:textFill>
              </w:rPr>
            </w:pPr>
          </w:p>
        </w:tc>
        <w:tc>
          <w:tcPr>
            <w:tcW w:w="4282" w:type="dxa"/>
            <w:vAlign w:val="center"/>
          </w:tcPr>
          <w:p w14:paraId="771E13B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气开发产生的伴生气应优先回收利用，减少温室气体排放，开发区块伴生气整体回收利用率应达到80%以上；边远井、零散井等产生的伴生气不能回收或难以回收的，应经燃烧后放空。鼓励油气企业将碳捕集、利用与封存（CCUS）技术用于油气开采，提高采收率、减少温室气体排放。</w:t>
            </w:r>
          </w:p>
        </w:tc>
        <w:tc>
          <w:tcPr>
            <w:tcW w:w="2551" w:type="dxa"/>
            <w:tcMar>
              <w:left w:w="0" w:type="dxa"/>
              <w:right w:w="0" w:type="dxa"/>
            </w:tcMar>
            <w:vAlign w:val="center"/>
          </w:tcPr>
          <w:p w14:paraId="57E72D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井口采出物通过管线管输至吉祥联合站处理。采出物中的伴生气送至吉祥联合站伴生气处理系统处理，伴生气可实现100%回收。本项目不涉及碳捕集、利用与封存（CCUS）技术。</w:t>
            </w:r>
          </w:p>
        </w:tc>
        <w:tc>
          <w:tcPr>
            <w:tcW w:w="792" w:type="dxa"/>
            <w:tcMar>
              <w:left w:w="0" w:type="dxa"/>
              <w:right w:w="0" w:type="dxa"/>
            </w:tcMar>
            <w:vAlign w:val="center"/>
          </w:tcPr>
          <w:p w14:paraId="5AC8344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5E3D57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508E387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w:t>
            </w:r>
          </w:p>
        </w:tc>
        <w:tc>
          <w:tcPr>
            <w:tcW w:w="538" w:type="dxa"/>
            <w:vMerge w:val="continue"/>
            <w:tcMar>
              <w:left w:w="0" w:type="dxa"/>
              <w:right w:w="0" w:type="dxa"/>
            </w:tcMar>
            <w:vAlign w:val="center"/>
          </w:tcPr>
          <w:p w14:paraId="7B1A4B95">
            <w:pPr>
              <w:pStyle w:val="280"/>
              <w:rPr>
                <w:rFonts w:hint="eastAsia"/>
                <w:color w:val="000000" w:themeColor="text1"/>
                <w14:textFill>
                  <w14:solidFill>
                    <w14:schemeClr w14:val="tx1"/>
                  </w14:solidFill>
                </w14:textFill>
              </w:rPr>
            </w:pPr>
          </w:p>
        </w:tc>
        <w:tc>
          <w:tcPr>
            <w:tcW w:w="4282" w:type="dxa"/>
            <w:vAlign w:val="center"/>
          </w:tcPr>
          <w:p w14:paraId="3AD27F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陆地油气开发项目产生的废水应经处理后优先回用，无法回用的应满足国家和地方相关污染物排放标准后排放，工业废水回用率应达到90%以上。钻井及储层改造应采用环境友好的油田化学助剂、酸化液、压裂液、钻井液，配备完善的固控设备，钻井液循环率应达到95%以上，压裂废液、酸化废液等井下作业废水应100%返排入罐。</w:t>
            </w:r>
          </w:p>
        </w:tc>
        <w:tc>
          <w:tcPr>
            <w:tcW w:w="2551" w:type="dxa"/>
            <w:tcMar>
              <w:left w:w="0" w:type="dxa"/>
              <w:right w:w="0" w:type="dxa"/>
            </w:tcMar>
            <w:vAlign w:val="center"/>
          </w:tcPr>
          <w:p w14:paraId="3862D8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井下作业废液和采出水均送至吉祥联合站采出水处理系统处理；钻井采用非磺化水基钻井液；储层改造使用环境友好的酸化液和压裂液。</w:t>
            </w:r>
          </w:p>
        </w:tc>
        <w:tc>
          <w:tcPr>
            <w:tcW w:w="792" w:type="dxa"/>
            <w:tcMar>
              <w:left w:w="0" w:type="dxa"/>
              <w:right w:w="0" w:type="dxa"/>
            </w:tcMar>
            <w:vAlign w:val="center"/>
          </w:tcPr>
          <w:p w14:paraId="431A2D0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6EA82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724EF4AA">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w:t>
            </w:r>
          </w:p>
        </w:tc>
        <w:tc>
          <w:tcPr>
            <w:tcW w:w="538" w:type="dxa"/>
            <w:vMerge w:val="continue"/>
            <w:tcMar>
              <w:left w:w="0" w:type="dxa"/>
              <w:right w:w="0" w:type="dxa"/>
            </w:tcMar>
            <w:vAlign w:val="center"/>
          </w:tcPr>
          <w:p w14:paraId="5A0D0D53">
            <w:pPr>
              <w:pStyle w:val="280"/>
              <w:rPr>
                <w:rFonts w:hint="eastAsia"/>
                <w:color w:val="000000" w:themeColor="text1"/>
                <w14:textFill>
                  <w14:solidFill>
                    <w14:schemeClr w14:val="tx1"/>
                  </w14:solidFill>
                </w14:textFill>
              </w:rPr>
            </w:pPr>
          </w:p>
        </w:tc>
        <w:tc>
          <w:tcPr>
            <w:tcW w:w="4282" w:type="dxa"/>
            <w:vAlign w:val="center"/>
          </w:tcPr>
          <w:p w14:paraId="41C514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涉及废水回注的，应采取切实可行的地下水污染防治和监控措施，不得回注与油气开采无关的废水，严禁造成地下水污染；在相关行业污染控制标准发布前，回注水应满足《碎屑岩油藏注水水质指标技术要求及分析方法》（SY/T5329）《气田水注入技</w:t>
            </w:r>
          </w:p>
          <w:p w14:paraId="40BCBD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术要求》（SY/T6596）等相关标准要求。对于页岩油、稠油注汽开采，鼓励废水处理后回用于注汽锅炉。</w:t>
            </w:r>
          </w:p>
        </w:tc>
        <w:tc>
          <w:tcPr>
            <w:tcW w:w="2551" w:type="dxa"/>
            <w:tcMar>
              <w:left w:w="0" w:type="dxa"/>
              <w:right w:w="0" w:type="dxa"/>
            </w:tcMar>
            <w:vAlign w:val="center"/>
          </w:tcPr>
          <w:p w14:paraId="23B1DE4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新部署2口注水井，本次环评要求，注水井运行过程中，应持续对注水井井口压力、套管压力、环空压力、回注流体的流量、水质等指标进行监测，注水水质满足《碎屑岩油藏注水水质指标技术要求及分析方法》（SY/T5329-2022）相关标准要求；定期开展套管腐蚀和水泥环状况检测，检测周期不超过3年。新启用或检维修后初次启用的注水井运行前，应进行井筒完整性测试；本项目2口注水井平均注水量约为30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/d，小于300m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/d，注水井应至少每2年进行1次井筒完整性检测，检测发现井筒完整性失效，应立即停止回注。井下作业废液和采出水均送至吉祥联合站采出水处理系统处理。</w:t>
            </w:r>
          </w:p>
        </w:tc>
        <w:tc>
          <w:tcPr>
            <w:tcW w:w="792" w:type="dxa"/>
            <w:tcMar>
              <w:left w:w="0" w:type="dxa"/>
              <w:right w:w="0" w:type="dxa"/>
            </w:tcMar>
            <w:vAlign w:val="center"/>
          </w:tcPr>
          <w:p w14:paraId="79A94AD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71DF58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44A875F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7</w:t>
            </w:r>
          </w:p>
        </w:tc>
        <w:tc>
          <w:tcPr>
            <w:tcW w:w="538" w:type="dxa"/>
            <w:vMerge w:val="continue"/>
            <w:tcMar>
              <w:left w:w="0" w:type="dxa"/>
              <w:right w:w="0" w:type="dxa"/>
            </w:tcMar>
            <w:vAlign w:val="center"/>
          </w:tcPr>
          <w:p w14:paraId="0DC237C3">
            <w:pPr>
              <w:pStyle w:val="280"/>
              <w:rPr>
                <w:rFonts w:hint="eastAsia"/>
                <w:color w:val="000000" w:themeColor="text1"/>
                <w14:textFill>
                  <w14:solidFill>
                    <w14:schemeClr w14:val="tx1"/>
                  </w14:solidFill>
                </w14:textFill>
              </w:rPr>
            </w:pPr>
          </w:p>
        </w:tc>
        <w:tc>
          <w:tcPr>
            <w:tcW w:w="4282" w:type="dxa"/>
            <w:vAlign w:val="center"/>
          </w:tcPr>
          <w:p w14:paraId="6EE1DB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弃钻井泥浆及岩屑应采取“泥浆不落地”工艺，勘探、开发过程产生的落地原油回收率应达到100%。废弃水基钻井泥浆及岩屑经“泥浆不落地”设备处理后，固相优先综合利用，暂时不利用或者不能利用的，应按照《一般工业固体废物贮存和填埋污染控制标准》（GB18599）处置；废弃油基钻井泥浆及岩屑、落地油、清罐底泥、含油污泥、含油清管废渣、油气处理厂过滤吸附介质、废脱汞剂等危险废物，应按照国家有关规定制定危险废物管理计划，建立危险废物管理台账，依法依规自行处置或委托有相应资质的单位无害化处置。固体废物无害化处置率应达到100%。</w:t>
            </w:r>
          </w:p>
        </w:tc>
        <w:tc>
          <w:tcPr>
            <w:tcW w:w="2551" w:type="dxa"/>
            <w:tcMar>
              <w:left w:w="0" w:type="dxa"/>
              <w:right w:w="0" w:type="dxa"/>
            </w:tcMar>
            <w:vAlign w:val="center"/>
          </w:tcPr>
          <w:p w14:paraId="69B6542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钻井采用非磺化水基钻井液，钻井液和岩屑经不落地系统处理后，水基钻井岩屑交由岩屑单位拉运处置；废润滑油、废润滑油桶、沾油废防渗材料和</w:t>
            </w:r>
            <w:r>
              <w:rPr>
                <w:rFonts w:hint="eastAsia" w:cs="宋体"/>
                <w:color w:val="000000" w:themeColor="text1"/>
                <w:lang w:val="zh-CN"/>
                <w14:textFill>
                  <w14:solidFill>
                    <w14:schemeClr w14:val="tx1"/>
                  </w14:solidFill>
                </w14:textFill>
              </w:rPr>
              <w:t>废含油抹布和劳保用品</w:t>
            </w:r>
            <w:r>
              <w:rPr>
                <w:rFonts w:hint="eastAsia"/>
                <w:color w:val="000000" w:themeColor="text1"/>
                <w14:textFill>
                  <w14:solidFill>
                    <w14:schemeClr w14:val="tx1"/>
                  </w14:solidFill>
                </w14:textFill>
              </w:rPr>
              <w:t>均交由有相应危险废物处置资质的单位回收处理；吉庆油田作业区已制定有危险废物管理计划，建立了危险废物管理台账，固体无害化处置率达到100%。</w:t>
            </w:r>
          </w:p>
        </w:tc>
        <w:tc>
          <w:tcPr>
            <w:tcW w:w="792" w:type="dxa"/>
            <w:tcMar>
              <w:left w:w="0" w:type="dxa"/>
              <w:right w:w="0" w:type="dxa"/>
            </w:tcMar>
            <w:vAlign w:val="center"/>
          </w:tcPr>
          <w:p w14:paraId="12C6DB7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059B15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2057C28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w:t>
            </w:r>
          </w:p>
        </w:tc>
        <w:tc>
          <w:tcPr>
            <w:tcW w:w="538" w:type="dxa"/>
            <w:vMerge w:val="continue"/>
            <w:tcMar>
              <w:left w:w="0" w:type="dxa"/>
              <w:right w:w="0" w:type="dxa"/>
            </w:tcMar>
            <w:vAlign w:val="center"/>
          </w:tcPr>
          <w:p w14:paraId="61CE64C5">
            <w:pPr>
              <w:pStyle w:val="280"/>
              <w:rPr>
                <w:rFonts w:hint="eastAsia"/>
                <w:color w:val="000000" w:themeColor="text1"/>
                <w14:textFill>
                  <w14:solidFill>
                    <w14:schemeClr w14:val="tx1"/>
                  </w14:solidFill>
                </w14:textFill>
              </w:rPr>
            </w:pPr>
          </w:p>
        </w:tc>
        <w:tc>
          <w:tcPr>
            <w:tcW w:w="4282" w:type="dxa"/>
            <w:vAlign w:val="center"/>
          </w:tcPr>
          <w:p w14:paraId="45FCCE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噪声排放应达到《工业企业厂界环境噪声排放标准》（GB12348）要求。</w:t>
            </w:r>
          </w:p>
        </w:tc>
        <w:tc>
          <w:tcPr>
            <w:tcW w:w="2551" w:type="dxa"/>
            <w:tcMar>
              <w:left w:w="0" w:type="dxa"/>
              <w:right w:w="0" w:type="dxa"/>
            </w:tcMar>
            <w:vAlign w:val="center"/>
          </w:tcPr>
          <w:p w14:paraId="0E891FC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尽量选用低噪声设备，对噪声强度较大的设备进行基础减振等减噪处理；定期给机泵等设备加润滑油和减振垫，对各种机械设备定期保养；合理布局使螺杆泵尽可能位于井场中心；采取以上措施后井场厂界能够满足《工业企业厂界环境噪声排放标准》（GB12348-2008）</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类声功能区环境噪声限值要求。</w:t>
            </w:r>
          </w:p>
        </w:tc>
        <w:tc>
          <w:tcPr>
            <w:tcW w:w="792" w:type="dxa"/>
            <w:tcMar>
              <w:left w:w="0" w:type="dxa"/>
              <w:right w:w="0" w:type="dxa"/>
            </w:tcMar>
            <w:vAlign w:val="center"/>
          </w:tcPr>
          <w:p w14:paraId="3D94840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6175E5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29A152D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9</w:t>
            </w:r>
          </w:p>
        </w:tc>
        <w:tc>
          <w:tcPr>
            <w:tcW w:w="538" w:type="dxa"/>
            <w:vMerge w:val="continue"/>
            <w:tcMar>
              <w:left w:w="0" w:type="dxa"/>
              <w:right w:w="0" w:type="dxa"/>
            </w:tcMar>
            <w:vAlign w:val="center"/>
          </w:tcPr>
          <w:p w14:paraId="2CF2C583">
            <w:pPr>
              <w:pStyle w:val="280"/>
              <w:rPr>
                <w:rFonts w:hint="eastAsia"/>
                <w:color w:val="000000" w:themeColor="text1"/>
                <w14:textFill>
                  <w14:solidFill>
                    <w14:schemeClr w14:val="tx1"/>
                  </w14:solidFill>
                </w14:textFill>
              </w:rPr>
            </w:pPr>
          </w:p>
        </w:tc>
        <w:tc>
          <w:tcPr>
            <w:tcW w:w="4282" w:type="dxa"/>
            <w:vAlign w:val="center"/>
          </w:tcPr>
          <w:p w14:paraId="789005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对拟退役的废弃井（站）场、管道、道路等工程设施应进行生态修复，生态修复前应对废弃油（气）井、管道进行封堵或设施拆除，确保无土壤及地下水环境污染遗留问题、废弃物得到妥善处置。生态修复应满足《矿山生态环境保护与恢复治理技术规范（试行）》（HJ651）、《废弃井封井回填技术指南（试行）》《废弃井及长停井处置指南》（SY/T6646）、《陆上石油天然气开采业绿色矿山建设规范》（DZ/T0317）等相关要求。</w:t>
            </w:r>
          </w:p>
        </w:tc>
        <w:tc>
          <w:tcPr>
            <w:tcW w:w="2551" w:type="dxa"/>
            <w:tcMar>
              <w:left w:w="0" w:type="dxa"/>
              <w:right w:w="0" w:type="dxa"/>
            </w:tcMar>
            <w:vAlign w:val="center"/>
          </w:tcPr>
          <w:p w14:paraId="4822D62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报告对拟退役的废弃井进行封井，拆除井场各类设备设施及管线的拆除、井区废弃管线的封堵等施工活动；根据《矿山生态环境保护与恢复治理技术规范（试行）》（HJ651-2013）、《废弃井封井回填技术指南（试行）》的相关要求，提出了生态修复方案。</w:t>
            </w:r>
          </w:p>
        </w:tc>
        <w:tc>
          <w:tcPr>
            <w:tcW w:w="792" w:type="dxa"/>
            <w:tcMar>
              <w:left w:w="0" w:type="dxa"/>
              <w:right w:w="0" w:type="dxa"/>
            </w:tcMar>
            <w:vAlign w:val="center"/>
          </w:tcPr>
          <w:p w14:paraId="7B7F65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14:paraId="0303859B">
      <w:pPr>
        <w:pStyle w:val="340"/>
        <w:rPr>
          <w:rFonts w:hint="eastAsia" w:ascii="宋体" w:hAnsi="宋体"/>
          <w:color w:val="000000" w:themeColor="text1"/>
          <w14:textFill>
            <w14:solidFill>
              <w14:schemeClr w14:val="tx1"/>
            </w14:solidFill>
          </w14:textFill>
        </w:rPr>
      </w:pPr>
      <w:bookmarkStart w:id="172" w:name="_Hlk175248893"/>
      <w:r>
        <w:rPr>
          <w:rFonts w:hint="eastAsia" w:ascii="宋体" w:hAnsi="宋体"/>
          <w:color w:val="000000" w:themeColor="text1"/>
          <w14:textFill>
            <w14:solidFill>
              <w14:schemeClr w14:val="tx1"/>
            </w14:solidFill>
          </w14:textFill>
        </w:rPr>
        <w:t>（6）与</w:t>
      </w:r>
      <w:bookmarkStart w:id="173" w:name="_Hlk172730100"/>
      <w:r>
        <w:rPr>
          <w:rFonts w:hint="eastAsia" w:ascii="宋体" w:hAnsi="宋体"/>
          <w:color w:val="000000" w:themeColor="text1"/>
          <w14:textFill>
            <w14:solidFill>
              <w14:schemeClr w14:val="tx1"/>
            </w14:solidFill>
          </w14:textFill>
        </w:rPr>
        <w:t>《关于加快解决当前挥发性有机物治理突出问题的通知》（环大气〔2021〕65号）</w:t>
      </w:r>
      <w:bookmarkEnd w:id="173"/>
      <w:r>
        <w:rPr>
          <w:rFonts w:hint="eastAsia" w:ascii="宋体" w:hAnsi="宋体"/>
          <w:color w:val="000000" w:themeColor="text1"/>
          <w14:textFill>
            <w14:solidFill>
              <w14:schemeClr w14:val="tx1"/>
            </w14:solidFill>
          </w14:textFill>
        </w:rPr>
        <w:t>的符合性分析</w:t>
      </w:r>
    </w:p>
    <w:p w14:paraId="3929351F">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本次采取的各项环保措施均符合</w:t>
      </w:r>
      <w:bookmarkStart w:id="174" w:name="_Hlk172730270"/>
      <w:r>
        <w:rPr>
          <w:rFonts w:hint="eastAsia"/>
          <w:color w:val="000000" w:themeColor="text1"/>
          <w:lang w:bidi="ar"/>
          <w14:textFill>
            <w14:solidFill>
              <w14:schemeClr w14:val="tx1"/>
            </w14:solidFill>
          </w14:textFill>
        </w:rPr>
        <w:t>《关于加快解决当前挥发性有机物治理突出问题的通知》</w:t>
      </w:r>
      <w:bookmarkEnd w:id="174"/>
      <w:r>
        <w:rPr>
          <w:rFonts w:hint="eastAsia"/>
          <w:color w:val="000000" w:themeColor="text1"/>
          <w:lang w:bidi="ar"/>
          <w14:textFill>
            <w14:solidFill>
              <w14:schemeClr w14:val="tx1"/>
            </w14:solidFill>
          </w14:textFill>
        </w:rPr>
        <w:t>（环大气〔2021〕65号）的相关要求，相符性分析详见表2</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9-11。</w:t>
      </w:r>
    </w:p>
    <w:p w14:paraId="7CE7A760">
      <w:pPr>
        <w:pStyle w:val="19"/>
        <w:rPr>
          <w:rFonts w:hint="eastAsia"/>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2.9-11</w:t>
      </w:r>
      <w:r>
        <w:rPr>
          <w:rFonts w:hint="eastAsia"/>
          <w:color w:val="000000" w:themeColor="text1"/>
          <w14:textFill>
            <w14:solidFill>
              <w14:schemeClr w14:val="tx1"/>
            </w14:solidFill>
          </w14:textFill>
        </w:rPr>
        <w:t xml:space="preserve">  与</w:t>
      </w:r>
      <w:bookmarkStart w:id="175" w:name="_Hlk173248293"/>
      <w:r>
        <w:rPr>
          <w:rFonts w:hint="eastAsia"/>
          <w:color w:val="000000" w:themeColor="text1"/>
          <w14:textFill>
            <w14:solidFill>
              <w14:schemeClr w14:val="tx1"/>
            </w14:solidFill>
          </w14:textFill>
        </w:rPr>
        <w:t>《关于加快解决当前挥发性有机物治理突出问题的通知》</w:t>
      </w:r>
      <w:bookmarkEnd w:id="175"/>
      <w:r>
        <w:rPr>
          <w:rFonts w:hint="eastAsia"/>
          <w:color w:val="000000" w:themeColor="text1"/>
          <w14:textFill>
            <w14:solidFill>
              <w14:schemeClr w14:val="tx1"/>
            </w14:solidFill>
          </w14:textFill>
        </w:rPr>
        <w:t>的相符性分析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3"/>
        <w:gridCol w:w="4906"/>
        <w:gridCol w:w="2524"/>
        <w:gridCol w:w="678"/>
      </w:tblGrid>
      <w:tr w14:paraId="7F043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23" w:type="dxa"/>
            <w:vAlign w:val="center"/>
          </w:tcPr>
          <w:p w14:paraId="5E0CF8CC">
            <w:pPr>
              <w:pStyle w:val="280"/>
              <w:rPr>
                <w:rFonts w:hint="eastAsia"/>
                <w:color w:val="000000" w:themeColor="text1"/>
                <w14:textFill>
                  <w14:solidFill>
                    <w14:schemeClr w14:val="tx1"/>
                  </w14:solidFill>
                </w14:textFill>
              </w:rPr>
            </w:pPr>
            <w:bookmarkStart w:id="176" w:name="_Hlk175213782"/>
            <w:r>
              <w:rPr>
                <w:rFonts w:hint="eastAsia"/>
                <w:color w:val="000000" w:themeColor="text1"/>
                <w14:textFill>
                  <w14:solidFill>
                    <w14:schemeClr w14:val="tx1"/>
                  </w14:solidFill>
                </w14:textFill>
              </w:rPr>
              <w:t>序号</w:t>
            </w:r>
          </w:p>
        </w:tc>
        <w:tc>
          <w:tcPr>
            <w:tcW w:w="4906" w:type="dxa"/>
            <w:vAlign w:val="center"/>
          </w:tcPr>
          <w:p w14:paraId="32B18BBE">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《通知》中相关规定</w:t>
            </w:r>
          </w:p>
        </w:tc>
        <w:tc>
          <w:tcPr>
            <w:tcW w:w="2524" w:type="dxa"/>
            <w:vAlign w:val="center"/>
          </w:tcPr>
          <w:p w14:paraId="604AC57F">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采取的相关措施</w:t>
            </w:r>
          </w:p>
        </w:tc>
        <w:tc>
          <w:tcPr>
            <w:tcW w:w="678" w:type="dxa"/>
            <w:vAlign w:val="center"/>
          </w:tcPr>
          <w:p w14:paraId="2F87924C">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相符性分析</w:t>
            </w:r>
          </w:p>
        </w:tc>
      </w:tr>
      <w:tr w14:paraId="064DC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dxa"/>
            <w:vAlign w:val="center"/>
          </w:tcPr>
          <w:p w14:paraId="608F4B75">
            <w:pPr>
              <w:pStyle w:val="280"/>
              <w:rPr>
                <w:rFonts w:hint="eastAsia"/>
                <w:color w:val="000000" w:themeColor="text1"/>
                <w14:textFill>
                  <w14:solidFill>
                    <w14:schemeClr w14:val="tx1"/>
                  </w14:solidFill>
                </w14:textFill>
              </w:rPr>
            </w:pPr>
            <w:bookmarkStart w:id="177" w:name="_Hlk173142190"/>
            <w:r>
              <w:rPr>
                <w:rFonts w:hint="eastAsia"/>
                <w:color w:val="000000" w:themeColor="text1"/>
                <w14:textFill>
                  <w14:solidFill>
                    <w14:schemeClr w14:val="tx1"/>
                  </w14:solidFill>
                </w14:textFill>
              </w:rPr>
              <w:t>1</w:t>
            </w:r>
          </w:p>
        </w:tc>
        <w:tc>
          <w:tcPr>
            <w:tcW w:w="4906" w:type="dxa"/>
            <w:vAlign w:val="center"/>
          </w:tcPr>
          <w:p w14:paraId="744EBF5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挥发性有机液体储罐：</w:t>
            </w:r>
          </w:p>
          <w:p w14:paraId="0C0E4AE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企业应按照标准要求，根据储存挥发性有机液体的真实蒸气压、储罐容积等进行储罐和浮盘边缘密封方式选型。重点区域存储汽油、航空煤油、石脑油以及苯、甲苯、二甲苯的内浮顶罐罐顶气未收集治理的，宜配备新型高效浮盘与配件，选用“全接液高效浮盘+二次密封”结构。鼓励使用低泄漏的储罐呼吸阀、紧急泄压阀；固定顶罐或建设有机废气治理设施的内浮顶罐宜配备压力监测设备，罐内压力低于50%设计开启压力时，呼吸阀、紧急泄压阀泄漏检测值不宜超过2000umol/mo1。充分考虑罐体变形或浮盘损坏、储罐附件破损等异常排放情况，鼓励对废气收集引气装置、处理装置设置冗余负荷；储罐排气回收处理后无法稳定达标排放的，应进一步优化治理设施或实施深度治理；鼓励企业对内浮顶罐排气进行收集处理。储罐罐体应保持完好，不应有孔洞、缝隙（除内浮顶罐边缘通气孔外）；除采样、计量、例行检查、维护和其他正常活动外，储罐附件的开口（孔）应保持密闭。</w:t>
            </w:r>
          </w:p>
        </w:tc>
        <w:tc>
          <w:tcPr>
            <w:tcW w:w="2524" w:type="dxa"/>
            <w:vAlign w:val="center"/>
          </w:tcPr>
          <w:p w14:paraId="1B5CA7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本项目为密闭集输工艺，不新建挥发性有机液体储罐。</w:t>
            </w:r>
          </w:p>
        </w:tc>
        <w:tc>
          <w:tcPr>
            <w:tcW w:w="678" w:type="dxa"/>
            <w:vAlign w:val="center"/>
          </w:tcPr>
          <w:p w14:paraId="4C8E33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C8B2E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dxa"/>
            <w:vAlign w:val="center"/>
          </w:tcPr>
          <w:p w14:paraId="70D51E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906" w:type="dxa"/>
            <w:vAlign w:val="center"/>
          </w:tcPr>
          <w:p w14:paraId="3AFE36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挥发性有机液体装卸：</w:t>
            </w:r>
          </w:p>
          <w:p w14:paraId="457848C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汽车罐车按照标准采用适宜的装载方式，推广采用密封式快速接头等；铁路罐车推广使用锁紧式接头等。废气处理设施吸附剂应及时再生或更换，冷凝温度以及系统压力、气体流量装载量等相关参数应满足设计要求；装载作业排气经过回收处理后不能稳定达标的，应进一步优化治理设施或实施深度治理。万吨级以上具备发油功能的码头加快建设油气回收设施，8000总吨及以上油船加快建设密闭油气收集系统和惰性气体系统。开展铁路罐车扫仓过程VOCs收集治理，鼓励开展铁路罐车、汽车罐车及船舶油舱的清洗、压舱过程废气收集治理、</w:t>
            </w:r>
          </w:p>
        </w:tc>
        <w:tc>
          <w:tcPr>
            <w:tcW w:w="2524" w:type="dxa"/>
            <w:vAlign w:val="center"/>
          </w:tcPr>
          <w:p w14:paraId="328BEC1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本项目为密闭集输工艺，不涉及挥发性有机液体装卸。</w:t>
            </w:r>
          </w:p>
        </w:tc>
        <w:tc>
          <w:tcPr>
            <w:tcW w:w="678" w:type="dxa"/>
            <w:vAlign w:val="center"/>
          </w:tcPr>
          <w:p w14:paraId="3CEC9E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7511B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dxa"/>
            <w:vAlign w:val="center"/>
          </w:tcPr>
          <w:p w14:paraId="6277AC4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906" w:type="dxa"/>
            <w:vAlign w:val="center"/>
          </w:tcPr>
          <w:p w14:paraId="2419B6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泄漏检测与修复指出：石油炼制、石油化工、合成树脂行业所有企业都应开展LDAR工作；其他行业企业中载有气态、液态V0Cs物料的设备与管线组件密封点大于等于2000个的，应开展LDAR工作。要将V0Cs收集管道、治理设施和与储罐连接的密封点纳入检测范围。按照相关技术规范要求，开展泄漏检测、修复、质量控制、记录管理等工作。</w:t>
            </w:r>
          </w:p>
        </w:tc>
        <w:tc>
          <w:tcPr>
            <w:tcW w:w="2524" w:type="dxa"/>
            <w:vAlign w:val="center"/>
          </w:tcPr>
          <w:p w14:paraId="0981E73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新增设备与管线组件密封点小于2000个，本次环评要求建设单位对阀门、设备、密闭管线及密封点的巡检，一旦发生泄漏立即切断控制阀，并在5日内完成修复。建设单位应建立台账，记录VOCs原辅材料及含VOCs产品的名称、使用量、回收量、去向及VOCs含量等信息，台账保存期限不少于3年；载有VOCs物料的设备及其管道在开停工、检维修和清洗时，应在退料阶段将残存物料退净，并用密闭容器盛装。</w:t>
            </w:r>
          </w:p>
        </w:tc>
        <w:tc>
          <w:tcPr>
            <w:tcW w:w="678" w:type="dxa"/>
            <w:vAlign w:val="center"/>
          </w:tcPr>
          <w:p w14:paraId="5790C13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F369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dxa"/>
            <w:vAlign w:val="center"/>
          </w:tcPr>
          <w:p w14:paraId="2D92D9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906" w:type="dxa"/>
            <w:vAlign w:val="center"/>
          </w:tcPr>
          <w:p w14:paraId="75BF6CE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非正常工况：</w:t>
            </w:r>
          </w:p>
          <w:p w14:paraId="4BC2CEC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化、化工企业提前向当地生态环境部门报告检维修计划，制定非正常工况V0Cs管控规程，严格按照规程进行操作。企业开停工、检维修期间，退料、清洗、吹扫等作业产生的V0Cs废气应及时收集处理，确保满足标准要求。停工退料时应密闭吹扫，最大化回收物料；产生的不凝气应分类进入管网，通过加热炉、火炬系统、治理设施或带有恶臭和V0Cs废气治理装置的污油罐、污水处理设施、酸性水罐等进行收集处置。在难以建立蒸罐、清洗、吹扫产物密闭排放管网的情况下，可采用移动式设备处理检维修过程排放的废气。蒸罐、清洗、吹扫产物全部处置完毕后，方可停运配套治理设施、气柜、火炬等。加强放空气体V0Cs浓度监测，一般低于200umo1/mo1或0.2%爆炸下限浓度后再进行放空作业，减少设备拆解过程中V0Cs排放。在停工检维修阶段，环保装置、气柜、火炬等应在生产装置开车前完成检维修；在开机进料时，应将置换出的废气排入火炬系统或采用其他有效方法进行处理；开工初始阶段产生的不合格产品应妥善处理，不得直排。企业检维修期间，当地生态环境部门可利用走航、网格化监测等方式加强监管，必要时可实施驻厂监管。石化、化工企业应加强可燃性气体的回收，火炬燃烧装置一般只用于应急处置，不作为日常大气污染处理设施；企业应按标准要求在火炬系统安装温度监控、废气流量计、助燃气体流量计等，鼓励安装热值检测仪；火炬排放废气热值达不到要求时应及时补充助燃气体。</w:t>
            </w:r>
          </w:p>
        </w:tc>
        <w:tc>
          <w:tcPr>
            <w:tcW w:w="2524" w:type="dxa"/>
            <w:vAlign w:val="center"/>
          </w:tcPr>
          <w:p w14:paraId="0B82E2B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非正常工况，吉祥联合站各装置的安全阀及事故紧急放空气体均采用密闭集输至火炬系统燃烧后排放，严禁直接排放。</w:t>
            </w:r>
          </w:p>
        </w:tc>
        <w:tc>
          <w:tcPr>
            <w:tcW w:w="678" w:type="dxa"/>
            <w:vAlign w:val="center"/>
          </w:tcPr>
          <w:p w14:paraId="373F373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bookmarkEnd w:id="176"/>
      <w:bookmarkEnd w:id="177"/>
    </w:tbl>
    <w:p w14:paraId="3D14A6C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（7）与</w:t>
      </w:r>
      <w:bookmarkStart w:id="178" w:name="OLE_LINK115"/>
      <w:r>
        <w:rPr>
          <w:rFonts w:hint="eastAsia"/>
          <w:color w:val="000000" w:themeColor="text1"/>
          <w14:textFill>
            <w14:solidFill>
              <w14:schemeClr w14:val="tx1"/>
            </w14:solidFill>
          </w14:textFill>
        </w:rPr>
        <w:t>《</w:t>
      </w:r>
      <w:r>
        <w:rPr>
          <w:color w:val="000000" w:themeColor="text1"/>
          <w14:textFill>
            <w14:solidFill>
              <w14:schemeClr w14:val="tx1"/>
            </w14:solidFill>
          </w14:textFill>
        </w:rPr>
        <w:t>空气质量持续改善行动计划</w:t>
      </w:r>
      <w:r>
        <w:rPr>
          <w:rFonts w:hint="eastAsia"/>
          <w:color w:val="000000" w:themeColor="text1"/>
          <w14:textFill>
            <w14:solidFill>
              <w14:schemeClr w14:val="tx1"/>
            </w14:solidFill>
          </w14:textFill>
        </w:rPr>
        <w:t>》</w:t>
      </w:r>
      <w:bookmarkEnd w:id="178"/>
      <w:r>
        <w:rPr>
          <w:rFonts w:hint="eastAsia"/>
          <w:color w:val="000000" w:themeColor="text1"/>
          <w14:textFill>
            <w14:solidFill>
              <w14:schemeClr w14:val="tx1"/>
            </w14:solidFill>
          </w14:textFill>
        </w:rPr>
        <w:t>符合性分析</w:t>
      </w:r>
    </w:p>
    <w:p w14:paraId="5C4EF93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项目建设符合《</w:t>
      </w:r>
      <w:r>
        <w:rPr>
          <w:color w:val="000000" w:themeColor="text1"/>
          <w14:textFill>
            <w14:solidFill>
              <w14:schemeClr w14:val="tx1"/>
            </w14:solidFill>
          </w14:textFill>
        </w:rPr>
        <w:t>空气质量持续改善行动计划</w:t>
      </w:r>
      <w:r>
        <w:rPr>
          <w:rFonts w:hint="eastAsia"/>
          <w:color w:val="000000" w:themeColor="text1"/>
          <w14:textFill>
            <w14:solidFill>
              <w14:schemeClr w14:val="tx1"/>
            </w14:solidFill>
          </w14:textFill>
        </w:rPr>
        <w:t>》中的相关要求，具体分析见表2.9-12。</w:t>
      </w:r>
    </w:p>
    <w:p w14:paraId="5CBC3D93">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 xml:space="preserve">12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本项目与《</w:t>
      </w:r>
      <w:r>
        <w:rPr>
          <w:color w:val="000000" w:themeColor="text1"/>
          <w14:textFill>
            <w14:solidFill>
              <w14:schemeClr w14:val="tx1"/>
            </w14:solidFill>
          </w14:textFill>
        </w:rPr>
        <w:t>空气质量持续改善行动计划</w:t>
      </w:r>
      <w:r>
        <w:rPr>
          <w:rFonts w:hint="eastAsia"/>
          <w:color w:val="000000" w:themeColor="text1"/>
          <w14:textFill>
            <w14:solidFill>
              <w14:schemeClr w14:val="tx1"/>
            </w14:solidFill>
          </w14:textFill>
        </w:rPr>
        <w:t>》的相符性分析</w:t>
      </w:r>
    </w:p>
    <w:tbl>
      <w:tblPr>
        <w:tblStyle w:val="51"/>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3973"/>
        <w:gridCol w:w="2551"/>
        <w:gridCol w:w="932"/>
      </w:tblGrid>
      <w:tr w14:paraId="127B5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blHeader/>
          <w:jc w:val="center"/>
        </w:trPr>
        <w:tc>
          <w:tcPr>
            <w:tcW w:w="3005" w:type="pct"/>
            <w:gridSpan w:val="2"/>
            <w:tcBorders>
              <w:tl2br w:val="nil"/>
              <w:tr2bl w:val="nil"/>
            </w:tcBorders>
            <w:vAlign w:val="center"/>
          </w:tcPr>
          <w:p w14:paraId="3C9314E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计划相关要求</w:t>
            </w:r>
          </w:p>
        </w:tc>
        <w:tc>
          <w:tcPr>
            <w:tcW w:w="1461" w:type="pct"/>
            <w:tcBorders>
              <w:tl2br w:val="nil"/>
              <w:tr2bl w:val="nil"/>
            </w:tcBorders>
            <w:vAlign w:val="center"/>
          </w:tcPr>
          <w:p w14:paraId="7194EBD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本工程情况</w:t>
            </w:r>
          </w:p>
        </w:tc>
        <w:tc>
          <w:tcPr>
            <w:tcW w:w="534" w:type="pct"/>
            <w:tcBorders>
              <w:tl2br w:val="nil"/>
              <w:tr2bl w:val="nil"/>
            </w:tcBorders>
            <w:vAlign w:val="center"/>
          </w:tcPr>
          <w:p w14:paraId="79281A0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符合性</w:t>
            </w:r>
          </w:p>
        </w:tc>
      </w:tr>
      <w:tr w14:paraId="7B451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pct"/>
            <w:vMerge w:val="restart"/>
            <w:tcBorders>
              <w:tl2br w:val="nil"/>
              <w:tr2bl w:val="nil"/>
            </w:tcBorders>
            <w:vAlign w:val="center"/>
          </w:tcPr>
          <w:p w14:paraId="2178F3A9">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优化产业结构，促进产业产品绿色升级</w:t>
            </w:r>
          </w:p>
        </w:tc>
        <w:tc>
          <w:tcPr>
            <w:tcW w:w="2276" w:type="pct"/>
            <w:tcBorders>
              <w:tl2br w:val="nil"/>
              <w:tr2bl w:val="nil"/>
            </w:tcBorders>
            <w:vAlign w:val="center"/>
          </w:tcPr>
          <w:p w14:paraId="38285EE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新改扩建项目严格落实国家产业规划、产业政策、生态环境分区管控方案、规划环评、项目环评、节能审查、产能置换、重点污染物总量控制、污染物排放区域削减、碳排放达峰目标等相关要求，原则上采用清洁运输方式。</w:t>
            </w:r>
          </w:p>
        </w:tc>
        <w:tc>
          <w:tcPr>
            <w:tcW w:w="1461" w:type="pct"/>
            <w:tcBorders>
              <w:tl2br w:val="nil"/>
              <w:tr2bl w:val="nil"/>
            </w:tcBorders>
            <w:vAlign w:val="center"/>
          </w:tcPr>
          <w:p w14:paraId="7FCCB85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项目建设符合国家产业政策、《昌吉回族自治州“三线一单”生态环境分区管控方案及生态环境准入清单》（2023版）和《新疆油田公司“十四五”发展规划环境影响报告书》等的相关要求，本项目不设总量控制指标。</w:t>
            </w:r>
          </w:p>
        </w:tc>
        <w:tc>
          <w:tcPr>
            <w:tcW w:w="534" w:type="pct"/>
            <w:tcBorders>
              <w:tl2br w:val="nil"/>
              <w:tr2bl w:val="nil"/>
            </w:tcBorders>
            <w:vAlign w:val="center"/>
          </w:tcPr>
          <w:p w14:paraId="6BC8392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78EBD1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pct"/>
            <w:vMerge w:val="continue"/>
            <w:tcBorders>
              <w:tl2br w:val="nil"/>
              <w:tr2bl w:val="nil"/>
            </w:tcBorders>
            <w:vAlign w:val="center"/>
          </w:tcPr>
          <w:p w14:paraId="248F9398">
            <w:pPr>
              <w:pStyle w:val="280"/>
              <w:rPr>
                <w:rFonts w:hint="eastAsia"/>
                <w:color w:val="000000" w:themeColor="text1"/>
                <w:lang w:bidi="ar"/>
                <w14:textFill>
                  <w14:solidFill>
                    <w14:schemeClr w14:val="tx1"/>
                  </w14:solidFill>
                </w14:textFill>
              </w:rPr>
            </w:pPr>
          </w:p>
        </w:tc>
        <w:tc>
          <w:tcPr>
            <w:tcW w:w="2276" w:type="pct"/>
            <w:tcBorders>
              <w:tl2br w:val="nil"/>
              <w:tr2bl w:val="nil"/>
            </w:tcBorders>
            <w:vAlign w:val="center"/>
          </w:tcPr>
          <w:p w14:paraId="331E042A">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优化含VOCs原辅材料和产品结构。严格控制生产和使用高VOCs含量涂料、油墨、胶粘剂、清洗剂等建设项目，提高低（无）VOCs含量产品比重。实施源头替代工程，加大工业涂装、包装印刷和电子行业低（无）VOCs含量原辅材料替代力度。室外构筑物防护和城市道路交通标志推广使用低（无）VOCs含量涂料。在生产、销售、进口、使用等环节严格执行VOCs含量限值标准。</w:t>
            </w:r>
          </w:p>
        </w:tc>
        <w:tc>
          <w:tcPr>
            <w:tcW w:w="1461" w:type="pct"/>
            <w:tcBorders>
              <w:tl2br w:val="nil"/>
              <w:tr2bl w:val="nil"/>
            </w:tcBorders>
            <w:vAlign w:val="center"/>
          </w:tcPr>
          <w:p w14:paraId="21927FD9">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本项目为陆地石油开发项目，采出物通过管线密闭集输至吉祥联合站进行处理，运营期加强巡检、设备阀门等巡检，厂界非甲烷总烃排放浓度满足</w:t>
            </w:r>
            <w:r>
              <w:rPr>
                <w:rFonts w:hint="eastAsia"/>
                <w:color w:val="000000" w:themeColor="text1"/>
                <w14:textFill>
                  <w14:solidFill>
                    <w14:schemeClr w14:val="tx1"/>
                  </w14:solidFill>
                </w14:textFill>
              </w:rPr>
              <w:t>后井场厂界非甲烷总烃满足《陆上石油天然气开采工业大气污染物排放标准》（GB39728-2020）的场界标准限值（4mg/m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）要求</w:t>
            </w:r>
            <w:r>
              <w:rPr>
                <w:rFonts w:hint="eastAsia"/>
                <w:color w:val="000000" w:themeColor="text1"/>
                <w:lang w:bidi="ar"/>
                <w14:textFill>
                  <w14:solidFill>
                    <w14:schemeClr w14:val="tx1"/>
                  </w14:solidFill>
                </w14:textFill>
              </w:rPr>
              <w:t>。</w:t>
            </w:r>
          </w:p>
        </w:tc>
        <w:tc>
          <w:tcPr>
            <w:tcW w:w="534" w:type="pct"/>
            <w:tcBorders>
              <w:tl2br w:val="nil"/>
              <w:tr2bl w:val="nil"/>
            </w:tcBorders>
            <w:vAlign w:val="center"/>
          </w:tcPr>
          <w:p w14:paraId="0C3F715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195F2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pct"/>
            <w:tcBorders>
              <w:tl2br w:val="nil"/>
              <w:tr2bl w:val="nil"/>
            </w:tcBorders>
            <w:vAlign w:val="center"/>
          </w:tcPr>
          <w:p w14:paraId="09CB2CC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优化能源结构，加速能源清洁低碳高效发展</w:t>
            </w:r>
          </w:p>
        </w:tc>
        <w:tc>
          <w:tcPr>
            <w:tcW w:w="2276" w:type="pct"/>
            <w:tcBorders>
              <w:tl2br w:val="nil"/>
              <w:tr2bl w:val="nil"/>
            </w:tcBorders>
            <w:vAlign w:val="center"/>
          </w:tcPr>
          <w:p w14:paraId="5280D7D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大力发展新能源和清洁能源。到2025年，非化石能源消费比重达20%左右，电能占终端能源消费比重达30%左右。持续增加天然气生产供应，新增天然气优先保障居民生活和清洁取暖需求。</w:t>
            </w:r>
          </w:p>
        </w:tc>
        <w:tc>
          <w:tcPr>
            <w:tcW w:w="1461" w:type="pct"/>
            <w:tcBorders>
              <w:tl2br w:val="nil"/>
              <w:tr2bl w:val="nil"/>
            </w:tcBorders>
            <w:vAlign w:val="center"/>
          </w:tcPr>
          <w:p w14:paraId="33E4D98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井口采用电加热，不使用煤炭、石油、天然气等能源；本项目产生的伴生气经吉祥联合站伴生气处理装置处理后，一部分用于站内燃气设施及供暖。</w:t>
            </w:r>
          </w:p>
        </w:tc>
        <w:tc>
          <w:tcPr>
            <w:tcW w:w="534" w:type="pct"/>
            <w:tcBorders>
              <w:tl2br w:val="nil"/>
              <w:tr2bl w:val="nil"/>
            </w:tcBorders>
            <w:vAlign w:val="center"/>
          </w:tcPr>
          <w:p w14:paraId="6D7AC18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15018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pct"/>
            <w:vMerge w:val="restart"/>
            <w:tcBorders>
              <w:tl2br w:val="nil"/>
              <w:tr2bl w:val="nil"/>
            </w:tcBorders>
            <w:vAlign w:val="center"/>
          </w:tcPr>
          <w:p w14:paraId="71717AA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强化面源污染治理，提升精细化管理水平</w:t>
            </w:r>
          </w:p>
        </w:tc>
        <w:tc>
          <w:tcPr>
            <w:tcW w:w="2276" w:type="pct"/>
            <w:tcBorders>
              <w:tl2br w:val="nil"/>
              <w:tr2bl w:val="nil"/>
            </w:tcBorders>
            <w:vAlign w:val="center"/>
          </w:tcPr>
          <w:p w14:paraId="297B049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鼓励经济发达地区5000平方米及以上建筑工地安装视频监控并接入当地监管平台；重点区域道路、水务等长距离线性工程实行分段施工。将防治扬尘污染费用纳入工程造价。到2025年，装配式建筑占新建建筑面积比例达30%；地级及以上城市建成区道路机械化清扫率达80%左右，县城达70%左右。对城市公共裸地进行排查建档并采取防尘措施。城市大型煤炭、矿石等干散货码头物料堆场基本完成抑尘设施建设和物料输送系统封闭改造。</w:t>
            </w:r>
          </w:p>
        </w:tc>
        <w:tc>
          <w:tcPr>
            <w:tcW w:w="1461" w:type="pct"/>
            <w:tcBorders>
              <w:tl2br w:val="nil"/>
              <w:tr2bl w:val="nil"/>
            </w:tcBorders>
            <w:vAlign w:val="center"/>
          </w:tcPr>
          <w:p w14:paraId="6F6B665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项目行政隶属于昌吉回族自治州吉木萨尔县，不属于重点区域，项目为陆地石油开采项目，不属于城市大型煤炭、矿石等干散货码头物料堆场项目。同时项目施工期也采取了相应的防治扬尘的措施，具体如下：合理规划运输道路线路，尽量利用油田现有的公路网，施工车辆严格按照规定线路行驶，严禁乱碾乱压。运输车辆应加盖篷布，不能超载过量；严禁车辆在行驶中沿途振漏建筑材料及建筑废料。粉状材料及临时土方等在施工区堆放应采取覆盖防尘布，逸散性材料运输采用苫布遮盖。优化施工组织，严禁在大风天气进行土方作业。</w:t>
            </w:r>
          </w:p>
        </w:tc>
        <w:tc>
          <w:tcPr>
            <w:tcW w:w="534" w:type="pct"/>
            <w:tcBorders>
              <w:tl2br w:val="nil"/>
              <w:tr2bl w:val="nil"/>
            </w:tcBorders>
            <w:vAlign w:val="center"/>
          </w:tcPr>
          <w:p w14:paraId="06415FB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03153F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pct"/>
            <w:vMerge w:val="continue"/>
            <w:tcBorders>
              <w:tl2br w:val="nil"/>
              <w:tr2bl w:val="nil"/>
            </w:tcBorders>
            <w:vAlign w:val="center"/>
          </w:tcPr>
          <w:p w14:paraId="77F583C8">
            <w:pPr>
              <w:pStyle w:val="280"/>
              <w:rPr>
                <w:rFonts w:hint="eastAsia"/>
                <w:color w:val="000000" w:themeColor="text1"/>
                <w:lang w:bidi="ar"/>
                <w14:textFill>
                  <w14:solidFill>
                    <w14:schemeClr w14:val="tx1"/>
                  </w14:solidFill>
                </w14:textFill>
              </w:rPr>
            </w:pPr>
          </w:p>
        </w:tc>
        <w:tc>
          <w:tcPr>
            <w:tcW w:w="2276" w:type="pct"/>
            <w:tcBorders>
              <w:tl2br w:val="nil"/>
              <w:tr2bl w:val="nil"/>
            </w:tcBorders>
            <w:vAlign w:val="center"/>
          </w:tcPr>
          <w:p w14:paraId="20CD7C3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新建矿山原则上要同步建设铁路专用线或采用其他清洁运输方式。到2025年，京津冀及周边地区原则上不再新建露天矿山（省级矿产资源规划确定的重点开采区或经安全论证不宜采用地下开采方式的除外）。对限期整改仍不达标的矿山，根据安全生产、水土保持、生态环境等要求依法关闭。</w:t>
            </w:r>
          </w:p>
        </w:tc>
        <w:tc>
          <w:tcPr>
            <w:tcW w:w="1461" w:type="pct"/>
            <w:tcBorders>
              <w:tl2br w:val="nil"/>
              <w:tr2bl w:val="nil"/>
            </w:tcBorders>
            <w:vAlign w:val="center"/>
          </w:tcPr>
          <w:p w14:paraId="06239E8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井口采出物通过管线密闭集输至吉祥联合站进行处理，报告对生态环境保护、水土保持等提出了相应的保护措施。</w:t>
            </w:r>
          </w:p>
        </w:tc>
        <w:tc>
          <w:tcPr>
            <w:tcW w:w="534" w:type="pct"/>
            <w:tcBorders>
              <w:tl2br w:val="nil"/>
              <w:tr2bl w:val="nil"/>
            </w:tcBorders>
            <w:vAlign w:val="center"/>
          </w:tcPr>
          <w:p w14:paraId="1F866D2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429D5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pct"/>
            <w:tcBorders>
              <w:tl2br w:val="nil"/>
              <w:tr2bl w:val="nil"/>
            </w:tcBorders>
            <w:vAlign w:val="center"/>
          </w:tcPr>
          <w:p w14:paraId="61382AD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强化多污染物减排，切实降低排放强度</w:t>
            </w:r>
          </w:p>
        </w:tc>
        <w:tc>
          <w:tcPr>
            <w:tcW w:w="2276" w:type="pct"/>
            <w:tcBorders>
              <w:tl2br w:val="nil"/>
              <w:tr2bl w:val="nil"/>
            </w:tcBorders>
            <w:vAlign w:val="center"/>
          </w:tcPr>
          <w:p w14:paraId="42D0118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强化VOCs全流程、全环节综合治理。鼓励储罐使用低泄漏的呼吸阀、紧急泄压阀，定期开展密封性检测。汽车罐车推广使用密封式快速接头。污水处理场所高浓度有机废气要单独收集处理；含VOCs有机废水储罐、装置区集水井（池）有机废气要密闭收集处理。重点区域石化、化工行业集中的城市和重点工业园区，2024年年底前建立统一的泄漏检测与修复信息管理平台。企业开停工、检维修期间，及时收集处理退料、清洗、吹扫等作业产生的VOCs废气。企业不得将火炬燃烧装置作为日常大气污染处理设施。</w:t>
            </w:r>
          </w:p>
        </w:tc>
        <w:tc>
          <w:tcPr>
            <w:tcW w:w="1461" w:type="pct"/>
            <w:tcBorders>
              <w:tl2br w:val="nil"/>
              <w:tr2bl w:val="nil"/>
            </w:tcBorders>
            <w:vAlign w:val="center"/>
          </w:tcPr>
          <w:p w14:paraId="433E862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井口采出物通过管线密闭集输至吉祥联合站进行处理，项目不涉及新建储罐、污水处理装置、汽车罐车等；项目行政隶属于昌吉回族自治州吉木萨尔县，不属于重点区域。</w:t>
            </w:r>
          </w:p>
        </w:tc>
        <w:tc>
          <w:tcPr>
            <w:tcW w:w="534" w:type="pct"/>
            <w:tcBorders>
              <w:tl2br w:val="nil"/>
              <w:tr2bl w:val="nil"/>
            </w:tcBorders>
            <w:vAlign w:val="center"/>
          </w:tcPr>
          <w:p w14:paraId="50AE1D0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bl>
    <w:p w14:paraId="294A029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（8）与《关于“十四五”大宗固体废弃物综合利用的指导意见》符合性分析</w:t>
      </w:r>
    </w:p>
    <w:p w14:paraId="17521B3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项目建设符合《关于“十四五”大宗固体废弃物综合利用的指导意见》中的相关要求，具体分析见表2.9-13。</w:t>
      </w:r>
    </w:p>
    <w:p w14:paraId="7F659152">
      <w:pPr>
        <w:pStyle w:val="120"/>
        <w:rPr>
          <w:rFonts w:hint="eastAsia"/>
          <w:color w:val="000000" w:themeColor="text1"/>
          <w14:textFill>
            <w14:solidFill>
              <w14:schemeClr w14:val="tx1"/>
            </w14:solidFill>
          </w14:textFill>
        </w:rPr>
      </w:pPr>
    </w:p>
    <w:p w14:paraId="66D056E9">
      <w:pPr>
        <w:pStyle w:val="120"/>
        <w:rPr>
          <w:rFonts w:hint="eastAsia"/>
          <w:color w:val="000000" w:themeColor="text1"/>
          <w14:textFill>
            <w14:solidFill>
              <w14:schemeClr w14:val="tx1"/>
            </w14:solidFill>
          </w14:textFill>
        </w:rPr>
      </w:pPr>
    </w:p>
    <w:p w14:paraId="49D0709C">
      <w:pPr>
        <w:pStyle w:val="120"/>
        <w:rPr>
          <w:rFonts w:hint="eastAsia"/>
          <w:color w:val="000000" w:themeColor="text1"/>
          <w14:textFill>
            <w14:solidFill>
              <w14:schemeClr w14:val="tx1"/>
            </w14:solidFill>
          </w14:textFill>
        </w:rPr>
      </w:pPr>
    </w:p>
    <w:p w14:paraId="3F65B374">
      <w:pPr>
        <w:pStyle w:val="120"/>
        <w:rPr>
          <w:rFonts w:hint="eastAsia"/>
          <w:color w:val="000000" w:themeColor="text1"/>
          <w14:textFill>
            <w14:solidFill>
              <w14:schemeClr w14:val="tx1"/>
            </w14:solidFill>
          </w14:textFill>
        </w:rPr>
      </w:pPr>
    </w:p>
    <w:p w14:paraId="43EB0E4F">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 xml:space="preserve">13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本项目与</w:t>
      </w:r>
      <w:bookmarkStart w:id="179" w:name="_Hlk175248971"/>
      <w:r>
        <w:rPr>
          <w:rFonts w:hint="eastAsia"/>
          <w:color w:val="000000" w:themeColor="text1"/>
          <w14:textFill>
            <w14:solidFill>
              <w14:schemeClr w14:val="tx1"/>
            </w14:solidFill>
          </w14:textFill>
        </w:rPr>
        <w:t>《关于“十四五”大宗固体废弃物综合利用的指导意见》</w:t>
      </w:r>
      <w:bookmarkEnd w:id="179"/>
      <w:r>
        <w:rPr>
          <w:rFonts w:hint="eastAsia"/>
          <w:color w:val="000000" w:themeColor="text1"/>
          <w14:textFill>
            <w14:solidFill>
              <w14:schemeClr w14:val="tx1"/>
            </w14:solidFill>
          </w14:textFill>
        </w:rPr>
        <w:t>的相符性分析</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
      <w:tblGrid>
        <w:gridCol w:w="708"/>
        <w:gridCol w:w="3119"/>
        <w:gridCol w:w="4254"/>
        <w:gridCol w:w="650"/>
      </w:tblGrid>
      <w:tr w14:paraId="2E549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97" w:hRule="atLeast"/>
          <w:tblHeader/>
          <w:jc w:val="center"/>
        </w:trPr>
        <w:tc>
          <w:tcPr>
            <w:tcW w:w="2192" w:type="pct"/>
            <w:gridSpan w:val="2"/>
            <w:tcBorders>
              <w:tl2br w:val="nil"/>
              <w:tr2bl w:val="nil"/>
            </w:tcBorders>
            <w:vAlign w:val="center"/>
          </w:tcPr>
          <w:p w14:paraId="2B90B3C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指导意见相关要求</w:t>
            </w:r>
          </w:p>
        </w:tc>
        <w:tc>
          <w:tcPr>
            <w:tcW w:w="2436" w:type="pct"/>
            <w:tcBorders>
              <w:tl2br w:val="nil"/>
              <w:tr2bl w:val="nil"/>
            </w:tcBorders>
            <w:vAlign w:val="center"/>
          </w:tcPr>
          <w:p w14:paraId="694ECE2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本工程情况</w:t>
            </w:r>
          </w:p>
        </w:tc>
        <w:tc>
          <w:tcPr>
            <w:tcW w:w="372" w:type="pct"/>
            <w:tcBorders>
              <w:tl2br w:val="nil"/>
              <w:tr2bl w:val="nil"/>
            </w:tcBorders>
            <w:vAlign w:val="center"/>
          </w:tcPr>
          <w:p w14:paraId="0F46E89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符合性</w:t>
            </w:r>
          </w:p>
        </w:tc>
      </w:tr>
      <w:tr w14:paraId="6CDDA7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97" w:hRule="atLeast"/>
          <w:tblHeader/>
          <w:jc w:val="center"/>
        </w:trPr>
        <w:tc>
          <w:tcPr>
            <w:tcW w:w="406" w:type="pct"/>
            <w:tcBorders>
              <w:tl2br w:val="nil"/>
              <w:tr2bl w:val="nil"/>
            </w:tcBorders>
            <w:vAlign w:val="center"/>
          </w:tcPr>
          <w:p w14:paraId="7E95991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提高大宗固废资源利用效率</w:t>
            </w:r>
          </w:p>
        </w:tc>
        <w:tc>
          <w:tcPr>
            <w:tcW w:w="1786" w:type="pct"/>
            <w:tcBorders>
              <w:tl2br w:val="nil"/>
              <w:tr2bl w:val="nil"/>
            </w:tcBorders>
            <w:vAlign w:val="center"/>
          </w:tcPr>
          <w:p w14:paraId="4C1FC42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加强建筑垃圾分类处理和回收利用，规范建筑垃圾堆存、中转和资源化利用场所建设和运营，推动建筑垃圾综合利用产品应用。鼓励建筑垃圾再生骨料及制品在建筑工程和道路工程中的应用，以及将建筑垃圾用于土方平衡、林业用土、环境治理、烧结制品及回填等，不断提高利用质量、扩大资源化利用规模。</w:t>
            </w:r>
          </w:p>
        </w:tc>
        <w:tc>
          <w:tcPr>
            <w:tcW w:w="2436" w:type="pct"/>
            <w:tcBorders>
              <w:tl2br w:val="nil"/>
              <w:tr2bl w:val="nil"/>
            </w:tcBorders>
            <w:vAlign w:val="center"/>
          </w:tcPr>
          <w:p w14:paraId="79B4E51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本项目施工过程产生的施工建筑垃圾中的一部分如建筑废模块、建筑材料下脚料、废管材、断残钢筋头等可以回收利用的优先回收利用；另一部分无法回收利用的</w:t>
            </w:r>
            <w:r>
              <w:rPr>
                <w:rFonts w:hint="eastAsia"/>
                <w:color w:val="000000" w:themeColor="text1"/>
                <w:lang w:eastAsia="zh-CN" w:bidi="ar"/>
                <w14:textFill>
                  <w14:solidFill>
                    <w14:schemeClr w14:val="tx1"/>
                  </w14:solidFill>
                </w14:textFill>
              </w:rPr>
              <w:t>，由</w:t>
            </w:r>
            <w:r>
              <w:rPr>
                <w:rFonts w:hint="eastAsia"/>
                <w:color w:val="000000" w:themeColor="text1"/>
                <w:lang w:bidi="ar"/>
                <w14:textFill>
                  <w14:solidFill>
                    <w14:schemeClr w14:val="tx1"/>
                  </w14:solidFill>
                </w14:textFill>
              </w:rPr>
              <w:t>施工单位集中收集后交由环卫部门统一处置。</w:t>
            </w:r>
          </w:p>
        </w:tc>
        <w:tc>
          <w:tcPr>
            <w:tcW w:w="372" w:type="pct"/>
            <w:tcBorders>
              <w:tl2br w:val="nil"/>
              <w:tr2bl w:val="nil"/>
            </w:tcBorders>
            <w:vAlign w:val="center"/>
          </w:tcPr>
          <w:p w14:paraId="2BC62DF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r w14:paraId="4DD4A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97" w:hRule="atLeast"/>
          <w:tblHeader/>
          <w:jc w:val="center"/>
        </w:trPr>
        <w:tc>
          <w:tcPr>
            <w:tcW w:w="406" w:type="pct"/>
            <w:tcBorders>
              <w:tl2br w:val="nil"/>
              <w:tr2bl w:val="nil"/>
            </w:tcBorders>
            <w:vAlign w:val="center"/>
          </w:tcPr>
          <w:p w14:paraId="0E7F46F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推进大宗固废综合利用绿色发展</w:t>
            </w:r>
          </w:p>
        </w:tc>
        <w:tc>
          <w:tcPr>
            <w:tcW w:w="1786" w:type="pct"/>
            <w:tcBorders>
              <w:tl2br w:val="nil"/>
              <w:tr2bl w:val="nil"/>
            </w:tcBorders>
            <w:vAlign w:val="center"/>
          </w:tcPr>
          <w:p w14:paraId="43D19FD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加强大宗固废贮存及处置管理，强化主体责任，推动建设符合有关国家标准的贮存设施，实现安全分类存放，杜绝混排混堆。统筹兼顾大宗固废增量消纳和存量治理，加大重点流域和重点区域大宗固废的综合整治力度，健全环保长效监督管理制度。</w:t>
            </w:r>
          </w:p>
        </w:tc>
        <w:tc>
          <w:tcPr>
            <w:tcW w:w="2436" w:type="pct"/>
            <w:tcBorders>
              <w:tl2br w:val="nil"/>
              <w:tr2bl w:val="nil"/>
            </w:tcBorders>
            <w:vAlign w:val="center"/>
          </w:tcPr>
          <w:p w14:paraId="5BED9A2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项目行政上隶属于昌吉回族自治州吉木萨尔县，不属于重点区域和重点流域。</w:t>
            </w:r>
          </w:p>
          <w:p w14:paraId="453E9F1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期水基钻井岩屑属于一般工业固体废物，委托岩屑处置单位直接拉运处置；施工期产生的废润滑油、废润滑油桶和沾油废防渗材料集中收集后交由有相应危险废物处置资质的单位进行回收处置。施工建筑垃圾中的一部分如建筑废模块、建筑材料下脚料、废管材、断残钢筋头等可以回收利用的优先回收利用；另一部分无法回收利用的</w:t>
            </w:r>
            <w:r>
              <w:rPr>
                <w:rFonts w:hint="eastAsia"/>
                <w:color w:val="000000" w:themeColor="text1"/>
                <w:lang w:eastAsia="zh-CN" w:bidi="ar"/>
                <w14:textFill>
                  <w14:solidFill>
                    <w14:schemeClr w14:val="tx1"/>
                  </w14:solidFill>
                </w14:textFill>
              </w:rPr>
              <w:t>，由</w:t>
            </w:r>
            <w:r>
              <w:rPr>
                <w:rFonts w:hint="eastAsia"/>
                <w:color w:val="000000" w:themeColor="text1"/>
                <w:lang w:bidi="ar"/>
                <w14:textFill>
                  <w14:solidFill>
                    <w14:schemeClr w14:val="tx1"/>
                  </w14:solidFill>
                </w14:textFill>
              </w:rPr>
              <w:t>施工单位集中收集后交由环卫部门统一处置。</w:t>
            </w:r>
          </w:p>
          <w:p w14:paraId="0E6AB4B7">
            <w:pPr>
              <w:pStyle w:val="280"/>
              <w:rPr>
                <w:rFonts w:hint="eastAsia"/>
                <w:color w:val="000000" w:themeColor="text1"/>
                <w:lang w:val="zh-CN"/>
                <w14:textFill>
                  <w14:solidFill>
                    <w14:schemeClr w14:val="tx1"/>
                  </w14:solidFill>
                </w14:textFill>
              </w:rPr>
            </w:pPr>
            <w:r>
              <w:rPr>
                <w:rFonts w:hint="eastAsia"/>
                <w:color w:val="000000" w:themeColor="text1"/>
                <w:lang w:bidi="ar"/>
                <w14:textFill>
                  <w14:solidFill>
                    <w14:schemeClr w14:val="tx1"/>
                  </w14:solidFill>
                </w14:textFill>
              </w:rPr>
              <w:t>运营期</w:t>
            </w:r>
            <w:r>
              <w:rPr>
                <w:rFonts w:hint="eastAsia"/>
                <w:color w:val="000000" w:themeColor="text1"/>
                <w:lang w:val="zh-CN"/>
                <w14:textFill>
                  <w14:solidFill>
                    <w14:schemeClr w14:val="tx1"/>
                  </w14:solidFill>
                </w14:textFill>
              </w:rPr>
              <w:t>废润滑油、废润滑油桶、沾油废防渗膜属于《国家危险废物名录（2025年版）》</w:t>
            </w:r>
            <w:r>
              <w:rPr>
                <w:color w:val="000000" w:themeColor="text1"/>
                <w:lang w:val="zh-CN"/>
                <w14:textFill>
                  <w14:solidFill>
                    <w14:schemeClr w14:val="tx1"/>
                  </w14:solidFill>
                </w14:textFill>
              </w:rPr>
              <w:t>HW08</w:t>
            </w:r>
            <w:r>
              <w:rPr>
                <w:rFonts w:hint="eastAsia"/>
                <w:color w:val="000000" w:themeColor="text1"/>
                <w:lang w:val="zh-CN"/>
                <w14:textFill>
                  <w14:solidFill>
                    <w14:schemeClr w14:val="tx1"/>
                  </w14:solidFill>
                </w14:textFill>
              </w:rPr>
              <w:t>废矿物油与含矿物油废物，废含油抹布和劳保用品属于《国家危险废物名录（2025年版）》HW49其他废物，危险废物均分类临时贮存在</w:t>
            </w:r>
            <w:bookmarkStart w:id="180" w:name="_Hlk175240979"/>
            <w:r>
              <w:rPr>
                <w:rFonts w:hint="eastAsia"/>
                <w:color w:val="000000" w:themeColor="text1"/>
                <w:lang w:val="zh-CN"/>
                <w14:textFill>
                  <w14:solidFill>
                    <w14:schemeClr w14:val="tx1"/>
                  </w14:solidFill>
                </w14:textFill>
              </w:rPr>
              <w:t>吉祥联合站危险废物临时贮存点，最终交由有相应危险废物处置资质的单位处置。</w:t>
            </w:r>
            <w:bookmarkEnd w:id="180"/>
          </w:p>
          <w:p w14:paraId="2EA3852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同时本次环评要求建设单位应与有相应危险废物处置资质的单位签订处置协议，在委托协议中应明确双方的义务和责任，协议中要约定处置方应依法合规处置危险废物，处置完毕后报告委托方。按照《危险废物转移管理办法》（生态环境部、公安部、交通运输部令第23号）的有关规定填写、运行危险废物转移联单。根据《一般工业固体废物管理台账制定指南（试行）》相关规定建立一般工业固体废物管理台账等要求。</w:t>
            </w:r>
          </w:p>
        </w:tc>
        <w:tc>
          <w:tcPr>
            <w:tcW w:w="372" w:type="pct"/>
            <w:tcBorders>
              <w:tl2br w:val="nil"/>
              <w:tr2bl w:val="nil"/>
            </w:tcBorders>
            <w:vAlign w:val="center"/>
          </w:tcPr>
          <w:p w14:paraId="52381D9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bookmarkEnd w:id="172"/>
    </w:tbl>
    <w:p w14:paraId="0E0E5BB3">
      <w:pPr>
        <w:pStyle w:val="12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9</w:t>
      </w:r>
      <w:r>
        <w:rPr>
          <w:rFonts w:hint="eastAsia"/>
          <w:color w:val="000000" w:themeColor="text1"/>
          <w14:textFill>
            <w14:solidFill>
              <w14:schemeClr w14:val="tx1"/>
            </w14:solidFill>
          </w14:textFill>
        </w:rPr>
        <w:t>）</w:t>
      </w:r>
      <w:r>
        <w:rPr>
          <w:rFonts w:hint="eastAsia" w:cs="宋体"/>
          <w:color w:val="000000" w:themeColor="text1"/>
          <w14:textFill>
            <w14:solidFill>
              <w14:schemeClr w14:val="tx1"/>
            </w14:solidFill>
          </w14:textFill>
        </w:rPr>
        <w:t>与</w:t>
      </w:r>
      <w:r>
        <w:rPr>
          <w:color w:val="000000" w:themeColor="text1"/>
          <w14:textFill>
            <w14:solidFill>
              <w14:schemeClr w14:val="tx1"/>
            </w14:solidFill>
          </w14:textFill>
        </w:rPr>
        <w:t>《陆上油气田采出水地下注入环境保护技术规范》（SY/T7784-2024）</w:t>
      </w:r>
      <w:r>
        <w:rPr>
          <w:rFonts w:hint="eastAsia"/>
          <w:color w:val="000000" w:themeColor="text1"/>
          <w14:textFill>
            <w14:solidFill>
              <w14:schemeClr w14:val="tx1"/>
            </w14:solidFill>
          </w14:textFill>
        </w:rPr>
        <w:t>符合性分析</w:t>
      </w:r>
    </w:p>
    <w:p w14:paraId="5F3B975E">
      <w:pPr>
        <w:pStyle w:val="12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项目建设符合</w:t>
      </w:r>
      <w:bookmarkStart w:id="181" w:name="OLE_LINK142"/>
      <w:r>
        <w:rPr>
          <w:color w:val="000000" w:themeColor="text1"/>
          <w14:textFill>
            <w14:solidFill>
              <w14:schemeClr w14:val="tx1"/>
            </w14:solidFill>
          </w14:textFill>
        </w:rPr>
        <w:t>《陆上油气田采出水地下注入环境保护技术规范》（SY/T7784-2024）</w:t>
      </w:r>
      <w:bookmarkEnd w:id="181"/>
      <w:r>
        <w:rPr>
          <w:rFonts w:hint="eastAsia"/>
          <w:color w:val="000000" w:themeColor="text1"/>
          <w14:textFill>
            <w14:solidFill>
              <w14:schemeClr w14:val="tx1"/>
            </w14:solidFill>
          </w14:textFill>
        </w:rPr>
        <w:t>中的相关要求，详见表2.9-</w:t>
      </w:r>
      <w:r>
        <w:rPr>
          <w:rFonts w:hint="eastAsia"/>
          <w:color w:val="000000" w:themeColor="text1"/>
          <w:lang w:val="en-US"/>
          <w14:textFill>
            <w14:solidFill>
              <w14:schemeClr w14:val="tx1"/>
            </w14:solidFill>
          </w14:textFill>
        </w:rPr>
        <w:t>14</w:t>
      </w:r>
      <w:r>
        <w:rPr>
          <w:rFonts w:hint="eastAsia"/>
          <w:color w:val="000000" w:themeColor="text1"/>
          <w14:textFill>
            <w14:solidFill>
              <w14:schemeClr w14:val="tx1"/>
            </w14:solidFill>
          </w14:textFill>
        </w:rPr>
        <w:t>。</w:t>
      </w:r>
    </w:p>
    <w:p w14:paraId="2FC3029B">
      <w:pPr>
        <w:pStyle w:val="120"/>
        <w:rPr>
          <w:rFonts w:hint="eastAsia"/>
          <w:color w:val="000000" w:themeColor="text1"/>
          <w14:textFill>
            <w14:solidFill>
              <w14:schemeClr w14:val="tx1"/>
            </w14:solidFill>
          </w14:textFill>
        </w:rPr>
      </w:pPr>
    </w:p>
    <w:p w14:paraId="54AF76B3">
      <w:pPr>
        <w:pStyle w:val="120"/>
        <w:ind w:firstLine="0" w:firstLineChars="0"/>
        <w:jc w:val="center"/>
        <w:rPr>
          <w:rFonts w:hint="eastAsia" w:ascii="黑体" w:hAnsi="黑体" w:eastAsia="黑体" w:cs="宋体"/>
          <w:color w:val="000000" w:themeColor="text1"/>
          <w:spacing w:val="-6"/>
          <w:sz w:val="21"/>
          <w:szCs w:val="21"/>
          <w14:textFill>
            <w14:solidFill>
              <w14:schemeClr w14:val="tx1"/>
            </w14:solidFill>
          </w14:textFill>
        </w:rPr>
      </w:pPr>
      <w:r>
        <w:rPr>
          <w:rFonts w:hint="eastAsia" w:ascii="黑体" w:hAnsi="黑体" w:eastAsia="黑体" w:cs="宋体"/>
          <w:color w:val="000000" w:themeColor="text1"/>
          <w:spacing w:val="-6"/>
          <w:sz w:val="21"/>
          <w:szCs w:val="21"/>
          <w14:textFill>
            <w14:solidFill>
              <w14:schemeClr w14:val="tx1"/>
            </w14:solidFill>
          </w14:textFill>
        </w:rPr>
        <w:t>表2.9-</w:t>
      </w:r>
      <w:r>
        <w:rPr>
          <w:rFonts w:hint="eastAsia" w:ascii="黑体" w:hAnsi="黑体" w:eastAsia="黑体" w:cs="宋体"/>
          <w:color w:val="000000" w:themeColor="text1"/>
          <w:spacing w:val="-6"/>
          <w:sz w:val="21"/>
          <w:szCs w:val="21"/>
          <w:lang w:val="en-US"/>
          <w14:textFill>
            <w14:solidFill>
              <w14:schemeClr w14:val="tx1"/>
            </w14:solidFill>
          </w14:textFill>
        </w:rPr>
        <w:t>14</w:t>
      </w:r>
      <w:r>
        <w:rPr>
          <w:rFonts w:hint="eastAsia" w:ascii="黑体" w:hAnsi="黑体" w:eastAsia="黑体" w:cs="宋体"/>
          <w:color w:val="000000" w:themeColor="text1"/>
          <w:spacing w:val="-6"/>
          <w:sz w:val="21"/>
          <w:szCs w:val="21"/>
          <w14:textFill>
            <w14:solidFill>
              <w14:schemeClr w14:val="tx1"/>
            </w14:solidFill>
          </w14:textFill>
        </w:rPr>
        <w:t xml:space="preserve">  与</w:t>
      </w:r>
      <w:r>
        <w:rPr>
          <w:rFonts w:ascii="黑体" w:hAnsi="黑体" w:eastAsia="黑体" w:cs="宋体"/>
          <w:color w:val="000000" w:themeColor="text1"/>
          <w:spacing w:val="-6"/>
          <w:sz w:val="21"/>
          <w:szCs w:val="21"/>
          <w14:textFill>
            <w14:solidFill>
              <w14:schemeClr w14:val="tx1"/>
            </w14:solidFill>
          </w14:textFill>
        </w:rPr>
        <w:t>《陆上油气田采出水地下注入环境保护技术规范》（SY/T7784-2024）</w:t>
      </w:r>
      <w:r>
        <w:rPr>
          <w:rFonts w:hint="eastAsia" w:ascii="黑体" w:hAnsi="黑体" w:eastAsia="黑体" w:cs="宋体"/>
          <w:color w:val="000000" w:themeColor="text1"/>
          <w:spacing w:val="-6"/>
          <w:sz w:val="21"/>
          <w:szCs w:val="21"/>
          <w14:textFill>
            <w14:solidFill>
              <w14:schemeClr w14:val="tx1"/>
            </w14:solidFill>
          </w14:textFill>
        </w:rPr>
        <w:t>符合性分析</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75"/>
        <w:gridCol w:w="4436"/>
        <w:gridCol w:w="2873"/>
        <w:gridCol w:w="847"/>
      </w:tblGrid>
      <w:tr w14:paraId="53171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2869" w:type="pct"/>
            <w:gridSpan w:val="2"/>
            <w:tcMar>
              <w:left w:w="0" w:type="dxa"/>
              <w:right w:w="0" w:type="dxa"/>
            </w:tcMar>
            <w:vAlign w:val="center"/>
          </w:tcPr>
          <w:p w14:paraId="7DDF8D37">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lang w:bidi="ar"/>
                <w14:textFill>
                  <w14:solidFill>
                    <w14:schemeClr w14:val="tx1"/>
                  </w14:solidFill>
                </w14:textFill>
              </w:rPr>
              <w:t>条件规定</w:t>
            </w:r>
          </w:p>
        </w:tc>
        <w:tc>
          <w:tcPr>
            <w:tcW w:w="1645" w:type="pct"/>
            <w:tcMar>
              <w:left w:w="0" w:type="dxa"/>
              <w:right w:w="0" w:type="dxa"/>
            </w:tcMar>
            <w:vAlign w:val="center"/>
          </w:tcPr>
          <w:p w14:paraId="043982A7">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lang w:bidi="ar"/>
                <w14:textFill>
                  <w14:solidFill>
                    <w14:schemeClr w14:val="tx1"/>
                  </w14:solidFill>
                </w14:textFill>
              </w:rPr>
              <w:t>拟采取的相关措施</w:t>
            </w:r>
          </w:p>
        </w:tc>
        <w:tc>
          <w:tcPr>
            <w:tcW w:w="485" w:type="pct"/>
            <w:tcMar>
              <w:left w:w="0" w:type="dxa"/>
              <w:right w:w="0" w:type="dxa"/>
            </w:tcMar>
            <w:vAlign w:val="center"/>
          </w:tcPr>
          <w:p w14:paraId="2D55E3F6">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lang w:bidi="ar"/>
                <w14:textFill>
                  <w14:solidFill>
                    <w14:schemeClr w14:val="tx1"/>
                  </w14:solidFill>
                </w14:textFill>
              </w:rPr>
              <w:t>符合性分析</w:t>
            </w:r>
          </w:p>
        </w:tc>
      </w:tr>
      <w:tr w14:paraId="429AB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29" w:type="pct"/>
            <w:tcMar>
              <w:left w:w="0" w:type="dxa"/>
              <w:right w:w="0" w:type="dxa"/>
            </w:tcMar>
            <w:vAlign w:val="center"/>
          </w:tcPr>
          <w:p w14:paraId="0DB33C87">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一般要求</w:t>
            </w:r>
          </w:p>
        </w:tc>
        <w:tc>
          <w:tcPr>
            <w:tcW w:w="2540" w:type="pct"/>
            <w:vAlign w:val="center"/>
          </w:tcPr>
          <w:p w14:paraId="3025CC34">
            <w:pPr>
              <w:pStyle w:val="62"/>
              <w:adjustRightInd w:val="0"/>
              <w:snapToGrid w:val="0"/>
              <w:spacing w:line="300" w:lineRule="exact"/>
              <w:jc w:val="both"/>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注入层应与地下水饮用水层隔离性好。注水井井身应结构合理，井筒结构完整，套管封隔性好，固井质量合格。采出水地下注入过程应安全可控，无泄漏。</w:t>
            </w:r>
          </w:p>
        </w:tc>
        <w:tc>
          <w:tcPr>
            <w:tcW w:w="1645" w:type="pct"/>
            <w:tcMar>
              <w:left w:w="0" w:type="dxa"/>
              <w:right w:w="0" w:type="dxa"/>
            </w:tcMar>
            <w:vAlign w:val="center"/>
          </w:tcPr>
          <w:p w14:paraId="3517B378">
            <w:pPr>
              <w:pStyle w:val="62"/>
              <w:adjustRightInd w:val="0"/>
              <w:snapToGrid w:val="0"/>
              <w:spacing w:line="300" w:lineRule="exact"/>
              <w:rPr>
                <w:rFonts w:hint="eastAsia"/>
                <w:color w:val="000000" w:themeColor="text1"/>
                <w:sz w:val="21"/>
                <w14:textFill>
                  <w14:solidFill>
                    <w14:schemeClr w14:val="tx1"/>
                  </w14:solidFill>
                </w14:textFill>
              </w:rPr>
            </w:pPr>
            <w:r>
              <w:rPr>
                <w:color w:val="000000" w:themeColor="text1"/>
                <w:sz w:val="21"/>
                <w14:textFill>
                  <w14:solidFill>
                    <w14:schemeClr w14:val="tx1"/>
                  </w14:solidFill>
                </w14:textFill>
              </w:rPr>
              <w:t>JD8399A</w:t>
            </w:r>
            <w:r>
              <w:rPr>
                <w:rFonts w:hint="eastAsia"/>
                <w:color w:val="000000" w:themeColor="text1"/>
                <w:sz w:val="21"/>
                <w14:textFill>
                  <w14:solidFill>
                    <w14:schemeClr w14:val="tx1"/>
                  </w14:solidFill>
                </w14:textFill>
              </w:rPr>
              <w:t>和JD8664A 2口注水井注入层与地下水饮用水层隔离性好，井身结构合理、井筒完整，套管封隔性好，固井质量合格</w:t>
            </w:r>
          </w:p>
        </w:tc>
        <w:tc>
          <w:tcPr>
            <w:tcW w:w="485" w:type="pct"/>
            <w:tcMar>
              <w:left w:w="0" w:type="dxa"/>
              <w:right w:w="0" w:type="dxa"/>
            </w:tcMar>
            <w:vAlign w:val="center"/>
          </w:tcPr>
          <w:p w14:paraId="694CCE7E">
            <w:pPr>
              <w:pStyle w:val="62"/>
              <w:adjustRightInd w:val="0"/>
              <w:snapToGrid w:val="0"/>
              <w:spacing w:line="300" w:lineRule="exact"/>
              <w:rPr>
                <w:rFonts w:hint="eastAsia"/>
                <w:color w:val="000000" w:themeColor="text1"/>
                <w:sz w:val="21"/>
                <w:lang w:bidi="ar"/>
                <w14:textFill>
                  <w14:solidFill>
                    <w14:schemeClr w14:val="tx1"/>
                  </w14:solidFill>
                </w14:textFill>
              </w:rPr>
            </w:pPr>
            <w:r>
              <w:rPr>
                <w:rFonts w:hint="eastAsia"/>
                <w:color w:val="000000" w:themeColor="text1"/>
                <w:sz w:val="21"/>
                <w:lang w:bidi="ar"/>
                <w14:textFill>
                  <w14:solidFill>
                    <w14:schemeClr w14:val="tx1"/>
                  </w14:solidFill>
                </w14:textFill>
              </w:rPr>
              <w:t>符合</w:t>
            </w:r>
          </w:p>
        </w:tc>
      </w:tr>
      <w:tr w14:paraId="18A74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29" w:type="pct"/>
            <w:tcMar>
              <w:left w:w="0" w:type="dxa"/>
              <w:right w:w="0" w:type="dxa"/>
            </w:tcMar>
            <w:vAlign w:val="center"/>
          </w:tcPr>
          <w:p w14:paraId="6EEEFC0D">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油气井转注</w:t>
            </w:r>
          </w:p>
        </w:tc>
        <w:tc>
          <w:tcPr>
            <w:tcW w:w="2540" w:type="pct"/>
            <w:vAlign w:val="center"/>
          </w:tcPr>
          <w:p w14:paraId="614873AF">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选择现役或退役油气</w:t>
            </w:r>
            <w:r>
              <w:rPr>
                <w:rFonts w:hint="eastAsia"/>
                <w:color w:val="000000" w:themeColor="text1"/>
                <w:sz w:val="21"/>
                <w:lang w:val="en-US" w:eastAsia="zh-CN"/>
                <w14:textFill>
                  <w14:solidFill>
                    <w14:schemeClr w14:val="tx1"/>
                  </w14:solidFill>
                </w14:textFill>
              </w:rPr>
              <w:t>井</w:t>
            </w:r>
            <w:r>
              <w:rPr>
                <w:rFonts w:hint="eastAsia"/>
                <w:color w:val="000000" w:themeColor="text1"/>
                <w:sz w:val="21"/>
                <w14:textFill>
                  <w14:solidFill>
                    <w14:schemeClr w14:val="tx1"/>
                  </w14:solidFill>
                </w14:textFill>
              </w:rPr>
              <w:t>作为注水井，应依据9.2对油气井进行完整性检测，检测满足要求后方可转为注水井进行注入，如不能满足要求，修井合格后才能转为注水井注入。</w:t>
            </w:r>
          </w:p>
        </w:tc>
        <w:tc>
          <w:tcPr>
            <w:tcW w:w="1645" w:type="pct"/>
            <w:tcMar>
              <w:left w:w="0" w:type="dxa"/>
              <w:right w:w="0" w:type="dxa"/>
            </w:tcMar>
            <w:vAlign w:val="center"/>
          </w:tcPr>
          <w:p w14:paraId="338AEF3F">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本项目不涉及采油井转注水井</w:t>
            </w:r>
          </w:p>
        </w:tc>
        <w:tc>
          <w:tcPr>
            <w:tcW w:w="485" w:type="pct"/>
            <w:tcMar>
              <w:left w:w="0" w:type="dxa"/>
              <w:right w:w="0" w:type="dxa"/>
            </w:tcMar>
            <w:vAlign w:val="center"/>
          </w:tcPr>
          <w:p w14:paraId="74090239">
            <w:pPr>
              <w:pStyle w:val="62"/>
              <w:adjustRightInd w:val="0"/>
              <w:snapToGrid w:val="0"/>
              <w:spacing w:line="300" w:lineRule="exact"/>
              <w:rPr>
                <w:rFonts w:hint="eastAsia"/>
                <w:color w:val="000000" w:themeColor="text1"/>
                <w:sz w:val="21"/>
                <w:lang w:bidi="ar"/>
                <w14:textFill>
                  <w14:solidFill>
                    <w14:schemeClr w14:val="tx1"/>
                  </w14:solidFill>
                </w14:textFill>
              </w:rPr>
            </w:pPr>
            <w:r>
              <w:rPr>
                <w:rFonts w:hint="eastAsia"/>
                <w:color w:val="000000" w:themeColor="text1"/>
                <w:sz w:val="21"/>
                <w:lang w:bidi="ar"/>
                <w14:textFill>
                  <w14:solidFill>
                    <w14:schemeClr w14:val="tx1"/>
                  </w14:solidFill>
                </w14:textFill>
              </w:rPr>
              <w:t>符合</w:t>
            </w:r>
          </w:p>
        </w:tc>
      </w:tr>
      <w:tr w14:paraId="55DA0B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29" w:type="pct"/>
            <w:tcMar>
              <w:left w:w="0" w:type="dxa"/>
              <w:right w:w="0" w:type="dxa"/>
            </w:tcMar>
            <w:vAlign w:val="center"/>
          </w:tcPr>
          <w:p w14:paraId="3BB53703">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注入层</w:t>
            </w:r>
          </w:p>
        </w:tc>
        <w:tc>
          <w:tcPr>
            <w:tcW w:w="2540" w:type="pct"/>
            <w:vAlign w:val="center"/>
          </w:tcPr>
          <w:p w14:paraId="320C44EF">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注入层应为地质构造封闭地层，优先回注到现役油气藏、枯竭废弃油气藏或不具备工业开采价值的油气藏。注入层应在注入水波及范围内无地表露头或出露点的区域。注入层应在注入水波及范围内无延伸至饮用水层或地表的断层。</w:t>
            </w:r>
          </w:p>
        </w:tc>
        <w:tc>
          <w:tcPr>
            <w:tcW w:w="1645" w:type="pct"/>
            <w:tcMar>
              <w:left w:w="0" w:type="dxa"/>
              <w:right w:w="0" w:type="dxa"/>
            </w:tcMar>
            <w:vAlign w:val="center"/>
          </w:tcPr>
          <w:p w14:paraId="1BBD4C4F">
            <w:pPr>
              <w:pStyle w:val="62"/>
              <w:adjustRightInd w:val="0"/>
              <w:snapToGrid w:val="0"/>
              <w:spacing w:line="300" w:lineRule="exact"/>
              <w:jc w:val="both"/>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注入层为地质构造封闭地层，本项目注水井回注目的层为正在开发的现役油藏；注水波及范围内无地表露头或出露点区域、饮用水层和地表断层。</w:t>
            </w:r>
          </w:p>
        </w:tc>
        <w:tc>
          <w:tcPr>
            <w:tcW w:w="485" w:type="pct"/>
            <w:tcMar>
              <w:left w:w="0" w:type="dxa"/>
              <w:right w:w="0" w:type="dxa"/>
            </w:tcMar>
            <w:vAlign w:val="center"/>
          </w:tcPr>
          <w:p w14:paraId="4825311D">
            <w:pPr>
              <w:pStyle w:val="62"/>
              <w:adjustRightInd w:val="0"/>
              <w:snapToGrid w:val="0"/>
              <w:spacing w:line="300" w:lineRule="exact"/>
              <w:rPr>
                <w:rFonts w:hint="eastAsia"/>
                <w:color w:val="000000" w:themeColor="text1"/>
                <w:sz w:val="21"/>
                <w:lang w:bidi="ar"/>
                <w14:textFill>
                  <w14:solidFill>
                    <w14:schemeClr w14:val="tx1"/>
                  </w14:solidFill>
                </w14:textFill>
              </w:rPr>
            </w:pPr>
            <w:r>
              <w:rPr>
                <w:rFonts w:hint="eastAsia"/>
                <w:color w:val="000000" w:themeColor="text1"/>
                <w:sz w:val="21"/>
                <w:lang w:bidi="ar"/>
                <w14:textFill>
                  <w14:solidFill>
                    <w14:schemeClr w14:val="tx1"/>
                  </w14:solidFill>
                </w14:textFill>
              </w:rPr>
              <w:t>符合</w:t>
            </w:r>
          </w:p>
        </w:tc>
      </w:tr>
      <w:tr w14:paraId="7973C5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29" w:type="pct"/>
            <w:tcMar>
              <w:left w:w="0" w:type="dxa"/>
              <w:right w:w="0" w:type="dxa"/>
            </w:tcMar>
            <w:vAlign w:val="center"/>
          </w:tcPr>
          <w:p w14:paraId="4D029621">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注入前注入层隔离性测试</w:t>
            </w:r>
          </w:p>
        </w:tc>
        <w:tc>
          <w:tcPr>
            <w:tcW w:w="2540" w:type="pct"/>
            <w:vAlign w:val="center"/>
          </w:tcPr>
          <w:p w14:paraId="77465ECE">
            <w:pPr>
              <w:pStyle w:val="120"/>
              <w:adjustRightInd w:val="0"/>
              <w:snapToGrid w:val="0"/>
              <w:spacing w:line="300" w:lineRule="exact"/>
              <w:ind w:firstLine="0" w:firstLineChars="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新建</w:t>
            </w:r>
            <w:bookmarkStart w:id="182" w:name="OLE_LINK145"/>
            <w:r>
              <w:rPr>
                <w:rFonts w:hint="eastAsia"/>
                <w:color w:val="000000" w:themeColor="text1"/>
                <w:sz w:val="21"/>
                <w:szCs w:val="21"/>
                <w14:textFill>
                  <w14:solidFill>
                    <w14:schemeClr w14:val="tx1"/>
                  </w14:solidFill>
                </w14:textFill>
              </w:rPr>
              <w:t>注水井正常注入前应开展试注作业，试注作业中通过测试注水井压力分析注入层隔离性</w:t>
            </w:r>
            <w:bookmarkEnd w:id="182"/>
            <w:r>
              <w:rPr>
                <w:rFonts w:hint="eastAsia"/>
                <w:color w:val="000000" w:themeColor="text1"/>
                <w:sz w:val="21"/>
                <w:szCs w:val="21"/>
                <w14:textFill>
                  <w14:solidFill>
                    <w14:schemeClr w14:val="tx1"/>
                  </w14:solidFill>
                </w14:textFill>
              </w:rPr>
              <w:t>，测试要求如下：a）试注作业过程，注水</w:t>
            </w:r>
            <w:r>
              <w:rPr>
                <w:rFonts w:hint="eastAsia"/>
                <w:color w:val="000000" w:themeColor="text1"/>
                <w:sz w:val="21"/>
                <w:szCs w:val="21"/>
                <w:lang w:val="en-US" w:eastAsia="zh-CN"/>
                <w14:textFill>
                  <w14:solidFill>
                    <w14:schemeClr w14:val="tx1"/>
                  </w14:solidFill>
                </w14:textFill>
              </w:rPr>
              <w:t>井井</w:t>
            </w:r>
            <w:r>
              <w:rPr>
                <w:rFonts w:hint="eastAsia"/>
                <w:color w:val="000000" w:themeColor="text1"/>
                <w:sz w:val="21"/>
                <w:szCs w:val="21"/>
                <w14:textFill>
                  <w14:solidFill>
                    <w14:schemeClr w14:val="tx1"/>
                  </w14:solidFill>
                </w14:textFill>
              </w:rPr>
              <w:t>底流压应大于日常注入注水井井底流压且小于注入层地层破裂压力，且压力保持时间应大于或等于30min；b）油管压力损失应小于或等于10%。日常注入过程，注水井井底压力应不高于注入层地层破裂压力90%，当高于注入层地层破裂压力90%时，应立即停注，在采取合适的降压措施、满足注水压力要求后，可重新注入。</w:t>
            </w:r>
          </w:p>
        </w:tc>
        <w:tc>
          <w:tcPr>
            <w:tcW w:w="1645" w:type="pct"/>
            <w:tcMar>
              <w:left w:w="0" w:type="dxa"/>
              <w:right w:w="0" w:type="dxa"/>
            </w:tcMar>
            <w:vAlign w:val="center"/>
          </w:tcPr>
          <w:p w14:paraId="61AFF779">
            <w:pPr>
              <w:pStyle w:val="62"/>
              <w:adjustRightInd w:val="0"/>
              <w:snapToGrid w:val="0"/>
              <w:spacing w:line="300" w:lineRule="exact"/>
              <w:jc w:val="both"/>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注水井正常注入前开展试注作业，试注作业中通过测试注水井压力分析注入层隔离性。</w:t>
            </w:r>
          </w:p>
        </w:tc>
        <w:tc>
          <w:tcPr>
            <w:tcW w:w="485" w:type="pct"/>
            <w:tcMar>
              <w:left w:w="0" w:type="dxa"/>
              <w:right w:w="0" w:type="dxa"/>
            </w:tcMar>
            <w:vAlign w:val="center"/>
          </w:tcPr>
          <w:p w14:paraId="36B5D9DD">
            <w:pPr>
              <w:pStyle w:val="62"/>
              <w:adjustRightInd w:val="0"/>
              <w:snapToGrid w:val="0"/>
              <w:spacing w:line="300" w:lineRule="exact"/>
              <w:rPr>
                <w:rFonts w:hint="eastAsia"/>
                <w:color w:val="000000" w:themeColor="text1"/>
                <w:sz w:val="21"/>
                <w:lang w:bidi="ar"/>
                <w14:textFill>
                  <w14:solidFill>
                    <w14:schemeClr w14:val="tx1"/>
                  </w14:solidFill>
                </w14:textFill>
              </w:rPr>
            </w:pPr>
            <w:r>
              <w:rPr>
                <w:rFonts w:hint="eastAsia"/>
                <w:color w:val="000000" w:themeColor="text1"/>
                <w:sz w:val="21"/>
                <w:lang w:bidi="ar"/>
                <w14:textFill>
                  <w14:solidFill>
                    <w14:schemeClr w14:val="tx1"/>
                  </w14:solidFill>
                </w14:textFill>
              </w:rPr>
              <w:t>符合</w:t>
            </w:r>
          </w:p>
        </w:tc>
      </w:tr>
      <w:tr w14:paraId="467EA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29" w:type="pct"/>
            <w:tcMar>
              <w:left w:w="0" w:type="dxa"/>
              <w:right w:w="0" w:type="dxa"/>
            </w:tcMar>
            <w:vAlign w:val="center"/>
          </w:tcPr>
          <w:p w14:paraId="70721CB8">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采出水地下注入水质</w:t>
            </w:r>
          </w:p>
        </w:tc>
        <w:tc>
          <w:tcPr>
            <w:tcW w:w="2540" w:type="pct"/>
            <w:vAlign w:val="center"/>
          </w:tcPr>
          <w:p w14:paraId="64C4A63E">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水质应对注水设备和井下油套管腐蚀性小，不发生井筒和地层严重结垢、堵塞。水质主要控制要求为平均腐蚀速率应小于或等于0.076mm/a。</w:t>
            </w:r>
          </w:p>
        </w:tc>
        <w:tc>
          <w:tcPr>
            <w:tcW w:w="1645" w:type="pct"/>
            <w:tcMar>
              <w:left w:w="0" w:type="dxa"/>
              <w:right w:w="0" w:type="dxa"/>
            </w:tcMar>
            <w:vAlign w:val="center"/>
          </w:tcPr>
          <w:p w14:paraId="672A8BD6">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注水水质须满足《碎屑岩油藏注水水质指标技术要求及分析方法》（SY/T5329-2022）Ⅲ级标准要求，要求注水水质平均腐蚀速率小于或等于0.076mm/a。</w:t>
            </w:r>
          </w:p>
        </w:tc>
        <w:tc>
          <w:tcPr>
            <w:tcW w:w="485" w:type="pct"/>
            <w:tcMar>
              <w:left w:w="0" w:type="dxa"/>
              <w:right w:w="0" w:type="dxa"/>
            </w:tcMar>
            <w:vAlign w:val="center"/>
          </w:tcPr>
          <w:p w14:paraId="66437F7C">
            <w:pPr>
              <w:pStyle w:val="62"/>
              <w:adjustRightInd w:val="0"/>
              <w:snapToGrid w:val="0"/>
              <w:spacing w:line="300" w:lineRule="exact"/>
              <w:rPr>
                <w:rFonts w:hint="eastAsia"/>
                <w:color w:val="000000" w:themeColor="text1"/>
                <w:sz w:val="21"/>
                <w:lang w:bidi="ar"/>
                <w14:textFill>
                  <w14:solidFill>
                    <w14:schemeClr w14:val="tx1"/>
                  </w14:solidFill>
                </w14:textFill>
              </w:rPr>
            </w:pPr>
            <w:r>
              <w:rPr>
                <w:rFonts w:hint="eastAsia"/>
                <w:color w:val="000000" w:themeColor="text1"/>
                <w:sz w:val="21"/>
                <w:lang w:bidi="ar"/>
                <w14:textFill>
                  <w14:solidFill>
                    <w14:schemeClr w14:val="tx1"/>
                  </w14:solidFill>
                </w14:textFill>
              </w:rPr>
              <w:t>符合</w:t>
            </w:r>
          </w:p>
        </w:tc>
      </w:tr>
      <w:tr w14:paraId="1822D2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29" w:type="pct"/>
            <w:tcMar>
              <w:left w:w="0" w:type="dxa"/>
              <w:right w:w="0" w:type="dxa"/>
            </w:tcMar>
            <w:vAlign w:val="center"/>
          </w:tcPr>
          <w:p w14:paraId="3C476B9A">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运行监测</w:t>
            </w:r>
          </w:p>
        </w:tc>
        <w:tc>
          <w:tcPr>
            <w:tcW w:w="2540" w:type="pct"/>
            <w:vAlign w:val="center"/>
          </w:tcPr>
          <w:p w14:paraId="1AF7D22F">
            <w:pPr>
              <w:pStyle w:val="120"/>
              <w:adjustRightInd w:val="0"/>
              <w:snapToGrid w:val="0"/>
              <w:spacing w:line="300" w:lineRule="exact"/>
              <w:ind w:firstLine="0" w:firstLineChars="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应每日监测和录取注水井日注水量、累计注水量、油管压力、套管压力等资料并建立台账。套管腐蚀、水泥环状况检测、井筒完整性检测依据HJ349执行。</w:t>
            </w:r>
          </w:p>
        </w:tc>
        <w:tc>
          <w:tcPr>
            <w:tcW w:w="1645" w:type="pct"/>
            <w:tcMar>
              <w:left w:w="0" w:type="dxa"/>
              <w:right w:w="0" w:type="dxa"/>
            </w:tcMar>
            <w:vAlign w:val="center"/>
          </w:tcPr>
          <w:p w14:paraId="30470362">
            <w:pPr>
              <w:pStyle w:val="62"/>
              <w:adjustRightInd w:val="0"/>
              <w:snapToGrid w:val="0"/>
              <w:spacing w:line="300" w:lineRule="exact"/>
              <w:jc w:val="both"/>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运营期应每日监测和录取注水井日注水量、累计注水量、油管压力、套管压力等资料并建立台账。套管腐蚀、水泥环状况检测、井筒完整性检测依据《环境影响评价技术导则 陆地石油天然气开发建设项目》（HJ349-2023）执行。</w:t>
            </w:r>
          </w:p>
        </w:tc>
        <w:tc>
          <w:tcPr>
            <w:tcW w:w="485" w:type="pct"/>
            <w:tcMar>
              <w:left w:w="0" w:type="dxa"/>
              <w:right w:w="0" w:type="dxa"/>
            </w:tcMar>
            <w:vAlign w:val="center"/>
          </w:tcPr>
          <w:p w14:paraId="2F5983D2">
            <w:pPr>
              <w:pStyle w:val="62"/>
              <w:adjustRightInd w:val="0"/>
              <w:snapToGrid w:val="0"/>
              <w:spacing w:line="300" w:lineRule="exact"/>
              <w:rPr>
                <w:rFonts w:hint="eastAsia"/>
                <w:color w:val="000000" w:themeColor="text1"/>
                <w:sz w:val="21"/>
                <w:lang w:bidi="ar"/>
                <w14:textFill>
                  <w14:solidFill>
                    <w14:schemeClr w14:val="tx1"/>
                  </w14:solidFill>
                </w14:textFill>
              </w:rPr>
            </w:pPr>
            <w:r>
              <w:rPr>
                <w:rFonts w:hint="eastAsia"/>
                <w:color w:val="000000" w:themeColor="text1"/>
                <w:sz w:val="21"/>
                <w:lang w:bidi="ar"/>
                <w14:textFill>
                  <w14:solidFill>
                    <w14:schemeClr w14:val="tx1"/>
                  </w14:solidFill>
                </w14:textFill>
              </w:rPr>
              <w:t>符合</w:t>
            </w:r>
          </w:p>
        </w:tc>
      </w:tr>
      <w:tr w14:paraId="7BE5B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29" w:type="pct"/>
            <w:tcMar>
              <w:left w:w="0" w:type="dxa"/>
              <w:right w:w="0" w:type="dxa"/>
            </w:tcMar>
            <w:vAlign w:val="center"/>
          </w:tcPr>
          <w:p w14:paraId="0FA7AFA9">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异常处置</w:t>
            </w:r>
          </w:p>
        </w:tc>
        <w:tc>
          <w:tcPr>
            <w:tcW w:w="2540" w:type="pct"/>
            <w:vAlign w:val="center"/>
          </w:tcPr>
          <w:p w14:paraId="2F0A9DC5">
            <w:pPr>
              <w:pStyle w:val="120"/>
              <w:adjustRightInd w:val="0"/>
              <w:snapToGrid w:val="0"/>
              <w:spacing w:line="300" w:lineRule="exact"/>
              <w:ind w:firstLine="0" w:firstLineChars="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当注水井油管压力、套管压力和注水量发生突变时，应立即停注，分析突变原因，采取处置措施，满足注入要求后方可重新注入。注水井套管泄漏或固</w:t>
            </w:r>
            <w:r>
              <w:rPr>
                <w:rFonts w:hint="eastAsia"/>
                <w:color w:val="000000" w:themeColor="text1"/>
                <w:sz w:val="21"/>
                <w:szCs w:val="21"/>
                <w:lang w:val="en-US" w:eastAsia="zh-CN"/>
                <w14:textFill>
                  <w14:solidFill>
                    <w14:schemeClr w14:val="tx1"/>
                  </w14:solidFill>
                </w14:textFill>
              </w:rPr>
              <w:t>井</w:t>
            </w:r>
            <w:r>
              <w:rPr>
                <w:rFonts w:hint="eastAsia"/>
                <w:color w:val="000000" w:themeColor="text1"/>
                <w:sz w:val="21"/>
                <w:szCs w:val="21"/>
                <w14:textFill>
                  <w14:solidFill>
                    <w14:schemeClr w14:val="tx1"/>
                  </w14:solidFill>
                </w14:textFill>
              </w:rPr>
              <w:t>水泥环损坏井，应立即停注，并采取处置措施，修复合格后方可重新注入。并进行井筒完整性检测，检测合格后可重新注入。</w:t>
            </w:r>
          </w:p>
        </w:tc>
        <w:tc>
          <w:tcPr>
            <w:tcW w:w="1645" w:type="pct"/>
            <w:tcMar>
              <w:left w:w="0" w:type="dxa"/>
              <w:right w:w="0" w:type="dxa"/>
            </w:tcMar>
            <w:vAlign w:val="center"/>
          </w:tcPr>
          <w:p w14:paraId="45534AF5">
            <w:pPr>
              <w:pStyle w:val="62"/>
              <w:adjustRightInd w:val="0"/>
              <w:snapToGrid w:val="0"/>
              <w:spacing w:line="300" w:lineRule="exact"/>
              <w:jc w:val="both"/>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当注水井油管压力、套管压力和注水量发生突变时，应立即停注，分析突变原因，采取处置措施，满足注入要求后方可重新注入。注水井套管泄漏或固</w:t>
            </w:r>
            <w:r>
              <w:rPr>
                <w:rFonts w:hint="eastAsia"/>
                <w:color w:val="000000" w:themeColor="text1"/>
                <w:sz w:val="21"/>
                <w:lang w:val="en-US" w:eastAsia="zh-CN"/>
                <w14:textFill>
                  <w14:solidFill>
                    <w14:schemeClr w14:val="tx1"/>
                  </w14:solidFill>
                </w14:textFill>
              </w:rPr>
              <w:t>井</w:t>
            </w:r>
            <w:r>
              <w:rPr>
                <w:rFonts w:hint="eastAsia"/>
                <w:color w:val="000000" w:themeColor="text1"/>
                <w:sz w:val="21"/>
                <w14:textFill>
                  <w14:solidFill>
                    <w14:schemeClr w14:val="tx1"/>
                  </w14:solidFill>
                </w14:textFill>
              </w:rPr>
              <w:t>水泥环损坏井，应立即停注，并采取处置措施，修复合格后方可重新注入。并进行井筒完整性检测，检测合格后可重新注入。</w:t>
            </w:r>
          </w:p>
        </w:tc>
        <w:tc>
          <w:tcPr>
            <w:tcW w:w="485" w:type="pct"/>
            <w:tcMar>
              <w:left w:w="0" w:type="dxa"/>
              <w:right w:w="0" w:type="dxa"/>
            </w:tcMar>
            <w:vAlign w:val="center"/>
          </w:tcPr>
          <w:p w14:paraId="276F8248">
            <w:pPr>
              <w:pStyle w:val="62"/>
              <w:adjustRightInd w:val="0"/>
              <w:snapToGrid w:val="0"/>
              <w:spacing w:line="300" w:lineRule="exact"/>
              <w:rPr>
                <w:rFonts w:hint="eastAsia"/>
                <w:color w:val="000000" w:themeColor="text1"/>
                <w:sz w:val="21"/>
                <w:lang w:bidi="ar"/>
                <w14:textFill>
                  <w14:solidFill>
                    <w14:schemeClr w14:val="tx1"/>
                  </w14:solidFill>
                </w14:textFill>
              </w:rPr>
            </w:pPr>
            <w:r>
              <w:rPr>
                <w:rFonts w:hint="eastAsia"/>
                <w:color w:val="000000" w:themeColor="text1"/>
                <w:sz w:val="21"/>
                <w:lang w:bidi="ar"/>
                <w14:textFill>
                  <w14:solidFill>
                    <w14:schemeClr w14:val="tx1"/>
                  </w14:solidFill>
                </w14:textFill>
              </w:rPr>
              <w:t>符合</w:t>
            </w:r>
          </w:p>
        </w:tc>
      </w:tr>
      <w:tr w14:paraId="41636D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29" w:type="pct"/>
            <w:tcMar>
              <w:left w:w="0" w:type="dxa"/>
              <w:right w:w="0" w:type="dxa"/>
            </w:tcMar>
            <w:vAlign w:val="center"/>
          </w:tcPr>
          <w:p w14:paraId="2695BBE1">
            <w:pPr>
              <w:pStyle w:val="62"/>
              <w:adjustRightInd w:val="0"/>
              <w:snapToGrid w:val="0"/>
              <w:spacing w:line="300" w:lineRule="exact"/>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弃置与长停</w:t>
            </w:r>
          </w:p>
        </w:tc>
        <w:tc>
          <w:tcPr>
            <w:tcW w:w="2540" w:type="pct"/>
            <w:vAlign w:val="center"/>
          </w:tcPr>
          <w:p w14:paraId="5955805A">
            <w:pPr>
              <w:pStyle w:val="120"/>
              <w:adjustRightInd w:val="0"/>
              <w:snapToGrid w:val="0"/>
              <w:spacing w:line="300" w:lineRule="exact"/>
              <w:ind w:firstLine="0" w:firstLineChars="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套管和固井水泥环损坏无法修复，以及隔离性失效的注水井应立即封井、弃置。弃置与长停作业执行SY/T6646。</w:t>
            </w:r>
          </w:p>
        </w:tc>
        <w:tc>
          <w:tcPr>
            <w:tcW w:w="1645" w:type="pct"/>
            <w:tcMar>
              <w:left w:w="0" w:type="dxa"/>
              <w:right w:w="0" w:type="dxa"/>
            </w:tcMar>
            <w:vAlign w:val="center"/>
          </w:tcPr>
          <w:p w14:paraId="4029DFD3">
            <w:pPr>
              <w:pStyle w:val="62"/>
              <w:adjustRightInd w:val="0"/>
              <w:snapToGrid w:val="0"/>
              <w:spacing w:line="300" w:lineRule="exact"/>
              <w:jc w:val="both"/>
              <w:rPr>
                <w:rFonts w:hint="eastAsia"/>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套管和固井水泥环损坏无法修复，以及隔离性失效的注水井应立即封井、弃置，退役期按照《废弃井及长停井处置指南》</w:t>
            </w:r>
            <w:r>
              <w:rPr>
                <w:rFonts w:hint="eastAsia"/>
                <w:color w:val="000000" w:themeColor="text1"/>
                <w:sz w:val="21"/>
                <w:lang w:eastAsia="zh-CN"/>
                <w14:textFill>
                  <w14:solidFill>
                    <w14:schemeClr w14:val="tx1"/>
                  </w14:solidFill>
                </w14:textFill>
              </w:rPr>
              <w:t>（</w:t>
            </w:r>
            <w:r>
              <w:rPr>
                <w:rFonts w:hint="eastAsia"/>
                <w:color w:val="000000" w:themeColor="text1"/>
                <w:sz w:val="21"/>
                <w14:textFill>
                  <w14:solidFill>
                    <w14:schemeClr w14:val="tx1"/>
                  </w14:solidFill>
                </w14:textFill>
              </w:rPr>
              <w:t>SY/T6646</w:t>
            </w:r>
            <w:r>
              <w:rPr>
                <w:rFonts w:hint="eastAsia"/>
                <w:color w:val="000000" w:themeColor="text1"/>
                <w:sz w:val="21"/>
                <w:lang w:eastAsia="zh-CN"/>
                <w14:textFill>
                  <w14:solidFill>
                    <w14:schemeClr w14:val="tx1"/>
                  </w14:solidFill>
                </w14:textFill>
              </w:rPr>
              <w:t>）</w:t>
            </w:r>
            <w:r>
              <w:rPr>
                <w:rFonts w:hint="eastAsia"/>
                <w:color w:val="000000" w:themeColor="text1"/>
                <w:sz w:val="21"/>
                <w14:textFill>
                  <w14:solidFill>
                    <w14:schemeClr w14:val="tx1"/>
                  </w14:solidFill>
                </w14:textFill>
              </w:rPr>
              <w:t>执行</w:t>
            </w:r>
          </w:p>
        </w:tc>
        <w:tc>
          <w:tcPr>
            <w:tcW w:w="485" w:type="pct"/>
            <w:tcMar>
              <w:left w:w="0" w:type="dxa"/>
              <w:right w:w="0" w:type="dxa"/>
            </w:tcMar>
            <w:vAlign w:val="center"/>
          </w:tcPr>
          <w:p w14:paraId="217C8768">
            <w:pPr>
              <w:pStyle w:val="62"/>
              <w:adjustRightInd w:val="0"/>
              <w:snapToGrid w:val="0"/>
              <w:spacing w:line="300" w:lineRule="exact"/>
              <w:rPr>
                <w:rFonts w:hint="eastAsia"/>
                <w:color w:val="000000" w:themeColor="text1"/>
                <w:sz w:val="21"/>
                <w:lang w:bidi="ar"/>
                <w14:textFill>
                  <w14:solidFill>
                    <w14:schemeClr w14:val="tx1"/>
                  </w14:solidFill>
                </w14:textFill>
              </w:rPr>
            </w:pPr>
            <w:r>
              <w:rPr>
                <w:rFonts w:hint="eastAsia"/>
                <w:color w:val="000000" w:themeColor="text1"/>
                <w:sz w:val="21"/>
                <w:lang w:bidi="ar"/>
                <w14:textFill>
                  <w14:solidFill>
                    <w14:schemeClr w14:val="tx1"/>
                  </w14:solidFill>
                </w14:textFill>
              </w:rPr>
              <w:t>符合</w:t>
            </w:r>
          </w:p>
        </w:tc>
      </w:tr>
    </w:tbl>
    <w:p w14:paraId="404C9537">
      <w:pPr>
        <w:pStyle w:val="120"/>
        <w:bidi w:val="0"/>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与</w:t>
      </w:r>
      <w:r>
        <w:rPr>
          <w:rFonts w:hint="eastAsia"/>
          <w:color w:val="000000" w:themeColor="text1"/>
          <w:lang w:eastAsia="zh-CN"/>
          <w14:textFill>
            <w14:solidFill>
              <w14:schemeClr w14:val="tx1"/>
            </w14:solidFill>
          </w14:textFill>
        </w:rPr>
        <w:t>《国务院办公厅关于坚决制止耕地“非农化”行为的通知》（国办发明电〔2020〕24号）相符性分析</w:t>
      </w:r>
    </w:p>
    <w:p w14:paraId="1ACEDCBE">
      <w:pPr>
        <w:pStyle w:val="120"/>
        <w:ind w:firstLine="480"/>
        <w:rPr>
          <w:rFonts w:hint="default" w:cs="宋体"/>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《国务院办公厅关于坚决制止耕地“非农化”行为的通知》</w:t>
      </w:r>
      <w:r>
        <w:rPr>
          <w:rFonts w:hint="eastAsia"/>
          <w:color w:val="000000" w:themeColor="text1"/>
          <w:lang w:eastAsia="zh-CN"/>
          <w14:textFill>
            <w14:solidFill>
              <w14:schemeClr w14:val="tx1"/>
            </w14:solidFill>
          </w14:textFill>
        </w:rPr>
        <w:t>（国办发明电〔2020〕24号）</w:t>
      </w:r>
      <w:r>
        <w:rPr>
          <w:rFonts w:hint="eastAsia"/>
          <w:color w:val="000000" w:themeColor="text1"/>
          <w:lang w:val="en-US" w:eastAsia="zh-CN"/>
          <w14:textFill>
            <w14:solidFill>
              <w14:schemeClr w14:val="tx1"/>
            </w14:solidFill>
          </w14:textFill>
        </w:rPr>
        <w:t>中规定：“五、严禁违规占用耕地从事非农建设。加强农村地区建设用地审批和乡村建设规划许可管理，坚持农地农用。不得违反规划搞非农建设、乱占耕地建房等。巩固‘大棚房’问题清理整治成果，强化农业设施用地监管。加强耕地利用情况监测，对乱占耕地从事非农建设及时预警，构建早发现、早制止、严查处的常态化监管机制”。</w:t>
      </w:r>
    </w:p>
    <w:p w14:paraId="728F297C">
      <w:pPr>
        <w:pStyle w:val="120"/>
        <w:ind w:firstLine="480"/>
        <w:rPr>
          <w:rFonts w:hint="eastAsia" w:ascii="黑体" w:hAnsi="黑体" w:eastAsia="黑体" w:cs="宋体"/>
          <w:color w:val="000000" w:themeColor="text1"/>
          <w:sz w:val="21"/>
          <w:szCs w:val="21"/>
          <w14:textFill>
            <w14:solidFill>
              <w14:schemeClr w14:val="tx1"/>
            </w14:solidFill>
          </w14:textFill>
        </w:rPr>
      </w:pPr>
      <w:r>
        <w:rPr>
          <w:rFonts w:hint="eastAsia" w:cs="宋体"/>
          <w:color w:val="000000" w:themeColor="text1"/>
          <w:lang w:val="en-US" w:eastAsia="zh-CN"/>
          <w14:textFill>
            <w14:solidFill>
              <w14:schemeClr w14:val="tx1"/>
            </w14:solidFill>
          </w14:textFill>
        </w:rPr>
        <w:t>本项目不占用耕地，占地类型为天然牧草地、其他园地和采矿用地，</w:t>
      </w:r>
      <w:r>
        <w:rPr>
          <w:rFonts w:hint="eastAsia" w:cs="宋体"/>
          <w:color w:val="000000" w:themeColor="text1"/>
          <w14:textFill>
            <w14:solidFill>
              <w14:schemeClr w14:val="tx1"/>
            </w14:solidFill>
          </w14:textFill>
        </w:rPr>
        <w:t>项目建设符合</w:t>
      </w:r>
      <w:r>
        <w:rPr>
          <w:rFonts w:hint="eastAsia"/>
          <w:color w:val="000000" w:themeColor="text1"/>
          <w:lang w:val="en-US" w:eastAsia="zh-CN"/>
          <w14:textFill>
            <w14:solidFill>
              <w14:schemeClr w14:val="tx1"/>
            </w14:solidFill>
          </w14:textFill>
        </w:rPr>
        <w:t>《国务院办公厅关于坚决制止耕地“非农化”行为的通知》</w:t>
      </w:r>
      <w:r>
        <w:rPr>
          <w:rFonts w:hint="eastAsia"/>
          <w:color w:val="000000" w:themeColor="text1"/>
          <w:lang w:eastAsia="zh-CN"/>
          <w14:textFill>
            <w14:solidFill>
              <w14:schemeClr w14:val="tx1"/>
            </w14:solidFill>
          </w14:textFill>
        </w:rPr>
        <w:t>（国办发明电〔2020〕24号）</w:t>
      </w:r>
      <w:r>
        <w:rPr>
          <w:rFonts w:hint="eastAsia"/>
          <w:color w:val="000000" w:themeColor="text1"/>
          <w:lang w:val="en-US" w:eastAsia="zh-CN"/>
          <w14:textFill>
            <w14:solidFill>
              <w14:schemeClr w14:val="tx1"/>
            </w14:solidFill>
          </w14:textFill>
        </w:rPr>
        <w:t>的</w:t>
      </w:r>
      <w:r>
        <w:rPr>
          <w:rFonts w:hint="eastAsia" w:cs="宋体"/>
          <w:color w:val="000000" w:themeColor="text1"/>
          <w14:textFill>
            <w14:solidFill>
              <w14:schemeClr w14:val="tx1"/>
            </w14:solidFill>
          </w14:textFill>
        </w:rPr>
        <w:t>要求。</w:t>
      </w:r>
    </w:p>
    <w:p w14:paraId="655DC0B5">
      <w:pPr>
        <w:pStyle w:val="46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（11）与《关于印发昌吉州坚决遏制耕地“非农化”专项行动工作方案的通知》</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昌州政办发</w:t>
      </w:r>
      <w:r>
        <w:rPr>
          <w:rFonts w:hint="eastAsia"/>
          <w:color w:val="000000" w:themeColor="text1"/>
          <w:lang w:eastAsia="zh-CN"/>
          <w14:textFill>
            <w14:solidFill>
              <w14:schemeClr w14:val="tx1"/>
            </w14:solidFill>
          </w14:textFill>
        </w:rPr>
        <w:t>〔20</w:t>
      </w:r>
      <w:r>
        <w:rPr>
          <w:rFonts w:hint="eastAsia"/>
          <w:color w:val="000000" w:themeColor="text1"/>
          <w:lang w:val="en-US" w:eastAsia="zh-CN"/>
          <w14:textFill>
            <w14:solidFill>
              <w14:schemeClr w14:val="tx1"/>
            </w14:solidFill>
          </w14:textFill>
        </w:rPr>
        <w:t>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46</w:t>
      </w:r>
      <w:r>
        <w:rPr>
          <w:rFonts w:hint="eastAsia"/>
          <w:color w:val="000000" w:themeColor="text1"/>
          <w:lang w:eastAsia="zh-CN"/>
          <w14:textFill>
            <w14:solidFill>
              <w14:schemeClr w14:val="tx1"/>
            </w14:solidFill>
          </w14:textFill>
        </w:rPr>
        <w:t>号）</w:t>
      </w:r>
      <w:r>
        <w:rPr>
          <w:rFonts w:hint="eastAsia"/>
          <w:color w:val="000000" w:themeColor="text1"/>
          <w:lang w:val="en-US" w:eastAsia="zh-CN"/>
          <w14:textFill>
            <w14:solidFill>
              <w14:schemeClr w14:val="tx1"/>
            </w14:solidFill>
          </w14:textFill>
        </w:rPr>
        <w:t>的符合性分析</w:t>
      </w:r>
    </w:p>
    <w:p w14:paraId="1714F392">
      <w:pPr>
        <w:pStyle w:val="46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《关于印发昌吉州坚决遏制耕地“非农化”专项行动工作方案的通知》</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昌州政办发</w:t>
      </w:r>
      <w:r>
        <w:rPr>
          <w:rFonts w:hint="eastAsia"/>
          <w:color w:val="000000" w:themeColor="text1"/>
          <w:lang w:eastAsia="zh-CN"/>
          <w14:textFill>
            <w14:solidFill>
              <w14:schemeClr w14:val="tx1"/>
            </w14:solidFill>
          </w14:textFill>
        </w:rPr>
        <w:t>〔20</w:t>
      </w:r>
      <w:r>
        <w:rPr>
          <w:rFonts w:hint="eastAsia"/>
          <w:color w:val="000000" w:themeColor="text1"/>
          <w:lang w:val="en-US" w:eastAsia="zh-CN"/>
          <w14:textFill>
            <w14:solidFill>
              <w14:schemeClr w14:val="tx1"/>
            </w14:solidFill>
          </w14:textFill>
        </w:rPr>
        <w:t>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46</w:t>
      </w:r>
      <w:r>
        <w:rPr>
          <w:rFonts w:hint="eastAsia"/>
          <w:color w:val="000000" w:themeColor="text1"/>
          <w:lang w:eastAsia="zh-CN"/>
          <w14:textFill>
            <w14:solidFill>
              <w14:schemeClr w14:val="tx1"/>
            </w14:solidFill>
          </w14:textFill>
        </w:rPr>
        <w:t>号）</w:t>
      </w:r>
      <w:r>
        <w:rPr>
          <w:rFonts w:hint="eastAsia"/>
          <w:color w:val="000000" w:themeColor="text1"/>
          <w:lang w:val="en-US" w:eastAsia="zh-CN"/>
          <w14:textFill>
            <w14:solidFill>
              <w14:schemeClr w14:val="tx1"/>
            </w14:solidFill>
          </w14:textFill>
        </w:rPr>
        <w:t>中规定：“坚决遏制耕地‘非农化’，切实落实最严格的耕地保护制度，严防死守耕地保护红线”。</w:t>
      </w:r>
    </w:p>
    <w:p w14:paraId="755D3D15">
      <w:pPr>
        <w:pStyle w:val="462"/>
        <w:rPr>
          <w:rFonts w:hint="default"/>
          <w:color w:val="000000" w:themeColor="text1"/>
          <w:lang w:val="en-US" w:eastAsia="zh-CN"/>
          <w14:textFill>
            <w14:solidFill>
              <w14:schemeClr w14:val="tx1"/>
            </w14:solidFill>
          </w14:textFill>
        </w:rPr>
        <w:sectPr>
          <w:pgSz w:w="11907" w:h="16840"/>
          <w:pgMar w:top="1418" w:right="1588" w:bottom="1418" w:left="1588" w:header="1020" w:footer="1020" w:gutter="0"/>
          <w:cols w:space="720" w:num="1"/>
          <w:docGrid w:type="linesAndChars" w:linePitch="312" w:charSpace="0"/>
        </w:sectPr>
      </w:pPr>
      <w:r>
        <w:rPr>
          <w:rFonts w:hint="eastAsia" w:cs="宋体"/>
          <w:color w:val="000000" w:themeColor="text1"/>
          <w:lang w:val="en-US" w:eastAsia="zh-CN"/>
          <w14:textFill>
            <w14:solidFill>
              <w14:schemeClr w14:val="tx1"/>
            </w14:solidFill>
          </w14:textFill>
        </w:rPr>
        <w:t>本项目不占用耕地，占地类型为天然牧草地、其他园地和采矿用地，</w:t>
      </w:r>
      <w:r>
        <w:rPr>
          <w:rFonts w:hint="eastAsia" w:cs="宋体"/>
          <w:color w:val="000000" w:themeColor="text1"/>
          <w14:textFill>
            <w14:solidFill>
              <w14:schemeClr w14:val="tx1"/>
            </w14:solidFill>
          </w14:textFill>
        </w:rPr>
        <w:t>项目建设符合</w:t>
      </w:r>
      <w:r>
        <w:rPr>
          <w:rFonts w:hint="eastAsia"/>
          <w:color w:val="000000" w:themeColor="text1"/>
          <w:lang w:val="en-US" w:eastAsia="zh-CN"/>
          <w14:textFill>
            <w14:solidFill>
              <w14:schemeClr w14:val="tx1"/>
            </w14:solidFill>
          </w14:textFill>
        </w:rPr>
        <w:t>《关于印发昌吉州坚决遏制耕地“非农化”专项行动工作方案的通知》</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昌州政办发</w:t>
      </w:r>
      <w:r>
        <w:rPr>
          <w:rFonts w:hint="eastAsia"/>
          <w:color w:val="000000" w:themeColor="text1"/>
          <w:lang w:eastAsia="zh-CN"/>
          <w14:textFill>
            <w14:solidFill>
              <w14:schemeClr w14:val="tx1"/>
            </w14:solidFill>
          </w14:textFill>
        </w:rPr>
        <w:t>〔20</w:t>
      </w:r>
      <w:r>
        <w:rPr>
          <w:rFonts w:hint="eastAsia"/>
          <w:color w:val="000000" w:themeColor="text1"/>
          <w:lang w:val="en-US" w:eastAsia="zh-CN"/>
          <w14:textFill>
            <w14:solidFill>
              <w14:schemeClr w14:val="tx1"/>
            </w14:solidFill>
          </w14:textFill>
        </w:rPr>
        <w:t>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46</w:t>
      </w:r>
      <w:r>
        <w:rPr>
          <w:rFonts w:hint="eastAsia"/>
          <w:color w:val="000000" w:themeColor="text1"/>
          <w:lang w:eastAsia="zh-CN"/>
          <w14:textFill>
            <w14:solidFill>
              <w14:schemeClr w14:val="tx1"/>
            </w14:solidFill>
          </w14:textFill>
        </w:rPr>
        <w:t>号）</w:t>
      </w:r>
      <w:r>
        <w:rPr>
          <w:rFonts w:hint="eastAsia"/>
          <w:color w:val="000000" w:themeColor="text1"/>
          <w:lang w:val="en-US" w:eastAsia="zh-CN"/>
          <w14:textFill>
            <w14:solidFill>
              <w14:schemeClr w14:val="tx1"/>
            </w14:solidFill>
          </w14:textFill>
        </w:rPr>
        <w:t>的要求。</w:t>
      </w:r>
    </w:p>
    <w:p w14:paraId="5918129F">
      <w:pPr>
        <w:pStyle w:val="8"/>
        <w:rPr>
          <w:rFonts w:hint="eastAsia"/>
          <w:color w:val="000000" w:themeColor="text1"/>
          <w14:textFill>
            <w14:solidFill>
              <w14:schemeClr w14:val="tx1"/>
            </w14:solidFill>
          </w14:textFill>
        </w:rPr>
      </w:pPr>
      <w:bookmarkStart w:id="183" w:name="_Hlk175248661"/>
      <w:bookmarkStart w:id="184" w:name="_Hlk175251564"/>
      <w:r>
        <w:rPr>
          <w:rFonts w:hint="eastAsia"/>
          <w:color w:val="000000" w:themeColor="text1"/>
          <w14:textFill>
            <w14:solidFill>
              <w14:schemeClr w14:val="tx1"/>
            </w14:solidFill>
          </w14:textFill>
        </w:rPr>
        <w:t>与生态环境分区管控方案符合性分析</w:t>
      </w:r>
    </w:p>
    <w:bookmarkEnd w:id="170"/>
    <w:bookmarkEnd w:id="183"/>
    <w:p w14:paraId="0B8F3967">
      <w:pPr>
        <w:pStyle w:val="120"/>
        <w:rPr>
          <w:rFonts w:hint="eastAsia"/>
          <w:color w:val="000000" w:themeColor="text1"/>
          <w14:textFill>
            <w14:solidFill>
              <w14:schemeClr w14:val="tx1"/>
            </w14:solidFill>
          </w14:textFill>
        </w:rPr>
      </w:pPr>
      <w:bookmarkStart w:id="185" w:name="_Hlk175249023"/>
      <w:r>
        <w:rPr>
          <w:rFonts w:hint="eastAsia"/>
          <w:color w:val="000000" w:themeColor="text1"/>
          <w14:textFill>
            <w14:solidFill>
              <w14:schemeClr w14:val="tx1"/>
            </w14:solidFill>
          </w14:textFill>
        </w:rPr>
        <w:t>（1）生态保护红线</w:t>
      </w:r>
    </w:p>
    <w:p w14:paraId="1099DD84">
      <w:pPr>
        <w:pStyle w:val="193"/>
        <w:rPr>
          <w:rFonts w:hint="eastAsia"/>
          <w:color w:val="000000" w:themeColor="text1"/>
          <w14:textFill>
            <w14:solidFill>
              <w14:schemeClr w14:val="tx1"/>
            </w14:solidFill>
          </w14:textFill>
        </w:rPr>
      </w:pPr>
      <w:bookmarkStart w:id="186" w:name="_Hlk92216543"/>
      <w:r>
        <w:rPr>
          <w:rFonts w:hint="eastAsia"/>
          <w:color w:val="000000" w:themeColor="text1"/>
          <w14:textFill>
            <w14:solidFill>
              <w14:schemeClr w14:val="tx1"/>
            </w14:solidFill>
          </w14:textFill>
        </w:rPr>
        <w:t>项目区位于昌吉回族自治州吉木萨尔县境内，评价范围内无国家公园、自然保护区、风景名胜区、世界文化和自然遗产地和饮用水水源保护区，也无基本草原、森林公园、地质公园、重要湿地、天然林，重点野生保护动物栖息地，也无重点保护野生植物生长繁殖地，</w:t>
      </w:r>
      <w:r>
        <w:rPr>
          <w:rFonts w:hint="eastAsia" w:cs="宋体"/>
          <w:color w:val="000000" w:themeColor="text1"/>
          <w14:textFill>
            <w14:solidFill>
              <w14:schemeClr w14:val="tx1"/>
            </w14:solidFill>
          </w14:textFill>
        </w:rPr>
        <w:t>不涉及生态保护红线和</w:t>
      </w:r>
      <w:r>
        <w:rPr>
          <w:rFonts w:hint="eastAsia"/>
          <w:color w:val="000000" w:themeColor="text1"/>
          <w14:textFill>
            <w14:solidFill>
              <w14:schemeClr w14:val="tx1"/>
            </w14:solidFill>
          </w14:textFill>
        </w:rPr>
        <w:t>生态环境敏感区</w:t>
      </w:r>
      <w:bookmarkStart w:id="187" w:name="_Hlk174015365"/>
      <w:r>
        <w:rPr>
          <w:rFonts w:hint="eastAsia"/>
          <w:color w:val="000000" w:themeColor="text1"/>
          <w14:textFill>
            <w14:solidFill>
              <w14:schemeClr w14:val="tx1"/>
            </w14:solidFill>
          </w14:textFill>
        </w:rPr>
        <w:t>。</w:t>
      </w:r>
    </w:p>
    <w:bookmarkEnd w:id="184"/>
    <w:bookmarkEnd w:id="187"/>
    <w:p w14:paraId="79D3D429">
      <w:pPr>
        <w:pStyle w:val="193"/>
        <w:rPr>
          <w:rFonts w:hint="eastAsia"/>
          <w:color w:val="000000" w:themeColor="text1"/>
          <w14:textFill>
            <w14:solidFill>
              <w14:schemeClr w14:val="tx1"/>
            </w14:solidFill>
          </w14:textFill>
        </w:rPr>
      </w:pPr>
      <w:bookmarkStart w:id="188" w:name="_Hlk168603464"/>
      <w:r>
        <w:rPr>
          <w:rFonts w:hint="eastAsia"/>
          <w:color w:val="000000" w:themeColor="text1"/>
          <w14:textFill>
            <w14:solidFill>
              <w14:schemeClr w14:val="tx1"/>
            </w14:solidFill>
          </w14:textFill>
        </w:rPr>
        <w:t>根据《昌吉回族自治州生态环境分区管控动态更新成果（2025版）》可知，项目位于吉木萨尔县</w:t>
      </w:r>
      <w:r>
        <w:rPr>
          <w:color w:val="000000" w:themeColor="text1"/>
          <w14:textFill>
            <w14:solidFill>
              <w14:schemeClr w14:val="tx1"/>
            </w14:solidFill>
          </w14:textFill>
        </w:rPr>
        <w:t>重点管控单元——吉木萨尔县限采区</w:t>
      </w:r>
      <w:r>
        <w:rPr>
          <w:rFonts w:hint="eastAsia"/>
          <w:color w:val="000000" w:themeColor="text1"/>
          <w14:textFill>
            <w14:solidFill>
              <w14:schemeClr w14:val="tx1"/>
            </w14:solidFill>
          </w14:textFill>
        </w:rPr>
        <w:t>（环境管控单元编码：</w:t>
      </w:r>
      <w:bookmarkStart w:id="189" w:name="_Hlk174439318"/>
      <w:r>
        <w:rPr>
          <w:color w:val="000000" w:themeColor="text1"/>
          <w14:textFill>
            <w14:solidFill>
              <w14:schemeClr w14:val="tx1"/>
            </w14:solidFill>
          </w14:textFill>
        </w:rPr>
        <w:t>ZH65232720005</w:t>
      </w:r>
      <w:bookmarkEnd w:id="189"/>
      <w:r>
        <w:rPr>
          <w:rFonts w:hint="eastAsia"/>
          <w:color w:val="000000" w:themeColor="text1"/>
          <w14:textFill>
            <w14:solidFill>
              <w14:schemeClr w14:val="tx1"/>
            </w14:solidFill>
          </w14:textFill>
        </w:rPr>
        <w:t>）。</w:t>
      </w:r>
    </w:p>
    <w:bookmarkEnd w:id="186"/>
    <w:bookmarkEnd w:id="188"/>
    <w:p w14:paraId="4E7F267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（2）环境质量底线</w:t>
      </w:r>
    </w:p>
    <w:p w14:paraId="7EF3DA47">
      <w:pPr>
        <w:pStyle w:val="12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运营期废气主要为无组织挥发有机废气和硫化氢，</w:t>
      </w:r>
      <w:r>
        <w:rPr>
          <w:rStyle w:val="192"/>
          <w:rFonts w:hint="eastAsia"/>
          <w:color w:val="000000" w:themeColor="text1"/>
          <w14:textFill>
            <w14:solidFill>
              <w14:schemeClr w14:val="tx1"/>
            </w14:solidFill>
          </w14:textFill>
        </w:rPr>
        <w:t>在落实各项环保措施的前提下，</w:t>
      </w:r>
      <w:r>
        <w:rPr>
          <w:color w:val="000000" w:themeColor="text1"/>
          <w14:textFill>
            <w14:solidFill>
              <w14:schemeClr w14:val="tx1"/>
            </w14:solidFill>
          </w14:textFill>
        </w:rPr>
        <w:t>非甲烷总烃</w:t>
      </w:r>
      <w:r>
        <w:rPr>
          <w:rFonts w:hint="eastAsia"/>
          <w:color w:val="000000" w:themeColor="text1"/>
          <w14:textFill>
            <w14:solidFill>
              <w14:schemeClr w14:val="tx1"/>
            </w14:solidFill>
          </w14:textFill>
        </w:rPr>
        <w:t>可</w:t>
      </w:r>
      <w:r>
        <w:rPr>
          <w:color w:val="000000" w:themeColor="text1"/>
          <w14:textFill>
            <w14:solidFill>
              <w14:schemeClr w14:val="tx1"/>
            </w14:solidFill>
          </w14:textFill>
        </w:rPr>
        <w:t>满足</w:t>
      </w:r>
      <w:r>
        <w:rPr>
          <w:rFonts w:hint="eastAsia"/>
          <w:color w:val="000000" w:themeColor="text1"/>
          <w14:textFill>
            <w14:solidFill>
              <w14:schemeClr w14:val="tx1"/>
            </w14:solidFill>
          </w14:textFill>
        </w:rPr>
        <w:t>《陆上石油天然气开采工业大气污染物排放标准》（GB39728-2020）的场界标准限值（4mg/m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）要求，硫化氢排放浓度满足《恶臭污染物排放标准》（GB14554-93）表1二级新改扩建浓度。洗井废水和井下作业废液</w:t>
      </w:r>
      <w:r>
        <w:rPr>
          <w:rFonts w:hint="eastAsia" w:cs="宋体"/>
          <w:color w:val="000000" w:themeColor="text1"/>
          <w:kern w:val="0"/>
          <w:lang w:bidi="ar"/>
          <w14:textFill>
            <w14:solidFill>
              <w14:schemeClr w14:val="tx1"/>
            </w14:solidFill>
          </w14:textFill>
        </w:rPr>
        <w:t>（压裂返排液和废洗井液）由罐车拉运至吉祥联合站采出水处理系统处理后回注油藏。</w:t>
      </w:r>
      <w:r>
        <w:rPr>
          <w:rFonts w:hint="eastAsia"/>
          <w:color w:val="000000" w:themeColor="text1"/>
          <w14:textFill>
            <w14:solidFill>
              <w14:schemeClr w14:val="tx1"/>
            </w14:solidFill>
          </w14:textFill>
        </w:rPr>
        <w:t>噪声源主要为各类机泵，采取相应措施后站场边</w:t>
      </w:r>
      <w:r>
        <w:rPr>
          <w:color w:val="000000" w:themeColor="text1"/>
          <w14:textFill>
            <w14:solidFill>
              <w14:schemeClr w14:val="tx1"/>
            </w14:solidFill>
          </w14:textFill>
        </w:rPr>
        <w:t>界昼夜噪声满足《工业企业厂界环境噪声排放标准》（GB12348-2008）中的2类区标准</w:t>
      </w:r>
      <w:r>
        <w:rPr>
          <w:rFonts w:hint="eastAsia"/>
          <w:color w:val="000000" w:themeColor="text1"/>
          <w14:textFill>
            <w14:solidFill>
              <w14:schemeClr w14:val="tx1"/>
            </w14:solidFill>
          </w14:textFill>
        </w:rPr>
        <w:t>要求；固体废物主要为</w:t>
      </w:r>
      <w:r>
        <w:rPr>
          <w:rFonts w:hint="eastAsia" w:cs="宋体"/>
          <w:color w:val="000000" w:themeColor="text1"/>
          <w14:textFill>
            <w14:solidFill>
              <w14:schemeClr w14:val="tx1"/>
            </w14:solidFill>
          </w14:textFill>
        </w:rPr>
        <w:t>废润滑油、废润滑油桶、沾油废防渗材料、废含油抹布和劳保用品。废润滑油、废润滑油桶、沾油废防渗材料属于《国家危险废物名录（2025年版）》</w:t>
      </w:r>
      <w:r>
        <w:rPr>
          <w:rFonts w:cs="宋体"/>
          <w:color w:val="000000" w:themeColor="text1"/>
          <w14:textFill>
            <w14:solidFill>
              <w14:schemeClr w14:val="tx1"/>
            </w14:solidFill>
          </w14:textFill>
        </w:rPr>
        <w:t>HW08</w:t>
      </w:r>
      <w:r>
        <w:rPr>
          <w:rFonts w:hint="eastAsia" w:cs="宋体"/>
          <w:color w:val="000000" w:themeColor="text1"/>
          <w14:textFill>
            <w14:solidFill>
              <w14:schemeClr w14:val="tx1"/>
            </w14:solidFill>
          </w14:textFill>
        </w:rPr>
        <w:t>废矿物油与含矿物油废物，废含油抹布和劳保用品属于《国家危险废物名录（2025年版）》HW49其他废物，收集后交由有相应危险废物处置资质的单位处置。综上所述，废气、噪声均可实现达标排放，废水和固体废物均得到妥善处置，符合环境质量底线的要求。</w:t>
      </w:r>
    </w:p>
    <w:p w14:paraId="6C09CC5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（3）资源利用上线</w:t>
      </w:r>
    </w:p>
    <w:p w14:paraId="4EF09A2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运营期消耗少量的电能和水，用量较少，不会突破区域总量控制指标，符合资源上线要求。</w:t>
      </w:r>
    </w:p>
    <w:p w14:paraId="7F563902">
      <w:pPr>
        <w:pStyle w:val="120"/>
        <w:rPr>
          <w:rFonts w:hint="eastAsia"/>
          <w:color w:val="000000" w:themeColor="text1"/>
          <w14:textFill>
            <w14:solidFill>
              <w14:schemeClr w14:val="tx1"/>
            </w14:solidFill>
          </w14:textFill>
        </w:rPr>
      </w:pPr>
      <w:bookmarkStart w:id="190" w:name="_Hlk175131613"/>
      <w:bookmarkStart w:id="191" w:name="_Hlk92209691"/>
      <w:r>
        <w:rPr>
          <w:rFonts w:hint="eastAsia"/>
          <w:color w:val="000000" w:themeColor="text1"/>
          <w14:textFill>
            <w14:solidFill>
              <w14:schemeClr w14:val="tx1"/>
            </w14:solidFill>
          </w14:textFill>
        </w:rPr>
        <w:t>（4）生态环境准入清单</w:t>
      </w:r>
    </w:p>
    <w:p w14:paraId="29D5EB14">
      <w:pPr>
        <w:pStyle w:val="193"/>
        <w:rPr>
          <w:rFonts w:hint="eastAsia"/>
          <w:color w:val="000000" w:themeColor="text1"/>
          <w:lang w:bidi="ar"/>
          <w14:textFill>
            <w14:solidFill>
              <w14:schemeClr w14:val="tx1"/>
            </w14:solidFill>
          </w14:textFill>
        </w:rPr>
      </w:pPr>
      <w:r>
        <w:rPr>
          <w:rFonts w:hint="eastAsia" w:cs="宋体"/>
          <w:color w:val="000000" w:themeColor="text1"/>
          <w:lang w:val="zh-CN"/>
          <w14:textFill>
            <w14:solidFill>
              <w14:schemeClr w14:val="tx1"/>
            </w14:solidFill>
          </w14:textFill>
        </w:rPr>
        <w:t>①</w:t>
      </w:r>
      <w:bookmarkStart w:id="192" w:name="_Hlk80045814"/>
      <w:bookmarkStart w:id="193" w:name="_Hlk80047881"/>
      <w:r>
        <w:rPr>
          <w:rFonts w:hint="eastAsia"/>
          <w:color w:val="000000" w:themeColor="text1"/>
          <w:lang w:bidi="ar"/>
          <w14:textFill>
            <w14:solidFill>
              <w14:schemeClr w14:val="tx1"/>
            </w14:solidFill>
          </w14:textFill>
        </w:rPr>
        <w:t>《新疆维吾尔自治区生态环境分区管控动态更新成果》（新环环评发〔2024〕157号）符合性分析</w:t>
      </w:r>
    </w:p>
    <w:bookmarkEnd w:id="192"/>
    <w:bookmarkEnd w:id="193"/>
    <w:p w14:paraId="3DDECF02">
      <w:pPr>
        <w:pStyle w:val="193"/>
        <w:rPr>
          <w:rFonts w:hint="eastAsia"/>
          <w:color w:val="000000" w:themeColor="text1"/>
          <w:lang w:bidi="ar"/>
          <w14:textFill>
            <w14:solidFill>
              <w14:schemeClr w14:val="tx1"/>
            </w14:solidFill>
          </w14:textFill>
        </w:rPr>
      </w:pPr>
      <w:bookmarkStart w:id="194" w:name="_Hlk174965619"/>
      <w:r>
        <w:rPr>
          <w:rFonts w:hint="eastAsia"/>
          <w:color w:val="000000" w:themeColor="text1"/>
          <w:lang w:bidi="ar"/>
          <w14:textFill>
            <w14:solidFill>
              <w14:schemeClr w14:val="tx1"/>
            </w14:solidFill>
          </w14:textFill>
        </w:rPr>
        <w:t>根据</w:t>
      </w:r>
      <w:bookmarkEnd w:id="194"/>
      <w:r>
        <w:rPr>
          <w:rFonts w:hint="eastAsia"/>
          <w:color w:val="000000" w:themeColor="text1"/>
          <w:lang w:bidi="ar"/>
          <w14:textFill>
            <w14:solidFill>
              <w14:schemeClr w14:val="tx1"/>
            </w14:solidFill>
          </w14:textFill>
        </w:rPr>
        <w:t>《新疆维吾尔自治区生态环境分区管控动态更新成果》（新环环评发〔2024〕157号），本项目吉木萨尔县部分涉及“乌昌石片区”，项目建设符合《新疆维吾尔自治区生态环境分区管控动态更新成果》的管控要求，具体见表2.9-1</w:t>
      </w:r>
      <w:r>
        <w:rPr>
          <w:rFonts w:hint="eastAsia"/>
          <w:color w:val="000000" w:themeColor="text1"/>
          <w:lang w:val="en-US" w:eastAsia="zh-CN" w:bidi="ar"/>
          <w14:textFill>
            <w14:solidFill>
              <w14:schemeClr w14:val="tx1"/>
            </w14:solidFill>
          </w14:textFill>
        </w:rPr>
        <w:t>5</w:t>
      </w:r>
      <w:r>
        <w:rPr>
          <w:rFonts w:hint="eastAsia"/>
          <w:color w:val="000000" w:themeColor="text1"/>
          <w:lang w:bidi="ar"/>
          <w14:textFill>
            <w14:solidFill>
              <w14:schemeClr w14:val="tx1"/>
            </w14:solidFill>
          </w14:textFill>
        </w:rPr>
        <w:t>。</w:t>
      </w:r>
    </w:p>
    <w:p w14:paraId="33075B69">
      <w:pPr>
        <w:pStyle w:val="193"/>
        <w:rPr>
          <w:rFonts w:hint="eastAsia"/>
          <w:color w:val="000000" w:themeColor="text1"/>
          <w:lang w:bidi="ar"/>
          <w14:textFill>
            <w14:solidFill>
              <w14:schemeClr w14:val="tx1"/>
            </w14:solidFill>
          </w14:textFill>
        </w:rPr>
        <w:sectPr>
          <w:pgSz w:w="11907" w:h="16840"/>
          <w:pgMar w:top="1418" w:right="1588" w:bottom="1418" w:left="1588" w:header="1020" w:footer="1020" w:gutter="0"/>
          <w:cols w:space="720" w:num="1"/>
          <w:docGrid w:type="linesAndChars" w:linePitch="312" w:charSpace="0"/>
        </w:sectPr>
      </w:pPr>
    </w:p>
    <w:p w14:paraId="73F48BCF">
      <w:pPr>
        <w:pStyle w:val="19"/>
        <w:rPr>
          <w:rFonts w:hint="eastAsia"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表2.9-</w:t>
      </w:r>
      <w:r>
        <w:rPr>
          <w:rFonts w:hint="eastAsia" w:cs="Times New Roman"/>
          <w:color w:val="000000" w:themeColor="text1"/>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5</w:t>
      </w:r>
      <w:r>
        <w:rPr>
          <w:rFonts w:cs="Times New Roman"/>
          <w:color w:val="000000" w:themeColor="text1"/>
          <w14:textFill>
            <w14:solidFill>
              <w14:schemeClr w14:val="tx1"/>
            </w14:solidFill>
          </w14:textFill>
        </w:rPr>
        <w:t xml:space="preserve"> </w:t>
      </w:r>
      <w:r>
        <w:rPr>
          <w:rFonts w:hint="eastAsia" w:cs="Times New Roman"/>
          <w:color w:val="000000" w:themeColor="text1"/>
          <w14:textFill>
            <w14:solidFill>
              <w14:schemeClr w14:val="tx1"/>
            </w14:solidFill>
          </w14:textFill>
        </w:rPr>
        <w:t xml:space="preserve"> 本项目与《新疆维吾尔自治区生态环境分区管控动态更新成果》的符合性分析一览表</w:t>
      </w:r>
    </w:p>
    <w:bookmarkEnd w:id="185"/>
    <w:bookmarkEnd w:id="190"/>
    <w:tbl>
      <w:tblPr>
        <w:tblStyle w:val="429"/>
        <w:tblW w:w="497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534"/>
        <w:gridCol w:w="506"/>
        <w:gridCol w:w="1037"/>
        <w:gridCol w:w="5151"/>
        <w:gridCol w:w="6177"/>
        <w:gridCol w:w="532"/>
      </w:tblGrid>
      <w:tr w14:paraId="2F9079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Align w:val="center"/>
          </w:tcPr>
          <w:p w14:paraId="2852B516">
            <w:pPr>
              <w:pStyle w:val="280"/>
              <w:rPr>
                <w:color w:val="000000" w:themeColor="text1"/>
                <w:lang w:bidi="ar"/>
                <w14:textFill>
                  <w14:solidFill>
                    <w14:schemeClr w14:val="tx1"/>
                  </w14:solidFill>
                </w14:textFill>
              </w:rPr>
            </w:pPr>
            <w:bookmarkStart w:id="195" w:name="_Hlk147580998"/>
            <w:r>
              <w:rPr>
                <w:color w:val="000000" w:themeColor="text1"/>
                <w:lang w:bidi="ar"/>
                <w14:textFill>
                  <w14:solidFill>
                    <w14:schemeClr w14:val="tx1"/>
                  </w14:solidFill>
                </w14:textFill>
              </w:rPr>
              <w:t>名称</w:t>
            </w:r>
          </w:p>
        </w:tc>
        <w:tc>
          <w:tcPr>
            <w:tcW w:w="6721" w:type="dxa"/>
            <w:gridSpan w:val="3"/>
            <w:vAlign w:val="center"/>
          </w:tcPr>
          <w:p w14:paraId="07F9D6A7">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管控要求</w:t>
            </w:r>
          </w:p>
        </w:tc>
        <w:tc>
          <w:tcPr>
            <w:tcW w:w="6202" w:type="dxa"/>
            <w:vAlign w:val="center"/>
          </w:tcPr>
          <w:p w14:paraId="16AC66FD">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拟建工程</w:t>
            </w:r>
          </w:p>
        </w:tc>
        <w:tc>
          <w:tcPr>
            <w:tcW w:w="534" w:type="dxa"/>
            <w:vAlign w:val="center"/>
          </w:tcPr>
          <w:p w14:paraId="6EF7B2B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符合性</w:t>
            </w:r>
          </w:p>
        </w:tc>
      </w:tr>
      <w:tr w14:paraId="16640D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2" w:hRule="atLeast"/>
        </w:trPr>
        <w:tc>
          <w:tcPr>
            <w:tcW w:w="536" w:type="dxa"/>
            <w:vMerge w:val="restart"/>
            <w:vAlign w:val="center"/>
          </w:tcPr>
          <w:p w14:paraId="54A3BDE3">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新疆维吾尔自治区总体管控要求</w:t>
            </w:r>
          </w:p>
        </w:tc>
        <w:tc>
          <w:tcPr>
            <w:tcW w:w="508" w:type="dxa"/>
            <w:vMerge w:val="restart"/>
            <w:vAlign w:val="center"/>
          </w:tcPr>
          <w:p w14:paraId="28B8A068">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A1空间布局约束</w:t>
            </w:r>
          </w:p>
        </w:tc>
        <w:tc>
          <w:tcPr>
            <w:tcW w:w="1041" w:type="dxa"/>
            <w:vMerge w:val="restart"/>
            <w:vAlign w:val="center"/>
          </w:tcPr>
          <w:p w14:paraId="4DEE81AF">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A1.1禁止开发建设的活动</w:t>
            </w:r>
          </w:p>
        </w:tc>
        <w:tc>
          <w:tcPr>
            <w:tcW w:w="5172" w:type="dxa"/>
            <w:vAlign w:val="center"/>
          </w:tcPr>
          <w:p w14:paraId="51F1F07D">
            <w:pPr>
              <w:pStyle w:val="280"/>
              <w:rPr>
                <w:rFonts w:hint="eastAsia" w:eastAsia="宋体"/>
                <w:color w:val="000000" w:themeColor="text1"/>
                <w:lang w:eastAsia="zh-CN" w:bidi="ar"/>
                <w14:textFill>
                  <w14:solidFill>
                    <w14:schemeClr w14:val="tx1"/>
                  </w14:solidFill>
                </w14:textFill>
              </w:rPr>
            </w:pPr>
            <w:r>
              <w:rPr>
                <w:color w:val="000000" w:themeColor="text1"/>
                <w:lang w:bidi="ar"/>
                <w14:textFill>
                  <w14:solidFill>
                    <w14:schemeClr w14:val="tx1"/>
                  </w14:solidFill>
                </w14:textFill>
              </w:rPr>
              <w:t>〔A1.1-1〕禁止新建、扩建《产业结构调整指导目录（2024年本）》中淘汰类项目。禁止引入《市场准入负面清单（2022年版）》禁止准入类事项</w:t>
            </w:r>
            <w:r>
              <w:rPr>
                <w:rFonts w:hint="eastAsia"/>
                <w:color w:val="000000" w:themeColor="text1"/>
                <w:lang w:eastAsia="zh-CN" w:bidi="ar"/>
                <w14:textFill>
                  <w14:solidFill>
                    <w14:schemeClr w14:val="tx1"/>
                  </w14:solidFill>
                </w14:textFill>
              </w:rPr>
              <w:t>。</w:t>
            </w:r>
          </w:p>
        </w:tc>
        <w:tc>
          <w:tcPr>
            <w:tcW w:w="6202" w:type="dxa"/>
            <w:vAlign w:val="center"/>
          </w:tcPr>
          <w:p w14:paraId="49A3C40D">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对照《产业结构调整指导目录（2024年本）》，项目属于鼓励类——七、石油、天然气——1.石油天然气开采：常规石油、天然气勘探与开采，页岩气、页岩油、致密油（气）、油砂、天然气水合物等非常规资源勘探开发；对照《市场准入负面清单（2025年版）》，本项目不属于其规定的禁止类，项目实施符合国家产业政策。</w:t>
            </w:r>
          </w:p>
        </w:tc>
        <w:tc>
          <w:tcPr>
            <w:tcW w:w="534" w:type="dxa"/>
            <w:vAlign w:val="center"/>
          </w:tcPr>
          <w:p w14:paraId="2AA4FBFE">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6CB32C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1FE7FB91">
            <w:pPr>
              <w:pStyle w:val="280"/>
              <w:rPr>
                <w:color w:val="000000" w:themeColor="text1"/>
                <w:lang w:bidi="ar"/>
                <w14:textFill>
                  <w14:solidFill>
                    <w14:schemeClr w14:val="tx1"/>
                  </w14:solidFill>
                </w14:textFill>
              </w:rPr>
            </w:pPr>
          </w:p>
        </w:tc>
        <w:tc>
          <w:tcPr>
            <w:tcW w:w="508" w:type="dxa"/>
            <w:vMerge w:val="continue"/>
            <w:vAlign w:val="center"/>
          </w:tcPr>
          <w:p w14:paraId="21AAAA57">
            <w:pPr>
              <w:pStyle w:val="280"/>
              <w:rPr>
                <w:color w:val="000000" w:themeColor="text1"/>
                <w:lang w:bidi="ar"/>
                <w14:textFill>
                  <w14:solidFill>
                    <w14:schemeClr w14:val="tx1"/>
                  </w14:solidFill>
                </w14:textFill>
              </w:rPr>
            </w:pPr>
          </w:p>
        </w:tc>
        <w:tc>
          <w:tcPr>
            <w:tcW w:w="1041" w:type="dxa"/>
            <w:vMerge w:val="continue"/>
            <w:vAlign w:val="center"/>
          </w:tcPr>
          <w:p w14:paraId="2B559C14">
            <w:pPr>
              <w:pStyle w:val="280"/>
              <w:rPr>
                <w:color w:val="000000" w:themeColor="text1"/>
                <w:lang w:bidi="ar"/>
                <w14:textFill>
                  <w14:solidFill>
                    <w14:schemeClr w14:val="tx1"/>
                  </w14:solidFill>
                </w14:textFill>
              </w:rPr>
            </w:pPr>
          </w:p>
        </w:tc>
        <w:tc>
          <w:tcPr>
            <w:tcW w:w="5172" w:type="dxa"/>
            <w:vAlign w:val="center"/>
          </w:tcPr>
          <w:p w14:paraId="0E518841">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〔A1.1-2〕禁止建设不符合国家和自治区环境保护标准的项目。</w:t>
            </w:r>
          </w:p>
        </w:tc>
        <w:tc>
          <w:tcPr>
            <w:tcW w:w="6202" w:type="dxa"/>
            <w:vAlign w:val="center"/>
          </w:tcPr>
          <w:p w14:paraId="68E4E90C">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建设项目符合国家和自治区环境保护标准。</w:t>
            </w:r>
          </w:p>
        </w:tc>
        <w:tc>
          <w:tcPr>
            <w:tcW w:w="534" w:type="dxa"/>
            <w:vAlign w:val="center"/>
          </w:tcPr>
          <w:p w14:paraId="30CD5D7B">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5E7120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11AD27E1">
            <w:pPr>
              <w:pStyle w:val="280"/>
              <w:rPr>
                <w:color w:val="000000" w:themeColor="text1"/>
                <w:lang w:bidi="ar"/>
                <w14:textFill>
                  <w14:solidFill>
                    <w14:schemeClr w14:val="tx1"/>
                  </w14:solidFill>
                </w14:textFill>
              </w:rPr>
            </w:pPr>
          </w:p>
        </w:tc>
        <w:tc>
          <w:tcPr>
            <w:tcW w:w="508" w:type="dxa"/>
            <w:vMerge w:val="continue"/>
            <w:vAlign w:val="center"/>
          </w:tcPr>
          <w:p w14:paraId="207E74F5">
            <w:pPr>
              <w:pStyle w:val="280"/>
              <w:rPr>
                <w:color w:val="000000" w:themeColor="text1"/>
                <w:lang w:bidi="ar"/>
                <w14:textFill>
                  <w14:solidFill>
                    <w14:schemeClr w14:val="tx1"/>
                  </w14:solidFill>
                </w14:textFill>
              </w:rPr>
            </w:pPr>
          </w:p>
        </w:tc>
        <w:tc>
          <w:tcPr>
            <w:tcW w:w="1041" w:type="dxa"/>
            <w:vMerge w:val="continue"/>
            <w:vAlign w:val="center"/>
          </w:tcPr>
          <w:p w14:paraId="75939F9A">
            <w:pPr>
              <w:pStyle w:val="280"/>
              <w:rPr>
                <w:color w:val="000000" w:themeColor="text1"/>
                <w:lang w:bidi="ar"/>
                <w14:textFill>
                  <w14:solidFill>
                    <w14:schemeClr w14:val="tx1"/>
                  </w14:solidFill>
                </w14:textFill>
              </w:rPr>
            </w:pPr>
          </w:p>
        </w:tc>
        <w:tc>
          <w:tcPr>
            <w:tcW w:w="5172" w:type="dxa"/>
            <w:vAlign w:val="center"/>
          </w:tcPr>
          <w:p w14:paraId="06BA2F3B">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w:t>
            </w:r>
            <w:r>
              <w:rPr>
                <w:rFonts w:hint="eastAsia"/>
                <w:color w:val="000000" w:themeColor="text1"/>
                <w:lang w:val="en-US" w:eastAsia="zh-CN" w:bidi="ar"/>
                <w14:textFill>
                  <w14:solidFill>
                    <w14:schemeClr w14:val="tx1"/>
                  </w14:solidFill>
                </w14:textFill>
              </w:rPr>
              <w:t>3</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禁止在饮用水水源保护区、风景名胜区、自然保护区的核心区和缓冲区、城镇居民区、文化教育科学研究区等人口集中区域以及法律、法规规定的其他禁止养殖区域建设畜禽养殖场、养殖小区。</w:t>
            </w:r>
          </w:p>
        </w:tc>
        <w:tc>
          <w:tcPr>
            <w:tcW w:w="6202" w:type="dxa"/>
            <w:vAlign w:val="center"/>
          </w:tcPr>
          <w:p w14:paraId="3A756BD2">
            <w:pPr>
              <w:pStyle w:val="280"/>
              <w:rPr>
                <w:rFonts w:hint="eastAsia" w:eastAsia="宋体"/>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本项目不涉及</w:t>
            </w:r>
            <w:r>
              <w:rPr>
                <w:rFonts w:hint="eastAsia"/>
                <w:color w:val="000000" w:themeColor="text1"/>
                <w:lang w:bidi="ar"/>
                <w14:textFill>
                  <w14:solidFill>
                    <w14:schemeClr w14:val="tx1"/>
                  </w14:solidFill>
                </w14:textFill>
              </w:rPr>
              <w:t>畜禽养殖</w:t>
            </w:r>
            <w:r>
              <w:rPr>
                <w:rFonts w:hint="eastAsia"/>
                <w:color w:val="000000" w:themeColor="text1"/>
                <w:lang w:eastAsia="zh-CN" w:bidi="ar"/>
                <w14:textFill>
                  <w14:solidFill>
                    <w14:schemeClr w14:val="tx1"/>
                  </w14:solidFill>
                </w14:textFill>
              </w:rPr>
              <w:t>。</w:t>
            </w:r>
          </w:p>
        </w:tc>
        <w:tc>
          <w:tcPr>
            <w:tcW w:w="534" w:type="dxa"/>
            <w:vAlign w:val="center"/>
          </w:tcPr>
          <w:p w14:paraId="39C20345">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377161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4636A062">
            <w:pPr>
              <w:pStyle w:val="280"/>
              <w:rPr>
                <w:color w:val="000000" w:themeColor="text1"/>
                <w:lang w:bidi="ar"/>
                <w14:textFill>
                  <w14:solidFill>
                    <w14:schemeClr w14:val="tx1"/>
                  </w14:solidFill>
                </w14:textFill>
              </w:rPr>
            </w:pPr>
          </w:p>
        </w:tc>
        <w:tc>
          <w:tcPr>
            <w:tcW w:w="508" w:type="dxa"/>
            <w:vMerge w:val="continue"/>
            <w:vAlign w:val="center"/>
          </w:tcPr>
          <w:p w14:paraId="2A5D7E5F">
            <w:pPr>
              <w:pStyle w:val="280"/>
              <w:rPr>
                <w:color w:val="000000" w:themeColor="text1"/>
                <w:lang w:bidi="ar"/>
                <w14:textFill>
                  <w14:solidFill>
                    <w14:schemeClr w14:val="tx1"/>
                  </w14:solidFill>
                </w14:textFill>
              </w:rPr>
            </w:pPr>
          </w:p>
        </w:tc>
        <w:tc>
          <w:tcPr>
            <w:tcW w:w="1041" w:type="dxa"/>
            <w:vMerge w:val="continue"/>
            <w:vAlign w:val="center"/>
          </w:tcPr>
          <w:p w14:paraId="5FC5CC64">
            <w:pPr>
              <w:pStyle w:val="280"/>
              <w:rPr>
                <w:color w:val="000000" w:themeColor="text1"/>
                <w:lang w:bidi="ar"/>
                <w14:textFill>
                  <w14:solidFill>
                    <w14:schemeClr w14:val="tx1"/>
                  </w14:solidFill>
                </w14:textFill>
              </w:rPr>
            </w:pPr>
          </w:p>
        </w:tc>
        <w:tc>
          <w:tcPr>
            <w:tcW w:w="5172" w:type="dxa"/>
            <w:vAlign w:val="center"/>
          </w:tcPr>
          <w:p w14:paraId="423EF5E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〔A1.1-4〕禁止在水源涵养区、地下水源、饮用水源、自然保护区、风景名胜区、森林公园、重要湿地及人群密集区等生态敏感区域内进行煤炭、石油、天然气开发。</w:t>
            </w:r>
          </w:p>
        </w:tc>
        <w:tc>
          <w:tcPr>
            <w:tcW w:w="6202" w:type="dxa"/>
            <w:vAlign w:val="center"/>
          </w:tcPr>
          <w:p w14:paraId="046CE6D5">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项目评价范围内不涉及水源涵养区、地下水源、饮用水源、自然保护区、森林公园、重要湿地及人群密集区。</w:t>
            </w:r>
          </w:p>
        </w:tc>
        <w:tc>
          <w:tcPr>
            <w:tcW w:w="534" w:type="dxa"/>
            <w:vAlign w:val="center"/>
          </w:tcPr>
          <w:p w14:paraId="60E01E2B">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07584F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13ACCC23">
            <w:pPr>
              <w:pStyle w:val="280"/>
              <w:rPr>
                <w:color w:val="000000" w:themeColor="text1"/>
                <w:lang w:bidi="ar"/>
                <w14:textFill>
                  <w14:solidFill>
                    <w14:schemeClr w14:val="tx1"/>
                  </w14:solidFill>
                </w14:textFill>
              </w:rPr>
            </w:pPr>
          </w:p>
        </w:tc>
        <w:tc>
          <w:tcPr>
            <w:tcW w:w="508" w:type="dxa"/>
            <w:vMerge w:val="continue"/>
            <w:vAlign w:val="center"/>
          </w:tcPr>
          <w:p w14:paraId="6720262A">
            <w:pPr>
              <w:pStyle w:val="280"/>
              <w:rPr>
                <w:color w:val="000000" w:themeColor="text1"/>
                <w:lang w:bidi="ar"/>
                <w14:textFill>
                  <w14:solidFill>
                    <w14:schemeClr w14:val="tx1"/>
                  </w14:solidFill>
                </w14:textFill>
              </w:rPr>
            </w:pPr>
          </w:p>
        </w:tc>
        <w:tc>
          <w:tcPr>
            <w:tcW w:w="1041" w:type="dxa"/>
            <w:vMerge w:val="continue"/>
            <w:vAlign w:val="center"/>
          </w:tcPr>
          <w:p w14:paraId="57651616">
            <w:pPr>
              <w:pStyle w:val="280"/>
              <w:rPr>
                <w:color w:val="000000" w:themeColor="text1"/>
                <w:lang w:bidi="ar"/>
                <w14:textFill>
                  <w14:solidFill>
                    <w14:schemeClr w14:val="tx1"/>
                  </w14:solidFill>
                </w14:textFill>
              </w:rPr>
            </w:pPr>
          </w:p>
        </w:tc>
        <w:tc>
          <w:tcPr>
            <w:tcW w:w="5172" w:type="dxa"/>
            <w:vAlign w:val="center"/>
          </w:tcPr>
          <w:p w14:paraId="5C0D3B5B">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〔A1.1-5〕禁止下列破坏湿地及其生态功能的行为：（一）开（围）垦、排干自然湿地，永久性截断自然湿地水源；</w:t>
            </w:r>
          </w:p>
          <w:p w14:paraId="02AB0B72">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（二）擅自填埋自然湿地，擅自采砂、采矿、取土；</w:t>
            </w:r>
          </w:p>
          <w:p w14:paraId="76E2D1C7">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（三）排放不符合水污染物排放标准的工业废水、生活污水及其他污染湿地的废水、污水，倾倒、堆放、丢弃、遗撒固体废物；</w:t>
            </w:r>
          </w:p>
          <w:p w14:paraId="7696B66E">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（四）过度放牧或者滥采野生植物，过度捕捞或者灭绝式捕捞，过度施肥、投药、投放饵料等污染湿地的种植养殖行为；</w:t>
            </w:r>
          </w:p>
          <w:p w14:paraId="0EE1838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（五）其他破坏湿地及其生态功能的行为。</w:t>
            </w:r>
          </w:p>
        </w:tc>
        <w:tc>
          <w:tcPr>
            <w:tcW w:w="6202" w:type="dxa"/>
            <w:vAlign w:val="center"/>
          </w:tcPr>
          <w:p w14:paraId="7C7FF60F">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项目不涉及湿地及其他生态功能。</w:t>
            </w:r>
          </w:p>
        </w:tc>
        <w:tc>
          <w:tcPr>
            <w:tcW w:w="534" w:type="dxa"/>
            <w:vAlign w:val="center"/>
          </w:tcPr>
          <w:p w14:paraId="540F8EBD">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430DA2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61F86FA9">
            <w:pPr>
              <w:pStyle w:val="280"/>
              <w:rPr>
                <w:color w:val="000000" w:themeColor="text1"/>
                <w:lang w:bidi="ar"/>
                <w14:textFill>
                  <w14:solidFill>
                    <w14:schemeClr w14:val="tx1"/>
                  </w14:solidFill>
                </w14:textFill>
              </w:rPr>
            </w:pPr>
          </w:p>
        </w:tc>
        <w:tc>
          <w:tcPr>
            <w:tcW w:w="508" w:type="dxa"/>
            <w:vMerge w:val="continue"/>
            <w:vAlign w:val="center"/>
          </w:tcPr>
          <w:p w14:paraId="12E08A5A">
            <w:pPr>
              <w:pStyle w:val="280"/>
              <w:rPr>
                <w:color w:val="000000" w:themeColor="text1"/>
                <w:lang w:bidi="ar"/>
                <w14:textFill>
                  <w14:solidFill>
                    <w14:schemeClr w14:val="tx1"/>
                  </w14:solidFill>
                </w14:textFill>
              </w:rPr>
            </w:pPr>
          </w:p>
        </w:tc>
        <w:tc>
          <w:tcPr>
            <w:tcW w:w="1041" w:type="dxa"/>
            <w:vMerge w:val="continue"/>
            <w:vAlign w:val="center"/>
          </w:tcPr>
          <w:p w14:paraId="4B285E02">
            <w:pPr>
              <w:pStyle w:val="280"/>
              <w:rPr>
                <w:color w:val="000000" w:themeColor="text1"/>
                <w:lang w:bidi="ar"/>
                <w14:textFill>
                  <w14:solidFill>
                    <w14:schemeClr w14:val="tx1"/>
                  </w14:solidFill>
                </w14:textFill>
              </w:rPr>
            </w:pPr>
          </w:p>
        </w:tc>
        <w:tc>
          <w:tcPr>
            <w:tcW w:w="5172" w:type="dxa"/>
            <w:vAlign w:val="center"/>
          </w:tcPr>
          <w:p w14:paraId="66AB5F38">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-6〕禁止在自治区行政区域内引进能（水）耗不符合相关国家标准中准入值要求且污染物排放和环境风险防控不符合国家（地方）标准及有关产业准入条件的高污染（排放）、高能（水）耗、高环境风险的工业项目。</w:t>
            </w:r>
          </w:p>
        </w:tc>
        <w:tc>
          <w:tcPr>
            <w:tcW w:w="6202" w:type="dxa"/>
            <w:vAlign w:val="center"/>
          </w:tcPr>
          <w:p w14:paraId="5770E825">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项目不属于不符合国家（地方）标准及有关产业准入条件的高污染（排放）、高能（水）耗、高环境风险的工业项目。</w:t>
            </w:r>
          </w:p>
        </w:tc>
        <w:tc>
          <w:tcPr>
            <w:tcW w:w="534" w:type="dxa"/>
            <w:vAlign w:val="center"/>
          </w:tcPr>
          <w:p w14:paraId="2186B680">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3B34D6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7D3166F1">
            <w:pPr>
              <w:pStyle w:val="280"/>
              <w:rPr>
                <w:color w:val="000000" w:themeColor="text1"/>
                <w:lang w:bidi="ar"/>
                <w14:textFill>
                  <w14:solidFill>
                    <w14:schemeClr w14:val="tx1"/>
                  </w14:solidFill>
                </w14:textFill>
              </w:rPr>
            </w:pPr>
          </w:p>
        </w:tc>
        <w:tc>
          <w:tcPr>
            <w:tcW w:w="508" w:type="dxa"/>
            <w:vMerge w:val="continue"/>
            <w:vAlign w:val="center"/>
          </w:tcPr>
          <w:p w14:paraId="6B4738DD">
            <w:pPr>
              <w:pStyle w:val="280"/>
              <w:rPr>
                <w:color w:val="000000" w:themeColor="text1"/>
                <w:lang w:bidi="ar"/>
                <w14:textFill>
                  <w14:solidFill>
                    <w14:schemeClr w14:val="tx1"/>
                  </w14:solidFill>
                </w14:textFill>
              </w:rPr>
            </w:pPr>
          </w:p>
        </w:tc>
        <w:tc>
          <w:tcPr>
            <w:tcW w:w="1041" w:type="dxa"/>
            <w:vMerge w:val="continue"/>
            <w:vAlign w:val="center"/>
          </w:tcPr>
          <w:p w14:paraId="265D664E">
            <w:pPr>
              <w:pStyle w:val="280"/>
              <w:rPr>
                <w:color w:val="000000" w:themeColor="text1"/>
                <w:lang w:bidi="ar"/>
                <w14:textFill>
                  <w14:solidFill>
                    <w14:schemeClr w14:val="tx1"/>
                  </w14:solidFill>
                </w14:textFill>
              </w:rPr>
            </w:pPr>
          </w:p>
        </w:tc>
        <w:tc>
          <w:tcPr>
            <w:tcW w:w="5172" w:type="dxa"/>
            <w:vAlign w:val="center"/>
          </w:tcPr>
          <w:p w14:paraId="682A8717">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-7〕①坚决遏制高耗能高排放低水平项目盲目发展。严把高耗能高排放低水平项目准入关口，严格落实污染物排放区域削减要求，对不符合规定的项目坚决停批停建。依法依规淘汰落后产能和化解过剩产能。②重点行业企业纳入重污染天气绩效分级，制定“一厂一策”应急减排清单，实现应纳尽纳；引导重点企业在秋冬季安排停产检修计划，减少冬季和采暖期排放。推进重点行业深度治理实施全工况脱硫脱硝提标改造，加大无组织排放治理力度，深度开展工业炉窑综合整治，全面提升电解铝、活性炭、硅冶炼、纯碱、电石、聚氯乙烯、石化等行业污染治理水平。</w:t>
            </w:r>
          </w:p>
        </w:tc>
        <w:tc>
          <w:tcPr>
            <w:tcW w:w="6202" w:type="dxa"/>
            <w:vAlign w:val="center"/>
          </w:tcPr>
          <w:p w14:paraId="428D6582">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不属于高耗能高排放低水平项目，不属于电解铝、活性炭、硅冶炼、纯碱、电石、聚氯乙烯、石化等行业项目，不涉及脱硫脱硝提标改造。施工期产生的废气随施工期的结束而消失，定期对各井场的设备、阀门、法兰</w:t>
            </w:r>
            <w:r>
              <w:rPr>
                <w:rFonts w:hint="eastAsia"/>
                <w:color w:val="000000" w:themeColor="text1"/>
                <w:lang w:bidi="ar"/>
                <w14:textFill>
                  <w14:solidFill>
                    <w14:schemeClr w14:val="tx1"/>
                  </w14:solidFill>
                </w14:textFill>
              </w:rPr>
              <w:t>和</w:t>
            </w:r>
            <w:r>
              <w:rPr>
                <w:color w:val="000000" w:themeColor="text1"/>
                <w:lang w:bidi="ar"/>
                <w14:textFill>
                  <w14:solidFill>
                    <w14:schemeClr w14:val="tx1"/>
                  </w14:solidFill>
                </w14:textFill>
              </w:rPr>
              <w:t>管线等检查、检修。除单井注水井场外的其他各井场</w:t>
            </w:r>
            <w:r>
              <w:rPr>
                <w:rFonts w:hint="eastAsia"/>
                <w:color w:val="000000" w:themeColor="text1"/>
                <w:lang w:bidi="ar"/>
                <w14:textFill>
                  <w14:solidFill>
                    <w14:schemeClr w14:val="tx1"/>
                  </w14:solidFill>
                </w14:textFill>
              </w:rPr>
              <w:t>厂界</w:t>
            </w:r>
            <w:r>
              <w:rPr>
                <w:color w:val="000000" w:themeColor="text1"/>
                <w:lang w:bidi="ar"/>
                <w14:textFill>
                  <w14:solidFill>
                    <w14:schemeClr w14:val="tx1"/>
                  </w14:solidFill>
                </w14:textFill>
              </w:rPr>
              <w:t>非甲烷总烃可满足《陆上石油天然气开采工业大气污染物排放标准》（GB39728-2020）的场界标准限值（4mg/m</w:t>
            </w:r>
            <w:r>
              <w:rPr>
                <w:color w:val="000000" w:themeColor="text1"/>
                <w:vertAlign w:val="superscript"/>
                <w:lang w:bidi="ar"/>
                <w14:textFill>
                  <w14:solidFill>
                    <w14:schemeClr w14:val="tx1"/>
                  </w14:solidFill>
                </w14:textFill>
              </w:rPr>
              <w:t>3</w:t>
            </w:r>
            <w:r>
              <w:rPr>
                <w:color w:val="000000" w:themeColor="text1"/>
                <w:lang w:bidi="ar"/>
                <w14:textFill>
                  <w14:solidFill>
                    <w14:schemeClr w14:val="tx1"/>
                  </w14:solidFill>
                </w14:textFill>
              </w:rPr>
              <w:t>）要求，硫化氢排放浓度满足《恶臭污染物排放标准》（GB14554-93）表1二级新改扩建浓度。</w:t>
            </w:r>
          </w:p>
        </w:tc>
        <w:tc>
          <w:tcPr>
            <w:tcW w:w="534" w:type="dxa"/>
            <w:vAlign w:val="center"/>
          </w:tcPr>
          <w:p w14:paraId="457BF222">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119367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676B60AD">
            <w:pPr>
              <w:pStyle w:val="280"/>
              <w:rPr>
                <w:color w:val="000000" w:themeColor="text1"/>
                <w:lang w:bidi="ar"/>
                <w14:textFill>
                  <w14:solidFill>
                    <w14:schemeClr w14:val="tx1"/>
                  </w14:solidFill>
                </w14:textFill>
              </w:rPr>
            </w:pPr>
          </w:p>
        </w:tc>
        <w:tc>
          <w:tcPr>
            <w:tcW w:w="508" w:type="dxa"/>
            <w:vMerge w:val="continue"/>
            <w:vAlign w:val="center"/>
          </w:tcPr>
          <w:p w14:paraId="7C4B98E1">
            <w:pPr>
              <w:pStyle w:val="280"/>
              <w:rPr>
                <w:color w:val="000000" w:themeColor="text1"/>
                <w:lang w:bidi="ar"/>
                <w14:textFill>
                  <w14:solidFill>
                    <w14:schemeClr w14:val="tx1"/>
                  </w14:solidFill>
                </w14:textFill>
              </w:rPr>
            </w:pPr>
          </w:p>
        </w:tc>
        <w:tc>
          <w:tcPr>
            <w:tcW w:w="1041" w:type="dxa"/>
            <w:vMerge w:val="continue"/>
            <w:vAlign w:val="center"/>
          </w:tcPr>
          <w:p w14:paraId="2E26C034">
            <w:pPr>
              <w:pStyle w:val="280"/>
              <w:rPr>
                <w:color w:val="000000" w:themeColor="text1"/>
                <w:lang w:bidi="ar"/>
                <w14:textFill>
                  <w14:solidFill>
                    <w14:schemeClr w14:val="tx1"/>
                  </w14:solidFill>
                </w14:textFill>
              </w:rPr>
            </w:pPr>
          </w:p>
        </w:tc>
        <w:tc>
          <w:tcPr>
            <w:tcW w:w="5172" w:type="dxa"/>
            <w:vAlign w:val="center"/>
          </w:tcPr>
          <w:p w14:paraId="31422626">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w:t>
            </w:r>
            <w:r>
              <w:rPr>
                <w:rFonts w:hint="eastAsia"/>
                <w:color w:val="000000" w:themeColor="text1"/>
                <w:lang w:val="en-US" w:eastAsia="zh-CN" w:bidi="ar"/>
                <w14:textFill>
                  <w14:solidFill>
                    <w14:schemeClr w14:val="tx1"/>
                  </w14:solidFill>
                </w14:textFill>
              </w:rPr>
              <w:t>8</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严格执行危险化学品“禁限控”目录，新建危险化学品生产项目必须进入一般或较低安全风险的化工园区</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与其他行业生产装置配套建设的项目除外</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，引导其他石化化工项目在化工园区发展。</w:t>
            </w:r>
          </w:p>
        </w:tc>
        <w:tc>
          <w:tcPr>
            <w:tcW w:w="6202" w:type="dxa"/>
            <w:vAlign w:val="center"/>
          </w:tcPr>
          <w:p w14:paraId="4D23D528">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项目不属于危险化学品化工项目</w:t>
            </w:r>
          </w:p>
        </w:tc>
        <w:tc>
          <w:tcPr>
            <w:tcW w:w="534" w:type="dxa"/>
            <w:vAlign w:val="center"/>
          </w:tcPr>
          <w:p w14:paraId="7D351407">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6467B2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412A189B">
            <w:pPr>
              <w:pStyle w:val="280"/>
              <w:rPr>
                <w:color w:val="000000" w:themeColor="text1"/>
                <w:lang w:bidi="ar"/>
                <w14:textFill>
                  <w14:solidFill>
                    <w14:schemeClr w14:val="tx1"/>
                  </w14:solidFill>
                </w14:textFill>
              </w:rPr>
            </w:pPr>
          </w:p>
        </w:tc>
        <w:tc>
          <w:tcPr>
            <w:tcW w:w="508" w:type="dxa"/>
            <w:vMerge w:val="continue"/>
            <w:vAlign w:val="center"/>
          </w:tcPr>
          <w:p w14:paraId="4086516D">
            <w:pPr>
              <w:pStyle w:val="280"/>
              <w:rPr>
                <w:color w:val="000000" w:themeColor="text1"/>
                <w:lang w:bidi="ar"/>
                <w14:textFill>
                  <w14:solidFill>
                    <w14:schemeClr w14:val="tx1"/>
                  </w14:solidFill>
                </w14:textFill>
              </w:rPr>
            </w:pPr>
          </w:p>
        </w:tc>
        <w:tc>
          <w:tcPr>
            <w:tcW w:w="1041" w:type="dxa"/>
            <w:vMerge w:val="continue"/>
            <w:vAlign w:val="center"/>
          </w:tcPr>
          <w:p w14:paraId="7BEE89B4">
            <w:pPr>
              <w:pStyle w:val="280"/>
              <w:rPr>
                <w:color w:val="000000" w:themeColor="text1"/>
                <w:lang w:bidi="ar"/>
                <w14:textFill>
                  <w14:solidFill>
                    <w14:schemeClr w14:val="tx1"/>
                  </w14:solidFill>
                </w14:textFill>
              </w:rPr>
            </w:pPr>
          </w:p>
        </w:tc>
        <w:tc>
          <w:tcPr>
            <w:tcW w:w="5172" w:type="dxa"/>
            <w:vAlign w:val="center"/>
          </w:tcPr>
          <w:p w14:paraId="0925A6B2">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-9〕严禁新建自治区《禁止、控制和限制危险化学品目录》中淘汰类、禁止类危险化学品化工项目。严格执行生态保护红线、永久基本农田管控要求，禁止新（改、扩）建化工项目违规占用生态保护红线和永久基本农田。在塔里木河、伊犁河、额尔齐斯河干流及主要支流岸线1公里范围内，除提升安全、环保、节能、智能化、产品质量水平的技术改造项目外，严格禁止新建、扩建化工项目，不得布局新的化工园区（含化工集中区）。</w:t>
            </w:r>
          </w:p>
        </w:tc>
        <w:tc>
          <w:tcPr>
            <w:tcW w:w="6202" w:type="dxa"/>
            <w:vAlign w:val="center"/>
          </w:tcPr>
          <w:p w14:paraId="0478A826">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项目不属于危险化学品化工项目和化工项目，项目不涉及生态保护红线，不占用永久基本农田。</w:t>
            </w:r>
          </w:p>
        </w:tc>
        <w:tc>
          <w:tcPr>
            <w:tcW w:w="534" w:type="dxa"/>
            <w:vAlign w:val="center"/>
          </w:tcPr>
          <w:p w14:paraId="23D77719">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513E04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4B8F2FDF">
            <w:pPr>
              <w:pStyle w:val="280"/>
              <w:rPr>
                <w:color w:val="000000" w:themeColor="text1"/>
                <w:lang w:bidi="ar"/>
                <w14:textFill>
                  <w14:solidFill>
                    <w14:schemeClr w14:val="tx1"/>
                  </w14:solidFill>
                </w14:textFill>
              </w:rPr>
            </w:pPr>
          </w:p>
        </w:tc>
        <w:tc>
          <w:tcPr>
            <w:tcW w:w="508" w:type="dxa"/>
            <w:vMerge w:val="continue"/>
            <w:vAlign w:val="center"/>
          </w:tcPr>
          <w:p w14:paraId="57E01476">
            <w:pPr>
              <w:pStyle w:val="280"/>
              <w:rPr>
                <w:color w:val="000000" w:themeColor="text1"/>
                <w:lang w:bidi="ar"/>
                <w14:textFill>
                  <w14:solidFill>
                    <w14:schemeClr w14:val="tx1"/>
                  </w14:solidFill>
                </w14:textFill>
              </w:rPr>
            </w:pPr>
          </w:p>
        </w:tc>
        <w:tc>
          <w:tcPr>
            <w:tcW w:w="1041" w:type="dxa"/>
            <w:vMerge w:val="continue"/>
            <w:vAlign w:val="center"/>
          </w:tcPr>
          <w:p w14:paraId="4D0A005E">
            <w:pPr>
              <w:pStyle w:val="280"/>
              <w:rPr>
                <w:color w:val="000000" w:themeColor="text1"/>
                <w:lang w:bidi="ar"/>
                <w14:textFill>
                  <w14:solidFill>
                    <w14:schemeClr w14:val="tx1"/>
                  </w14:solidFill>
                </w14:textFill>
              </w:rPr>
            </w:pPr>
          </w:p>
        </w:tc>
        <w:tc>
          <w:tcPr>
            <w:tcW w:w="5172" w:type="dxa"/>
            <w:vAlign w:val="center"/>
          </w:tcPr>
          <w:p w14:paraId="3F301A24">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w:t>
            </w:r>
            <w:r>
              <w:rPr>
                <w:rFonts w:hint="eastAsia"/>
                <w:color w:val="000000" w:themeColor="text1"/>
                <w:lang w:val="en-US" w:eastAsia="zh-CN" w:bidi="ar"/>
                <w14:textFill>
                  <w14:solidFill>
                    <w14:schemeClr w14:val="tx1"/>
                  </w14:solidFill>
                </w14:textFill>
              </w:rPr>
              <w:t>10</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推动涉重金属产业集中优化发展，禁止新建用汞的电石法</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聚</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氯乙烯生产工艺，新建、扩建的重有色金属冶炼、电镀、制革企业优先选择布设在依法合规设立并依法开展规划环境影响评价的产业园区。</w:t>
            </w:r>
          </w:p>
        </w:tc>
        <w:tc>
          <w:tcPr>
            <w:tcW w:w="6202" w:type="dxa"/>
            <w:vAlign w:val="center"/>
          </w:tcPr>
          <w:p w14:paraId="00F93BF6">
            <w:pPr>
              <w:pStyle w:val="280"/>
              <w:rPr>
                <w:rFonts w:hint="eastAsia" w:eastAsia="宋体"/>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本项目不涉及重金属，不属于</w:t>
            </w:r>
            <w:r>
              <w:rPr>
                <w:rFonts w:hint="eastAsia"/>
                <w:color w:val="000000" w:themeColor="text1"/>
                <w:lang w:bidi="ar"/>
                <w14:textFill>
                  <w14:solidFill>
                    <w14:schemeClr w14:val="tx1"/>
                  </w14:solidFill>
                </w14:textFill>
              </w:rPr>
              <w:t>重有色金属冶炼、电镀、制革</w:t>
            </w:r>
            <w:r>
              <w:rPr>
                <w:rFonts w:hint="eastAsia"/>
                <w:color w:val="000000" w:themeColor="text1"/>
                <w:lang w:val="en-US" w:eastAsia="zh-CN" w:bidi="ar"/>
                <w14:textFill>
                  <w14:solidFill>
                    <w14:schemeClr w14:val="tx1"/>
                  </w14:solidFill>
                </w14:textFill>
              </w:rPr>
              <w:t>项目</w:t>
            </w:r>
          </w:p>
        </w:tc>
        <w:tc>
          <w:tcPr>
            <w:tcW w:w="534" w:type="dxa"/>
            <w:vAlign w:val="center"/>
          </w:tcPr>
          <w:p w14:paraId="79B0EF97">
            <w:pPr>
              <w:pStyle w:val="280"/>
              <w:rPr>
                <w:rFonts w:hint="eastAsia" w:eastAsia="宋体"/>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符合</w:t>
            </w:r>
          </w:p>
        </w:tc>
      </w:tr>
      <w:tr w14:paraId="514975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1B49378C">
            <w:pPr>
              <w:pStyle w:val="280"/>
              <w:rPr>
                <w:color w:val="000000" w:themeColor="text1"/>
                <w:lang w:bidi="ar"/>
                <w14:textFill>
                  <w14:solidFill>
                    <w14:schemeClr w14:val="tx1"/>
                  </w14:solidFill>
                </w14:textFill>
              </w:rPr>
            </w:pPr>
          </w:p>
        </w:tc>
        <w:tc>
          <w:tcPr>
            <w:tcW w:w="508" w:type="dxa"/>
            <w:vMerge w:val="continue"/>
            <w:vAlign w:val="center"/>
          </w:tcPr>
          <w:p w14:paraId="7B10A488">
            <w:pPr>
              <w:pStyle w:val="280"/>
              <w:rPr>
                <w:color w:val="000000" w:themeColor="text1"/>
                <w:lang w:bidi="ar"/>
                <w14:textFill>
                  <w14:solidFill>
                    <w14:schemeClr w14:val="tx1"/>
                  </w14:solidFill>
                </w14:textFill>
              </w:rPr>
            </w:pPr>
          </w:p>
        </w:tc>
        <w:tc>
          <w:tcPr>
            <w:tcW w:w="1041" w:type="dxa"/>
            <w:vMerge w:val="continue"/>
            <w:vAlign w:val="center"/>
          </w:tcPr>
          <w:p w14:paraId="6E92D7CC">
            <w:pPr>
              <w:pStyle w:val="280"/>
              <w:rPr>
                <w:color w:val="000000" w:themeColor="text1"/>
                <w:lang w:bidi="ar"/>
                <w14:textFill>
                  <w14:solidFill>
                    <w14:schemeClr w14:val="tx1"/>
                  </w14:solidFill>
                </w14:textFill>
              </w:rPr>
            </w:pPr>
          </w:p>
        </w:tc>
        <w:tc>
          <w:tcPr>
            <w:tcW w:w="5172" w:type="dxa"/>
            <w:vAlign w:val="center"/>
          </w:tcPr>
          <w:p w14:paraId="5EECE3F3">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〔A1.1-</w:t>
            </w:r>
            <w:r>
              <w:rPr>
                <w:rFonts w:hint="eastAsia"/>
                <w:color w:val="000000" w:themeColor="text1"/>
                <w:lang w:val="en-US" w:eastAsia="zh-CN" w:bidi="ar"/>
                <w14:textFill>
                  <w14:solidFill>
                    <w14:schemeClr w14:val="tx1"/>
                  </w14:solidFill>
                </w14:textFill>
              </w:rPr>
              <w:t>11</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国务院有关部门和青藏高原县级以上地方人民政府应当建立健全青藏高原雪山冰川冻土保护制度，加强对雪山冰川冻土的监测预警和系统保护。青藏高原省级人民政府应当将大型冰帽冰川、小规模冰川群等划入生态保护红线，对重要雪山冰川实施封禁保护，采取有效措施，严格控制人为扰动。青藏高原省级人民政府应当划定冻土区保护范围，加强对多年冻土区和中深季节冻土区的保护，严格控制多年冻土区资源开发，严格审批多年冻土区城镇规划和交通、管线、输变电等重大工程项目。青藏高原省级人民政府应当开展雪山冰川冻土与周边生态系统的协同保护，维持有利于雪山冰川冻土保护的自然生态环境。</w:t>
            </w:r>
          </w:p>
        </w:tc>
        <w:tc>
          <w:tcPr>
            <w:tcW w:w="6202" w:type="dxa"/>
            <w:vAlign w:val="center"/>
          </w:tcPr>
          <w:p w14:paraId="1C8B978C">
            <w:pPr>
              <w:pStyle w:val="280"/>
              <w:rPr>
                <w:rFonts w:hint="default" w:eastAsia="宋体"/>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本项目不涉及</w:t>
            </w:r>
            <w:r>
              <w:rPr>
                <w:rFonts w:hint="eastAsia"/>
                <w:color w:val="000000" w:themeColor="text1"/>
                <w:lang w:bidi="ar"/>
                <w14:textFill>
                  <w14:solidFill>
                    <w14:schemeClr w14:val="tx1"/>
                  </w14:solidFill>
                </w14:textFill>
              </w:rPr>
              <w:t>青藏高原雪山冰川冻土</w:t>
            </w:r>
          </w:p>
        </w:tc>
        <w:tc>
          <w:tcPr>
            <w:tcW w:w="534" w:type="dxa"/>
            <w:vAlign w:val="center"/>
          </w:tcPr>
          <w:p w14:paraId="25D17AF3">
            <w:pPr>
              <w:pStyle w:val="280"/>
              <w:rPr>
                <w:rFonts w:hint="default" w:eastAsia="宋体"/>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符合</w:t>
            </w:r>
          </w:p>
        </w:tc>
      </w:tr>
      <w:tr w14:paraId="002976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394AE7EB">
            <w:pPr>
              <w:pStyle w:val="280"/>
              <w:rPr>
                <w:color w:val="000000" w:themeColor="text1"/>
                <w:lang w:bidi="ar"/>
                <w14:textFill>
                  <w14:solidFill>
                    <w14:schemeClr w14:val="tx1"/>
                  </w14:solidFill>
                </w14:textFill>
              </w:rPr>
            </w:pPr>
          </w:p>
        </w:tc>
        <w:tc>
          <w:tcPr>
            <w:tcW w:w="508" w:type="dxa"/>
            <w:vMerge w:val="continue"/>
            <w:vAlign w:val="center"/>
          </w:tcPr>
          <w:p w14:paraId="017AB3D2">
            <w:pPr>
              <w:pStyle w:val="280"/>
              <w:rPr>
                <w:color w:val="000000" w:themeColor="text1"/>
                <w:lang w:bidi="ar"/>
                <w14:textFill>
                  <w14:solidFill>
                    <w14:schemeClr w14:val="tx1"/>
                  </w14:solidFill>
                </w14:textFill>
              </w:rPr>
            </w:pPr>
          </w:p>
        </w:tc>
        <w:tc>
          <w:tcPr>
            <w:tcW w:w="1041" w:type="dxa"/>
            <w:vMerge w:val="restart"/>
            <w:vAlign w:val="center"/>
          </w:tcPr>
          <w:p w14:paraId="5B513D8E">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A1.2限制开发建设的活动</w:t>
            </w:r>
          </w:p>
        </w:tc>
        <w:tc>
          <w:tcPr>
            <w:tcW w:w="5172" w:type="dxa"/>
            <w:vAlign w:val="center"/>
          </w:tcPr>
          <w:p w14:paraId="56B34841">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〔A1.2-1〕在自治区行政区域内严格控制引进高排放、高污染、高耗能项目。严格控制缺水地区、水污染严重区域和敏感区域高耗水、高污染行业发展。</w:t>
            </w:r>
          </w:p>
        </w:tc>
        <w:tc>
          <w:tcPr>
            <w:tcW w:w="6202" w:type="dxa"/>
            <w:vAlign w:val="center"/>
          </w:tcPr>
          <w:p w14:paraId="36E7B87C">
            <w:pPr>
              <w:pStyle w:val="280"/>
              <w:rPr>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本</w:t>
            </w:r>
            <w:r>
              <w:rPr>
                <w:color w:val="000000" w:themeColor="text1"/>
                <w:lang w:bidi="ar"/>
                <w14:textFill>
                  <w14:solidFill>
                    <w14:schemeClr w14:val="tx1"/>
                  </w14:solidFill>
                </w14:textFill>
              </w:rPr>
              <w:t>项目不属于高耗水、高污染行业。</w:t>
            </w:r>
          </w:p>
        </w:tc>
        <w:tc>
          <w:tcPr>
            <w:tcW w:w="534" w:type="dxa"/>
            <w:vAlign w:val="center"/>
          </w:tcPr>
          <w:p w14:paraId="729D42D6">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0D171E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51A10B15">
            <w:pPr>
              <w:pStyle w:val="280"/>
              <w:rPr>
                <w:color w:val="000000" w:themeColor="text1"/>
                <w:lang w:bidi="ar"/>
                <w14:textFill>
                  <w14:solidFill>
                    <w14:schemeClr w14:val="tx1"/>
                  </w14:solidFill>
                </w14:textFill>
              </w:rPr>
            </w:pPr>
          </w:p>
        </w:tc>
        <w:tc>
          <w:tcPr>
            <w:tcW w:w="508" w:type="dxa"/>
            <w:vMerge w:val="continue"/>
            <w:vAlign w:val="center"/>
          </w:tcPr>
          <w:p w14:paraId="2A331519">
            <w:pPr>
              <w:pStyle w:val="280"/>
              <w:rPr>
                <w:color w:val="000000" w:themeColor="text1"/>
                <w:lang w:bidi="ar"/>
                <w14:textFill>
                  <w14:solidFill>
                    <w14:schemeClr w14:val="tx1"/>
                  </w14:solidFill>
                </w14:textFill>
              </w:rPr>
            </w:pPr>
          </w:p>
        </w:tc>
        <w:tc>
          <w:tcPr>
            <w:tcW w:w="1041" w:type="dxa"/>
            <w:vMerge w:val="continue"/>
            <w:vAlign w:val="center"/>
          </w:tcPr>
          <w:p w14:paraId="04BD3A99">
            <w:pPr>
              <w:pStyle w:val="280"/>
              <w:rPr>
                <w:color w:val="000000" w:themeColor="text1"/>
                <w:lang w:bidi="ar"/>
                <w14:textFill>
                  <w14:solidFill>
                    <w14:schemeClr w14:val="tx1"/>
                  </w14:solidFill>
                </w14:textFill>
              </w:rPr>
            </w:pPr>
          </w:p>
        </w:tc>
        <w:tc>
          <w:tcPr>
            <w:tcW w:w="5172" w:type="dxa"/>
            <w:vAlign w:val="center"/>
          </w:tcPr>
          <w:p w14:paraId="6A7DC33D">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1.2-2〕建设项目用地原则上不得占用永久基本农田，确需占用永久基本农田的建设项目须符合《中华人民共和国基本农田保护条例》中相关要求，占用耕地、林地或草地的建设项目须按照国家、自治区相关补偿要求进行补偿。</w:t>
            </w:r>
          </w:p>
        </w:tc>
        <w:tc>
          <w:tcPr>
            <w:tcW w:w="6202" w:type="dxa"/>
            <w:vAlign w:val="center"/>
          </w:tcPr>
          <w:p w14:paraId="75B7FC2F">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建设不占用耕地、永久基本农田，占地类型为天然牧草地、其他园地和采矿用地，工程施工前应办理征地手续，根据工程建设实际用地面积办理征地手续，并在施工结束后对占用的临时用地全部进行恢复。永久占地进行砾石铺垫等硬化，防止水土流失和土壤沙化。</w:t>
            </w:r>
          </w:p>
        </w:tc>
        <w:tc>
          <w:tcPr>
            <w:tcW w:w="534" w:type="dxa"/>
            <w:vAlign w:val="center"/>
          </w:tcPr>
          <w:p w14:paraId="2E528F09">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73A3E9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6106BC5D">
            <w:pPr>
              <w:pStyle w:val="280"/>
              <w:rPr>
                <w:color w:val="000000" w:themeColor="text1"/>
                <w:lang w:bidi="ar"/>
                <w14:textFill>
                  <w14:solidFill>
                    <w14:schemeClr w14:val="tx1"/>
                  </w14:solidFill>
                </w14:textFill>
              </w:rPr>
            </w:pPr>
          </w:p>
        </w:tc>
        <w:tc>
          <w:tcPr>
            <w:tcW w:w="508" w:type="dxa"/>
            <w:vMerge w:val="continue"/>
            <w:vAlign w:val="center"/>
          </w:tcPr>
          <w:p w14:paraId="31106A9A">
            <w:pPr>
              <w:pStyle w:val="280"/>
              <w:rPr>
                <w:color w:val="000000" w:themeColor="text1"/>
                <w:lang w:bidi="ar"/>
                <w14:textFill>
                  <w14:solidFill>
                    <w14:schemeClr w14:val="tx1"/>
                  </w14:solidFill>
                </w14:textFill>
              </w:rPr>
            </w:pPr>
          </w:p>
        </w:tc>
        <w:tc>
          <w:tcPr>
            <w:tcW w:w="1041" w:type="dxa"/>
            <w:vMerge w:val="continue"/>
            <w:vAlign w:val="center"/>
          </w:tcPr>
          <w:p w14:paraId="2538108A">
            <w:pPr>
              <w:pStyle w:val="280"/>
              <w:rPr>
                <w:color w:val="000000" w:themeColor="text1"/>
                <w:lang w:bidi="ar"/>
                <w14:textFill>
                  <w14:solidFill>
                    <w14:schemeClr w14:val="tx1"/>
                  </w14:solidFill>
                </w14:textFill>
              </w:rPr>
            </w:pPr>
          </w:p>
        </w:tc>
        <w:tc>
          <w:tcPr>
            <w:tcW w:w="5172" w:type="dxa"/>
            <w:vAlign w:val="center"/>
          </w:tcPr>
          <w:p w14:paraId="70D9CCD9">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〔A1.2-</w:t>
            </w:r>
            <w:r>
              <w:rPr>
                <w:rFonts w:hint="eastAsia"/>
                <w:color w:val="000000" w:themeColor="text1"/>
                <w:lang w:val="en-US" w:eastAsia="zh-CN" w:bidi="ar"/>
                <w14:textFill>
                  <w14:solidFill>
                    <w14:schemeClr w14:val="tx1"/>
                  </w14:solidFill>
                </w14:textFill>
              </w:rPr>
              <w:t>3</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以用途变更为住宅、公共管理与公共服务用地的地块为重点，严格建设用地准入管理和风险管控，未依法完成土壤污染状况调查或风险评估的地块，不得开工建设与风险管控和修复无关的项目。</w:t>
            </w:r>
          </w:p>
        </w:tc>
        <w:tc>
          <w:tcPr>
            <w:tcW w:w="6202" w:type="dxa"/>
            <w:vAlign w:val="center"/>
          </w:tcPr>
          <w:p w14:paraId="2BE21FCD">
            <w:pPr>
              <w:pStyle w:val="280"/>
              <w:rPr>
                <w:rFonts w:hint="default" w:eastAsia="宋体"/>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本项目不涉及。</w:t>
            </w:r>
          </w:p>
        </w:tc>
        <w:tc>
          <w:tcPr>
            <w:tcW w:w="534" w:type="dxa"/>
            <w:vAlign w:val="center"/>
          </w:tcPr>
          <w:p w14:paraId="57EF947F">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210F49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3F0ECAE9">
            <w:pPr>
              <w:pStyle w:val="280"/>
              <w:rPr>
                <w:color w:val="000000" w:themeColor="text1"/>
                <w:lang w:bidi="ar"/>
                <w14:textFill>
                  <w14:solidFill>
                    <w14:schemeClr w14:val="tx1"/>
                  </w14:solidFill>
                </w14:textFill>
              </w:rPr>
            </w:pPr>
          </w:p>
        </w:tc>
        <w:tc>
          <w:tcPr>
            <w:tcW w:w="508" w:type="dxa"/>
            <w:vMerge w:val="continue"/>
            <w:vAlign w:val="center"/>
          </w:tcPr>
          <w:p w14:paraId="0B2F2648">
            <w:pPr>
              <w:pStyle w:val="280"/>
              <w:rPr>
                <w:color w:val="000000" w:themeColor="text1"/>
                <w:lang w:bidi="ar"/>
                <w14:textFill>
                  <w14:solidFill>
                    <w14:schemeClr w14:val="tx1"/>
                  </w14:solidFill>
                </w14:textFill>
              </w:rPr>
            </w:pPr>
          </w:p>
        </w:tc>
        <w:tc>
          <w:tcPr>
            <w:tcW w:w="1041" w:type="dxa"/>
            <w:vMerge w:val="continue"/>
            <w:vAlign w:val="center"/>
          </w:tcPr>
          <w:p w14:paraId="2ADC3D66">
            <w:pPr>
              <w:pStyle w:val="280"/>
              <w:rPr>
                <w:color w:val="000000" w:themeColor="text1"/>
                <w:lang w:bidi="ar"/>
                <w14:textFill>
                  <w14:solidFill>
                    <w14:schemeClr w14:val="tx1"/>
                  </w14:solidFill>
                </w14:textFill>
              </w:rPr>
            </w:pPr>
          </w:p>
        </w:tc>
        <w:tc>
          <w:tcPr>
            <w:tcW w:w="5172" w:type="dxa"/>
            <w:vAlign w:val="center"/>
          </w:tcPr>
          <w:p w14:paraId="5E2C3018">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〔A1.2-4〕严格控制建设项目占用湿地。因国家和自治区重点建设工程、基础设施建设，以及重点公益性项目建设，确需占用湿地的，应当按照有关法律、法规规定的权限和程序办理批准手续。</w:t>
            </w:r>
          </w:p>
        </w:tc>
        <w:tc>
          <w:tcPr>
            <w:tcW w:w="6202" w:type="dxa"/>
            <w:vAlign w:val="center"/>
          </w:tcPr>
          <w:p w14:paraId="603DF1D7">
            <w:pPr>
              <w:pStyle w:val="280"/>
              <w:rPr>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本</w:t>
            </w:r>
            <w:r>
              <w:rPr>
                <w:color w:val="000000" w:themeColor="text1"/>
                <w:lang w:bidi="ar"/>
                <w14:textFill>
                  <w14:solidFill>
                    <w14:schemeClr w14:val="tx1"/>
                  </w14:solidFill>
                </w14:textFill>
              </w:rPr>
              <w:t>项目不占用湿地。</w:t>
            </w:r>
          </w:p>
        </w:tc>
        <w:tc>
          <w:tcPr>
            <w:tcW w:w="534" w:type="dxa"/>
            <w:vAlign w:val="center"/>
          </w:tcPr>
          <w:p w14:paraId="4373BF3D">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24120B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628D6DB8">
            <w:pPr>
              <w:pStyle w:val="280"/>
              <w:rPr>
                <w:color w:val="000000" w:themeColor="text1"/>
                <w:lang w:bidi="ar"/>
                <w14:textFill>
                  <w14:solidFill>
                    <w14:schemeClr w14:val="tx1"/>
                  </w14:solidFill>
                </w14:textFill>
              </w:rPr>
            </w:pPr>
          </w:p>
        </w:tc>
        <w:tc>
          <w:tcPr>
            <w:tcW w:w="508" w:type="dxa"/>
            <w:vMerge w:val="continue"/>
            <w:vAlign w:val="center"/>
          </w:tcPr>
          <w:p w14:paraId="66B7084E">
            <w:pPr>
              <w:pStyle w:val="280"/>
              <w:rPr>
                <w:color w:val="000000" w:themeColor="text1"/>
                <w:lang w:bidi="ar"/>
                <w14:textFill>
                  <w14:solidFill>
                    <w14:schemeClr w14:val="tx1"/>
                  </w14:solidFill>
                </w14:textFill>
              </w:rPr>
            </w:pPr>
          </w:p>
        </w:tc>
        <w:tc>
          <w:tcPr>
            <w:tcW w:w="1041" w:type="dxa"/>
            <w:vMerge w:val="continue"/>
            <w:vAlign w:val="center"/>
          </w:tcPr>
          <w:p w14:paraId="16C677B9">
            <w:pPr>
              <w:pStyle w:val="280"/>
              <w:rPr>
                <w:color w:val="000000" w:themeColor="text1"/>
                <w:lang w:bidi="ar"/>
                <w14:textFill>
                  <w14:solidFill>
                    <w14:schemeClr w14:val="tx1"/>
                  </w14:solidFill>
                </w14:textFill>
              </w:rPr>
            </w:pPr>
          </w:p>
        </w:tc>
        <w:tc>
          <w:tcPr>
            <w:tcW w:w="5172" w:type="dxa"/>
            <w:vAlign w:val="center"/>
          </w:tcPr>
          <w:p w14:paraId="56EBB073">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〔A1.2-5〕严格管控自然保护地范围内非生态活动，稳妥推进核心区内居民、耕地有序退出，矿权依法依规退出。</w:t>
            </w:r>
          </w:p>
        </w:tc>
        <w:tc>
          <w:tcPr>
            <w:tcW w:w="6202" w:type="dxa"/>
            <w:vAlign w:val="center"/>
          </w:tcPr>
          <w:p w14:paraId="2ADD071E">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项目不占用自然保护地。</w:t>
            </w:r>
          </w:p>
        </w:tc>
        <w:tc>
          <w:tcPr>
            <w:tcW w:w="534" w:type="dxa"/>
            <w:vAlign w:val="center"/>
          </w:tcPr>
          <w:p w14:paraId="7C66CD7B">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7E05BD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635C29F0">
            <w:pPr>
              <w:pStyle w:val="280"/>
              <w:rPr>
                <w:color w:val="000000" w:themeColor="text1"/>
                <w:lang w:bidi="ar"/>
                <w14:textFill>
                  <w14:solidFill>
                    <w14:schemeClr w14:val="tx1"/>
                  </w14:solidFill>
                </w14:textFill>
              </w:rPr>
            </w:pPr>
          </w:p>
        </w:tc>
        <w:tc>
          <w:tcPr>
            <w:tcW w:w="508" w:type="dxa"/>
            <w:vMerge w:val="continue"/>
            <w:vAlign w:val="center"/>
          </w:tcPr>
          <w:p w14:paraId="61C1D44C">
            <w:pPr>
              <w:pStyle w:val="280"/>
              <w:rPr>
                <w:color w:val="000000" w:themeColor="text1"/>
                <w:lang w:bidi="ar"/>
                <w14:textFill>
                  <w14:solidFill>
                    <w14:schemeClr w14:val="tx1"/>
                  </w14:solidFill>
                </w14:textFill>
              </w:rPr>
            </w:pPr>
          </w:p>
        </w:tc>
        <w:tc>
          <w:tcPr>
            <w:tcW w:w="1041" w:type="dxa"/>
            <w:vMerge w:val="restart"/>
            <w:vAlign w:val="center"/>
          </w:tcPr>
          <w:p w14:paraId="63FA47F7">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A1.3不符合空间布局要求活动的退出要求</w:t>
            </w:r>
          </w:p>
        </w:tc>
        <w:tc>
          <w:tcPr>
            <w:tcW w:w="5172" w:type="dxa"/>
            <w:vAlign w:val="center"/>
          </w:tcPr>
          <w:p w14:paraId="13A7BF33">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〔A1.3-1〕任何单位和个人不得在水源涵养区、饮用水水源保护区内和河流、湖泊、水库周围建设重化工、涉重金属等工业污染项目；对已建成的工业污染项目，当地人民政府应当组织限期搬迁。</w:t>
            </w:r>
          </w:p>
        </w:tc>
        <w:tc>
          <w:tcPr>
            <w:tcW w:w="6202" w:type="dxa"/>
            <w:vAlign w:val="center"/>
          </w:tcPr>
          <w:p w14:paraId="255ED3A8">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项目不属于在水源涵养区、饮用水水源保护区内和河流、湖泊、水库周围建设重化工、涉重金属等工业污染项目。</w:t>
            </w:r>
          </w:p>
        </w:tc>
        <w:tc>
          <w:tcPr>
            <w:tcW w:w="534" w:type="dxa"/>
            <w:vAlign w:val="center"/>
          </w:tcPr>
          <w:p w14:paraId="41EA9C7D">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5BD688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3839B8F0">
            <w:pPr>
              <w:pStyle w:val="280"/>
              <w:rPr>
                <w:color w:val="000000" w:themeColor="text1"/>
                <w:lang w:bidi="ar"/>
                <w14:textFill>
                  <w14:solidFill>
                    <w14:schemeClr w14:val="tx1"/>
                  </w14:solidFill>
                </w14:textFill>
              </w:rPr>
            </w:pPr>
          </w:p>
        </w:tc>
        <w:tc>
          <w:tcPr>
            <w:tcW w:w="508" w:type="dxa"/>
            <w:vMerge w:val="continue"/>
            <w:vAlign w:val="center"/>
          </w:tcPr>
          <w:p w14:paraId="0DF99199">
            <w:pPr>
              <w:pStyle w:val="280"/>
              <w:rPr>
                <w:color w:val="000000" w:themeColor="text1"/>
                <w:lang w:bidi="ar"/>
                <w14:textFill>
                  <w14:solidFill>
                    <w14:schemeClr w14:val="tx1"/>
                  </w14:solidFill>
                </w14:textFill>
              </w:rPr>
            </w:pPr>
          </w:p>
        </w:tc>
        <w:tc>
          <w:tcPr>
            <w:tcW w:w="1041" w:type="dxa"/>
            <w:vMerge w:val="continue"/>
            <w:vAlign w:val="center"/>
          </w:tcPr>
          <w:p w14:paraId="3F7C3DAC">
            <w:pPr>
              <w:pStyle w:val="280"/>
              <w:rPr>
                <w:color w:val="000000" w:themeColor="text1"/>
                <w:lang w:bidi="ar"/>
                <w14:textFill>
                  <w14:solidFill>
                    <w14:schemeClr w14:val="tx1"/>
                  </w14:solidFill>
                </w14:textFill>
              </w:rPr>
            </w:pPr>
          </w:p>
        </w:tc>
        <w:tc>
          <w:tcPr>
            <w:tcW w:w="5172" w:type="dxa"/>
            <w:shd w:val="clear" w:color="auto" w:fill="auto"/>
            <w:vAlign w:val="center"/>
          </w:tcPr>
          <w:p w14:paraId="5F39FCC9">
            <w:pPr>
              <w:pStyle w:val="280"/>
              <w:rPr>
                <w:rFonts w:ascii="宋体" w:hAnsi="宋体" w:eastAsia="宋体" w:cs="Times New Roman"/>
                <w:color w:val="000000" w:themeColor="text1"/>
                <w:kern w:val="0"/>
                <w:sz w:val="21"/>
                <w:szCs w:val="21"/>
                <w:lang w:val="en-US" w:eastAsia="zh-CN" w:bidi="ar"/>
                <w14:textFill>
                  <w14:solidFill>
                    <w14:schemeClr w14:val="tx1"/>
                  </w14:solidFill>
                </w14:textFill>
              </w:rPr>
            </w:pPr>
            <w:r>
              <w:rPr>
                <w:color w:val="000000" w:themeColor="text1"/>
                <w:lang w:bidi="ar"/>
                <w14:textFill>
                  <w14:solidFill>
                    <w14:schemeClr w14:val="tx1"/>
                  </w14:solidFill>
                </w14:textFill>
              </w:rPr>
              <w:t>〔A1.3-2〕对不符合国家产业政策、严重污染水环境的生产项目全部予以取缔。</w:t>
            </w:r>
          </w:p>
        </w:tc>
        <w:tc>
          <w:tcPr>
            <w:tcW w:w="6202" w:type="dxa"/>
            <w:shd w:val="clear" w:color="auto" w:fill="auto"/>
            <w:vAlign w:val="center"/>
          </w:tcPr>
          <w:p w14:paraId="31CD6043">
            <w:pPr>
              <w:pStyle w:val="280"/>
              <w:rPr>
                <w:rFonts w:ascii="宋体" w:hAnsi="宋体" w:eastAsia="宋体" w:cs="Times New Roman"/>
                <w:color w:val="000000" w:themeColor="text1"/>
                <w:kern w:val="0"/>
                <w:sz w:val="21"/>
                <w:szCs w:val="21"/>
                <w:lang w:val="en-US" w:eastAsia="zh-CN" w:bidi="ar"/>
                <w14:textFill>
                  <w14:solidFill>
                    <w14:schemeClr w14:val="tx1"/>
                  </w14:solidFill>
                </w14:textFill>
              </w:rPr>
            </w:pPr>
            <w:r>
              <w:rPr>
                <w:color w:val="000000" w:themeColor="text1"/>
                <w:lang w:bidi="ar"/>
                <w14:textFill>
                  <w14:solidFill>
                    <w14:schemeClr w14:val="tx1"/>
                  </w14:solidFill>
                </w14:textFill>
              </w:rPr>
              <w:t>本项目符合国家产业政策，不属于严重污染水环境的生产项目</w:t>
            </w:r>
          </w:p>
        </w:tc>
        <w:tc>
          <w:tcPr>
            <w:tcW w:w="534" w:type="dxa"/>
            <w:shd w:val="clear" w:color="auto" w:fill="auto"/>
            <w:vAlign w:val="center"/>
          </w:tcPr>
          <w:p w14:paraId="53CFC207">
            <w:pPr>
              <w:pStyle w:val="280"/>
              <w:rPr>
                <w:rFonts w:ascii="宋体" w:hAnsi="宋体" w:eastAsia="宋体" w:cs="Times New Roman"/>
                <w:color w:val="000000" w:themeColor="text1"/>
                <w:kern w:val="0"/>
                <w:sz w:val="21"/>
                <w:szCs w:val="21"/>
                <w:lang w:val="en-US" w:eastAsia="zh-CN" w:bidi="ar"/>
                <w14:textFill>
                  <w14:solidFill>
                    <w14:schemeClr w14:val="tx1"/>
                  </w14:solidFill>
                </w14:textFill>
              </w:rPr>
            </w:pPr>
            <w:r>
              <w:rPr>
                <w:color w:val="000000" w:themeColor="text1"/>
                <w:lang w:bidi="ar"/>
                <w14:textFill>
                  <w14:solidFill>
                    <w14:schemeClr w14:val="tx1"/>
                  </w14:solidFill>
                </w14:textFill>
              </w:rPr>
              <w:t>符合</w:t>
            </w:r>
          </w:p>
        </w:tc>
      </w:tr>
      <w:tr w14:paraId="3EAD56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0783C0FC">
            <w:pPr>
              <w:pStyle w:val="280"/>
              <w:rPr>
                <w:color w:val="000000" w:themeColor="text1"/>
                <w:lang w:bidi="ar"/>
                <w14:textFill>
                  <w14:solidFill>
                    <w14:schemeClr w14:val="tx1"/>
                  </w14:solidFill>
                </w14:textFill>
              </w:rPr>
            </w:pPr>
          </w:p>
        </w:tc>
        <w:tc>
          <w:tcPr>
            <w:tcW w:w="508" w:type="dxa"/>
            <w:vMerge w:val="continue"/>
            <w:vAlign w:val="center"/>
          </w:tcPr>
          <w:p w14:paraId="1FFB3B7B">
            <w:pPr>
              <w:pStyle w:val="280"/>
              <w:rPr>
                <w:color w:val="000000" w:themeColor="text1"/>
                <w:lang w:bidi="ar"/>
                <w14:textFill>
                  <w14:solidFill>
                    <w14:schemeClr w14:val="tx1"/>
                  </w14:solidFill>
                </w14:textFill>
              </w:rPr>
            </w:pPr>
          </w:p>
        </w:tc>
        <w:tc>
          <w:tcPr>
            <w:tcW w:w="1041" w:type="dxa"/>
            <w:vMerge w:val="continue"/>
            <w:vAlign w:val="center"/>
          </w:tcPr>
          <w:p w14:paraId="3F8854AC">
            <w:pPr>
              <w:pStyle w:val="280"/>
              <w:rPr>
                <w:color w:val="000000" w:themeColor="text1"/>
                <w:lang w:bidi="ar"/>
                <w14:textFill>
                  <w14:solidFill>
                    <w14:schemeClr w14:val="tx1"/>
                  </w14:solidFill>
                </w14:textFill>
              </w:rPr>
            </w:pPr>
          </w:p>
        </w:tc>
        <w:tc>
          <w:tcPr>
            <w:tcW w:w="5172" w:type="dxa"/>
            <w:vAlign w:val="center"/>
          </w:tcPr>
          <w:p w14:paraId="1F3A6CE0">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〔A1.3-</w:t>
            </w:r>
            <w:r>
              <w:rPr>
                <w:rFonts w:hint="eastAsia"/>
                <w:color w:val="000000" w:themeColor="text1"/>
                <w:lang w:val="en-US" w:eastAsia="zh-CN" w:bidi="ar"/>
                <w14:textFill>
                  <w14:solidFill>
                    <w14:schemeClr w14:val="tx1"/>
                  </w14:solidFill>
                </w14:textFill>
              </w:rPr>
              <w:t>3</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根据《产业结构调整指导目录》《限期淘汰产生严重污染环境的工业固体废物的落后生产工艺设备名录》等要求，配合有关部门依法淘汰烧结</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鼓风炉5炼铅工艺炼铅等涉重金属落后产能和化解过剩产能。严格执行生态环境保护等相关法规标准，推动经整改仍达不到要求的产能依法依规关闭退出。</w:t>
            </w:r>
          </w:p>
        </w:tc>
        <w:tc>
          <w:tcPr>
            <w:tcW w:w="6202" w:type="dxa"/>
            <w:vAlign w:val="center"/>
          </w:tcPr>
          <w:p w14:paraId="491E3891">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对照《产业结构调整指导目录（2024年本）》，项目属于鼓励类——七、石油、天然气——1.石油天然气开采：常规石油、天然气勘探与开采，页岩气、页岩油、致密油（气）、油砂、天然气水合物等非常规资源勘探开发；对照《市场准入负面清单（2025年版）》，本项目不属于其规定的禁止类，项目实施符合国家产业政策。</w:t>
            </w:r>
          </w:p>
        </w:tc>
        <w:tc>
          <w:tcPr>
            <w:tcW w:w="534" w:type="dxa"/>
            <w:vAlign w:val="center"/>
          </w:tcPr>
          <w:p w14:paraId="16ABA487">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585C9D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64CC5F0A">
            <w:pPr>
              <w:pStyle w:val="280"/>
              <w:rPr>
                <w:color w:val="000000" w:themeColor="text1"/>
                <w:lang w:bidi="ar"/>
                <w14:textFill>
                  <w14:solidFill>
                    <w14:schemeClr w14:val="tx1"/>
                  </w14:solidFill>
                </w14:textFill>
              </w:rPr>
            </w:pPr>
          </w:p>
        </w:tc>
        <w:tc>
          <w:tcPr>
            <w:tcW w:w="508" w:type="dxa"/>
            <w:vMerge w:val="continue"/>
            <w:vAlign w:val="center"/>
          </w:tcPr>
          <w:p w14:paraId="6E7DCD26">
            <w:pPr>
              <w:pStyle w:val="280"/>
              <w:rPr>
                <w:color w:val="000000" w:themeColor="text1"/>
                <w:lang w:bidi="ar"/>
                <w14:textFill>
                  <w14:solidFill>
                    <w14:schemeClr w14:val="tx1"/>
                  </w14:solidFill>
                </w14:textFill>
              </w:rPr>
            </w:pPr>
          </w:p>
        </w:tc>
        <w:tc>
          <w:tcPr>
            <w:tcW w:w="1041" w:type="dxa"/>
            <w:vMerge w:val="continue"/>
            <w:vAlign w:val="center"/>
          </w:tcPr>
          <w:p w14:paraId="6B340E28">
            <w:pPr>
              <w:pStyle w:val="280"/>
              <w:rPr>
                <w:color w:val="000000" w:themeColor="text1"/>
                <w:lang w:bidi="ar"/>
                <w14:textFill>
                  <w14:solidFill>
                    <w14:schemeClr w14:val="tx1"/>
                  </w14:solidFill>
                </w14:textFill>
              </w:rPr>
            </w:pPr>
          </w:p>
        </w:tc>
        <w:tc>
          <w:tcPr>
            <w:tcW w:w="5172" w:type="dxa"/>
            <w:vAlign w:val="center"/>
          </w:tcPr>
          <w:p w14:paraId="47100F57">
            <w:pPr>
              <w:pStyle w:val="280"/>
              <w:rPr>
                <w:rFonts w:hint="eastAsia" w:eastAsia="宋体"/>
                <w:color w:val="000000" w:themeColor="text1"/>
                <w:lang w:eastAsia="zh-CN" w:bidi="ar"/>
                <w14:textFill>
                  <w14:solidFill>
                    <w14:schemeClr w14:val="tx1"/>
                  </w14:solidFill>
                </w14:textFill>
              </w:rPr>
            </w:pPr>
            <w:r>
              <w:rPr>
                <w:color w:val="000000" w:themeColor="text1"/>
                <w:lang w:bidi="ar"/>
                <w14:textFill>
                  <w14:solidFill>
                    <w14:schemeClr w14:val="tx1"/>
                  </w14:solidFill>
                </w14:textFill>
              </w:rPr>
              <w:t>〔A1.3-</w:t>
            </w:r>
            <w:r>
              <w:rPr>
                <w:rFonts w:hint="eastAsia"/>
                <w:color w:val="000000" w:themeColor="text1"/>
                <w:lang w:val="en-US" w:eastAsia="zh-CN" w:bidi="ar"/>
                <w14:textFill>
                  <w14:solidFill>
                    <w14:schemeClr w14:val="tx1"/>
                  </w14:solidFill>
                </w14:textFill>
              </w:rPr>
              <w:t>4</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城市建成区、重点流域内已建成投产化工企业和危险化学品生产企业应加快退城入园，搬入化工园区前企业不应实施改扩建工程扩大生产规模</w:t>
            </w:r>
            <w:r>
              <w:rPr>
                <w:rFonts w:hint="eastAsia"/>
                <w:color w:val="000000" w:themeColor="text1"/>
                <w:lang w:eastAsia="zh-CN" w:bidi="ar"/>
                <w14:textFill>
                  <w14:solidFill>
                    <w14:schemeClr w14:val="tx1"/>
                  </w14:solidFill>
                </w14:textFill>
              </w:rPr>
              <w:t>。</w:t>
            </w:r>
          </w:p>
        </w:tc>
        <w:tc>
          <w:tcPr>
            <w:tcW w:w="6202" w:type="dxa"/>
            <w:vAlign w:val="center"/>
          </w:tcPr>
          <w:p w14:paraId="4E294B5B">
            <w:pPr>
              <w:pStyle w:val="280"/>
              <w:rPr>
                <w:rFonts w:hint="eastAsia" w:eastAsia="宋体"/>
                <w:color w:val="000000" w:themeColor="text1"/>
                <w:lang w:val="en-US" w:eastAsia="zh-CN" w:bidi="ar"/>
                <w14:textFill>
                  <w14:solidFill>
                    <w14:schemeClr w14:val="tx1"/>
                  </w14:solidFill>
                </w14:textFill>
              </w:rPr>
            </w:pPr>
            <w:r>
              <w:rPr>
                <w:color w:val="000000" w:themeColor="text1"/>
                <w:lang w:bidi="ar"/>
                <w14:textFill>
                  <w14:solidFill>
                    <w14:schemeClr w14:val="tx1"/>
                  </w14:solidFill>
                </w14:textFill>
              </w:rPr>
              <w:t>建设单位不属于危险化学品生产企业，项目不属于化工项目。</w:t>
            </w:r>
          </w:p>
        </w:tc>
        <w:tc>
          <w:tcPr>
            <w:tcW w:w="534" w:type="dxa"/>
            <w:vAlign w:val="center"/>
          </w:tcPr>
          <w:p w14:paraId="213CB83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395D52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741F3D27">
            <w:pPr>
              <w:pStyle w:val="280"/>
              <w:rPr>
                <w:color w:val="000000" w:themeColor="text1"/>
                <w:lang w:bidi="ar"/>
                <w14:textFill>
                  <w14:solidFill>
                    <w14:schemeClr w14:val="tx1"/>
                  </w14:solidFill>
                </w14:textFill>
              </w:rPr>
            </w:pPr>
          </w:p>
        </w:tc>
        <w:tc>
          <w:tcPr>
            <w:tcW w:w="508" w:type="dxa"/>
            <w:vMerge w:val="continue"/>
            <w:vAlign w:val="center"/>
          </w:tcPr>
          <w:p w14:paraId="6D7A0663">
            <w:pPr>
              <w:pStyle w:val="280"/>
              <w:rPr>
                <w:color w:val="000000" w:themeColor="text1"/>
                <w:lang w:bidi="ar"/>
                <w14:textFill>
                  <w14:solidFill>
                    <w14:schemeClr w14:val="tx1"/>
                  </w14:solidFill>
                </w14:textFill>
              </w:rPr>
            </w:pPr>
          </w:p>
        </w:tc>
        <w:tc>
          <w:tcPr>
            <w:tcW w:w="1041" w:type="dxa"/>
            <w:vMerge w:val="restart"/>
            <w:vAlign w:val="center"/>
          </w:tcPr>
          <w:p w14:paraId="7D5402A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A1.4其它布局要求</w:t>
            </w:r>
          </w:p>
        </w:tc>
        <w:tc>
          <w:tcPr>
            <w:tcW w:w="5172" w:type="dxa"/>
            <w:vAlign w:val="center"/>
          </w:tcPr>
          <w:p w14:paraId="1AF739F5">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1.4-1〕一切开发建设活动应符合国家、自治区主体功能区规划、自治区和各地颁布实施的生态环境功能区划、国民经济发展规划、产业发展规划、国土空间规划等相关规划及重点生态功能区负面清单要求，符合区域或产业规划环评要求。</w:t>
            </w:r>
          </w:p>
        </w:tc>
        <w:tc>
          <w:tcPr>
            <w:tcW w:w="6202" w:type="dxa"/>
            <w:vAlign w:val="center"/>
          </w:tcPr>
          <w:p w14:paraId="19772BC5">
            <w:pPr>
              <w:pStyle w:val="280"/>
              <w:rPr>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本</w:t>
            </w:r>
            <w:r>
              <w:rPr>
                <w:color w:val="000000" w:themeColor="text1"/>
                <w:lang w:bidi="ar"/>
                <w14:textFill>
                  <w14:solidFill>
                    <w14:schemeClr w14:val="tx1"/>
                  </w14:solidFill>
                </w14:textFill>
              </w:rPr>
              <w:t>项目建设符合《新疆维吾尔自治区国民经济和社会发展第十五个五年规划纲要》《昌吉回族自治州国民经济和社会发展第十五个五年规划纲要》《新疆维吾尔自治区主体功能区规划》《新疆维吾尔自治区矿产资源总体规划（2021—2025年）》《新疆生态环境保护“十四五”规划》《昌吉回族自治州生态环境保护与建设“十四五”规划》</w:t>
            </w:r>
            <w:r>
              <w:rPr>
                <w:rFonts w:hint="eastAsia"/>
                <w:color w:val="000000" w:themeColor="text1"/>
                <w:lang w:bidi="ar"/>
                <w14:textFill>
                  <w14:solidFill>
                    <w14:schemeClr w14:val="tx1"/>
                  </w14:solidFill>
                </w14:textFill>
              </w:rPr>
              <w:t>等</w:t>
            </w:r>
            <w:r>
              <w:rPr>
                <w:color w:val="000000" w:themeColor="text1"/>
                <w:lang w:bidi="ar"/>
                <w14:textFill>
                  <w14:solidFill>
                    <w14:schemeClr w14:val="tx1"/>
                  </w14:solidFill>
                </w14:textFill>
              </w:rPr>
              <w:t>相关规划的要求</w:t>
            </w:r>
            <w:r>
              <w:rPr>
                <w:rFonts w:hint="eastAsia"/>
                <w:color w:val="000000" w:themeColor="text1"/>
                <w:lang w:bidi="ar"/>
                <w14:textFill>
                  <w14:solidFill>
                    <w14:schemeClr w14:val="tx1"/>
                  </w14:solidFill>
                </w14:textFill>
              </w:rPr>
              <w:t>。</w:t>
            </w:r>
          </w:p>
        </w:tc>
        <w:tc>
          <w:tcPr>
            <w:tcW w:w="534" w:type="dxa"/>
            <w:vAlign w:val="center"/>
          </w:tcPr>
          <w:p w14:paraId="0BD6EE26">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7D28C0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4C2977A1">
            <w:pPr>
              <w:pStyle w:val="280"/>
              <w:rPr>
                <w:color w:val="000000" w:themeColor="text1"/>
                <w:lang w:bidi="ar"/>
                <w14:textFill>
                  <w14:solidFill>
                    <w14:schemeClr w14:val="tx1"/>
                  </w14:solidFill>
                </w14:textFill>
              </w:rPr>
            </w:pPr>
          </w:p>
        </w:tc>
        <w:tc>
          <w:tcPr>
            <w:tcW w:w="508" w:type="dxa"/>
            <w:vMerge w:val="continue"/>
            <w:vAlign w:val="center"/>
          </w:tcPr>
          <w:p w14:paraId="6DDF4A88">
            <w:pPr>
              <w:pStyle w:val="280"/>
              <w:rPr>
                <w:color w:val="000000" w:themeColor="text1"/>
                <w:lang w:bidi="ar"/>
                <w14:textFill>
                  <w14:solidFill>
                    <w14:schemeClr w14:val="tx1"/>
                  </w14:solidFill>
                </w14:textFill>
              </w:rPr>
            </w:pPr>
          </w:p>
        </w:tc>
        <w:tc>
          <w:tcPr>
            <w:tcW w:w="1041" w:type="dxa"/>
            <w:vMerge w:val="continue"/>
            <w:vAlign w:val="center"/>
          </w:tcPr>
          <w:p w14:paraId="2A3B2497">
            <w:pPr>
              <w:pStyle w:val="280"/>
              <w:rPr>
                <w:color w:val="000000" w:themeColor="text1"/>
                <w:lang w:bidi="ar"/>
                <w14:textFill>
                  <w14:solidFill>
                    <w14:schemeClr w14:val="tx1"/>
                  </w14:solidFill>
                </w14:textFill>
              </w:rPr>
            </w:pPr>
          </w:p>
        </w:tc>
        <w:tc>
          <w:tcPr>
            <w:tcW w:w="5172" w:type="dxa"/>
            <w:vAlign w:val="center"/>
          </w:tcPr>
          <w:p w14:paraId="39F77EF6">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〔A1.4-2〕新建、扩建石化、化工、焦化、有色金属冶炼、平板玻璃项目应布设在依法合规设立并经规划环评的产业园区。</w:t>
            </w:r>
          </w:p>
        </w:tc>
        <w:tc>
          <w:tcPr>
            <w:tcW w:w="6202" w:type="dxa"/>
            <w:vAlign w:val="center"/>
          </w:tcPr>
          <w:p w14:paraId="66CE6F7E">
            <w:pPr>
              <w:pStyle w:val="280"/>
              <w:rPr>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本</w:t>
            </w:r>
            <w:r>
              <w:rPr>
                <w:color w:val="000000" w:themeColor="text1"/>
                <w:lang w:bidi="ar"/>
                <w14:textFill>
                  <w14:solidFill>
                    <w14:schemeClr w14:val="tx1"/>
                  </w14:solidFill>
                </w14:textFill>
              </w:rPr>
              <w:t>项目不属于石化、化工、焦化、有色金属冶炼、平板玻璃项目。</w:t>
            </w:r>
          </w:p>
        </w:tc>
        <w:tc>
          <w:tcPr>
            <w:tcW w:w="534" w:type="dxa"/>
            <w:vAlign w:val="center"/>
          </w:tcPr>
          <w:p w14:paraId="18982398">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7B102C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1F6EE572">
            <w:pPr>
              <w:pStyle w:val="280"/>
              <w:rPr>
                <w:color w:val="000000" w:themeColor="text1"/>
                <w:lang w:bidi="ar"/>
                <w14:textFill>
                  <w14:solidFill>
                    <w14:schemeClr w14:val="tx1"/>
                  </w14:solidFill>
                </w14:textFill>
              </w:rPr>
            </w:pPr>
          </w:p>
        </w:tc>
        <w:tc>
          <w:tcPr>
            <w:tcW w:w="508" w:type="dxa"/>
            <w:vMerge w:val="continue"/>
            <w:vAlign w:val="center"/>
          </w:tcPr>
          <w:p w14:paraId="7C64F730">
            <w:pPr>
              <w:pStyle w:val="280"/>
              <w:rPr>
                <w:color w:val="000000" w:themeColor="text1"/>
                <w:lang w:bidi="ar"/>
                <w14:textFill>
                  <w14:solidFill>
                    <w14:schemeClr w14:val="tx1"/>
                  </w14:solidFill>
                </w14:textFill>
              </w:rPr>
            </w:pPr>
          </w:p>
        </w:tc>
        <w:tc>
          <w:tcPr>
            <w:tcW w:w="1041" w:type="dxa"/>
            <w:vMerge w:val="continue"/>
            <w:vAlign w:val="center"/>
          </w:tcPr>
          <w:p w14:paraId="486BF628">
            <w:pPr>
              <w:pStyle w:val="280"/>
              <w:rPr>
                <w:color w:val="000000" w:themeColor="text1"/>
                <w:lang w:bidi="ar"/>
                <w14:textFill>
                  <w14:solidFill>
                    <w14:schemeClr w14:val="tx1"/>
                  </w14:solidFill>
                </w14:textFill>
              </w:rPr>
            </w:pPr>
          </w:p>
        </w:tc>
        <w:tc>
          <w:tcPr>
            <w:tcW w:w="5172" w:type="dxa"/>
            <w:vAlign w:val="center"/>
          </w:tcPr>
          <w:p w14:paraId="70CF30F9">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1.4-3〕危险化学品生产企业搬迁改造及新建化工项目必须进入国家及自治区各级人民政府正式批准设立，规划环评通过审查，规划通过审批且环保基础设施完善的工业园区，并符合国土空间规划、产业发展规划和生态红线管控要求。</w:t>
            </w:r>
          </w:p>
        </w:tc>
        <w:tc>
          <w:tcPr>
            <w:tcW w:w="6202" w:type="dxa"/>
            <w:vAlign w:val="center"/>
          </w:tcPr>
          <w:p w14:paraId="5796B57E">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建设单位不属于危险化学品生产企业，项目不属于化工项目。</w:t>
            </w:r>
          </w:p>
        </w:tc>
        <w:tc>
          <w:tcPr>
            <w:tcW w:w="534" w:type="dxa"/>
            <w:vAlign w:val="center"/>
          </w:tcPr>
          <w:p w14:paraId="4BBD987C">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06BB73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3686DE19">
            <w:pPr>
              <w:pStyle w:val="280"/>
              <w:rPr>
                <w:color w:val="000000" w:themeColor="text1"/>
                <w:lang w:bidi="ar"/>
                <w14:textFill>
                  <w14:solidFill>
                    <w14:schemeClr w14:val="tx1"/>
                  </w14:solidFill>
                </w14:textFill>
              </w:rPr>
            </w:pPr>
          </w:p>
        </w:tc>
        <w:tc>
          <w:tcPr>
            <w:tcW w:w="508" w:type="dxa"/>
            <w:vMerge w:val="restart"/>
            <w:vAlign w:val="center"/>
          </w:tcPr>
          <w:p w14:paraId="6F032B23">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A2污染物排放管控</w:t>
            </w:r>
          </w:p>
        </w:tc>
        <w:tc>
          <w:tcPr>
            <w:tcW w:w="1041" w:type="dxa"/>
            <w:vMerge w:val="restart"/>
            <w:vAlign w:val="center"/>
          </w:tcPr>
          <w:p w14:paraId="679AD78C">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A2.1污染物削减/替代要求</w:t>
            </w:r>
          </w:p>
        </w:tc>
        <w:tc>
          <w:tcPr>
            <w:tcW w:w="5172" w:type="dxa"/>
            <w:vAlign w:val="center"/>
          </w:tcPr>
          <w:p w14:paraId="3A4BFD30">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2.1-1〕新、改、扩建重点行业建设项目应符合“三线一单”、产业政策、区域环评、规划环评和行业环境准入管控要求。重点区域的新、改、扩建重点行业建设项目应遵循重点重金属污染物排放“减量替代”原则。</w:t>
            </w:r>
          </w:p>
        </w:tc>
        <w:tc>
          <w:tcPr>
            <w:tcW w:w="6202" w:type="dxa"/>
            <w:vAlign w:val="center"/>
          </w:tcPr>
          <w:p w14:paraId="103CE06C">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项目符合生态环境分区管控动态更新成果、产业政策和行业环境准入管控要求。不涉及重点重金属污染物排放。</w:t>
            </w:r>
          </w:p>
        </w:tc>
        <w:tc>
          <w:tcPr>
            <w:tcW w:w="534" w:type="dxa"/>
            <w:vAlign w:val="center"/>
          </w:tcPr>
          <w:p w14:paraId="0A7A5BBD">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14CA4C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4A2130BD">
            <w:pPr>
              <w:pStyle w:val="280"/>
              <w:rPr>
                <w:color w:val="000000" w:themeColor="text1"/>
                <w:lang w:bidi="ar"/>
                <w14:textFill>
                  <w14:solidFill>
                    <w14:schemeClr w14:val="tx1"/>
                  </w14:solidFill>
                </w14:textFill>
              </w:rPr>
            </w:pPr>
          </w:p>
        </w:tc>
        <w:tc>
          <w:tcPr>
            <w:tcW w:w="508" w:type="dxa"/>
            <w:vMerge w:val="continue"/>
            <w:vAlign w:val="center"/>
          </w:tcPr>
          <w:p w14:paraId="666F18E5">
            <w:pPr>
              <w:pStyle w:val="280"/>
              <w:rPr>
                <w:color w:val="000000" w:themeColor="text1"/>
                <w:lang w:bidi="ar"/>
                <w14:textFill>
                  <w14:solidFill>
                    <w14:schemeClr w14:val="tx1"/>
                  </w14:solidFill>
                </w14:textFill>
              </w:rPr>
            </w:pPr>
          </w:p>
        </w:tc>
        <w:tc>
          <w:tcPr>
            <w:tcW w:w="1041" w:type="dxa"/>
            <w:vMerge w:val="continue"/>
            <w:vAlign w:val="center"/>
          </w:tcPr>
          <w:p w14:paraId="3FC11704">
            <w:pPr>
              <w:pStyle w:val="280"/>
              <w:rPr>
                <w:color w:val="000000" w:themeColor="text1"/>
                <w:lang w:bidi="ar"/>
                <w14:textFill>
                  <w14:solidFill>
                    <w14:schemeClr w14:val="tx1"/>
                  </w14:solidFill>
                </w14:textFill>
              </w:rPr>
            </w:pPr>
          </w:p>
        </w:tc>
        <w:tc>
          <w:tcPr>
            <w:tcW w:w="5172" w:type="dxa"/>
            <w:shd w:val="clear" w:color="auto" w:fill="auto"/>
            <w:vAlign w:val="center"/>
          </w:tcPr>
          <w:p w14:paraId="7E39977B">
            <w:pPr>
              <w:pStyle w:val="280"/>
              <w:rPr>
                <w:rFonts w:ascii="宋体" w:hAnsi="宋体" w:eastAsia="宋体" w:cs="Times New Roman"/>
                <w:color w:val="000000" w:themeColor="text1"/>
                <w:kern w:val="0"/>
                <w:sz w:val="21"/>
                <w:szCs w:val="21"/>
                <w:lang w:val="en-US" w:eastAsia="zh-CN" w:bidi="ar"/>
                <w14:textFill>
                  <w14:solidFill>
                    <w14:schemeClr w14:val="tx1"/>
                  </w14:solidFill>
                </w14:textFill>
              </w:rPr>
            </w:pPr>
            <w:r>
              <w:rPr>
                <w:color w:val="000000" w:themeColor="text1"/>
                <w:lang w:bidi="ar"/>
                <w14:textFill>
                  <w14:solidFill>
                    <w14:schemeClr w14:val="tx1"/>
                  </w14:solidFill>
                </w14:textFill>
              </w:rPr>
              <w:t>〔A2.1-3〕促进大气污染物与温室气体协同控制。实施污染物和温室气体协同控制，实现减污降碳协同效应。开展工业、农业温室气体和污染减排协同控制研究，减少温室气体和污染物排放。强化污水、垃圾等集中处置设施环境管理，协同控制氢氟碳化物、甲烷、氧化亚氮等温室气体。加强节约能源与大气污染防治协同有效衔接，促进大气污染防治协同增效。</w:t>
            </w:r>
          </w:p>
        </w:tc>
        <w:tc>
          <w:tcPr>
            <w:tcW w:w="6202" w:type="dxa"/>
            <w:shd w:val="clear" w:color="auto" w:fill="auto"/>
            <w:vAlign w:val="center"/>
          </w:tcPr>
          <w:p w14:paraId="15C7917E">
            <w:pPr>
              <w:pStyle w:val="280"/>
              <w:rPr>
                <w:rFonts w:ascii="宋体" w:hAnsi="宋体" w:eastAsia="宋体" w:cs="Times New Roman"/>
                <w:color w:val="000000" w:themeColor="text1"/>
                <w:kern w:val="0"/>
                <w:sz w:val="21"/>
                <w:szCs w:val="21"/>
                <w:lang w:val="en-US" w:eastAsia="zh-CN" w:bidi="ar"/>
                <w14:textFill>
                  <w14:solidFill>
                    <w14:schemeClr w14:val="tx1"/>
                  </w14:solidFill>
                </w14:textFill>
              </w:rPr>
            </w:pPr>
            <w:r>
              <w:rPr>
                <w:color w:val="000000" w:themeColor="text1"/>
                <w:lang w:bidi="ar"/>
                <w14:textFill>
                  <w14:solidFill>
                    <w14:schemeClr w14:val="tx1"/>
                  </w14:solidFill>
                </w14:textFill>
              </w:rPr>
              <w:t>项目运营期在工艺技术、节能设备及碳排放管理等方面均采取了较完善的减污降碳措施，有利于减少二氧化碳排放，对比同类企业碳排放水平，本项目CO</w:t>
            </w:r>
            <w:r>
              <w:rPr>
                <w:color w:val="000000" w:themeColor="text1"/>
                <w:vertAlign w:val="subscript"/>
                <w:lang w:bidi="ar"/>
                <w14:textFill>
                  <w14:solidFill>
                    <w14:schemeClr w14:val="tx1"/>
                  </w14:solidFill>
                </w14:textFill>
              </w:rPr>
              <w:t>2</w:t>
            </w:r>
            <w:r>
              <w:rPr>
                <w:color w:val="000000" w:themeColor="text1"/>
                <w:lang w:bidi="ar"/>
                <w14:textFill>
                  <w14:solidFill>
                    <w14:schemeClr w14:val="tx1"/>
                  </w14:solidFill>
                </w14:textFill>
              </w:rPr>
              <w:t>排放强度相对较低，温室气体排放对环境的影响不大。</w:t>
            </w:r>
          </w:p>
        </w:tc>
        <w:tc>
          <w:tcPr>
            <w:tcW w:w="534" w:type="dxa"/>
            <w:shd w:val="clear" w:color="auto" w:fill="auto"/>
            <w:vAlign w:val="center"/>
          </w:tcPr>
          <w:p w14:paraId="5A9CEED4">
            <w:pPr>
              <w:pStyle w:val="280"/>
              <w:rPr>
                <w:rFonts w:ascii="宋体" w:hAnsi="宋体" w:eastAsia="宋体" w:cs="Times New Roman"/>
                <w:color w:val="000000" w:themeColor="text1"/>
                <w:kern w:val="0"/>
                <w:sz w:val="21"/>
                <w:szCs w:val="21"/>
                <w:lang w:val="en-US" w:eastAsia="zh-CN" w:bidi="ar"/>
                <w14:textFill>
                  <w14:solidFill>
                    <w14:schemeClr w14:val="tx1"/>
                  </w14:solidFill>
                </w14:textFill>
              </w:rPr>
            </w:pPr>
            <w:r>
              <w:rPr>
                <w:color w:val="000000" w:themeColor="text1"/>
                <w:lang w:bidi="ar"/>
                <w14:textFill>
                  <w14:solidFill>
                    <w14:schemeClr w14:val="tx1"/>
                  </w14:solidFill>
                </w14:textFill>
              </w:rPr>
              <w:t>符合</w:t>
            </w:r>
          </w:p>
        </w:tc>
      </w:tr>
      <w:tr w14:paraId="112989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0E4BDCE8">
            <w:pPr>
              <w:pStyle w:val="280"/>
              <w:rPr>
                <w:color w:val="000000" w:themeColor="text1"/>
                <w:lang w:bidi="ar"/>
                <w14:textFill>
                  <w14:solidFill>
                    <w14:schemeClr w14:val="tx1"/>
                  </w14:solidFill>
                </w14:textFill>
              </w:rPr>
            </w:pPr>
          </w:p>
        </w:tc>
        <w:tc>
          <w:tcPr>
            <w:tcW w:w="508" w:type="dxa"/>
            <w:vMerge w:val="continue"/>
            <w:vAlign w:val="center"/>
          </w:tcPr>
          <w:p w14:paraId="4694FC87">
            <w:pPr>
              <w:pStyle w:val="280"/>
              <w:rPr>
                <w:color w:val="000000" w:themeColor="text1"/>
                <w:lang w:bidi="ar"/>
                <w14:textFill>
                  <w14:solidFill>
                    <w14:schemeClr w14:val="tx1"/>
                  </w14:solidFill>
                </w14:textFill>
              </w:rPr>
            </w:pPr>
          </w:p>
        </w:tc>
        <w:tc>
          <w:tcPr>
            <w:tcW w:w="1041" w:type="dxa"/>
            <w:vMerge w:val="continue"/>
            <w:vAlign w:val="center"/>
          </w:tcPr>
          <w:p w14:paraId="5CA8AA3F">
            <w:pPr>
              <w:pStyle w:val="280"/>
              <w:rPr>
                <w:color w:val="000000" w:themeColor="text1"/>
                <w:lang w:bidi="ar"/>
                <w14:textFill>
                  <w14:solidFill>
                    <w14:schemeClr w14:val="tx1"/>
                  </w14:solidFill>
                </w14:textFill>
              </w:rPr>
            </w:pPr>
          </w:p>
        </w:tc>
        <w:tc>
          <w:tcPr>
            <w:tcW w:w="5172" w:type="dxa"/>
            <w:vAlign w:val="center"/>
          </w:tcPr>
          <w:p w14:paraId="4D981F9B">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〔A2.1-</w:t>
            </w:r>
            <w:r>
              <w:rPr>
                <w:rFonts w:hint="eastAsia"/>
                <w:color w:val="000000" w:themeColor="text1"/>
                <w:lang w:val="en-US" w:eastAsia="zh-CN" w:bidi="ar"/>
                <w14:textFill>
                  <w14:solidFill>
                    <w14:schemeClr w14:val="tx1"/>
                  </w14:solidFill>
                </w14:textFill>
              </w:rPr>
              <w:t>4</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严控建材、铸造、冶炼等行业无组织排放，推进石化、化工、涂装、医药、包装印刷、油品储运销等行业项目挥发性有机物</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VOCs</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防治。严格有色金属冶炼、石油加工、化工、焦化等行业项目的土壤、地下水污染防治措施要求。推进工业园区和企业集群建设涉VOCs“绿岛”项目，统筹规划建设一批集中涂装中心、活性炭集中处理中心、溶剂回收中心等，实现VOCs集中高效处理。</w:t>
            </w:r>
          </w:p>
        </w:tc>
        <w:tc>
          <w:tcPr>
            <w:tcW w:w="6202" w:type="dxa"/>
            <w:vAlign w:val="center"/>
          </w:tcPr>
          <w:p w14:paraId="60016CA7">
            <w:pPr>
              <w:pStyle w:val="280"/>
              <w:rPr>
                <w:rFonts w:hint="default" w:eastAsia="宋体"/>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本项目不属于</w:t>
            </w:r>
            <w:r>
              <w:rPr>
                <w:rFonts w:hint="eastAsia"/>
                <w:color w:val="000000" w:themeColor="text1"/>
                <w:lang w:bidi="ar"/>
                <w14:textFill>
                  <w14:solidFill>
                    <w14:schemeClr w14:val="tx1"/>
                  </w14:solidFill>
                </w14:textFill>
              </w:rPr>
              <w:t>建材、铸造、冶炼</w:t>
            </w:r>
            <w:r>
              <w:rPr>
                <w:rFonts w:hint="eastAsia"/>
                <w:color w:val="000000" w:themeColor="text1"/>
                <w:lang w:eastAsia="zh-CN" w:bidi="ar"/>
                <w14:textFill>
                  <w14:solidFill>
                    <w14:schemeClr w14:val="tx1"/>
                  </w14:solidFill>
                </w14:textFill>
              </w:rPr>
              <w:t>、石化、化工、涂装、医药、包装印刷、油品储运销、</w:t>
            </w:r>
            <w:r>
              <w:rPr>
                <w:rFonts w:hint="eastAsia"/>
                <w:color w:val="000000" w:themeColor="text1"/>
                <w:lang w:val="en-US" w:eastAsia="zh-CN" w:bidi="ar"/>
                <w14:textFill>
                  <w14:solidFill>
                    <w14:schemeClr w14:val="tx1"/>
                  </w14:solidFill>
                </w14:textFill>
              </w:rPr>
              <w:t>有色</w:t>
            </w:r>
            <w:r>
              <w:rPr>
                <w:rFonts w:hint="eastAsia"/>
                <w:color w:val="000000" w:themeColor="text1"/>
                <w:lang w:bidi="ar"/>
                <w14:textFill>
                  <w14:solidFill>
                    <w14:schemeClr w14:val="tx1"/>
                  </w14:solidFill>
                </w14:textFill>
              </w:rPr>
              <w:t>金属冶炼、石油加工、化工、焦化</w:t>
            </w:r>
            <w:r>
              <w:rPr>
                <w:rFonts w:hint="eastAsia"/>
                <w:color w:val="000000" w:themeColor="text1"/>
                <w:lang w:eastAsia="zh-CN" w:bidi="ar"/>
                <w14:textFill>
                  <w14:solidFill>
                    <w14:schemeClr w14:val="tx1"/>
                  </w14:solidFill>
                </w14:textFill>
              </w:rPr>
              <w:t>等行业</w:t>
            </w:r>
            <w:r>
              <w:rPr>
                <w:rFonts w:hint="eastAsia"/>
                <w:color w:val="000000" w:themeColor="text1"/>
                <w:lang w:val="en-US" w:eastAsia="zh-CN" w:bidi="ar"/>
                <w14:textFill>
                  <w14:solidFill>
                    <w14:schemeClr w14:val="tx1"/>
                  </w14:solidFill>
                </w14:textFill>
              </w:rPr>
              <w:t>项目</w:t>
            </w:r>
            <w:r>
              <w:rPr>
                <w:rFonts w:hint="eastAsia"/>
                <w:color w:val="000000" w:themeColor="text1"/>
                <w:lang w:eastAsia="zh-CN" w:bidi="ar"/>
                <w14:textFill>
                  <w14:solidFill>
                    <w14:schemeClr w14:val="tx1"/>
                  </w14:solidFill>
                </w14:textFill>
              </w:rPr>
              <w:t>。</w:t>
            </w:r>
          </w:p>
        </w:tc>
        <w:tc>
          <w:tcPr>
            <w:tcW w:w="534" w:type="dxa"/>
            <w:vAlign w:val="center"/>
          </w:tcPr>
          <w:p w14:paraId="31B2195C">
            <w:pPr>
              <w:pStyle w:val="280"/>
              <w:rPr>
                <w:color w:val="000000" w:themeColor="text1"/>
                <w:lang w:bidi="ar"/>
                <w14:textFill>
                  <w14:solidFill>
                    <w14:schemeClr w14:val="tx1"/>
                  </w14:solidFill>
                </w14:textFill>
              </w:rPr>
            </w:pPr>
          </w:p>
        </w:tc>
      </w:tr>
      <w:tr w14:paraId="20EAE9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018E31A1">
            <w:pPr>
              <w:pStyle w:val="280"/>
              <w:rPr>
                <w:color w:val="000000" w:themeColor="text1"/>
                <w:lang w:bidi="ar"/>
                <w14:textFill>
                  <w14:solidFill>
                    <w14:schemeClr w14:val="tx1"/>
                  </w14:solidFill>
                </w14:textFill>
              </w:rPr>
            </w:pPr>
          </w:p>
        </w:tc>
        <w:tc>
          <w:tcPr>
            <w:tcW w:w="508" w:type="dxa"/>
            <w:vMerge w:val="continue"/>
            <w:vAlign w:val="center"/>
          </w:tcPr>
          <w:p w14:paraId="47128D55">
            <w:pPr>
              <w:pStyle w:val="280"/>
              <w:rPr>
                <w:color w:val="000000" w:themeColor="text1"/>
                <w:lang w:bidi="ar"/>
                <w14:textFill>
                  <w14:solidFill>
                    <w14:schemeClr w14:val="tx1"/>
                  </w14:solidFill>
                </w14:textFill>
              </w:rPr>
            </w:pPr>
          </w:p>
        </w:tc>
        <w:tc>
          <w:tcPr>
            <w:tcW w:w="1041" w:type="dxa"/>
            <w:vAlign w:val="center"/>
          </w:tcPr>
          <w:p w14:paraId="2DC4D74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A2.2污染控制措施要求</w:t>
            </w:r>
          </w:p>
        </w:tc>
        <w:tc>
          <w:tcPr>
            <w:tcW w:w="5172" w:type="dxa"/>
            <w:vAlign w:val="center"/>
          </w:tcPr>
          <w:p w14:paraId="7383F5E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2.2-1〕推动能源、钢铁、建材、有色、电力、化工等重点领域技术升级，控制工业过程温室气体排放，推动工业领域绿色低碳发展。积极鼓励发展二氧化碳捕集利用与封存等低碳技术。促进大气污染物与温室气体协同控制。实施污染物和温室气体协同控制，实现减污降碳协同效应。强化污水、垃圾等集中处置设施环境管理，协同控制氢氟碳化物、甲烷、氧化亚氮等温室气体。加强节约能源与大气污染防治协同有效衔接，促进大气污染防治协同增效。</w:t>
            </w:r>
          </w:p>
        </w:tc>
        <w:tc>
          <w:tcPr>
            <w:tcW w:w="6202" w:type="dxa"/>
            <w:vAlign w:val="center"/>
          </w:tcPr>
          <w:p w14:paraId="287E0F84">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本项目不属于“能源、钢铁、建材、有色、电力、化工”等重点领域项目，施工期和运营期产生的“三废”、噪声及生态影响均提出了相应的治理或减缓措施。</w:t>
            </w:r>
          </w:p>
        </w:tc>
        <w:tc>
          <w:tcPr>
            <w:tcW w:w="534" w:type="dxa"/>
            <w:vAlign w:val="center"/>
          </w:tcPr>
          <w:p w14:paraId="0725F806">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61E743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6F02EDB3">
            <w:pPr>
              <w:pStyle w:val="280"/>
              <w:rPr>
                <w:color w:val="000000" w:themeColor="text1"/>
                <w:lang w:bidi="ar"/>
                <w14:textFill>
                  <w14:solidFill>
                    <w14:schemeClr w14:val="tx1"/>
                  </w14:solidFill>
                </w14:textFill>
              </w:rPr>
            </w:pPr>
          </w:p>
        </w:tc>
        <w:tc>
          <w:tcPr>
            <w:tcW w:w="508" w:type="dxa"/>
            <w:vMerge w:val="restart"/>
            <w:noWrap/>
            <w:vAlign w:val="center"/>
          </w:tcPr>
          <w:p w14:paraId="5E65E7BC">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A3环境风险防控</w:t>
            </w:r>
          </w:p>
        </w:tc>
        <w:tc>
          <w:tcPr>
            <w:tcW w:w="1041" w:type="dxa"/>
            <w:vMerge w:val="restart"/>
            <w:noWrap/>
            <w:vAlign w:val="center"/>
          </w:tcPr>
          <w:p w14:paraId="0677ECF2">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A3.2联防联控要求</w:t>
            </w:r>
          </w:p>
        </w:tc>
        <w:tc>
          <w:tcPr>
            <w:tcW w:w="5172" w:type="dxa"/>
            <w:vAlign w:val="center"/>
          </w:tcPr>
          <w:p w14:paraId="41C9A4A1">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3.2-3〕加强新污染物多环境介质协同治理。排放重点管控新污染物的企事业单位应采取污染控制措施，达到相关污染物排放标准及环境质量目标要求；按照排污许可管理有关要求，依法申领排污许可证或填写排污登记表，并在其中载明执行的污染控制标准要求及采取的污染控制措施。排放重点管控新污染物的企事业单位和其他生产经营者应按照相关法律法规要求，对排放（污）口及其周边环境定期开展环境监测，评估环境风险，排查整治环境安全隐患，依法公开新污染物信息，采取措施防范环境风险。土壤污染重点监管单位应严格控制有毒有害物质排放，建立土壤污染隐患排查制度防止有毒有害物质渗漏、流失、扬散。</w:t>
            </w:r>
          </w:p>
        </w:tc>
        <w:tc>
          <w:tcPr>
            <w:tcW w:w="6202" w:type="dxa"/>
            <w:vAlign w:val="center"/>
          </w:tcPr>
          <w:p w14:paraId="6FBD8E79">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本项目不涉及新污染物排放；不涉及排污许可证申领或排污登记表填写；中国石油新疆油田分公司</w:t>
            </w:r>
            <w:r>
              <w:rPr>
                <w:rFonts w:hint="eastAsia"/>
                <w:color w:val="000000" w:themeColor="text1"/>
                <w:lang w:bidi="ar"/>
                <w14:textFill>
                  <w14:solidFill>
                    <w14:schemeClr w14:val="tx1"/>
                  </w14:solidFill>
                </w14:textFill>
              </w:rPr>
              <w:t>吉庆油田作业区</w:t>
            </w:r>
            <w:r>
              <w:rPr>
                <w:color w:val="000000" w:themeColor="text1"/>
                <w:lang w:bidi="ar"/>
                <w14:textFill>
                  <w14:solidFill>
                    <w14:schemeClr w14:val="tx1"/>
                  </w14:solidFill>
                </w14:textFill>
              </w:rPr>
              <w:t>不属于土壤污染重点监管单位。</w:t>
            </w:r>
          </w:p>
        </w:tc>
        <w:tc>
          <w:tcPr>
            <w:tcW w:w="534" w:type="dxa"/>
            <w:vAlign w:val="center"/>
          </w:tcPr>
          <w:p w14:paraId="560FBDEE">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05EE6B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001AFC05">
            <w:pPr>
              <w:pStyle w:val="280"/>
              <w:rPr>
                <w:color w:val="000000" w:themeColor="text1"/>
                <w:lang w:bidi="ar"/>
                <w14:textFill>
                  <w14:solidFill>
                    <w14:schemeClr w14:val="tx1"/>
                  </w14:solidFill>
                </w14:textFill>
              </w:rPr>
            </w:pPr>
          </w:p>
        </w:tc>
        <w:tc>
          <w:tcPr>
            <w:tcW w:w="508" w:type="dxa"/>
            <w:vMerge w:val="continue"/>
            <w:vAlign w:val="center"/>
          </w:tcPr>
          <w:p w14:paraId="2642EE96">
            <w:pPr>
              <w:pStyle w:val="280"/>
              <w:rPr>
                <w:color w:val="000000" w:themeColor="text1"/>
                <w:lang w:bidi="ar"/>
                <w14:textFill>
                  <w14:solidFill>
                    <w14:schemeClr w14:val="tx1"/>
                  </w14:solidFill>
                </w14:textFill>
              </w:rPr>
            </w:pPr>
          </w:p>
        </w:tc>
        <w:tc>
          <w:tcPr>
            <w:tcW w:w="1041" w:type="dxa"/>
            <w:vMerge w:val="continue"/>
            <w:vAlign w:val="center"/>
          </w:tcPr>
          <w:p w14:paraId="70C7AEC2">
            <w:pPr>
              <w:pStyle w:val="280"/>
              <w:rPr>
                <w:color w:val="000000" w:themeColor="text1"/>
                <w:lang w:bidi="ar"/>
                <w14:textFill>
                  <w14:solidFill>
                    <w14:schemeClr w14:val="tx1"/>
                  </w14:solidFill>
                </w14:textFill>
              </w:rPr>
            </w:pPr>
          </w:p>
        </w:tc>
        <w:tc>
          <w:tcPr>
            <w:tcW w:w="5172" w:type="dxa"/>
            <w:vAlign w:val="center"/>
          </w:tcPr>
          <w:p w14:paraId="37882E88">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3.2-5〕强化生态环境应急管理。实施企业突发生态环境应急预案电子化备案，完成县级以上政府突发环境事件应急预案修编。完善区域和企业应急处置物资储备系统，结合新疆各地特征污染物的特性，加强应急物资储备及应急物资信息化建设，掌握社会应急物资储备动态信息，妥善应对各类突发生态环境事件。加强应急监测装备配置，定期开展应急演练，增强实战能力。</w:t>
            </w:r>
          </w:p>
        </w:tc>
        <w:tc>
          <w:tcPr>
            <w:tcW w:w="6202" w:type="dxa"/>
            <w:vAlign w:val="center"/>
          </w:tcPr>
          <w:p w14:paraId="7E6DDA2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项目将按要求落实各项风险防控措施，项目投产后，新建井场、单井采油管线、单井</w:t>
            </w:r>
            <w:r>
              <w:rPr>
                <w:rFonts w:hint="eastAsia"/>
                <w:color w:val="000000" w:themeColor="text1"/>
                <w:lang w:bidi="ar"/>
                <w14:textFill>
                  <w14:solidFill>
                    <w14:schemeClr w14:val="tx1"/>
                  </w14:solidFill>
                </w14:textFill>
              </w:rPr>
              <w:t>注水管线</w:t>
            </w:r>
            <w:r>
              <w:rPr>
                <w:color w:val="000000" w:themeColor="text1"/>
                <w:lang w:bidi="ar"/>
                <w14:textFill>
                  <w14:solidFill>
                    <w14:schemeClr w14:val="tx1"/>
                  </w14:solidFill>
                </w14:textFill>
              </w:rPr>
              <w:t>等工程内容</w:t>
            </w:r>
            <w:r>
              <w:rPr>
                <w:rFonts w:hint="eastAsia"/>
                <w:color w:val="000000" w:themeColor="text1"/>
                <w:lang w:bidi="ar"/>
                <w14:textFill>
                  <w14:solidFill>
                    <w14:schemeClr w14:val="tx1"/>
                  </w14:solidFill>
                </w14:textFill>
              </w:rPr>
              <w:t>均</w:t>
            </w:r>
            <w:r>
              <w:rPr>
                <w:color w:val="000000" w:themeColor="text1"/>
                <w:lang w:bidi="ar"/>
                <w14:textFill>
                  <w14:solidFill>
                    <w14:schemeClr w14:val="tx1"/>
                  </w14:solidFill>
                </w14:textFill>
              </w:rPr>
              <w:t>应纳入《中国石油新疆油田分公司吉庆油田作业区突发环境事件应急预案》，从而对环境风险进行有效防治。</w:t>
            </w:r>
          </w:p>
        </w:tc>
        <w:tc>
          <w:tcPr>
            <w:tcW w:w="534" w:type="dxa"/>
            <w:vAlign w:val="center"/>
          </w:tcPr>
          <w:p w14:paraId="57577764">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742531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26905244">
            <w:pPr>
              <w:pStyle w:val="280"/>
              <w:rPr>
                <w:color w:val="000000" w:themeColor="text1"/>
                <w:lang w:bidi="ar"/>
                <w14:textFill>
                  <w14:solidFill>
                    <w14:schemeClr w14:val="tx1"/>
                  </w14:solidFill>
                </w14:textFill>
              </w:rPr>
            </w:pPr>
          </w:p>
        </w:tc>
        <w:tc>
          <w:tcPr>
            <w:tcW w:w="508" w:type="dxa"/>
            <w:vMerge w:val="restart"/>
            <w:vAlign w:val="center"/>
          </w:tcPr>
          <w:p w14:paraId="09B0B18E">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A4资源利用要求</w:t>
            </w:r>
          </w:p>
        </w:tc>
        <w:tc>
          <w:tcPr>
            <w:tcW w:w="1041" w:type="dxa"/>
            <w:vAlign w:val="center"/>
          </w:tcPr>
          <w:p w14:paraId="5A984690">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A4.1水资源</w:t>
            </w:r>
          </w:p>
        </w:tc>
        <w:tc>
          <w:tcPr>
            <w:tcW w:w="5172" w:type="dxa"/>
            <w:vAlign w:val="center"/>
          </w:tcPr>
          <w:p w14:paraId="1ED7E213">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〔A4.1-1〕自治区用水总量2025年、2030年控制在国家下达的指标内。</w:t>
            </w:r>
          </w:p>
        </w:tc>
        <w:tc>
          <w:tcPr>
            <w:tcW w:w="6202" w:type="dxa"/>
            <w:vAlign w:val="center"/>
          </w:tcPr>
          <w:p w14:paraId="5B08AB9F">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运营期消耗少量的水，用量较少，从吉木萨尔县县城拉运至项目区，不会突破区域总量控制指标。</w:t>
            </w:r>
          </w:p>
        </w:tc>
        <w:tc>
          <w:tcPr>
            <w:tcW w:w="534" w:type="dxa"/>
            <w:vAlign w:val="center"/>
          </w:tcPr>
          <w:p w14:paraId="76ACDFDB">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1ACA23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51F2EE97">
            <w:pPr>
              <w:pStyle w:val="280"/>
              <w:rPr>
                <w:color w:val="000000" w:themeColor="text1"/>
                <w:lang w:bidi="ar"/>
                <w14:textFill>
                  <w14:solidFill>
                    <w14:schemeClr w14:val="tx1"/>
                  </w14:solidFill>
                </w14:textFill>
              </w:rPr>
            </w:pPr>
          </w:p>
        </w:tc>
        <w:tc>
          <w:tcPr>
            <w:tcW w:w="508" w:type="dxa"/>
            <w:vMerge w:val="continue"/>
            <w:vAlign w:val="center"/>
          </w:tcPr>
          <w:p w14:paraId="6FB7EE4B">
            <w:pPr>
              <w:pStyle w:val="280"/>
              <w:rPr>
                <w:color w:val="000000" w:themeColor="text1"/>
                <w:lang w:bidi="ar"/>
                <w14:textFill>
                  <w14:solidFill>
                    <w14:schemeClr w14:val="tx1"/>
                  </w14:solidFill>
                </w14:textFill>
              </w:rPr>
            </w:pPr>
          </w:p>
        </w:tc>
        <w:tc>
          <w:tcPr>
            <w:tcW w:w="1041" w:type="dxa"/>
            <w:vAlign w:val="center"/>
          </w:tcPr>
          <w:p w14:paraId="7E3DB279">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A4.3能源利用</w:t>
            </w:r>
          </w:p>
        </w:tc>
        <w:tc>
          <w:tcPr>
            <w:tcW w:w="5172" w:type="dxa"/>
            <w:vAlign w:val="center"/>
          </w:tcPr>
          <w:p w14:paraId="1FF4B648">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〔A4.3-4〕鼓励使用清洁能源或电厂热力、工业余热等替代锅炉、炉窑燃料用煤。</w:t>
            </w:r>
          </w:p>
        </w:tc>
        <w:tc>
          <w:tcPr>
            <w:tcW w:w="6202" w:type="dxa"/>
            <w:vAlign w:val="center"/>
          </w:tcPr>
          <w:p w14:paraId="0A01B868">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运营期消耗少量的电能，不使用燃煤，不会突破区域总量控制指标。</w:t>
            </w:r>
          </w:p>
        </w:tc>
        <w:tc>
          <w:tcPr>
            <w:tcW w:w="534" w:type="dxa"/>
            <w:vAlign w:val="center"/>
          </w:tcPr>
          <w:p w14:paraId="7F0C35DC">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1DE417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57C87985">
            <w:pPr>
              <w:pStyle w:val="280"/>
              <w:rPr>
                <w:color w:val="000000" w:themeColor="text1"/>
                <w:lang w:bidi="ar"/>
                <w14:textFill>
                  <w14:solidFill>
                    <w14:schemeClr w14:val="tx1"/>
                  </w14:solidFill>
                </w14:textFill>
              </w:rPr>
            </w:pPr>
          </w:p>
        </w:tc>
        <w:tc>
          <w:tcPr>
            <w:tcW w:w="508" w:type="dxa"/>
            <w:vMerge w:val="continue"/>
            <w:vAlign w:val="center"/>
          </w:tcPr>
          <w:p w14:paraId="40EAC7F2">
            <w:pPr>
              <w:pStyle w:val="280"/>
              <w:rPr>
                <w:color w:val="000000" w:themeColor="text1"/>
                <w:lang w:bidi="ar"/>
                <w14:textFill>
                  <w14:solidFill>
                    <w14:schemeClr w14:val="tx1"/>
                  </w14:solidFill>
                </w14:textFill>
              </w:rPr>
            </w:pPr>
          </w:p>
        </w:tc>
        <w:tc>
          <w:tcPr>
            <w:tcW w:w="1041" w:type="dxa"/>
            <w:vAlign w:val="center"/>
          </w:tcPr>
          <w:p w14:paraId="0A056695">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A4.4禁燃区要求</w:t>
            </w:r>
          </w:p>
        </w:tc>
        <w:tc>
          <w:tcPr>
            <w:tcW w:w="5172" w:type="dxa"/>
            <w:vAlign w:val="center"/>
          </w:tcPr>
          <w:p w14:paraId="0C3D298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〔A4.4-1〕在禁燃区内，禁止销售、燃用高污染燃料；禁止新建、扩建燃用高污染燃料的设施。已建成的，应当在规定期限内改用清洁能源。</w:t>
            </w:r>
          </w:p>
        </w:tc>
        <w:tc>
          <w:tcPr>
            <w:tcW w:w="6202" w:type="dxa"/>
            <w:vAlign w:val="center"/>
          </w:tcPr>
          <w:p w14:paraId="216F4A95">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项目不使用燃煤。</w:t>
            </w:r>
          </w:p>
        </w:tc>
        <w:tc>
          <w:tcPr>
            <w:tcW w:w="534" w:type="dxa"/>
            <w:vAlign w:val="center"/>
          </w:tcPr>
          <w:p w14:paraId="458CF97D">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r w14:paraId="1CBAF1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3" w:hRule="atLeast"/>
        </w:trPr>
        <w:tc>
          <w:tcPr>
            <w:tcW w:w="536" w:type="dxa"/>
            <w:vMerge w:val="continue"/>
            <w:vAlign w:val="center"/>
          </w:tcPr>
          <w:p w14:paraId="52624E9D">
            <w:pPr>
              <w:pStyle w:val="280"/>
              <w:rPr>
                <w:color w:val="000000" w:themeColor="text1"/>
                <w:lang w:bidi="ar"/>
                <w14:textFill>
                  <w14:solidFill>
                    <w14:schemeClr w14:val="tx1"/>
                  </w14:solidFill>
                </w14:textFill>
              </w:rPr>
            </w:pPr>
          </w:p>
        </w:tc>
        <w:tc>
          <w:tcPr>
            <w:tcW w:w="508" w:type="dxa"/>
            <w:vMerge w:val="continue"/>
            <w:vAlign w:val="center"/>
          </w:tcPr>
          <w:p w14:paraId="206EBD78">
            <w:pPr>
              <w:pStyle w:val="280"/>
              <w:rPr>
                <w:color w:val="000000" w:themeColor="text1"/>
                <w:lang w:bidi="ar"/>
                <w14:textFill>
                  <w14:solidFill>
                    <w14:schemeClr w14:val="tx1"/>
                  </w14:solidFill>
                </w14:textFill>
              </w:rPr>
            </w:pPr>
          </w:p>
        </w:tc>
        <w:tc>
          <w:tcPr>
            <w:tcW w:w="1041" w:type="dxa"/>
            <w:vAlign w:val="center"/>
          </w:tcPr>
          <w:p w14:paraId="536775AA">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A4.5资源综合利用</w:t>
            </w:r>
          </w:p>
        </w:tc>
        <w:tc>
          <w:tcPr>
            <w:tcW w:w="5172" w:type="dxa"/>
            <w:vAlign w:val="center"/>
          </w:tcPr>
          <w:p w14:paraId="4319E921">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A4.5-1〕加强固体废物源头减量、资源化利用和无害化处置，最大限度减少填埋量。推进工业固体废物精细化、名录化环境管理，促进大宗工业固废综合利用、主要农业废弃物全量利用。加快构建废旧物资回收和循环利用体系，健全强制报废制度和废旧家电、消费电子等耐用消费品回收处理体系，推行生产企业“逆向回收”等模式。以尾矿和共伴生矿、煤矸石、炉渣、粉煤灰、脱硫石膏、冶炼渣、建筑垃圾等为重点，持续推进固体废物综合利用和环境整治，不断提高大宗固体废物资源化利用水平。推行生活垃圾分类，加快建设县（市）生活垃圾处理设施，到2025年，全疆城市生活垃圾无害化处理率达到99%以上。</w:t>
            </w:r>
          </w:p>
        </w:tc>
        <w:tc>
          <w:tcPr>
            <w:tcW w:w="6202" w:type="dxa"/>
            <w:vAlign w:val="center"/>
          </w:tcPr>
          <w:p w14:paraId="54115FD1">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运营期固体废物主要为废润滑油、废润滑油桶、沾油废防渗材料和废含油抹布、劳保用品，均为危险废物，各类危险废物分类收集，集中收集后交由有相应资质的单位处置。</w:t>
            </w:r>
          </w:p>
        </w:tc>
        <w:tc>
          <w:tcPr>
            <w:tcW w:w="534" w:type="dxa"/>
            <w:vAlign w:val="center"/>
          </w:tcPr>
          <w:p w14:paraId="3995C40C">
            <w:pPr>
              <w:pStyle w:val="280"/>
              <w:rPr>
                <w:color w:val="000000" w:themeColor="text1"/>
                <w:lang w:bidi="ar"/>
                <w14:textFill>
                  <w14:solidFill>
                    <w14:schemeClr w14:val="tx1"/>
                  </w14:solidFill>
                </w14:textFill>
              </w:rPr>
            </w:pPr>
            <w:r>
              <w:rPr>
                <w:color w:val="000000" w:themeColor="text1"/>
                <w:lang w:bidi="ar"/>
                <w14:textFill>
                  <w14:solidFill>
                    <w14:schemeClr w14:val="tx1"/>
                  </w14:solidFill>
                </w14:textFill>
              </w:rPr>
              <w:t>符合</w:t>
            </w:r>
          </w:p>
        </w:tc>
      </w:tr>
    </w:tbl>
    <w:p w14:paraId="06A87B31">
      <w:pPr>
        <w:pStyle w:val="193"/>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②与《昌吉回族自治州生态环境分区管控动态更新成果》符合性分析</w:t>
      </w:r>
    </w:p>
    <w:p w14:paraId="088AACDE">
      <w:pPr>
        <w:pStyle w:val="193"/>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根据《昌吉回族自治州生态环境分区管控动态更新成果》可知，项目位于重点管控单元——吉木萨尔县限采区，环境管控单元编码：</w:t>
      </w:r>
      <w:r>
        <w:rPr>
          <w:rFonts w:cs="宋体"/>
          <w:color w:val="000000" w:themeColor="text1"/>
          <w14:textFill>
            <w14:solidFill>
              <w14:schemeClr w14:val="tx1"/>
            </w14:solidFill>
          </w14:textFill>
        </w:rPr>
        <w:t>ZH65232720005</w:t>
      </w:r>
      <w:bookmarkStart w:id="196" w:name="_Hlk175236719"/>
      <w:r>
        <w:rPr>
          <w:rFonts w:hint="eastAsia"/>
          <w:color w:val="000000" w:themeColor="text1"/>
          <w:lang w:bidi="ar"/>
          <w14:textFill>
            <w14:solidFill>
              <w14:schemeClr w14:val="tx1"/>
            </w14:solidFill>
          </w14:textFill>
        </w:rPr>
        <w:t>，详见图2</w:t>
      </w:r>
      <w:r>
        <w:rPr>
          <w:color w:val="000000" w:themeColor="text1"/>
          <w:lang w:bidi="ar"/>
          <w14:textFill>
            <w14:solidFill>
              <w14:schemeClr w14:val="tx1"/>
            </w14:solidFill>
          </w14:textFill>
        </w:rPr>
        <w:t>.9-</w:t>
      </w:r>
      <w:r>
        <w:rPr>
          <w:rFonts w:hint="eastAsia"/>
          <w:color w:val="000000" w:themeColor="text1"/>
          <w:lang w:bidi="ar"/>
          <w14:textFill>
            <w14:solidFill>
              <w14:schemeClr w14:val="tx1"/>
            </w14:solidFill>
          </w14:textFill>
        </w:rPr>
        <w:t>1，</w:t>
      </w:r>
      <w:bookmarkEnd w:id="196"/>
      <w:r>
        <w:rPr>
          <w:rFonts w:hint="eastAsia"/>
          <w:color w:val="000000" w:themeColor="text1"/>
          <w:lang w:bidi="ar"/>
          <w14:textFill>
            <w14:solidFill>
              <w14:schemeClr w14:val="tx1"/>
            </w14:solidFill>
          </w14:textFill>
        </w:rPr>
        <w:t>建设符合吉木萨尔县生态环境准入清单的要求，符合性分析详见表2.9-1</w:t>
      </w:r>
      <w:r>
        <w:rPr>
          <w:rFonts w:hint="eastAsia"/>
          <w:color w:val="000000" w:themeColor="text1"/>
          <w:lang w:val="en-US" w:eastAsia="zh-CN" w:bidi="ar"/>
          <w14:textFill>
            <w14:solidFill>
              <w14:schemeClr w14:val="tx1"/>
            </w14:solidFill>
          </w14:textFill>
        </w:rPr>
        <w:t>6</w:t>
      </w:r>
      <w:r>
        <w:rPr>
          <w:rFonts w:hint="eastAsia"/>
          <w:color w:val="000000" w:themeColor="text1"/>
          <w:lang w:bidi="ar"/>
          <w14:textFill>
            <w14:solidFill>
              <w14:schemeClr w14:val="tx1"/>
            </w14:solidFill>
          </w14:textFill>
        </w:rPr>
        <w:t>。</w:t>
      </w:r>
    </w:p>
    <w:p w14:paraId="4B167E9D">
      <w:pPr>
        <w:pStyle w:val="19"/>
        <w:rPr>
          <w:rFonts w:hint="eastAsia"/>
          <w:color w:val="000000" w:themeColor="text1"/>
          <w:lang w:bidi="ar"/>
          <w14:textFill>
            <w14:solidFill>
              <w14:schemeClr w14:val="tx1"/>
            </w14:solidFill>
          </w14:textFill>
        </w:rPr>
      </w:pPr>
      <w:r>
        <w:rPr>
          <w:color w:val="000000" w:themeColor="text1"/>
          <w14:textFill>
            <w14:solidFill>
              <w14:schemeClr w14:val="tx1"/>
            </w14:solidFill>
          </w14:textFill>
        </w:rPr>
        <w:t>表2.9-</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6</w:t>
      </w:r>
      <w:r>
        <w:rPr>
          <w:color w:val="000000" w:themeColor="text1"/>
          <w:lang w:bidi="ar"/>
          <w14:textFill>
            <w14:solidFill>
              <w14:schemeClr w14:val="tx1"/>
            </w14:solidFill>
          </w14:textFill>
        </w:rPr>
        <w:t xml:space="preserve"> </w:t>
      </w:r>
      <w:r>
        <w:rPr>
          <w:rFonts w:hint="eastAsia"/>
          <w:color w:val="000000" w:themeColor="text1"/>
          <w:lang w:bidi="ar"/>
          <w14:textFill>
            <w14:solidFill>
              <w14:schemeClr w14:val="tx1"/>
            </w14:solidFill>
          </w14:textFill>
        </w:rPr>
        <w:t xml:space="preserve"> 本项目与</w:t>
      </w:r>
      <w:r>
        <w:rPr>
          <w:rFonts w:hint="eastAsia"/>
          <w:color w:val="000000" w:themeColor="text1"/>
          <w:spacing w:val="-24"/>
          <w:szCs w:val="21"/>
          <w14:textFill>
            <w14:solidFill>
              <w14:schemeClr w14:val="tx1"/>
            </w14:solidFill>
          </w14:textFill>
        </w:rPr>
        <w:t>《昌吉回族自治州生态环境分区管控动态更新成果》</w:t>
      </w:r>
      <w:r>
        <w:rPr>
          <w:rFonts w:hint="eastAsia"/>
          <w:color w:val="000000" w:themeColor="text1"/>
          <w:lang w:bidi="ar"/>
          <w14:textFill>
            <w14:solidFill>
              <w14:schemeClr w14:val="tx1"/>
            </w14:solidFill>
          </w14:textFill>
        </w:rPr>
        <w:t>的符合性分析一览表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94"/>
        <w:gridCol w:w="7741"/>
        <w:gridCol w:w="3843"/>
        <w:gridCol w:w="826"/>
      </w:tblGrid>
      <w:tr w14:paraId="04198D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69" w:type="pct"/>
            <w:tcMar>
              <w:left w:w="0" w:type="dxa"/>
              <w:right w:w="0" w:type="dxa"/>
            </w:tcMar>
            <w:vAlign w:val="center"/>
          </w:tcPr>
          <w:p w14:paraId="39042F3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环境管控单元名称及编码</w:t>
            </w:r>
          </w:p>
        </w:tc>
        <w:tc>
          <w:tcPr>
            <w:tcW w:w="2764" w:type="pct"/>
            <w:tcMar>
              <w:left w:w="0" w:type="dxa"/>
              <w:right w:w="0" w:type="dxa"/>
            </w:tcMar>
            <w:vAlign w:val="center"/>
          </w:tcPr>
          <w:p w14:paraId="709342B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生态环境分区管控动态更新成果要求</w:t>
            </w:r>
          </w:p>
        </w:tc>
        <w:tc>
          <w:tcPr>
            <w:tcW w:w="1372" w:type="pct"/>
            <w:tcMar>
              <w:left w:w="0" w:type="dxa"/>
              <w:right w:w="0" w:type="dxa"/>
            </w:tcMar>
            <w:vAlign w:val="center"/>
          </w:tcPr>
          <w:p w14:paraId="5C725C9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本项目采取的相关措施</w:t>
            </w:r>
          </w:p>
        </w:tc>
        <w:tc>
          <w:tcPr>
            <w:tcW w:w="295" w:type="pct"/>
            <w:tcMar>
              <w:left w:w="0" w:type="dxa"/>
              <w:right w:w="0" w:type="dxa"/>
            </w:tcMar>
            <w:vAlign w:val="center"/>
          </w:tcPr>
          <w:p w14:paraId="2A57C47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符合性分析</w:t>
            </w:r>
          </w:p>
        </w:tc>
      </w:tr>
      <w:tr w14:paraId="648174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69" w:type="pct"/>
            <w:tcMar>
              <w:left w:w="0" w:type="dxa"/>
              <w:right w:w="0" w:type="dxa"/>
            </w:tcMar>
            <w:vAlign w:val="center"/>
          </w:tcPr>
          <w:p w14:paraId="635774F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重点管控单元（</w:t>
            </w:r>
            <w:r>
              <w:rPr>
                <w:color w:val="000000" w:themeColor="text1"/>
                <w14:textFill>
                  <w14:solidFill>
                    <w14:schemeClr w14:val="tx1"/>
                  </w14:solidFill>
                </w14:textFill>
              </w:rPr>
              <w:t>ZH65232720005</w:t>
            </w:r>
            <w:r>
              <w:rPr>
                <w:rFonts w:hint="eastAsia"/>
                <w:color w:val="000000" w:themeColor="text1"/>
                <w:lang w:bidi="ar"/>
                <w14:textFill>
                  <w14:solidFill>
                    <w14:schemeClr w14:val="tx1"/>
                  </w14:solidFill>
                </w14:textFill>
              </w:rPr>
              <w:t>）</w:t>
            </w:r>
          </w:p>
        </w:tc>
        <w:tc>
          <w:tcPr>
            <w:tcW w:w="2764" w:type="pct"/>
            <w:tcMar>
              <w:left w:w="0" w:type="dxa"/>
              <w:right w:w="0" w:type="dxa"/>
            </w:tcMar>
            <w:vAlign w:val="center"/>
          </w:tcPr>
          <w:p w14:paraId="2D30254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1、县级以上人民政府水行政主管部门应当合理配置地表水、地下水，从严控制地下水取水总量。</w:t>
            </w:r>
          </w:p>
          <w:p w14:paraId="2B12783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2、严守水资源开发利用控制、用水效率控制和水功能区限制纳污“三条红线”，严格实行区域用水总量和强度控制，强化用水定额管理。推进地下水超采综合治理。</w:t>
            </w:r>
          </w:p>
        </w:tc>
        <w:tc>
          <w:tcPr>
            <w:tcW w:w="1372" w:type="pct"/>
            <w:tcMar>
              <w:left w:w="0" w:type="dxa"/>
              <w:right w:w="0" w:type="dxa"/>
            </w:tcMar>
            <w:vAlign w:val="center"/>
          </w:tcPr>
          <w:p w14:paraId="7E9BDAD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 xml:space="preserve">本项目用水由罐车从附近村庄拉运至用水场地，不涉及地表水和地下水开采 </w:t>
            </w:r>
          </w:p>
        </w:tc>
        <w:tc>
          <w:tcPr>
            <w:tcW w:w="295" w:type="pct"/>
            <w:tcMar>
              <w:left w:w="0" w:type="dxa"/>
              <w:right w:w="0" w:type="dxa"/>
            </w:tcMar>
            <w:vAlign w:val="center"/>
          </w:tcPr>
          <w:p w14:paraId="3C27F8D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符合</w:t>
            </w:r>
          </w:p>
        </w:tc>
      </w:tr>
    </w:tbl>
    <w:p w14:paraId="555DF3D0">
      <w:pPr>
        <w:pStyle w:val="193"/>
        <w:rPr>
          <w:rFonts w:hint="eastAsia"/>
          <w:color w:val="000000" w:themeColor="text1"/>
          <w:lang w:bidi="ar"/>
          <w14:textFill>
            <w14:solidFill>
              <w14:schemeClr w14:val="tx1"/>
            </w14:solidFill>
          </w14:textFill>
        </w:rPr>
      </w:pPr>
    </w:p>
    <w:p w14:paraId="105F52B3">
      <w:pPr>
        <w:pStyle w:val="193"/>
        <w:rPr>
          <w:rFonts w:hint="eastAsia"/>
          <w:color w:val="000000" w:themeColor="text1"/>
          <w:lang w:bidi="ar"/>
          <w14:textFill>
            <w14:solidFill>
              <w14:schemeClr w14:val="tx1"/>
            </w14:solidFill>
          </w14:textFill>
        </w:rPr>
      </w:pPr>
    </w:p>
    <w:p w14:paraId="33F4523A">
      <w:pPr>
        <w:pStyle w:val="193"/>
        <w:rPr>
          <w:rFonts w:hint="eastAsia"/>
          <w:color w:val="000000" w:themeColor="text1"/>
          <w:lang w:bidi="ar"/>
          <w14:textFill>
            <w14:solidFill>
              <w14:schemeClr w14:val="tx1"/>
            </w14:solidFill>
          </w14:textFill>
        </w:rPr>
      </w:pPr>
    </w:p>
    <w:p w14:paraId="3F035390">
      <w:pPr>
        <w:pStyle w:val="193"/>
        <w:rPr>
          <w:rFonts w:hint="eastAsia"/>
          <w:color w:val="000000" w:themeColor="text1"/>
          <w:lang w:bidi="ar"/>
          <w14:textFill>
            <w14:solidFill>
              <w14:schemeClr w14:val="tx1"/>
            </w14:solidFill>
          </w14:textFill>
        </w:rPr>
        <w:sectPr>
          <w:pgSz w:w="16840" w:h="11907" w:orient="landscape"/>
          <w:pgMar w:top="1588" w:right="1418" w:bottom="1588" w:left="1418" w:header="1020" w:footer="1020" w:gutter="0"/>
          <w:cols w:space="720" w:num="1"/>
          <w:docGrid w:type="linesAndChars" w:linePitch="312" w:charSpace="0"/>
        </w:sectPr>
      </w:pPr>
    </w:p>
    <w:bookmarkEnd w:id="195"/>
    <w:p w14:paraId="7DA982A4">
      <w:pPr>
        <w:ind w:firstLine="560"/>
        <w:rPr>
          <w:color w:val="000000" w:themeColor="text1"/>
          <w14:textFill>
            <w14:solidFill>
              <w14:schemeClr w14:val="tx1"/>
            </w14:solidFill>
          </w14:textFill>
        </w:rPr>
      </w:pPr>
      <w:bookmarkStart w:id="197" w:name="_Hlk171615555"/>
      <w:r>
        <w:rPr>
          <w:rFonts w:hint="eastAsia" w:ascii="宋体" w:hAnsi="宋体" w:cs="宋体"/>
          <w:color w:val="000000" w:themeColor="text1"/>
          <w:sz w:val="28"/>
          <w:szCs w:val="28"/>
          <w:lang w:val="zh-CN"/>
          <w14:textFill>
            <w14:solidFill>
              <w14:schemeClr w14:val="tx1"/>
            </w14:solidFill>
          </w14:textFill>
        </w:rPr>
        <mc:AlternateContent>
          <mc:Choice Requires="wpg">
            <w:drawing>
              <wp:anchor distT="0" distB="0" distL="114300" distR="114300" simplePos="0" relativeHeight="251676672" behindDoc="0" locked="0" layoutInCell="1" allowOverlap="1">
                <wp:simplePos x="0" y="0"/>
                <wp:positionH relativeFrom="margin">
                  <wp:align>right</wp:align>
                </wp:positionH>
                <wp:positionV relativeFrom="paragraph">
                  <wp:posOffset>109220</wp:posOffset>
                </wp:positionV>
                <wp:extent cx="8639175" cy="5248275"/>
                <wp:effectExtent l="0" t="0" r="9525" b="9525"/>
                <wp:wrapNone/>
                <wp:docPr id="1984177582" name="组合 3"/>
                <wp:cNvGraphicFramePr/>
                <a:graphic xmlns:a="http://schemas.openxmlformats.org/drawingml/2006/main">
                  <a:graphicData uri="http://schemas.microsoft.com/office/word/2010/wordprocessingGroup">
                    <wpg:wgp>
                      <wpg:cNvGrpSpPr/>
                      <wpg:grpSpPr>
                        <a:xfrm>
                          <a:off x="0" y="0"/>
                          <a:ext cx="8639175" cy="5248275"/>
                          <a:chOff x="0" y="0"/>
                          <a:chExt cx="8002270" cy="5000625"/>
                        </a:xfrm>
                      </wpg:grpSpPr>
                      <pic:pic xmlns:pic="http://schemas.openxmlformats.org/drawingml/2006/picture">
                        <pic:nvPicPr>
                          <pic:cNvPr id="1298576460" name="图片 1"/>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8002270" cy="5000625"/>
                          </a:xfrm>
                          <a:prstGeom prst="rect">
                            <a:avLst/>
                          </a:prstGeom>
                          <a:noFill/>
                          <a:ln>
                            <a:noFill/>
                          </a:ln>
                          <a:effectLst/>
                        </pic:spPr>
                      </pic:pic>
                      <wps:wsp>
                        <wps:cNvPr id="1516761008" name="文本框 10"/>
                        <wps:cNvSpPr txBox="1">
                          <a:spLocks noChangeArrowheads="1"/>
                        </wps:cNvSpPr>
                        <wps:spPr bwMode="auto">
                          <a:xfrm>
                            <a:off x="3932611" y="3019736"/>
                            <a:ext cx="1487522" cy="266821"/>
                          </a:xfrm>
                          <a:prstGeom prst="rect">
                            <a:avLst/>
                          </a:prstGeom>
                          <a:noFill/>
                          <a:ln>
                            <a:noFill/>
                          </a:ln>
                          <a:effectLst/>
                        </wps:spPr>
                        <wps:txbx>
                          <w:txbxContent>
                            <w:p w14:paraId="44D5E5D2">
                              <w:pPr>
                                <w:rPr>
                                  <w:b/>
                                  <w:bCs/>
                                  <w:color w:val="FF0000"/>
                                </w:rPr>
                              </w:pPr>
                              <w:r>
                                <w:rPr>
                                  <w:rFonts w:hint="eastAsia"/>
                                  <w:b/>
                                  <w:bCs/>
                                  <w:color w:val="FF0000"/>
                                </w:rPr>
                                <w:t>项目区</w:t>
                              </w:r>
                            </w:p>
                          </w:txbxContent>
                        </wps:txbx>
                        <wps:bodyPr rot="0" vert="horz" wrap="square" lIns="91440" tIns="45720" rIns="91440" bIns="45720" anchor="t" anchorCtr="0" upright="1">
                          <a:noAutofit/>
                        </wps:bodyPr>
                      </wps:wsp>
                      <wps:wsp>
                        <wps:cNvPr id="1326878970" name="椭圆 2"/>
                        <wps:cNvSpPr/>
                        <wps:spPr>
                          <a:xfrm>
                            <a:off x="3879675" y="3103836"/>
                            <a:ext cx="108226" cy="102251"/>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组合 3" o:spid="_x0000_s1026" o:spt="203" style="position:absolute;left:0pt;margin-top:8.6pt;height:413.25pt;width:680.25pt;mso-position-horizontal:right;mso-position-horizontal-relative:margin;z-index:251676672;mso-width-relative:page;mso-height-relative:page;" coordsize="8002270,5000625" o:gfxdata="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">
                <o:lock v:ext="edit" aspectratio="f"/>
                <v:shape id="图片 1" o:spid="_x0000_s1026" o:spt="75" type="#_x0000_t75" style="position:absolute;left:0;top:0;height:5000625;width:8002270;" filled="f" o:preferrelative="t" stroked="f" coordsize="21600,21600" o:gfxdata="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CIb8W8cAAADjAAAADwAAAAAAAAABACAAAAAiAAAAZHJzL2Rvd25yZXYueG1sUEsBAhQAFAAA&#10;AAgAh07iQDMvBZ47AAAAOQAAABAAAAAAAAAAAQAgAAAAFgEAAGRycy9zaGFwZXhtbC54bWxQSwUG&#10;AAAAAAYABgBbAQAAwAMAAAAA&#10;">
                  <v:fill on="f" focussize="0,0"/>
                  <v:stroke on="f"/>
                  <v:imagedata r:id="rId27" o:title=""/>
                  <o:lock v:ext="edit" aspectratio="t"/>
                </v:shape>
                <v:shape id="文本框 10" o:spid="_x0000_s1026" o:spt="202" type="#_x0000_t202" style="position:absolute;left:3932611;top:3019736;height:266821;width:1487522;" filled="f" stroked="f" coordsize="21600,21600" o:gfxdata="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p&#10;3/Wt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14:paraId="44D5E5D2">
                        <w:pPr>
                          <w:rPr>
                            <w:b/>
                            <w:bCs/>
                            <w:color w:val="FF0000"/>
                          </w:rPr>
                        </w:pPr>
                        <w:r>
                          <w:rPr>
                            <w:rFonts w:hint="eastAsia"/>
                            <w:b/>
                            <w:bCs/>
                            <w:color w:val="FF0000"/>
                          </w:rPr>
                          <w:t>项目区</w:t>
                        </w:r>
                      </w:p>
                    </w:txbxContent>
                  </v:textbox>
                </v:shape>
                <v:shape id="椭圆 2" o:spid="_x0000_s1026" o:spt="3" type="#_x0000_t3" style="position:absolute;left:3879675;top:3103836;height:102251;width:108226;v-text-anchor:middle;" fillcolor="#FF0000" filled="t" stroked="t" coordsize="21600,21600" o:gfxdata="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KT8DHFAAAA4wAAAA8AAAAAAAAAAQAgAAAAIgAAAGRycy9kb3ducmV2LnhtbFBLAQIUABQAAAAI&#10;AIdO4kAzLwWeOwAAADkAAAAQAAAAAAAAAAEAIAAAABQBAABkcnMvc2hhcGV4bWwueG1sUEsFBgAA&#10;AAAGAAYAWwEAAL4DAAAAAA==&#10;">
                  <v:fill on="t" focussize="0,0"/>
                  <v:stroke weight="1pt" color="#000000 [3213]" miterlimit="8" joinstyle="miter"/>
                  <v:imagedata o:title=""/>
                  <o:lock v:ext="edit" aspectratio="f"/>
                </v:shape>
              </v:group>
            </w:pict>
          </mc:Fallback>
        </mc:AlternateContent>
      </w:r>
    </w:p>
    <w:p w14:paraId="6B05CAC8">
      <w:pPr>
        <w:ind w:firstLine="480"/>
        <w:rPr>
          <w:color w:val="000000" w:themeColor="text1"/>
          <w14:textFill>
            <w14:solidFill>
              <w14:schemeClr w14:val="tx1"/>
            </w14:solidFill>
          </w14:textFill>
        </w:rPr>
      </w:pPr>
    </w:p>
    <w:p w14:paraId="58414893">
      <w:pPr>
        <w:ind w:firstLine="480"/>
        <w:rPr>
          <w:color w:val="000000" w:themeColor="text1"/>
          <w14:textFill>
            <w14:solidFill>
              <w14:schemeClr w14:val="tx1"/>
            </w14:solidFill>
          </w14:textFill>
        </w:rPr>
      </w:pPr>
    </w:p>
    <w:p w14:paraId="5B8A1B39">
      <w:pPr>
        <w:ind w:firstLine="480"/>
        <w:rPr>
          <w:color w:val="000000" w:themeColor="text1"/>
          <w14:textFill>
            <w14:solidFill>
              <w14:schemeClr w14:val="tx1"/>
            </w14:solidFill>
          </w14:textFill>
        </w:rPr>
      </w:pPr>
    </w:p>
    <w:p w14:paraId="5C434228">
      <w:pPr>
        <w:ind w:firstLine="480"/>
        <w:rPr>
          <w:color w:val="000000" w:themeColor="text1"/>
          <w14:textFill>
            <w14:solidFill>
              <w14:schemeClr w14:val="tx1"/>
            </w14:solidFill>
          </w14:textFill>
        </w:rPr>
      </w:pPr>
    </w:p>
    <w:p w14:paraId="1B4DDA51">
      <w:pPr>
        <w:ind w:firstLine="480"/>
        <w:rPr>
          <w:color w:val="000000" w:themeColor="text1"/>
          <w14:textFill>
            <w14:solidFill>
              <w14:schemeClr w14:val="tx1"/>
            </w14:solidFill>
          </w14:textFill>
        </w:rPr>
      </w:pPr>
    </w:p>
    <w:p w14:paraId="14BD0A7A">
      <w:pPr>
        <w:ind w:firstLine="480"/>
        <w:rPr>
          <w:color w:val="000000" w:themeColor="text1"/>
          <w14:textFill>
            <w14:solidFill>
              <w14:schemeClr w14:val="tx1"/>
            </w14:solidFill>
          </w14:textFill>
        </w:rPr>
      </w:pPr>
    </w:p>
    <w:p w14:paraId="3347B4E0">
      <w:pPr>
        <w:ind w:firstLine="480"/>
        <w:rPr>
          <w:color w:val="000000" w:themeColor="text1"/>
          <w14:textFill>
            <w14:solidFill>
              <w14:schemeClr w14:val="tx1"/>
            </w14:solidFill>
          </w14:textFill>
        </w:rPr>
      </w:pPr>
    </w:p>
    <w:p w14:paraId="60F2C4F2">
      <w:pPr>
        <w:ind w:firstLine="480"/>
        <w:rPr>
          <w:color w:val="000000" w:themeColor="text1"/>
          <w14:textFill>
            <w14:solidFill>
              <w14:schemeClr w14:val="tx1"/>
            </w14:solidFill>
          </w14:textFill>
        </w:rPr>
      </w:pPr>
    </w:p>
    <w:p w14:paraId="5C7A745E">
      <w:pPr>
        <w:ind w:firstLine="480"/>
        <w:rPr>
          <w:color w:val="000000" w:themeColor="text1"/>
          <w14:textFill>
            <w14:solidFill>
              <w14:schemeClr w14:val="tx1"/>
            </w14:solidFill>
          </w14:textFill>
        </w:rPr>
      </w:pPr>
    </w:p>
    <w:p w14:paraId="60CF2F09">
      <w:pPr>
        <w:ind w:firstLine="480"/>
        <w:rPr>
          <w:color w:val="000000" w:themeColor="text1"/>
          <w14:textFill>
            <w14:solidFill>
              <w14:schemeClr w14:val="tx1"/>
            </w14:solidFill>
          </w14:textFill>
        </w:rPr>
      </w:pPr>
    </w:p>
    <w:p w14:paraId="074C53E6">
      <w:pPr>
        <w:ind w:firstLine="480"/>
        <w:rPr>
          <w:color w:val="000000" w:themeColor="text1"/>
          <w14:textFill>
            <w14:solidFill>
              <w14:schemeClr w14:val="tx1"/>
            </w14:solidFill>
          </w14:textFill>
        </w:rPr>
      </w:pPr>
    </w:p>
    <w:p w14:paraId="163B5A0D">
      <w:pPr>
        <w:ind w:firstLine="480"/>
        <w:rPr>
          <w:color w:val="000000" w:themeColor="text1"/>
          <w14:textFill>
            <w14:solidFill>
              <w14:schemeClr w14:val="tx1"/>
            </w14:solidFill>
          </w14:textFill>
        </w:rPr>
      </w:pPr>
    </w:p>
    <w:p w14:paraId="7DFA60BD">
      <w:pPr>
        <w:ind w:firstLine="480"/>
        <w:rPr>
          <w:color w:val="000000" w:themeColor="text1"/>
          <w14:textFill>
            <w14:solidFill>
              <w14:schemeClr w14:val="tx1"/>
            </w14:solidFill>
          </w14:textFill>
        </w:rPr>
      </w:pPr>
    </w:p>
    <w:p w14:paraId="095E1F76">
      <w:pPr>
        <w:ind w:firstLine="480"/>
        <w:rPr>
          <w:color w:val="000000" w:themeColor="text1"/>
          <w14:textFill>
            <w14:solidFill>
              <w14:schemeClr w14:val="tx1"/>
            </w14:solidFill>
          </w14:textFill>
        </w:rPr>
      </w:pPr>
    </w:p>
    <w:p w14:paraId="7AE99B73">
      <w:pPr>
        <w:ind w:firstLine="480"/>
        <w:rPr>
          <w:color w:val="000000" w:themeColor="text1"/>
          <w14:textFill>
            <w14:solidFill>
              <w14:schemeClr w14:val="tx1"/>
            </w14:solidFill>
          </w14:textFill>
        </w:rPr>
      </w:pPr>
    </w:p>
    <w:p w14:paraId="6EFD83B6">
      <w:pPr>
        <w:ind w:firstLine="480"/>
        <w:rPr>
          <w:color w:val="000000" w:themeColor="text1"/>
          <w14:textFill>
            <w14:solidFill>
              <w14:schemeClr w14:val="tx1"/>
            </w14:solidFill>
          </w14:textFill>
        </w:rPr>
      </w:pPr>
    </w:p>
    <w:p w14:paraId="0EB2BD8E">
      <w:pPr>
        <w:ind w:firstLine="480"/>
        <w:rPr>
          <w:color w:val="000000" w:themeColor="text1"/>
          <w14:textFill>
            <w14:solidFill>
              <w14:schemeClr w14:val="tx1"/>
            </w14:solidFill>
          </w14:textFill>
        </w:rPr>
      </w:pPr>
    </w:p>
    <w:p w14:paraId="7A1E9B5E">
      <w:pPr>
        <w:ind w:firstLine="480"/>
        <w:rPr>
          <w:color w:val="000000" w:themeColor="text1"/>
          <w14:textFill>
            <w14:solidFill>
              <w14:schemeClr w14:val="tx1"/>
            </w14:solidFill>
          </w14:textFill>
        </w:rPr>
      </w:pPr>
    </w:p>
    <w:p w14:paraId="033B5A7D">
      <w:pPr>
        <w:ind w:firstLine="480"/>
        <w:rPr>
          <w:color w:val="000000" w:themeColor="text1"/>
          <w14:textFill>
            <w14:solidFill>
              <w14:schemeClr w14:val="tx1"/>
            </w14:solidFill>
          </w14:textFill>
        </w:rPr>
      </w:pPr>
    </w:p>
    <w:p w14:paraId="170B3246">
      <w:pPr>
        <w:ind w:firstLine="480"/>
        <w:rPr>
          <w:color w:val="000000" w:themeColor="text1"/>
          <w14:textFill>
            <w14:solidFill>
              <w14:schemeClr w14:val="tx1"/>
            </w14:solidFill>
          </w14:textFill>
        </w:rPr>
      </w:pPr>
    </w:p>
    <w:p w14:paraId="23945823">
      <w:pPr>
        <w:ind w:firstLine="480"/>
        <w:rPr>
          <w:color w:val="000000" w:themeColor="text1"/>
          <w14:textFill>
            <w14:solidFill>
              <w14:schemeClr w14:val="tx1"/>
            </w14:solidFill>
          </w14:textFill>
        </w:rPr>
      </w:pPr>
    </w:p>
    <w:bookmarkEnd w:id="197"/>
    <w:p w14:paraId="0D0603BF">
      <w:pPr>
        <w:ind w:firstLine="480"/>
        <w:rPr>
          <w:color w:val="000000" w:themeColor="text1"/>
          <w14:textFill>
            <w14:solidFill>
              <w14:schemeClr w14:val="tx1"/>
            </w14:solidFill>
          </w14:textFill>
        </w:rPr>
      </w:pPr>
    </w:p>
    <w:p w14:paraId="3ACA5F60">
      <w:pPr>
        <w:ind w:firstLine="480"/>
        <w:rPr>
          <w:color w:val="000000" w:themeColor="text1"/>
          <w14:textFill>
            <w14:solidFill>
              <w14:schemeClr w14:val="tx1"/>
            </w14:solidFill>
          </w14:textFill>
        </w:rPr>
      </w:pPr>
    </w:p>
    <w:p w14:paraId="00B9A711">
      <w:pPr>
        <w:ind w:firstLine="480"/>
        <w:rPr>
          <w:color w:val="000000" w:themeColor="text1"/>
          <w14:textFill>
            <w14:solidFill>
              <w14:schemeClr w14:val="tx1"/>
            </w14:solidFill>
          </w14:textFill>
        </w:rPr>
      </w:pPr>
    </w:p>
    <w:p w14:paraId="6D4AEBB3">
      <w:pPr>
        <w:ind w:firstLine="480"/>
        <w:rPr>
          <w:color w:val="000000" w:themeColor="text1"/>
          <w14:textFill>
            <w14:solidFill>
              <w14:schemeClr w14:val="tx1"/>
            </w14:solidFill>
          </w14:textFill>
        </w:rPr>
      </w:pPr>
    </w:p>
    <w:p w14:paraId="6E411887">
      <w:pPr>
        <w:ind w:firstLine="480"/>
        <w:rPr>
          <w:color w:val="000000" w:themeColor="text1"/>
          <w14:textFill>
            <w14:solidFill>
              <w14:schemeClr w14:val="tx1"/>
            </w14:solidFill>
          </w14:textFill>
        </w:rPr>
      </w:pPr>
    </w:p>
    <w:p w14:paraId="5256EB01">
      <w:pPr>
        <w:pStyle w:val="19"/>
        <w:rPr>
          <w:rFonts w:hint="eastAsia"/>
          <w:color w:val="000000" w:themeColor="text1"/>
          <w:lang w:bidi="ar"/>
          <w14:textFill>
            <w14:solidFill>
              <w14:schemeClr w14:val="tx1"/>
            </w14:solidFill>
          </w14:textFill>
        </w:rPr>
        <w:sectPr>
          <w:headerReference r:id="rId6" w:type="default"/>
          <w:pgSz w:w="16840" w:h="11907" w:orient="landscape"/>
          <w:pgMar w:top="1418" w:right="1588" w:bottom="1418" w:left="1588" w:header="1020" w:footer="1020" w:gutter="0"/>
          <w:cols w:space="720" w:num="1"/>
          <w:docGrid w:type="linesAndChars" w:linePitch="312" w:charSpace="0"/>
        </w:sectPr>
      </w:pPr>
      <w:r>
        <w:rPr>
          <w:rFonts w:hint="eastAsia"/>
          <w:color w:val="000000" w:themeColor="text1"/>
          <w:lang w:bidi="ar"/>
          <w14:textFill>
            <w14:solidFill>
              <w14:schemeClr w14:val="tx1"/>
            </w14:solidFill>
          </w14:textFill>
        </w:rPr>
        <w:t>图2</w:t>
      </w:r>
      <w:r>
        <w:rPr>
          <w:color w:val="000000" w:themeColor="text1"/>
          <w:lang w:bidi="ar"/>
          <w14:textFill>
            <w14:solidFill>
              <w14:schemeClr w14:val="tx1"/>
            </w14:solidFill>
          </w14:textFill>
        </w:rPr>
        <w:t>.9-</w:t>
      </w:r>
      <w:r>
        <w:rPr>
          <w:rFonts w:hint="eastAsia"/>
          <w:color w:val="000000" w:themeColor="text1"/>
          <w:lang w:bidi="ar"/>
          <w14:textFill>
            <w14:solidFill>
              <w14:schemeClr w14:val="tx1"/>
            </w14:solidFill>
          </w14:textFill>
        </w:rPr>
        <w:t>1</w:t>
      </w:r>
      <w:r>
        <w:rPr>
          <w:color w:val="000000" w:themeColor="text1"/>
          <w:lang w:bidi="ar"/>
          <w14:textFill>
            <w14:solidFill>
              <w14:schemeClr w14:val="tx1"/>
            </w14:solidFill>
          </w14:textFill>
        </w:rPr>
        <w:t xml:space="preserve">    </w:t>
      </w:r>
      <w:r>
        <w:rPr>
          <w:rFonts w:hint="eastAsia"/>
          <w:color w:val="000000" w:themeColor="text1"/>
          <w:lang w:bidi="ar"/>
          <w14:textFill>
            <w14:solidFill>
              <w14:schemeClr w14:val="tx1"/>
            </w14:solidFill>
          </w14:textFill>
        </w:rPr>
        <w:t>项目区在昌吉回族自治州环境管控单元分布图中的位置</w:t>
      </w:r>
    </w:p>
    <w:bookmarkEnd w:id="191"/>
    <w:p w14:paraId="6B8257DB">
      <w:pPr>
        <w:pStyle w:val="6"/>
        <w:rPr>
          <w:rFonts w:hint="eastAsia"/>
          <w:color w:val="000000" w:themeColor="text1"/>
          <w14:textFill>
            <w14:solidFill>
              <w14:schemeClr w14:val="tx1"/>
            </w14:solidFill>
          </w14:textFill>
        </w:rPr>
      </w:pPr>
      <w:bookmarkStart w:id="198" w:name="_Toc13973"/>
      <w:r>
        <w:rPr>
          <w:rFonts w:hint="eastAsia"/>
          <w:color w:val="000000" w:themeColor="text1"/>
          <w14:textFill>
            <w14:solidFill>
              <w14:schemeClr w14:val="tx1"/>
            </w14:solidFill>
          </w14:textFill>
        </w:rPr>
        <w:t>建设项目工程分析</w:t>
      </w:r>
      <w:bookmarkEnd w:id="198"/>
    </w:p>
    <w:p w14:paraId="02716C3E">
      <w:pPr>
        <w:pStyle w:val="7"/>
        <w:rPr>
          <w:rFonts w:hint="eastAsia"/>
          <w:color w:val="000000" w:themeColor="text1"/>
          <w14:textFill>
            <w14:solidFill>
              <w14:schemeClr w14:val="tx1"/>
            </w14:solidFill>
          </w14:textFill>
        </w:rPr>
      </w:pPr>
      <w:bookmarkStart w:id="199" w:name="_Toc24199"/>
      <w:r>
        <w:rPr>
          <w:rFonts w:hint="eastAsia"/>
          <w:color w:val="000000" w:themeColor="text1"/>
          <w14:textFill>
            <w14:solidFill>
              <w14:schemeClr w14:val="tx1"/>
            </w14:solidFill>
          </w14:textFill>
        </w:rPr>
        <w:t>现有工程概况及环境影响回顾</w:t>
      </w:r>
      <w:bookmarkEnd w:id="199"/>
    </w:p>
    <w:p w14:paraId="5452276B">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区域位置</w:t>
      </w:r>
    </w:p>
    <w:p w14:paraId="6EBF03B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吉庆油田吉7井区位于准噶尔盆地东部吉木萨尔凹陷东斜坡，行政隶属新疆维吾尔自治区吉木萨尔县。油区有多条公路穿过，交通较为便利。</w:t>
      </w:r>
    </w:p>
    <w:p w14:paraId="30FF98FE">
      <w:pPr>
        <w:pStyle w:val="8"/>
        <w:rPr>
          <w:rFonts w:hint="eastAsia"/>
          <w:color w:val="000000" w:themeColor="text1"/>
          <w14:textFill>
            <w14:solidFill>
              <w14:schemeClr w14:val="tx1"/>
            </w14:solidFill>
          </w14:textFill>
        </w:rPr>
      </w:pPr>
      <w:bookmarkStart w:id="200" w:name="_Hlk175249188"/>
      <w:bookmarkStart w:id="201" w:name="_Hlk175249351"/>
      <w:r>
        <w:rPr>
          <w:rFonts w:hint="eastAsia"/>
          <w:color w:val="000000" w:themeColor="text1"/>
          <w14:textFill>
            <w14:solidFill>
              <w14:schemeClr w14:val="tx1"/>
            </w14:solidFill>
          </w14:textFill>
        </w:rPr>
        <w:t>现有工程概况</w:t>
      </w:r>
    </w:p>
    <w:bookmarkEnd w:id="200"/>
    <w:p w14:paraId="589D239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（1）工程组成</w:t>
      </w:r>
    </w:p>
    <w:bookmarkEnd w:id="201"/>
    <w:p w14:paraId="1F6C019F">
      <w:pPr>
        <w:pStyle w:val="12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截至202</w:t>
      </w:r>
      <w:r>
        <w:rPr>
          <w:rFonts w:hint="eastAsia"/>
          <w:color w:val="000000" w:themeColor="text1"/>
          <w:lang w:val="en-US"/>
          <w14:textFill>
            <w14:solidFill>
              <w14:schemeClr w14:val="tx1"/>
            </w14:solidFill>
          </w14:textFill>
        </w:rPr>
        <w:t>5</w:t>
      </w:r>
      <w:r>
        <w:rPr>
          <w:rFonts w:hint="eastAsia"/>
          <w:color w:val="000000" w:themeColor="text1"/>
          <w14:textFill>
            <w14:solidFill>
              <w14:schemeClr w14:val="tx1"/>
            </w14:solidFill>
          </w14:textFill>
        </w:rPr>
        <w:t>年底，吉7井区共有采油井592口，开井510口，注水井268口，开井234口，计量配水站35座，</w:t>
      </w:r>
      <w:r>
        <w:rPr>
          <w:rFonts w:hint="eastAsia"/>
          <w:color w:val="000000" w:themeColor="text1"/>
          <w:lang w:val="en-US"/>
          <w14:textFill>
            <w14:solidFill>
              <w14:schemeClr w14:val="tx1"/>
            </w14:solidFill>
          </w14:textFill>
        </w:rPr>
        <w:t>联合处理站</w:t>
      </w:r>
      <w:r>
        <w:rPr>
          <w:rFonts w:hint="eastAsia"/>
          <w:color w:val="000000" w:themeColor="text1"/>
          <w14:textFill>
            <w14:solidFill>
              <w14:schemeClr w14:val="tx1"/>
            </w14:solidFill>
          </w14:textFill>
        </w:rPr>
        <w:t>1座（</w:t>
      </w:r>
      <w:r>
        <w:rPr>
          <w:rFonts w:hint="eastAsia"/>
          <w:color w:val="000000" w:themeColor="text1"/>
          <w:lang w:val="en-US"/>
          <w14:textFill>
            <w14:solidFill>
              <w14:schemeClr w14:val="tx1"/>
            </w14:solidFill>
          </w14:textFill>
        </w:rPr>
        <w:t>吉祥联合站</w:t>
      </w:r>
      <w:r>
        <w:rPr>
          <w:rFonts w:hint="eastAsia"/>
          <w:color w:val="000000" w:themeColor="text1"/>
          <w14:textFill>
            <w14:solidFill>
              <w14:schemeClr w14:val="tx1"/>
            </w14:solidFill>
          </w14:textFill>
        </w:rPr>
        <w:t>），站内有原油处理、天然气预处理、采出水处理、污泥处理及卸油、回注、掺水系统；井区建设有单井出油管线257.232km、集输支线24.546km、集输干线36.983km、注水管线87.413km，简易道路2.3km，支线道路13.4km。</w:t>
      </w:r>
      <w:r>
        <w:rPr>
          <w:rFonts w:hint="eastAsia"/>
          <w:color w:val="000000" w:themeColor="text1"/>
          <w:lang w:val="en-US"/>
          <w14:textFill>
            <w14:solidFill>
              <w14:schemeClr w14:val="tx1"/>
            </w14:solidFill>
          </w14:textFill>
        </w:rPr>
        <w:t>吉祥联合站</w:t>
      </w:r>
      <w:r>
        <w:rPr>
          <w:rFonts w:hint="eastAsia"/>
          <w:color w:val="000000" w:themeColor="text1"/>
          <w14:textFill>
            <w14:solidFill>
              <w14:schemeClr w14:val="tx1"/>
            </w14:solidFill>
          </w14:textFill>
        </w:rPr>
        <w:t>北侧为吉祥联合站压裂返排液暂存池、1座含油污泥标准化贮存场，西侧100m处为吉7井区老生活区，目前外租给吉庆作业区工程承包单位用作员工宿舍，东侧为5000m³生活污水蒸发池。吉7井区工作人员食宿在位于吉木萨尔县北新城区的吉7井区生活公寓，距离吉祥联合站西南直线距离约12km，每日由专车接送。</w:t>
      </w:r>
      <w:r>
        <w:rPr>
          <w:rFonts w:hint="eastAsia"/>
          <w:color w:val="000000" w:themeColor="text1"/>
          <w:lang w:val="en-US" w:eastAsia="zh-CN"/>
          <w14:textFill>
            <w14:solidFill>
              <w14:schemeClr w14:val="tx1"/>
            </w14:solidFill>
          </w14:textFill>
        </w:rPr>
        <w:t>现有工程组成具体见表3.1-1。</w:t>
      </w:r>
    </w:p>
    <w:p w14:paraId="0D870476">
      <w:pPr>
        <w:pStyle w:val="112"/>
        <w:rPr>
          <w:rFonts w:hint="eastAsia"/>
          <w:color w:val="000000" w:themeColor="text1"/>
          <w14:textFill>
            <w14:solidFill>
              <w14:schemeClr w14:val="tx1"/>
            </w14:solidFill>
          </w14:textFill>
        </w:rPr>
      </w:pPr>
      <w:r>
        <w:rPr>
          <w:rFonts w:hint="eastAsia"/>
          <w:color w:val="000000" w:themeColor="text1"/>
          <w:spacing w:val="14"/>
          <w14:textFill>
            <w14:solidFill>
              <w14:schemeClr w14:val="tx1"/>
            </w14:solidFill>
          </w14:textFill>
        </w:rPr>
        <w:t>表</w:t>
      </w:r>
      <w:r>
        <w:rPr>
          <w:rFonts w:hint="eastAsia"/>
          <w:color w:val="000000" w:themeColor="text1"/>
          <w14:textFill>
            <w14:solidFill>
              <w14:schemeClr w14:val="tx1"/>
            </w14:solidFill>
          </w14:textFill>
        </w:rPr>
        <w:t>3.1-1</w:t>
      </w:r>
      <w:r>
        <w:rPr>
          <w:rFonts w:hint="eastAsia"/>
          <w:color w:val="000000" w:themeColor="text1"/>
          <w:spacing w:val="2"/>
          <w14:textFill>
            <w14:solidFill>
              <w14:schemeClr w14:val="tx1"/>
            </w14:solidFill>
          </w14:textFill>
        </w:rPr>
        <w:t xml:space="preserve">  吉</w:t>
      </w:r>
      <w:r>
        <w:rPr>
          <w:rFonts w:hint="eastAsia"/>
          <w:color w:val="000000" w:themeColor="text1"/>
          <w14:textFill>
            <w14:solidFill>
              <w14:schemeClr w14:val="tx1"/>
            </w14:solidFill>
          </w14:textFill>
        </w:rPr>
        <w:t>7井区项目组成一览表</w:t>
      </w:r>
    </w:p>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37"/>
        <w:gridCol w:w="997"/>
        <w:gridCol w:w="1410"/>
        <w:gridCol w:w="849"/>
        <w:gridCol w:w="1135"/>
        <w:gridCol w:w="3202"/>
      </w:tblGrid>
      <w:tr w14:paraId="2D146F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9" w:hRule="atLeast"/>
          <w:jc w:val="center"/>
        </w:trPr>
        <w:tc>
          <w:tcPr>
            <w:tcW w:w="2029" w:type="pct"/>
            <w:gridSpan w:val="3"/>
            <w:vAlign w:val="center"/>
          </w:tcPr>
          <w:p w14:paraId="0FC2D23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建设内容</w:t>
            </w:r>
          </w:p>
        </w:tc>
        <w:tc>
          <w:tcPr>
            <w:tcW w:w="486" w:type="pct"/>
            <w:vAlign w:val="center"/>
          </w:tcPr>
          <w:p w14:paraId="4007A6C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650" w:type="pct"/>
            <w:vAlign w:val="center"/>
          </w:tcPr>
          <w:p w14:paraId="00950FF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1833" w:type="pct"/>
            <w:vAlign w:val="center"/>
          </w:tcPr>
          <w:p w14:paraId="7192F02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名称/规格/主要建设内容等</w:t>
            </w:r>
          </w:p>
        </w:tc>
      </w:tr>
      <w:tr w14:paraId="3F3835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1" w:hRule="atLeast"/>
          <w:jc w:val="center"/>
        </w:trPr>
        <w:tc>
          <w:tcPr>
            <w:tcW w:w="651" w:type="pct"/>
            <w:vMerge w:val="restart"/>
            <w:vAlign w:val="center"/>
          </w:tcPr>
          <w:p w14:paraId="03FCB02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主体工程</w:t>
            </w:r>
          </w:p>
        </w:tc>
        <w:tc>
          <w:tcPr>
            <w:tcW w:w="571" w:type="pct"/>
            <w:vMerge w:val="restart"/>
            <w:vAlign w:val="center"/>
          </w:tcPr>
          <w:p w14:paraId="0FFEDA6E">
            <w:pPr>
              <w:pStyle w:val="280"/>
              <w:spacing w:line="300" w:lineRule="exact"/>
              <w:rPr>
                <w:rFonts w:hint="eastAsia"/>
                <w:color w:val="000000" w:themeColor="text1"/>
                <w14:textFill>
                  <w14:solidFill>
                    <w14:schemeClr w14:val="tx1"/>
                  </w14:solidFill>
                </w14:textFill>
              </w:rPr>
            </w:pPr>
            <w:r>
              <w:rPr>
                <w:rFonts w:hint="eastAsia"/>
                <w:color w:val="000000" w:themeColor="text1"/>
                <w:spacing w:val="-6"/>
                <w14:textFill>
                  <w14:solidFill>
                    <w14:schemeClr w14:val="tx1"/>
                  </w14:solidFill>
                </w14:textFill>
              </w:rPr>
              <w:t>各类</w:t>
            </w:r>
            <w:r>
              <w:rPr>
                <w:rFonts w:hint="eastAsia"/>
                <w:color w:val="000000" w:themeColor="text1"/>
                <w14:textFill>
                  <w14:solidFill>
                    <w14:schemeClr w14:val="tx1"/>
                  </w14:solidFill>
                </w14:textFill>
              </w:rPr>
              <w:t>井口</w:t>
            </w:r>
          </w:p>
        </w:tc>
        <w:tc>
          <w:tcPr>
            <w:tcW w:w="806" w:type="pct"/>
            <w:vAlign w:val="center"/>
          </w:tcPr>
          <w:p w14:paraId="3F0E770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采油井/开井</w:t>
            </w:r>
          </w:p>
        </w:tc>
        <w:tc>
          <w:tcPr>
            <w:tcW w:w="486" w:type="pct"/>
            <w:vAlign w:val="center"/>
          </w:tcPr>
          <w:p w14:paraId="28F8B21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口</w:t>
            </w:r>
          </w:p>
        </w:tc>
        <w:tc>
          <w:tcPr>
            <w:tcW w:w="650" w:type="pct"/>
            <w:vAlign w:val="center"/>
          </w:tcPr>
          <w:p w14:paraId="67D5DE5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592/510</w:t>
            </w:r>
          </w:p>
        </w:tc>
        <w:tc>
          <w:tcPr>
            <w:tcW w:w="1833" w:type="pct"/>
            <w:vAlign w:val="center"/>
          </w:tcPr>
          <w:p w14:paraId="12BEDD3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0D6B3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5" w:hRule="atLeast"/>
          <w:jc w:val="center"/>
        </w:trPr>
        <w:tc>
          <w:tcPr>
            <w:tcW w:w="651" w:type="pct"/>
            <w:vMerge w:val="continue"/>
            <w:vAlign w:val="center"/>
          </w:tcPr>
          <w:p w14:paraId="6A65AEBF">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59EDB8AA">
            <w:pPr>
              <w:pStyle w:val="280"/>
              <w:spacing w:line="300" w:lineRule="exact"/>
              <w:rPr>
                <w:rFonts w:hint="eastAsia"/>
                <w:color w:val="000000" w:themeColor="text1"/>
                <w14:textFill>
                  <w14:solidFill>
                    <w14:schemeClr w14:val="tx1"/>
                  </w14:solidFill>
                </w14:textFill>
              </w:rPr>
            </w:pPr>
          </w:p>
        </w:tc>
        <w:tc>
          <w:tcPr>
            <w:tcW w:w="806" w:type="pct"/>
            <w:vAlign w:val="center"/>
          </w:tcPr>
          <w:p w14:paraId="0FD2457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注水井/开井</w:t>
            </w:r>
          </w:p>
        </w:tc>
        <w:tc>
          <w:tcPr>
            <w:tcW w:w="486" w:type="pct"/>
            <w:vAlign w:val="center"/>
          </w:tcPr>
          <w:p w14:paraId="10BF11A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口</w:t>
            </w:r>
          </w:p>
        </w:tc>
        <w:tc>
          <w:tcPr>
            <w:tcW w:w="650" w:type="pct"/>
            <w:vAlign w:val="center"/>
          </w:tcPr>
          <w:p w14:paraId="0D14714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268/234</w:t>
            </w:r>
          </w:p>
        </w:tc>
        <w:tc>
          <w:tcPr>
            <w:tcW w:w="1833" w:type="pct"/>
            <w:vAlign w:val="center"/>
          </w:tcPr>
          <w:p w14:paraId="644AB38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DEB7C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651" w:type="pct"/>
            <w:vMerge w:val="continue"/>
            <w:vAlign w:val="center"/>
          </w:tcPr>
          <w:p w14:paraId="67C0D85E">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6C398F79">
            <w:pPr>
              <w:pStyle w:val="280"/>
              <w:spacing w:line="300" w:lineRule="exact"/>
              <w:rPr>
                <w:rFonts w:hint="eastAsia"/>
                <w:color w:val="000000" w:themeColor="text1"/>
                <w14:textFill>
                  <w14:solidFill>
                    <w14:schemeClr w14:val="tx1"/>
                  </w14:solidFill>
                </w14:textFill>
              </w:rPr>
            </w:pPr>
          </w:p>
        </w:tc>
        <w:tc>
          <w:tcPr>
            <w:tcW w:w="806" w:type="pct"/>
            <w:vAlign w:val="center"/>
          </w:tcPr>
          <w:p w14:paraId="7742026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水源井/开井</w:t>
            </w:r>
          </w:p>
        </w:tc>
        <w:tc>
          <w:tcPr>
            <w:tcW w:w="486" w:type="pct"/>
            <w:vAlign w:val="center"/>
          </w:tcPr>
          <w:p w14:paraId="3A63F7F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口</w:t>
            </w:r>
          </w:p>
        </w:tc>
        <w:tc>
          <w:tcPr>
            <w:tcW w:w="650" w:type="pct"/>
            <w:vAlign w:val="center"/>
          </w:tcPr>
          <w:p w14:paraId="282CE65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1833" w:type="pct"/>
            <w:vAlign w:val="center"/>
          </w:tcPr>
          <w:p w14:paraId="5D8DA4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01C50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85" w:hRule="atLeast"/>
          <w:jc w:val="center"/>
        </w:trPr>
        <w:tc>
          <w:tcPr>
            <w:tcW w:w="651" w:type="pct"/>
            <w:vMerge w:val="continue"/>
            <w:vAlign w:val="center"/>
          </w:tcPr>
          <w:p w14:paraId="6E0178EC">
            <w:pPr>
              <w:pStyle w:val="280"/>
              <w:spacing w:line="300" w:lineRule="exact"/>
              <w:rPr>
                <w:rFonts w:hint="eastAsia"/>
                <w:color w:val="000000" w:themeColor="text1"/>
                <w14:textFill>
                  <w14:solidFill>
                    <w14:schemeClr w14:val="tx1"/>
                  </w14:solidFill>
                </w14:textFill>
              </w:rPr>
            </w:pPr>
          </w:p>
        </w:tc>
        <w:tc>
          <w:tcPr>
            <w:tcW w:w="571" w:type="pct"/>
            <w:vMerge w:val="restart"/>
            <w:vAlign w:val="center"/>
          </w:tcPr>
          <w:p w14:paraId="4988DCE9">
            <w:pPr>
              <w:pStyle w:val="280"/>
              <w:spacing w:line="300" w:lineRule="exact"/>
              <w:rPr>
                <w:rFonts w:hint="eastAsia"/>
                <w:color w:val="000000" w:themeColor="text1"/>
                <w14:textFill>
                  <w14:solidFill>
                    <w14:schemeClr w14:val="tx1"/>
                  </w14:solidFill>
                </w14:textFill>
              </w:rPr>
            </w:pPr>
            <w:r>
              <w:rPr>
                <w:rFonts w:hint="eastAsia"/>
                <w:color w:val="000000" w:themeColor="text1"/>
                <w:spacing w:val="-6"/>
                <w14:textFill>
                  <w14:solidFill>
                    <w14:schemeClr w14:val="tx1"/>
                  </w14:solidFill>
                </w14:textFill>
              </w:rPr>
              <w:t>各类</w:t>
            </w:r>
            <w:r>
              <w:rPr>
                <w:rFonts w:hint="eastAsia"/>
                <w:color w:val="000000" w:themeColor="text1"/>
                <w14:textFill>
                  <w14:solidFill>
                    <w14:schemeClr w14:val="tx1"/>
                  </w14:solidFill>
                </w14:textFill>
              </w:rPr>
              <w:t>管线</w:t>
            </w:r>
          </w:p>
        </w:tc>
        <w:tc>
          <w:tcPr>
            <w:tcW w:w="806" w:type="pct"/>
            <w:vAlign w:val="center"/>
          </w:tcPr>
          <w:p w14:paraId="228FB52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单井出油管线</w:t>
            </w:r>
          </w:p>
        </w:tc>
        <w:tc>
          <w:tcPr>
            <w:tcW w:w="486" w:type="pct"/>
            <w:vAlign w:val="center"/>
          </w:tcPr>
          <w:p w14:paraId="7E248EB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km</w:t>
            </w:r>
          </w:p>
        </w:tc>
        <w:tc>
          <w:tcPr>
            <w:tcW w:w="650" w:type="pct"/>
            <w:vAlign w:val="center"/>
          </w:tcPr>
          <w:p w14:paraId="5B834F7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257.232</w:t>
            </w:r>
          </w:p>
        </w:tc>
        <w:tc>
          <w:tcPr>
            <w:tcW w:w="1833" w:type="pct"/>
            <w:vAlign w:val="center"/>
          </w:tcPr>
          <w:p w14:paraId="578BFAA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191C0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651" w:type="pct"/>
            <w:vMerge w:val="continue"/>
            <w:vAlign w:val="center"/>
          </w:tcPr>
          <w:p w14:paraId="495005E4">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1DFEDE23">
            <w:pPr>
              <w:pStyle w:val="280"/>
              <w:spacing w:line="300" w:lineRule="exact"/>
              <w:rPr>
                <w:rFonts w:hint="eastAsia"/>
                <w:color w:val="000000" w:themeColor="text1"/>
                <w14:textFill>
                  <w14:solidFill>
                    <w14:schemeClr w14:val="tx1"/>
                  </w14:solidFill>
                </w14:textFill>
              </w:rPr>
            </w:pPr>
          </w:p>
        </w:tc>
        <w:tc>
          <w:tcPr>
            <w:tcW w:w="806" w:type="pct"/>
            <w:vAlign w:val="center"/>
          </w:tcPr>
          <w:p w14:paraId="559CA42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集输支线</w:t>
            </w:r>
          </w:p>
        </w:tc>
        <w:tc>
          <w:tcPr>
            <w:tcW w:w="486" w:type="pct"/>
            <w:vAlign w:val="center"/>
          </w:tcPr>
          <w:p w14:paraId="75534CC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km</w:t>
            </w:r>
          </w:p>
        </w:tc>
        <w:tc>
          <w:tcPr>
            <w:tcW w:w="650" w:type="pct"/>
            <w:vAlign w:val="center"/>
          </w:tcPr>
          <w:p w14:paraId="17B566D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24.546</w:t>
            </w:r>
          </w:p>
        </w:tc>
        <w:tc>
          <w:tcPr>
            <w:tcW w:w="1833" w:type="pct"/>
            <w:vAlign w:val="center"/>
          </w:tcPr>
          <w:p w14:paraId="25379D1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FCF1E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5" w:hRule="atLeast"/>
          <w:jc w:val="center"/>
        </w:trPr>
        <w:tc>
          <w:tcPr>
            <w:tcW w:w="651" w:type="pct"/>
            <w:vMerge w:val="continue"/>
            <w:vAlign w:val="center"/>
          </w:tcPr>
          <w:p w14:paraId="2F97114A">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517F1DF2">
            <w:pPr>
              <w:pStyle w:val="280"/>
              <w:spacing w:line="300" w:lineRule="exact"/>
              <w:rPr>
                <w:rFonts w:hint="eastAsia"/>
                <w:color w:val="000000" w:themeColor="text1"/>
                <w14:textFill>
                  <w14:solidFill>
                    <w14:schemeClr w14:val="tx1"/>
                  </w14:solidFill>
                </w14:textFill>
              </w:rPr>
            </w:pPr>
          </w:p>
        </w:tc>
        <w:tc>
          <w:tcPr>
            <w:tcW w:w="806" w:type="pct"/>
            <w:vAlign w:val="center"/>
          </w:tcPr>
          <w:p w14:paraId="14ACB37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集输干线</w:t>
            </w:r>
          </w:p>
        </w:tc>
        <w:tc>
          <w:tcPr>
            <w:tcW w:w="486" w:type="pct"/>
            <w:vAlign w:val="center"/>
          </w:tcPr>
          <w:p w14:paraId="406EB5C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km</w:t>
            </w:r>
          </w:p>
        </w:tc>
        <w:tc>
          <w:tcPr>
            <w:tcW w:w="650" w:type="pct"/>
            <w:vAlign w:val="center"/>
          </w:tcPr>
          <w:p w14:paraId="724148D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36.983</w:t>
            </w:r>
          </w:p>
        </w:tc>
        <w:tc>
          <w:tcPr>
            <w:tcW w:w="1833" w:type="pct"/>
            <w:vAlign w:val="center"/>
          </w:tcPr>
          <w:p w14:paraId="4D9387D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A1D73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651" w:type="pct"/>
            <w:vMerge w:val="continue"/>
            <w:vAlign w:val="center"/>
          </w:tcPr>
          <w:p w14:paraId="37C43F84">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7EC58F21">
            <w:pPr>
              <w:pStyle w:val="280"/>
              <w:spacing w:line="300" w:lineRule="exact"/>
              <w:rPr>
                <w:rFonts w:hint="eastAsia"/>
                <w:color w:val="000000" w:themeColor="text1"/>
                <w14:textFill>
                  <w14:solidFill>
                    <w14:schemeClr w14:val="tx1"/>
                  </w14:solidFill>
                </w14:textFill>
              </w:rPr>
            </w:pPr>
          </w:p>
        </w:tc>
        <w:tc>
          <w:tcPr>
            <w:tcW w:w="806" w:type="pct"/>
            <w:vAlign w:val="center"/>
          </w:tcPr>
          <w:p w14:paraId="7C10DF9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注水管线</w:t>
            </w:r>
          </w:p>
        </w:tc>
        <w:tc>
          <w:tcPr>
            <w:tcW w:w="486" w:type="pct"/>
            <w:vAlign w:val="center"/>
          </w:tcPr>
          <w:p w14:paraId="2E5DC42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km</w:t>
            </w:r>
          </w:p>
        </w:tc>
        <w:tc>
          <w:tcPr>
            <w:tcW w:w="650" w:type="pct"/>
            <w:vAlign w:val="center"/>
          </w:tcPr>
          <w:p w14:paraId="5E3BA79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87.413</w:t>
            </w:r>
          </w:p>
        </w:tc>
        <w:tc>
          <w:tcPr>
            <w:tcW w:w="1833" w:type="pct"/>
            <w:vAlign w:val="center"/>
          </w:tcPr>
          <w:p w14:paraId="319A5E3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FE62A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5" w:hRule="atLeast"/>
          <w:jc w:val="center"/>
        </w:trPr>
        <w:tc>
          <w:tcPr>
            <w:tcW w:w="651" w:type="pct"/>
            <w:vMerge w:val="continue"/>
            <w:vAlign w:val="center"/>
          </w:tcPr>
          <w:p w14:paraId="26F4D597">
            <w:pPr>
              <w:pStyle w:val="280"/>
              <w:spacing w:line="300" w:lineRule="exact"/>
              <w:rPr>
                <w:rFonts w:hint="eastAsia"/>
                <w:color w:val="000000" w:themeColor="text1"/>
                <w14:textFill>
                  <w14:solidFill>
                    <w14:schemeClr w14:val="tx1"/>
                  </w14:solidFill>
                </w14:textFill>
              </w:rPr>
            </w:pPr>
          </w:p>
        </w:tc>
        <w:tc>
          <w:tcPr>
            <w:tcW w:w="571" w:type="pct"/>
            <w:vMerge w:val="restart"/>
            <w:vAlign w:val="center"/>
          </w:tcPr>
          <w:p w14:paraId="19B2C5D1">
            <w:pPr>
              <w:pStyle w:val="280"/>
              <w:spacing w:line="300" w:lineRule="exact"/>
              <w:rPr>
                <w:rFonts w:hint="eastAsia"/>
                <w:color w:val="000000" w:themeColor="text1"/>
                <w:spacing w:val="-10"/>
                <w14:textFill>
                  <w14:solidFill>
                    <w14:schemeClr w14:val="tx1"/>
                  </w14:solidFill>
                </w14:textFill>
              </w:rPr>
            </w:pPr>
            <w:r>
              <w:rPr>
                <w:rFonts w:hint="eastAsia"/>
                <w:color w:val="000000" w:themeColor="text1"/>
                <w14:textFill>
                  <w14:solidFill>
                    <w14:schemeClr w14:val="tx1"/>
                  </w14:solidFill>
                </w14:textFill>
              </w:rPr>
              <w:t>吉祥联合</w:t>
            </w:r>
            <w:r>
              <w:rPr>
                <w:rFonts w:hint="eastAsia"/>
                <w:color w:val="000000" w:themeColor="text1"/>
                <w:spacing w:val="-10"/>
                <w14:textFill>
                  <w14:solidFill>
                    <w14:schemeClr w14:val="tx1"/>
                  </w14:solidFill>
                </w14:textFill>
              </w:rPr>
              <w:t>站</w:t>
            </w:r>
          </w:p>
        </w:tc>
        <w:tc>
          <w:tcPr>
            <w:tcW w:w="806" w:type="pct"/>
            <w:vAlign w:val="center"/>
          </w:tcPr>
          <w:p w14:paraId="7A5BB3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原油处理系统</w:t>
            </w:r>
          </w:p>
        </w:tc>
        <w:tc>
          <w:tcPr>
            <w:tcW w:w="486" w:type="pct"/>
            <w:vAlign w:val="center"/>
          </w:tcPr>
          <w:p w14:paraId="2AF2AD8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3AF91AF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018B8125">
            <w:pPr>
              <w:pStyle w:val="280"/>
              <w:spacing w:line="300" w:lineRule="exact"/>
              <w:rPr>
                <w:rFonts w:hint="eastAsia"/>
                <w:color w:val="000000" w:themeColor="text1"/>
                <w14:textFill>
                  <w14:solidFill>
                    <w14:schemeClr w14:val="tx1"/>
                  </w14:solidFill>
                </w14:textFill>
              </w:rPr>
            </w:pPr>
            <w:r>
              <w:rPr>
                <w:rFonts w:hint="eastAsia"/>
                <w:color w:val="000000" w:themeColor="text1"/>
                <w:spacing w:val="-2"/>
                <w14:textFill>
                  <w14:solidFill>
                    <w14:schemeClr w14:val="tx1"/>
                  </w14:solidFill>
                </w14:textFill>
              </w:rPr>
              <w:t>45×10</w:t>
            </w:r>
            <w:r>
              <w:rPr>
                <w:rFonts w:hint="eastAsia"/>
                <w:color w:val="000000" w:themeColor="text1"/>
                <w:spacing w:val="-2"/>
                <w:position w:val="11"/>
                <w:sz w:val="11"/>
                <w14:textFill>
                  <w14:solidFill>
                    <w14:schemeClr w14:val="tx1"/>
                  </w14:solidFill>
                </w14:textFill>
              </w:rPr>
              <w:t>4</w:t>
            </w:r>
            <w:r>
              <w:rPr>
                <w:rFonts w:hint="eastAsia"/>
                <w:color w:val="000000" w:themeColor="text1"/>
                <w:spacing w:val="-2"/>
                <w14:textFill>
                  <w14:solidFill>
                    <w14:schemeClr w14:val="tx1"/>
                  </w14:solidFill>
                </w14:textFill>
              </w:rPr>
              <w:t>t/a</w:t>
            </w:r>
            <w:r>
              <w:rPr>
                <w:rFonts w:hint="eastAsia"/>
                <w:color w:val="000000" w:themeColor="text1"/>
                <w14:textFill>
                  <w14:solidFill>
                    <w14:schemeClr w14:val="tx1"/>
                  </w14:solidFill>
                </w14:textFill>
              </w:rPr>
              <w:t>稠油两段热化学沉降工艺</w:t>
            </w:r>
          </w:p>
        </w:tc>
      </w:tr>
      <w:tr w14:paraId="2921B1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651" w:type="pct"/>
            <w:vMerge w:val="continue"/>
            <w:vAlign w:val="center"/>
          </w:tcPr>
          <w:p w14:paraId="1BE63FBC">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6B27C64B">
            <w:pPr>
              <w:pStyle w:val="280"/>
              <w:spacing w:line="300" w:lineRule="exact"/>
              <w:rPr>
                <w:rFonts w:hint="eastAsia"/>
                <w:color w:val="000000" w:themeColor="text1"/>
                <w14:textFill>
                  <w14:solidFill>
                    <w14:schemeClr w14:val="tx1"/>
                  </w14:solidFill>
                </w14:textFill>
              </w:rPr>
            </w:pPr>
          </w:p>
        </w:tc>
        <w:tc>
          <w:tcPr>
            <w:tcW w:w="806" w:type="pct"/>
            <w:vAlign w:val="center"/>
          </w:tcPr>
          <w:p w14:paraId="6FEF118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天然气预处理系统</w:t>
            </w:r>
          </w:p>
        </w:tc>
        <w:tc>
          <w:tcPr>
            <w:tcW w:w="486" w:type="pct"/>
            <w:vAlign w:val="center"/>
          </w:tcPr>
          <w:p w14:paraId="4180194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6A5652F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0CB8D07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2.5×10</w:t>
            </w:r>
            <w:r>
              <w:rPr>
                <w:rFonts w:hint="eastAsia"/>
                <w:color w:val="000000" w:themeColor="text1"/>
                <w:position w:val="11"/>
                <w:sz w:val="11"/>
                <w14:textFill>
                  <w14:solidFill>
                    <w14:schemeClr w14:val="tx1"/>
                  </w14:solidFill>
                </w14:textFill>
              </w:rPr>
              <w:t>4</w:t>
            </w:r>
            <w:r>
              <w:rPr>
                <w:rFonts w:hint="eastAsia"/>
                <w:color w:val="000000" w:themeColor="text1"/>
                <w14:textFill>
                  <w14:solidFill>
                    <w14:schemeClr w14:val="tx1"/>
                  </w14:solidFill>
                </w14:textFill>
              </w:rPr>
              <w:t>m</w:t>
            </w:r>
            <w:r>
              <w:rPr>
                <w:rFonts w:hint="eastAsia"/>
                <w:color w:val="000000" w:themeColor="text1"/>
                <w:position w:val="11"/>
                <w:sz w:val="11"/>
                <w14:textFill>
                  <w14:solidFill>
                    <w14:schemeClr w14:val="tx1"/>
                  </w14:solidFill>
                </w14:textFill>
              </w:rPr>
              <w:t>3</w:t>
            </w:r>
            <w:r>
              <w:rPr>
                <w:rFonts w:hint="eastAsia"/>
                <w:color w:val="000000" w:themeColor="text1"/>
                <w14:textFill>
                  <w14:solidFill>
                    <w14:schemeClr w14:val="tx1"/>
                  </w14:solidFill>
                </w14:textFill>
              </w:rPr>
              <w:t>/d</w:t>
            </w:r>
          </w:p>
        </w:tc>
      </w:tr>
      <w:tr w14:paraId="4A1D3D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5" w:hRule="atLeast"/>
          <w:jc w:val="center"/>
        </w:trPr>
        <w:tc>
          <w:tcPr>
            <w:tcW w:w="651" w:type="pct"/>
            <w:vMerge w:val="continue"/>
            <w:vAlign w:val="center"/>
          </w:tcPr>
          <w:p w14:paraId="0C905C6B">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19361B50">
            <w:pPr>
              <w:pStyle w:val="280"/>
              <w:spacing w:line="300" w:lineRule="exact"/>
              <w:rPr>
                <w:rFonts w:hint="eastAsia"/>
                <w:color w:val="000000" w:themeColor="text1"/>
                <w14:textFill>
                  <w14:solidFill>
                    <w14:schemeClr w14:val="tx1"/>
                  </w14:solidFill>
                </w14:textFill>
              </w:rPr>
            </w:pPr>
          </w:p>
        </w:tc>
        <w:tc>
          <w:tcPr>
            <w:tcW w:w="806" w:type="pct"/>
            <w:vAlign w:val="center"/>
          </w:tcPr>
          <w:p w14:paraId="4BC2868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注水系统</w:t>
            </w:r>
          </w:p>
        </w:tc>
        <w:tc>
          <w:tcPr>
            <w:tcW w:w="486" w:type="pct"/>
            <w:vAlign w:val="center"/>
          </w:tcPr>
          <w:p w14:paraId="00AEF6C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533E0A0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0E14AC2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3619m</w:t>
            </w:r>
            <w:r>
              <w:rPr>
                <w:rFonts w:hint="eastAsia"/>
                <w:color w:val="000000" w:themeColor="text1"/>
                <w:position w:val="11"/>
                <w:sz w:val="11"/>
                <w14:textFill>
                  <w14:solidFill>
                    <w14:schemeClr w14:val="tx1"/>
                  </w14:solidFill>
                </w14:textFill>
              </w:rPr>
              <w:t>3</w:t>
            </w:r>
            <w:r>
              <w:rPr>
                <w:rFonts w:hint="eastAsia"/>
                <w:color w:val="000000" w:themeColor="text1"/>
                <w14:textFill>
                  <w14:solidFill>
                    <w14:schemeClr w14:val="tx1"/>
                  </w14:solidFill>
                </w14:textFill>
              </w:rPr>
              <w:t>/d</w:t>
            </w:r>
          </w:p>
        </w:tc>
      </w:tr>
      <w:tr w14:paraId="037EA4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651" w:type="pct"/>
            <w:vMerge w:val="continue"/>
            <w:vAlign w:val="center"/>
          </w:tcPr>
          <w:p w14:paraId="5EBF7A46">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72C2B45B">
            <w:pPr>
              <w:pStyle w:val="280"/>
              <w:spacing w:line="300" w:lineRule="exact"/>
              <w:rPr>
                <w:rFonts w:hint="eastAsia"/>
                <w:color w:val="000000" w:themeColor="text1"/>
                <w14:textFill>
                  <w14:solidFill>
                    <w14:schemeClr w14:val="tx1"/>
                  </w14:solidFill>
                </w14:textFill>
              </w:rPr>
            </w:pPr>
          </w:p>
        </w:tc>
        <w:tc>
          <w:tcPr>
            <w:tcW w:w="806" w:type="pct"/>
            <w:vAlign w:val="center"/>
          </w:tcPr>
          <w:p w14:paraId="328DFA9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掺水系统</w:t>
            </w:r>
          </w:p>
        </w:tc>
        <w:tc>
          <w:tcPr>
            <w:tcW w:w="486" w:type="pct"/>
            <w:vAlign w:val="center"/>
          </w:tcPr>
          <w:p w14:paraId="0BD39D0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503B8FB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1804996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3600m</w:t>
            </w:r>
            <w:r>
              <w:rPr>
                <w:rFonts w:hint="eastAsia"/>
                <w:color w:val="000000" w:themeColor="text1"/>
                <w:position w:val="11"/>
                <w:sz w:val="11"/>
                <w14:textFill>
                  <w14:solidFill>
                    <w14:schemeClr w14:val="tx1"/>
                  </w14:solidFill>
                </w14:textFill>
              </w:rPr>
              <w:t>3</w:t>
            </w:r>
            <w:r>
              <w:rPr>
                <w:rFonts w:hint="eastAsia"/>
                <w:color w:val="000000" w:themeColor="text1"/>
                <w14:textFill>
                  <w14:solidFill>
                    <w14:schemeClr w14:val="tx1"/>
                  </w14:solidFill>
                </w14:textFill>
              </w:rPr>
              <w:t>/d</w:t>
            </w:r>
          </w:p>
        </w:tc>
      </w:tr>
      <w:tr w14:paraId="3A1BBC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5" w:hRule="atLeast"/>
          <w:jc w:val="center"/>
        </w:trPr>
        <w:tc>
          <w:tcPr>
            <w:tcW w:w="651" w:type="pct"/>
            <w:vMerge w:val="continue"/>
            <w:vAlign w:val="center"/>
          </w:tcPr>
          <w:p w14:paraId="2C776595">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7B80D97F">
            <w:pPr>
              <w:pStyle w:val="280"/>
              <w:spacing w:line="300" w:lineRule="exact"/>
              <w:rPr>
                <w:rFonts w:hint="eastAsia"/>
                <w:color w:val="000000" w:themeColor="text1"/>
                <w14:textFill>
                  <w14:solidFill>
                    <w14:schemeClr w14:val="tx1"/>
                  </w14:solidFill>
                </w14:textFill>
              </w:rPr>
            </w:pPr>
          </w:p>
        </w:tc>
        <w:tc>
          <w:tcPr>
            <w:tcW w:w="806" w:type="pct"/>
            <w:vAlign w:val="center"/>
          </w:tcPr>
          <w:p w14:paraId="1924CB3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采出水处理系统</w:t>
            </w:r>
          </w:p>
        </w:tc>
        <w:tc>
          <w:tcPr>
            <w:tcW w:w="486" w:type="pct"/>
            <w:vAlign w:val="center"/>
          </w:tcPr>
          <w:p w14:paraId="339483A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638B578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73A91F1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1800m</w:t>
            </w:r>
            <w:r>
              <w:rPr>
                <w:rFonts w:hint="eastAsia"/>
                <w:color w:val="000000" w:themeColor="text1"/>
                <w:position w:val="11"/>
                <w:sz w:val="11"/>
                <w14:textFill>
                  <w14:solidFill>
                    <w14:schemeClr w14:val="tx1"/>
                  </w14:solidFill>
                </w14:textFill>
              </w:rPr>
              <w:t>3</w:t>
            </w:r>
            <w:r>
              <w:rPr>
                <w:rFonts w:hint="eastAsia"/>
                <w:color w:val="000000" w:themeColor="text1"/>
                <w14:textFill>
                  <w14:solidFill>
                    <w14:schemeClr w14:val="tx1"/>
                  </w14:solidFill>
                </w14:textFill>
              </w:rPr>
              <w:t>/d</w:t>
            </w:r>
          </w:p>
        </w:tc>
      </w:tr>
      <w:tr w14:paraId="74CE50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651" w:type="pct"/>
            <w:vMerge w:val="continue"/>
            <w:vAlign w:val="center"/>
          </w:tcPr>
          <w:p w14:paraId="55205AB5">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5544B303">
            <w:pPr>
              <w:pStyle w:val="280"/>
              <w:spacing w:line="300" w:lineRule="exact"/>
              <w:rPr>
                <w:rFonts w:hint="eastAsia"/>
                <w:color w:val="000000" w:themeColor="text1"/>
                <w14:textFill>
                  <w14:solidFill>
                    <w14:schemeClr w14:val="tx1"/>
                  </w14:solidFill>
                </w14:textFill>
              </w:rPr>
            </w:pPr>
          </w:p>
        </w:tc>
        <w:tc>
          <w:tcPr>
            <w:tcW w:w="806" w:type="pct"/>
            <w:vAlign w:val="center"/>
          </w:tcPr>
          <w:p w14:paraId="47944B1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污泥处理系统</w:t>
            </w:r>
          </w:p>
        </w:tc>
        <w:tc>
          <w:tcPr>
            <w:tcW w:w="486" w:type="pct"/>
            <w:vAlign w:val="center"/>
          </w:tcPr>
          <w:p w14:paraId="1F11726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7B5E59A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6DA1D75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E228A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893" w:hRule="atLeast"/>
          <w:jc w:val="center"/>
        </w:trPr>
        <w:tc>
          <w:tcPr>
            <w:tcW w:w="651" w:type="pct"/>
            <w:vMerge w:val="continue"/>
            <w:vAlign w:val="center"/>
          </w:tcPr>
          <w:p w14:paraId="29F75933">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1125BBFE">
            <w:pPr>
              <w:pStyle w:val="280"/>
              <w:spacing w:line="300" w:lineRule="exact"/>
              <w:rPr>
                <w:rFonts w:hint="eastAsia"/>
                <w:color w:val="000000" w:themeColor="text1"/>
                <w14:textFill>
                  <w14:solidFill>
                    <w14:schemeClr w14:val="tx1"/>
                  </w14:solidFill>
                </w14:textFill>
              </w:rPr>
            </w:pPr>
          </w:p>
        </w:tc>
        <w:tc>
          <w:tcPr>
            <w:tcW w:w="806" w:type="pct"/>
            <w:vAlign w:val="center"/>
          </w:tcPr>
          <w:p w14:paraId="6FA9B7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卸油系统</w:t>
            </w:r>
          </w:p>
        </w:tc>
        <w:tc>
          <w:tcPr>
            <w:tcW w:w="486" w:type="pct"/>
            <w:vAlign w:val="center"/>
          </w:tcPr>
          <w:p w14:paraId="5CE4D9C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52840D3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2EFD152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在用：4车位卸油台、2座60m³卸油方罐、1座500m³、1座1000m³储油罐停用：2车位卸油台、2座60m³</w:t>
            </w:r>
            <w:r>
              <w:rPr>
                <w:rFonts w:hint="eastAsia"/>
                <w:color w:val="000000" w:themeColor="text1"/>
                <w:spacing w:val="-4"/>
                <w14:textFill>
                  <w14:solidFill>
                    <w14:schemeClr w14:val="tx1"/>
                  </w14:solidFill>
                </w14:textFill>
              </w:rPr>
              <w:t>卸油方罐</w:t>
            </w:r>
          </w:p>
        </w:tc>
      </w:tr>
      <w:tr w14:paraId="748633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9" w:hRule="atLeast"/>
          <w:jc w:val="center"/>
        </w:trPr>
        <w:tc>
          <w:tcPr>
            <w:tcW w:w="651" w:type="pct"/>
            <w:vMerge w:val="continue"/>
            <w:vAlign w:val="center"/>
          </w:tcPr>
          <w:p w14:paraId="4E192C70">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36CA9D7A">
            <w:pPr>
              <w:pStyle w:val="280"/>
              <w:spacing w:line="300" w:lineRule="exact"/>
              <w:rPr>
                <w:rFonts w:hint="eastAsia"/>
                <w:color w:val="000000" w:themeColor="text1"/>
                <w14:textFill>
                  <w14:solidFill>
                    <w14:schemeClr w14:val="tx1"/>
                  </w14:solidFill>
                </w14:textFill>
              </w:rPr>
            </w:pPr>
          </w:p>
        </w:tc>
        <w:tc>
          <w:tcPr>
            <w:tcW w:w="806" w:type="pct"/>
            <w:vAlign w:val="center"/>
          </w:tcPr>
          <w:p w14:paraId="1608348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预脱水处理系统</w:t>
            </w:r>
          </w:p>
        </w:tc>
        <w:tc>
          <w:tcPr>
            <w:tcW w:w="486" w:type="pct"/>
            <w:vAlign w:val="center"/>
          </w:tcPr>
          <w:p w14:paraId="53D3E56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0314696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411C44BF">
            <w:pPr>
              <w:pStyle w:val="280"/>
              <w:spacing w:line="300" w:lineRule="exact"/>
              <w:rPr>
                <w:rFonts w:hint="eastAsia"/>
                <w:color w:val="000000" w:themeColor="text1"/>
                <w:spacing w:val="-5"/>
                <w14:textFill>
                  <w14:solidFill>
                    <w14:schemeClr w14:val="tx1"/>
                  </w14:solidFill>
                </w14:textFill>
              </w:rPr>
            </w:pPr>
            <w:r>
              <w:rPr>
                <w:rFonts w:hint="eastAsia"/>
                <w:color w:val="000000" w:themeColor="text1"/>
                <w14:textFill>
                  <w14:solidFill>
                    <w14:schemeClr w14:val="tx1"/>
                  </w14:solidFill>
                </w14:textFill>
              </w:rPr>
              <w:t>35×10</w:t>
            </w:r>
            <w:r>
              <w:rPr>
                <w:rFonts w:hint="eastAsia"/>
                <w:color w:val="000000" w:themeColor="text1"/>
                <w:position w:val="11"/>
                <w:sz w:val="11"/>
                <w14:textFill>
                  <w14:solidFill>
                    <w14:schemeClr w14:val="tx1"/>
                  </w14:solidFill>
                </w14:textFill>
              </w:rPr>
              <w:t>4</w:t>
            </w:r>
            <w:r>
              <w:rPr>
                <w:rFonts w:hint="eastAsia"/>
                <w:color w:val="000000" w:themeColor="text1"/>
                <w14:textFill>
                  <w14:solidFill>
                    <w14:schemeClr w14:val="tx1"/>
                  </w14:solidFill>
                </w14:textFill>
              </w:rPr>
              <w:t>t/a</w:t>
            </w:r>
            <w:r>
              <w:rPr>
                <w:rFonts w:hint="eastAsia"/>
                <w:color w:val="000000" w:themeColor="text1"/>
                <w:spacing w:val="-5"/>
                <w14:textFill>
                  <w14:solidFill>
                    <w14:schemeClr w14:val="tx1"/>
                  </w14:solidFill>
                </w14:textFill>
              </w:rPr>
              <w:t>，停用</w:t>
            </w:r>
          </w:p>
        </w:tc>
      </w:tr>
      <w:tr w14:paraId="228B75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1" w:hRule="atLeast"/>
          <w:jc w:val="center"/>
        </w:trPr>
        <w:tc>
          <w:tcPr>
            <w:tcW w:w="651" w:type="pct"/>
            <w:vMerge w:val="continue"/>
            <w:vAlign w:val="center"/>
          </w:tcPr>
          <w:p w14:paraId="5B6AC845">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2A91DB01">
            <w:pPr>
              <w:pStyle w:val="280"/>
              <w:spacing w:line="300" w:lineRule="exact"/>
              <w:rPr>
                <w:rFonts w:hint="eastAsia"/>
                <w:color w:val="000000" w:themeColor="text1"/>
                <w14:textFill>
                  <w14:solidFill>
                    <w14:schemeClr w14:val="tx1"/>
                  </w14:solidFill>
                </w14:textFill>
              </w:rPr>
            </w:pPr>
          </w:p>
        </w:tc>
        <w:tc>
          <w:tcPr>
            <w:tcW w:w="806" w:type="pct"/>
            <w:vAlign w:val="center"/>
          </w:tcPr>
          <w:p w14:paraId="388B8A5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返排液处理</w:t>
            </w:r>
          </w:p>
        </w:tc>
        <w:tc>
          <w:tcPr>
            <w:tcW w:w="486" w:type="pct"/>
            <w:vAlign w:val="center"/>
          </w:tcPr>
          <w:p w14:paraId="5C46B7F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200C7DD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1A434A70">
            <w:pPr>
              <w:pStyle w:val="280"/>
              <w:spacing w:line="300" w:lineRule="exact"/>
              <w:rPr>
                <w:rFonts w:hint="eastAsia"/>
                <w:color w:val="000000" w:themeColor="text1"/>
                <w:spacing w:val="-6"/>
                <w14:textFill>
                  <w14:solidFill>
                    <w14:schemeClr w14:val="tx1"/>
                  </w14:solidFill>
                </w14:textFill>
              </w:rPr>
            </w:pPr>
            <w:r>
              <w:rPr>
                <w:rFonts w:hint="eastAsia"/>
                <w:color w:val="000000" w:themeColor="text1"/>
                <w14:textFill>
                  <w14:solidFill>
                    <w14:schemeClr w14:val="tx1"/>
                  </w14:solidFill>
                </w14:textFill>
              </w:rPr>
              <w:t>1700m</w:t>
            </w:r>
            <w:r>
              <w:rPr>
                <w:rFonts w:hint="eastAsia"/>
                <w:color w:val="000000" w:themeColor="text1"/>
                <w:position w:val="11"/>
                <w:sz w:val="11"/>
                <w14:textFill>
                  <w14:solidFill>
                    <w14:schemeClr w14:val="tx1"/>
                  </w14:solidFill>
                </w14:textFill>
              </w:rPr>
              <w:t>3</w:t>
            </w:r>
            <w:r>
              <w:rPr>
                <w:rFonts w:hint="eastAsia"/>
                <w:color w:val="000000" w:themeColor="text1"/>
                <w14:textFill>
                  <w14:solidFill>
                    <w14:schemeClr w14:val="tx1"/>
                  </w14:solidFill>
                </w14:textFill>
              </w:rPr>
              <w:t>/d，</w:t>
            </w:r>
            <w:r>
              <w:rPr>
                <w:rFonts w:hint="eastAsia"/>
                <w:color w:val="000000" w:themeColor="text1"/>
                <w:spacing w:val="-6"/>
                <w14:textFill>
                  <w14:solidFill>
                    <w14:schemeClr w14:val="tx1"/>
                  </w14:solidFill>
                </w14:textFill>
              </w:rPr>
              <w:t>停用</w:t>
            </w:r>
          </w:p>
        </w:tc>
      </w:tr>
      <w:tr w14:paraId="60C710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9" w:hRule="atLeast"/>
          <w:jc w:val="center"/>
        </w:trPr>
        <w:tc>
          <w:tcPr>
            <w:tcW w:w="651" w:type="pct"/>
            <w:vMerge w:val="continue"/>
            <w:vAlign w:val="center"/>
          </w:tcPr>
          <w:p w14:paraId="5B1ABB3A">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2B8D7A49">
            <w:pPr>
              <w:pStyle w:val="280"/>
              <w:spacing w:line="300" w:lineRule="exact"/>
              <w:rPr>
                <w:rFonts w:hint="eastAsia"/>
                <w:color w:val="000000" w:themeColor="text1"/>
                <w14:textFill>
                  <w14:solidFill>
                    <w14:schemeClr w14:val="tx1"/>
                  </w14:solidFill>
                </w14:textFill>
              </w:rPr>
            </w:pPr>
          </w:p>
        </w:tc>
        <w:tc>
          <w:tcPr>
            <w:tcW w:w="806" w:type="pct"/>
            <w:vAlign w:val="center"/>
          </w:tcPr>
          <w:p w14:paraId="6D9910A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压裂返排液暂存池</w:t>
            </w:r>
          </w:p>
        </w:tc>
        <w:tc>
          <w:tcPr>
            <w:tcW w:w="486" w:type="pct"/>
            <w:vAlign w:val="center"/>
          </w:tcPr>
          <w:p w14:paraId="24215B4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650" w:type="pct"/>
            <w:vAlign w:val="center"/>
          </w:tcPr>
          <w:p w14:paraId="2EB7365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45AB8982">
            <w:pPr>
              <w:pStyle w:val="280"/>
              <w:spacing w:line="300" w:lineRule="exact"/>
              <w:rPr>
                <w:rFonts w:hint="eastAsia"/>
                <w:color w:val="000000" w:themeColor="text1"/>
                <w:position w:val="11"/>
                <w:sz w:val="11"/>
                <w14:textFill>
                  <w14:solidFill>
                    <w14:schemeClr w14:val="tx1"/>
                  </w14:solidFill>
                </w14:textFill>
              </w:rPr>
            </w:pPr>
            <w:r>
              <w:rPr>
                <w:rFonts w:hint="eastAsia"/>
                <w:color w:val="000000" w:themeColor="text1"/>
                <w14:textFill>
                  <w14:solidFill>
                    <w14:schemeClr w14:val="tx1"/>
                  </w14:solidFill>
                </w14:textFill>
              </w:rPr>
              <w:t>10000m</w:t>
            </w:r>
            <w:r>
              <w:rPr>
                <w:rFonts w:hint="eastAsia"/>
                <w:color w:val="000000" w:themeColor="text1"/>
                <w:position w:val="11"/>
                <w:sz w:val="11"/>
                <w14:textFill>
                  <w14:solidFill>
                    <w14:schemeClr w14:val="tx1"/>
                  </w14:solidFill>
                </w14:textFill>
              </w:rPr>
              <w:t>3</w:t>
            </w:r>
          </w:p>
        </w:tc>
      </w:tr>
      <w:tr w14:paraId="0E6ACF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0" w:hRule="atLeast"/>
          <w:jc w:val="center"/>
        </w:trPr>
        <w:tc>
          <w:tcPr>
            <w:tcW w:w="651" w:type="pct"/>
            <w:vMerge w:val="continue"/>
            <w:vAlign w:val="center"/>
          </w:tcPr>
          <w:p w14:paraId="4FBEA12D">
            <w:pPr>
              <w:pStyle w:val="280"/>
              <w:spacing w:line="300" w:lineRule="exact"/>
              <w:rPr>
                <w:rFonts w:hint="eastAsia"/>
                <w:color w:val="000000" w:themeColor="text1"/>
                <w14:textFill>
                  <w14:solidFill>
                    <w14:schemeClr w14:val="tx1"/>
                  </w14:solidFill>
                </w14:textFill>
              </w:rPr>
            </w:pPr>
          </w:p>
        </w:tc>
        <w:tc>
          <w:tcPr>
            <w:tcW w:w="1377" w:type="pct"/>
            <w:gridSpan w:val="2"/>
            <w:vAlign w:val="center"/>
          </w:tcPr>
          <w:p w14:paraId="5F3A23D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计量配水站</w:t>
            </w:r>
          </w:p>
        </w:tc>
        <w:tc>
          <w:tcPr>
            <w:tcW w:w="486" w:type="pct"/>
            <w:vAlign w:val="center"/>
          </w:tcPr>
          <w:p w14:paraId="547F0AC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650" w:type="pct"/>
            <w:vAlign w:val="center"/>
          </w:tcPr>
          <w:p w14:paraId="28CCB22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1833" w:type="pct"/>
            <w:vAlign w:val="center"/>
          </w:tcPr>
          <w:p w14:paraId="4FDA8D4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计量、配水橇合建</w:t>
            </w:r>
          </w:p>
        </w:tc>
      </w:tr>
      <w:tr w14:paraId="6622B5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9" w:hRule="atLeast"/>
          <w:jc w:val="center"/>
        </w:trPr>
        <w:tc>
          <w:tcPr>
            <w:tcW w:w="651" w:type="pct"/>
            <w:vMerge w:val="restart"/>
            <w:vAlign w:val="center"/>
          </w:tcPr>
          <w:p w14:paraId="329C0C1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公用工程</w:t>
            </w:r>
          </w:p>
        </w:tc>
        <w:tc>
          <w:tcPr>
            <w:tcW w:w="571" w:type="pct"/>
            <w:vMerge w:val="restart"/>
            <w:vAlign w:val="center"/>
          </w:tcPr>
          <w:p w14:paraId="27893835">
            <w:pPr>
              <w:pStyle w:val="280"/>
              <w:spacing w:line="300" w:lineRule="exact"/>
              <w:rPr>
                <w:rFonts w:hint="eastAsia"/>
                <w:color w:val="000000" w:themeColor="text1"/>
                <w:spacing w:val="-10"/>
                <w14:textFill>
                  <w14:solidFill>
                    <w14:schemeClr w14:val="tx1"/>
                  </w14:solidFill>
                </w14:textFill>
              </w:rPr>
            </w:pPr>
            <w:r>
              <w:rPr>
                <w:rFonts w:hint="eastAsia"/>
                <w:color w:val="000000" w:themeColor="text1"/>
                <w14:textFill>
                  <w14:solidFill>
                    <w14:schemeClr w14:val="tx1"/>
                  </w14:solidFill>
                </w14:textFill>
              </w:rPr>
              <w:t>供配</w:t>
            </w:r>
            <w:r>
              <w:rPr>
                <w:rFonts w:hint="eastAsia"/>
                <w:color w:val="000000" w:themeColor="text1"/>
                <w:spacing w:val="-10"/>
                <w14:textFill>
                  <w14:solidFill>
                    <w14:schemeClr w14:val="tx1"/>
                  </w14:solidFill>
                </w14:textFill>
              </w:rPr>
              <w:t>电</w:t>
            </w:r>
          </w:p>
        </w:tc>
        <w:tc>
          <w:tcPr>
            <w:tcW w:w="806" w:type="pct"/>
            <w:vAlign w:val="center"/>
          </w:tcPr>
          <w:p w14:paraId="563E1F4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变电站</w:t>
            </w:r>
          </w:p>
        </w:tc>
        <w:tc>
          <w:tcPr>
            <w:tcW w:w="486" w:type="pct"/>
            <w:vAlign w:val="center"/>
          </w:tcPr>
          <w:p w14:paraId="284287F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650" w:type="pct"/>
            <w:vAlign w:val="center"/>
          </w:tcPr>
          <w:p w14:paraId="1B67BA4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7562B0BA">
            <w:pPr>
              <w:pStyle w:val="280"/>
              <w:spacing w:line="300" w:lineRule="exact"/>
              <w:rPr>
                <w:rFonts w:hint="eastAsia"/>
                <w:color w:val="000000" w:themeColor="text1"/>
                <w14:textFill>
                  <w14:solidFill>
                    <w14:schemeClr w14:val="tx1"/>
                  </w14:solidFill>
                </w14:textFill>
              </w:rPr>
            </w:pPr>
            <w:r>
              <w:rPr>
                <w:rFonts w:hint="eastAsia"/>
                <w:color w:val="000000" w:themeColor="text1"/>
                <w:spacing w:val="-2"/>
                <w14:textFill>
                  <w14:solidFill>
                    <w14:schemeClr w14:val="tx1"/>
                  </w14:solidFill>
                </w14:textFill>
              </w:rPr>
              <w:t>35KV</w:t>
            </w:r>
            <w:r>
              <w:rPr>
                <w:rFonts w:hint="eastAsia"/>
                <w:color w:val="000000" w:themeColor="text1"/>
                <w14:textFill>
                  <w14:solidFill>
                    <w14:schemeClr w14:val="tx1"/>
                  </w14:solidFill>
                </w14:textFill>
              </w:rPr>
              <w:t>吉祥简易变电站</w:t>
            </w:r>
          </w:p>
        </w:tc>
      </w:tr>
      <w:tr w14:paraId="276B3A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600" w:hRule="atLeast"/>
          <w:jc w:val="center"/>
        </w:trPr>
        <w:tc>
          <w:tcPr>
            <w:tcW w:w="651" w:type="pct"/>
            <w:vMerge w:val="continue"/>
            <w:vAlign w:val="center"/>
          </w:tcPr>
          <w:p w14:paraId="5C98BDFE">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6ABDADB6">
            <w:pPr>
              <w:pStyle w:val="280"/>
              <w:spacing w:line="300" w:lineRule="exact"/>
              <w:rPr>
                <w:rFonts w:hint="eastAsia"/>
                <w:color w:val="000000" w:themeColor="text1"/>
                <w14:textFill>
                  <w14:solidFill>
                    <w14:schemeClr w14:val="tx1"/>
                  </w14:solidFill>
                </w14:textFill>
              </w:rPr>
            </w:pPr>
          </w:p>
        </w:tc>
        <w:tc>
          <w:tcPr>
            <w:tcW w:w="806" w:type="pct"/>
            <w:vAlign w:val="center"/>
          </w:tcPr>
          <w:p w14:paraId="09BE034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输电线路</w:t>
            </w:r>
          </w:p>
        </w:tc>
        <w:tc>
          <w:tcPr>
            <w:tcW w:w="486" w:type="pct"/>
            <w:vAlign w:val="center"/>
          </w:tcPr>
          <w:p w14:paraId="59914ED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km</w:t>
            </w:r>
          </w:p>
        </w:tc>
        <w:tc>
          <w:tcPr>
            <w:tcW w:w="650" w:type="pct"/>
            <w:vAlign w:val="center"/>
          </w:tcPr>
          <w:p w14:paraId="3689FB2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80.8</w:t>
            </w:r>
          </w:p>
        </w:tc>
        <w:tc>
          <w:tcPr>
            <w:tcW w:w="1833" w:type="pct"/>
            <w:vAlign w:val="center"/>
          </w:tcPr>
          <w:p w14:paraId="6674BC5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吉7井区35kV线路2条，总长29km；10kV线路3条，总长51.8km</w:t>
            </w:r>
          </w:p>
        </w:tc>
      </w:tr>
      <w:tr w14:paraId="57EB6D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9" w:hRule="atLeast"/>
          <w:jc w:val="center"/>
        </w:trPr>
        <w:tc>
          <w:tcPr>
            <w:tcW w:w="651" w:type="pct"/>
            <w:vMerge w:val="continue"/>
            <w:vAlign w:val="center"/>
          </w:tcPr>
          <w:p w14:paraId="57B56CE9">
            <w:pPr>
              <w:pStyle w:val="280"/>
              <w:spacing w:line="300" w:lineRule="exact"/>
              <w:rPr>
                <w:rFonts w:hint="eastAsia"/>
                <w:color w:val="000000" w:themeColor="text1"/>
                <w14:textFill>
                  <w14:solidFill>
                    <w14:schemeClr w14:val="tx1"/>
                  </w14:solidFill>
                </w14:textFill>
              </w:rPr>
            </w:pPr>
          </w:p>
        </w:tc>
        <w:tc>
          <w:tcPr>
            <w:tcW w:w="571" w:type="pct"/>
            <w:vMerge w:val="restart"/>
            <w:vAlign w:val="center"/>
          </w:tcPr>
          <w:p w14:paraId="5AE0CEC1">
            <w:pPr>
              <w:pStyle w:val="280"/>
              <w:spacing w:line="300" w:lineRule="exact"/>
              <w:rPr>
                <w:rFonts w:hint="eastAsia"/>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各类</w:t>
            </w:r>
          </w:p>
          <w:p w14:paraId="661FFD7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道路</w:t>
            </w:r>
          </w:p>
        </w:tc>
        <w:tc>
          <w:tcPr>
            <w:tcW w:w="806" w:type="pct"/>
            <w:vAlign w:val="center"/>
          </w:tcPr>
          <w:p w14:paraId="744C6BE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简易道路</w:t>
            </w:r>
          </w:p>
        </w:tc>
        <w:tc>
          <w:tcPr>
            <w:tcW w:w="486" w:type="pct"/>
            <w:vAlign w:val="center"/>
          </w:tcPr>
          <w:p w14:paraId="32D3EE9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km</w:t>
            </w:r>
          </w:p>
        </w:tc>
        <w:tc>
          <w:tcPr>
            <w:tcW w:w="650" w:type="pct"/>
            <w:vAlign w:val="center"/>
          </w:tcPr>
          <w:p w14:paraId="077595F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1833" w:type="pct"/>
            <w:vAlign w:val="center"/>
          </w:tcPr>
          <w:p w14:paraId="4507D10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F09AC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600" w:hRule="atLeast"/>
          <w:jc w:val="center"/>
        </w:trPr>
        <w:tc>
          <w:tcPr>
            <w:tcW w:w="651" w:type="pct"/>
            <w:vMerge w:val="continue"/>
            <w:vAlign w:val="center"/>
          </w:tcPr>
          <w:p w14:paraId="7DD21E60">
            <w:pPr>
              <w:pStyle w:val="280"/>
              <w:spacing w:line="300" w:lineRule="exact"/>
              <w:rPr>
                <w:rFonts w:hint="eastAsia"/>
                <w:color w:val="000000" w:themeColor="text1"/>
                <w14:textFill>
                  <w14:solidFill>
                    <w14:schemeClr w14:val="tx1"/>
                  </w14:solidFill>
                </w14:textFill>
              </w:rPr>
            </w:pPr>
          </w:p>
        </w:tc>
        <w:tc>
          <w:tcPr>
            <w:tcW w:w="571" w:type="pct"/>
            <w:vMerge w:val="continue"/>
            <w:vAlign w:val="center"/>
          </w:tcPr>
          <w:p w14:paraId="00E44E07">
            <w:pPr>
              <w:pStyle w:val="280"/>
              <w:spacing w:line="300" w:lineRule="exact"/>
              <w:rPr>
                <w:rFonts w:hint="eastAsia"/>
                <w:color w:val="000000" w:themeColor="text1"/>
                <w14:textFill>
                  <w14:solidFill>
                    <w14:schemeClr w14:val="tx1"/>
                  </w14:solidFill>
                </w14:textFill>
              </w:rPr>
            </w:pPr>
          </w:p>
        </w:tc>
        <w:tc>
          <w:tcPr>
            <w:tcW w:w="806" w:type="pct"/>
            <w:vAlign w:val="center"/>
          </w:tcPr>
          <w:p w14:paraId="51920D7A">
            <w:pPr>
              <w:pStyle w:val="280"/>
              <w:spacing w:line="300" w:lineRule="exact"/>
              <w:rPr>
                <w:rFonts w:hint="eastAsia"/>
                <w:color w:val="000000" w:themeColor="text1"/>
                <w:spacing w:val="-6"/>
                <w14:textFill>
                  <w14:solidFill>
                    <w14:schemeClr w14:val="tx1"/>
                  </w14:solidFill>
                </w14:textFill>
              </w:rPr>
            </w:pPr>
            <w:r>
              <w:rPr>
                <w:rFonts w:hint="eastAsia"/>
                <w:color w:val="000000" w:themeColor="text1"/>
                <w14:textFill>
                  <w14:solidFill>
                    <w14:schemeClr w14:val="tx1"/>
                  </w14:solidFill>
                </w14:textFill>
              </w:rPr>
              <w:t>支线道路（四级公</w:t>
            </w:r>
            <w:r>
              <w:rPr>
                <w:rFonts w:hint="eastAsia"/>
                <w:color w:val="000000" w:themeColor="text1"/>
                <w:spacing w:val="-6"/>
                <w14:textFill>
                  <w14:solidFill>
                    <w14:schemeClr w14:val="tx1"/>
                  </w14:solidFill>
                </w14:textFill>
              </w:rPr>
              <w:t>路）</w:t>
            </w:r>
          </w:p>
        </w:tc>
        <w:tc>
          <w:tcPr>
            <w:tcW w:w="486" w:type="pct"/>
            <w:vAlign w:val="center"/>
          </w:tcPr>
          <w:p w14:paraId="6B1BDE3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km</w:t>
            </w:r>
          </w:p>
        </w:tc>
        <w:tc>
          <w:tcPr>
            <w:tcW w:w="650" w:type="pct"/>
            <w:vAlign w:val="center"/>
          </w:tcPr>
          <w:p w14:paraId="27296BB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13.4</w:t>
            </w:r>
          </w:p>
        </w:tc>
        <w:tc>
          <w:tcPr>
            <w:tcW w:w="1833" w:type="pct"/>
            <w:vAlign w:val="center"/>
          </w:tcPr>
          <w:p w14:paraId="7B16A6C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DE14C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9" w:hRule="atLeast"/>
          <w:jc w:val="center"/>
        </w:trPr>
        <w:tc>
          <w:tcPr>
            <w:tcW w:w="651" w:type="pct"/>
            <w:vAlign w:val="center"/>
          </w:tcPr>
          <w:p w14:paraId="213E277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辅助工程</w:t>
            </w:r>
          </w:p>
        </w:tc>
        <w:tc>
          <w:tcPr>
            <w:tcW w:w="1377" w:type="pct"/>
            <w:gridSpan w:val="2"/>
            <w:vAlign w:val="center"/>
          </w:tcPr>
          <w:p w14:paraId="687D245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集中生活区</w:t>
            </w:r>
          </w:p>
        </w:tc>
        <w:tc>
          <w:tcPr>
            <w:tcW w:w="486" w:type="pct"/>
            <w:vAlign w:val="center"/>
          </w:tcPr>
          <w:p w14:paraId="23E7560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处</w:t>
            </w:r>
          </w:p>
        </w:tc>
        <w:tc>
          <w:tcPr>
            <w:tcW w:w="650" w:type="pct"/>
            <w:vAlign w:val="center"/>
          </w:tcPr>
          <w:p w14:paraId="7CDCF8A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443C06E5">
            <w:pPr>
              <w:pStyle w:val="280"/>
              <w:spacing w:line="300" w:lineRule="exact"/>
              <w:rPr>
                <w:rFonts w:hint="eastAsia"/>
                <w:color w:val="000000" w:themeColor="text1"/>
                <w:spacing w:val="-10"/>
                <w14:textFill>
                  <w14:solidFill>
                    <w14:schemeClr w14:val="tx1"/>
                  </w14:solidFill>
                </w14:textFill>
              </w:rPr>
            </w:pPr>
            <w:r>
              <w:rPr>
                <w:rFonts w:hint="eastAsia"/>
                <w:color w:val="000000" w:themeColor="text1"/>
                <w14:textFill>
                  <w14:solidFill>
                    <w14:schemeClr w14:val="tx1"/>
                  </w14:solidFill>
                </w14:textFill>
              </w:rPr>
              <w:t>吉7老区生活区，容纳60</w:t>
            </w:r>
            <w:r>
              <w:rPr>
                <w:rFonts w:hint="eastAsia"/>
                <w:color w:val="000000" w:themeColor="text1"/>
                <w:spacing w:val="-10"/>
                <w14:textFill>
                  <w14:solidFill>
                    <w14:schemeClr w14:val="tx1"/>
                  </w14:solidFill>
                </w14:textFill>
              </w:rPr>
              <w:t>人</w:t>
            </w:r>
          </w:p>
        </w:tc>
      </w:tr>
      <w:tr w14:paraId="4E64FF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3" w:hRule="atLeast"/>
          <w:jc w:val="center"/>
        </w:trPr>
        <w:tc>
          <w:tcPr>
            <w:tcW w:w="651" w:type="pct"/>
            <w:vMerge w:val="restart"/>
            <w:vAlign w:val="center"/>
          </w:tcPr>
          <w:p w14:paraId="5732EFD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环保工程</w:t>
            </w:r>
          </w:p>
        </w:tc>
        <w:tc>
          <w:tcPr>
            <w:tcW w:w="1377" w:type="pct"/>
            <w:gridSpan w:val="2"/>
            <w:vAlign w:val="center"/>
          </w:tcPr>
          <w:p w14:paraId="582736F6">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吉庆油田作业区含油污泥标准化贮存场</w:t>
            </w:r>
          </w:p>
        </w:tc>
        <w:tc>
          <w:tcPr>
            <w:tcW w:w="486" w:type="pct"/>
            <w:vAlign w:val="center"/>
          </w:tcPr>
          <w:p w14:paraId="737455E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650" w:type="pct"/>
            <w:vAlign w:val="center"/>
          </w:tcPr>
          <w:p w14:paraId="510F82C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5B184D9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24m×12m×2m</w:t>
            </w:r>
          </w:p>
        </w:tc>
      </w:tr>
      <w:tr w14:paraId="0C5444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651" w:type="pct"/>
            <w:vMerge w:val="continue"/>
            <w:vAlign w:val="center"/>
          </w:tcPr>
          <w:p w14:paraId="13A42E2F">
            <w:pPr>
              <w:pStyle w:val="280"/>
              <w:spacing w:line="300" w:lineRule="exact"/>
              <w:rPr>
                <w:rFonts w:hint="eastAsia"/>
                <w:color w:val="000000" w:themeColor="text1"/>
                <w14:textFill>
                  <w14:solidFill>
                    <w14:schemeClr w14:val="tx1"/>
                  </w14:solidFill>
                </w14:textFill>
              </w:rPr>
            </w:pPr>
          </w:p>
        </w:tc>
        <w:tc>
          <w:tcPr>
            <w:tcW w:w="1377" w:type="pct"/>
            <w:gridSpan w:val="2"/>
            <w:vAlign w:val="center"/>
          </w:tcPr>
          <w:p w14:paraId="1C8C6D6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污水池</w:t>
            </w:r>
          </w:p>
        </w:tc>
        <w:tc>
          <w:tcPr>
            <w:tcW w:w="486" w:type="pct"/>
            <w:vAlign w:val="center"/>
          </w:tcPr>
          <w:p w14:paraId="524F032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650" w:type="pct"/>
            <w:vAlign w:val="center"/>
          </w:tcPr>
          <w:p w14:paraId="3C39DCF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833" w:type="pct"/>
            <w:vAlign w:val="center"/>
          </w:tcPr>
          <w:p w14:paraId="12DEE71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400m³</w:t>
            </w:r>
          </w:p>
        </w:tc>
      </w:tr>
      <w:tr w14:paraId="578AE8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5" w:hRule="atLeast"/>
          <w:jc w:val="center"/>
        </w:trPr>
        <w:tc>
          <w:tcPr>
            <w:tcW w:w="651" w:type="pct"/>
            <w:vMerge w:val="continue"/>
            <w:vAlign w:val="center"/>
          </w:tcPr>
          <w:p w14:paraId="17DE936E">
            <w:pPr>
              <w:pStyle w:val="280"/>
              <w:spacing w:line="300" w:lineRule="exact"/>
              <w:rPr>
                <w:rFonts w:hint="eastAsia"/>
                <w:color w:val="000000" w:themeColor="text1"/>
                <w14:textFill>
                  <w14:solidFill>
                    <w14:schemeClr w14:val="tx1"/>
                  </w14:solidFill>
                </w14:textFill>
              </w:rPr>
            </w:pPr>
          </w:p>
        </w:tc>
        <w:tc>
          <w:tcPr>
            <w:tcW w:w="1377" w:type="pct"/>
            <w:gridSpan w:val="2"/>
            <w:vAlign w:val="center"/>
          </w:tcPr>
          <w:p w14:paraId="50CAAB5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生活垃圾收集船</w:t>
            </w:r>
          </w:p>
        </w:tc>
        <w:tc>
          <w:tcPr>
            <w:tcW w:w="486" w:type="pct"/>
            <w:vAlign w:val="center"/>
          </w:tcPr>
          <w:p w14:paraId="0A1C144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650" w:type="pct"/>
            <w:vAlign w:val="center"/>
          </w:tcPr>
          <w:p w14:paraId="7242C24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0625145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53557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92" w:hRule="atLeast"/>
          <w:jc w:val="center"/>
        </w:trPr>
        <w:tc>
          <w:tcPr>
            <w:tcW w:w="651" w:type="pct"/>
            <w:vMerge w:val="continue"/>
            <w:vAlign w:val="center"/>
          </w:tcPr>
          <w:p w14:paraId="06F94577">
            <w:pPr>
              <w:pStyle w:val="280"/>
              <w:spacing w:line="300" w:lineRule="exact"/>
              <w:rPr>
                <w:rFonts w:hint="eastAsia"/>
                <w:color w:val="000000" w:themeColor="text1"/>
                <w14:textFill>
                  <w14:solidFill>
                    <w14:schemeClr w14:val="tx1"/>
                  </w14:solidFill>
                </w14:textFill>
              </w:rPr>
            </w:pPr>
          </w:p>
        </w:tc>
        <w:tc>
          <w:tcPr>
            <w:tcW w:w="1377" w:type="pct"/>
            <w:gridSpan w:val="2"/>
            <w:vAlign w:val="center"/>
          </w:tcPr>
          <w:p w14:paraId="23EA8E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生活污水处理设施</w:t>
            </w:r>
          </w:p>
        </w:tc>
        <w:tc>
          <w:tcPr>
            <w:tcW w:w="486" w:type="pct"/>
            <w:vAlign w:val="center"/>
          </w:tcPr>
          <w:p w14:paraId="785CDA5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650" w:type="pct"/>
            <w:vAlign w:val="center"/>
          </w:tcPr>
          <w:p w14:paraId="1D3129D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833" w:type="pct"/>
            <w:vAlign w:val="center"/>
          </w:tcPr>
          <w:p w14:paraId="6314EF83">
            <w:pPr>
              <w:pStyle w:val="280"/>
              <w:spacing w:line="300" w:lineRule="exact"/>
              <w:rPr>
                <w:rFonts w:hint="eastAsia"/>
                <w:color w:val="000000" w:themeColor="text1"/>
                <w:spacing w:val="-4"/>
                <w14:textFill>
                  <w14:solidFill>
                    <w14:schemeClr w14:val="tx1"/>
                  </w14:solidFill>
                </w14:textFill>
              </w:rPr>
            </w:pPr>
            <w:r>
              <w:rPr>
                <w:rFonts w:hint="eastAsia"/>
                <w:color w:val="000000" w:themeColor="text1"/>
                <w14:textFill>
                  <w14:solidFill>
                    <w14:schemeClr w14:val="tx1"/>
                  </w14:solidFill>
                </w14:textFill>
              </w:rPr>
              <w:t>1座生活污水化粪池、1座沉淀池及1</w:t>
            </w:r>
            <w:r>
              <w:rPr>
                <w:rFonts w:hint="eastAsia"/>
                <w:color w:val="000000" w:themeColor="text1"/>
                <w:spacing w:val="-10"/>
                <w14:textFill>
                  <w14:solidFill>
                    <w14:schemeClr w14:val="tx1"/>
                  </w14:solidFill>
                </w14:textFill>
              </w:rPr>
              <w:t>座</w:t>
            </w:r>
            <w:r>
              <w:rPr>
                <w:rFonts w:hint="eastAsia"/>
                <w:color w:val="000000" w:themeColor="text1"/>
                <w14:textFill>
                  <w14:solidFill>
                    <w14:schemeClr w14:val="tx1"/>
                  </w14:solidFill>
                </w14:textFill>
              </w:rPr>
              <w:t>5000m</w:t>
            </w:r>
            <w:r>
              <w:rPr>
                <w:rFonts w:ascii="Times New Roman" w:hAnsi="Times New Roman" w:eastAsia="Times New Roman"/>
                <w:color w:val="000000" w:themeColor="text1"/>
                <w14:textFill>
                  <w14:solidFill>
                    <w14:schemeClr w14:val="tx1"/>
                  </w14:solidFill>
                </w14:textFill>
              </w:rPr>
              <w:t>³</w:t>
            </w:r>
            <w:r>
              <w:rPr>
                <w:rFonts w:hint="eastAsia"/>
                <w:color w:val="000000" w:themeColor="text1"/>
                <w:spacing w:val="-4"/>
                <w14:textFill>
                  <w14:solidFill>
                    <w14:schemeClr w14:val="tx1"/>
                  </w14:solidFill>
                </w14:textFill>
              </w:rPr>
              <w:t>蒸发池</w:t>
            </w:r>
          </w:p>
        </w:tc>
      </w:tr>
    </w:tbl>
    <w:p w14:paraId="5A78EA5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（2）工艺流程</w:t>
      </w:r>
    </w:p>
    <w:p w14:paraId="6BC2EDC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已建计量（配水）站共33座。吉7井区地面集输系统采用二级布站工艺，集输工艺采用掺热水双管集输流程，主要流程：单井来液采用多通阀自动选井工艺，不需计量的单井气液直接进入集输管道，需计量的单井进入计量橇，计量后进入集油管道与其他单井来气液汇合后输至吉祥联合站进行脱水处理，处理合格后直接罐车拉运至北三台油库。脱出的污水通过掺</w:t>
      </w:r>
      <w:r>
        <w:rPr>
          <w:rFonts w:hint="eastAsia"/>
          <w:color w:val="000000" w:themeColor="text1"/>
          <w:lang w:val="en-US"/>
          <w14:textFill>
            <w14:solidFill>
              <w14:schemeClr w14:val="tx1"/>
            </w14:solidFill>
          </w14:textFill>
        </w:rPr>
        <w:t>热水管线</w:t>
      </w:r>
      <w:r>
        <w:rPr>
          <w:rFonts w:hint="eastAsia"/>
          <w:color w:val="000000" w:themeColor="text1"/>
          <w14:textFill>
            <w14:solidFill>
              <w14:schemeClr w14:val="tx1"/>
            </w14:solidFill>
          </w14:textFill>
        </w:rPr>
        <w:t>输送至掺水橇，再由分水器回掺至采油井口，橇内各单井掺</w:t>
      </w:r>
      <w:r>
        <w:rPr>
          <w:rFonts w:hint="eastAsia"/>
          <w:color w:val="000000" w:themeColor="text1"/>
          <w:lang w:val="en-US"/>
          <w14:textFill>
            <w14:solidFill>
              <w14:schemeClr w14:val="tx1"/>
            </w14:solidFill>
          </w14:textFill>
        </w:rPr>
        <w:t>热水管线</w:t>
      </w:r>
      <w:r>
        <w:rPr>
          <w:rFonts w:hint="eastAsia"/>
          <w:color w:val="000000" w:themeColor="text1"/>
          <w14:textFill>
            <w14:solidFill>
              <w14:schemeClr w14:val="tx1"/>
            </w14:solidFill>
          </w14:textFill>
        </w:rPr>
        <w:t>设调节装置，对热水流量进行在线计量调节，每座橇的来水总线设温度检测。</w:t>
      </w:r>
    </w:p>
    <w:p w14:paraId="302829B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2016年吉7井区已建集中拉油注水站扩建为吉祥联合站，主要负责吉7井区、致密油试验区采出液的处理、井口回掺、井口注水任务，扩建后吉祥联合站原油处理采用“两段大罐热化学沉降脱水”工艺。2018年对吉祥联合站原油处理、掺水系统进行二次改造，改造后原油处理系统设计能力55×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t/a，目前处理量为36×10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t/a；掺水系统设计能力为3600m</w:t>
      </w:r>
      <w:r>
        <w:rPr>
          <w:rFonts w:hint="eastAsia"/>
          <w:color w:val="000000" w:themeColor="text1"/>
          <w:vertAlign w:val="superscript"/>
          <w:lang w:val="en-US"/>
          <w14:textFill>
            <w14:solidFill>
              <w14:schemeClr w14:val="tx1"/>
            </w14:solidFill>
          </w14:textFill>
        </w:rPr>
        <w:t>3</w:t>
      </w:r>
      <w:r>
        <w:rPr>
          <w:rFonts w:hint="eastAsia"/>
          <w:color w:val="000000" w:themeColor="text1"/>
          <w14:textFill>
            <w14:solidFill>
              <w14:schemeClr w14:val="tx1"/>
            </w14:solidFill>
          </w14:textFill>
        </w:rPr>
        <w:t>/d，目前掺水量为2943m</w:t>
      </w:r>
      <w:r>
        <w:rPr>
          <w:rFonts w:hint="eastAsia"/>
          <w:color w:val="000000" w:themeColor="text1"/>
          <w:vertAlign w:val="superscript"/>
          <w:lang w:val="en-US"/>
          <w14:textFill>
            <w14:solidFill>
              <w14:schemeClr w14:val="tx1"/>
            </w14:solidFill>
          </w14:textFill>
        </w:rPr>
        <w:t>3</w:t>
      </w:r>
      <w:r>
        <w:rPr>
          <w:rFonts w:hint="eastAsia"/>
          <w:color w:val="000000" w:themeColor="text1"/>
          <w14:textFill>
            <w14:solidFill>
              <w14:schemeClr w14:val="tx1"/>
            </w14:solidFill>
          </w14:textFill>
        </w:rPr>
        <w:t>/d。</w:t>
      </w:r>
    </w:p>
    <w:p w14:paraId="0FD5C75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吉7井区本次部署井区域内已建集油、掺水、注水干线一线和三线，集油干线均采用D168×5/20无缝钢管，掺水干线均采用D89×4/20无缝钢管，注水干线均采用DN100 25MPa玻璃钢管。</w:t>
      </w:r>
    </w:p>
    <w:p w14:paraId="174C6D3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3</w:t>
      </w:r>
      <w:r>
        <w:rPr>
          <w:rFonts w:hint="eastAsia"/>
          <w:color w:val="000000" w:themeColor="text1"/>
          <w14:textFill>
            <w14:solidFill>
              <w14:schemeClr w14:val="tx1"/>
            </w14:solidFill>
          </w14:textFill>
        </w:rPr>
        <w:t>）注水系统现状</w:t>
      </w:r>
    </w:p>
    <w:p w14:paraId="6A064A9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祥联站目前采用清污混注的方式，清水来自井区内已建3口水源井，污水来自吉祥联合站内采出水处理系统和站外返排液处理系统（第三方负责）。站内已建2座注水泵房，其中1号注水泵房（内设3台Q=15m³/h，P=25MPa注水泵，2台Q=39m</w:t>
      </w:r>
      <w:r>
        <w:rPr>
          <w:rFonts w:hint="eastAsia"/>
          <w:color w:val="000000" w:themeColor="text1"/>
          <w:vertAlign w:val="superscript"/>
          <w:lang w:val="en-US"/>
          <w14:textFill>
            <w14:solidFill>
              <w14:schemeClr w14:val="tx1"/>
            </w14:solidFill>
          </w14:textFill>
        </w:rPr>
        <w:t>3</w:t>
      </w:r>
      <w:r>
        <w:rPr>
          <w:rFonts w:hint="eastAsia"/>
          <w:color w:val="000000" w:themeColor="text1"/>
          <w14:textFill>
            <w14:solidFill>
              <w14:schemeClr w14:val="tx1"/>
            </w14:solidFill>
          </w14:textFill>
        </w:rPr>
        <w:t>/h，P=25MPa 注水泵），2号注水泵房（内设3台Q=39m</w:t>
      </w:r>
      <w:r>
        <w:rPr>
          <w:rFonts w:hint="eastAsia"/>
          <w:color w:val="000000" w:themeColor="text1"/>
          <w:vertAlign w:val="superscript"/>
          <w:lang w:val="en-US"/>
          <w14:textFill>
            <w14:solidFill>
              <w14:schemeClr w14:val="tx1"/>
            </w14:solidFill>
          </w14:textFill>
        </w:rPr>
        <w:t>3</w:t>
      </w:r>
      <w:r>
        <w:rPr>
          <w:rFonts w:hint="eastAsia"/>
          <w:color w:val="000000" w:themeColor="text1"/>
          <w14:textFill>
            <w14:solidFill>
              <w14:schemeClr w14:val="tx1"/>
            </w14:solidFill>
          </w14:textFill>
        </w:rPr>
        <w:t>/h P=25MPa注水泵），注水系统设计注水能力为3740m</w:t>
      </w:r>
      <w:r>
        <w:rPr>
          <w:rFonts w:hint="eastAsia"/>
          <w:color w:val="000000" w:themeColor="text1"/>
          <w:vertAlign w:val="superscript"/>
          <w:lang w:val="en-US"/>
          <w14:textFill>
            <w14:solidFill>
              <w14:schemeClr w14:val="tx1"/>
            </w14:solidFill>
          </w14:textFill>
        </w:rPr>
        <w:t>3</w:t>
      </w:r>
      <w:r>
        <w:rPr>
          <w:rFonts w:hint="eastAsia"/>
          <w:color w:val="000000" w:themeColor="text1"/>
          <w14:textFill>
            <w14:solidFill>
              <w14:schemeClr w14:val="tx1"/>
            </w14:solidFill>
          </w14:textFill>
        </w:rPr>
        <w:t>/d。</w:t>
      </w:r>
    </w:p>
    <w:p w14:paraId="0E696A5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目前，站内实际注水量为3170m</w:t>
      </w:r>
      <w:r>
        <w:rPr>
          <w:rFonts w:hint="eastAsia"/>
          <w:color w:val="000000" w:themeColor="text1"/>
          <w:vertAlign w:val="superscript"/>
          <w:lang w:val="en-US"/>
          <w14:textFill>
            <w14:solidFill>
              <w14:schemeClr w14:val="tx1"/>
            </w14:solidFill>
          </w14:textFill>
        </w:rPr>
        <w:t>3</w:t>
      </w:r>
      <w:r>
        <w:rPr>
          <w:rFonts w:hint="eastAsia"/>
          <w:color w:val="000000" w:themeColor="text1"/>
          <w14:textFill>
            <w14:solidFill>
              <w14:schemeClr w14:val="tx1"/>
            </w14:solidFill>
          </w14:textFill>
        </w:rPr>
        <w:t>/d，其中吉祥联合站内采出水处理系统净化水量为1795m</w:t>
      </w:r>
      <w:r>
        <w:rPr>
          <w:rFonts w:hint="eastAsia"/>
          <w:color w:val="000000" w:themeColor="text1"/>
          <w:vertAlign w:val="superscript"/>
          <w:lang w:val="en-US"/>
          <w14:textFill>
            <w14:solidFill>
              <w14:schemeClr w14:val="tx1"/>
            </w14:solidFill>
          </w14:textFill>
        </w:rPr>
        <w:t>3</w:t>
      </w:r>
      <w:r>
        <w:rPr>
          <w:rFonts w:hint="eastAsia"/>
          <w:color w:val="000000" w:themeColor="text1"/>
          <w14:textFill>
            <w14:solidFill>
              <w14:schemeClr w14:val="tx1"/>
            </w14:solidFill>
          </w14:textFill>
        </w:rPr>
        <w:t>/d，站外返排液处理系统来净化水量为600m</w:t>
      </w:r>
      <w:r>
        <w:rPr>
          <w:rFonts w:hint="eastAsia"/>
          <w:color w:val="000000" w:themeColor="text1"/>
          <w:vertAlign w:val="superscript"/>
          <w:lang w:val="en-US"/>
          <w14:textFill>
            <w14:solidFill>
              <w14:schemeClr w14:val="tx1"/>
            </w14:solidFill>
          </w14:textFill>
        </w:rPr>
        <w:t>3</w:t>
      </w:r>
      <w:r>
        <w:rPr>
          <w:rFonts w:hint="eastAsia"/>
          <w:color w:val="000000" w:themeColor="text1"/>
          <w14:textFill>
            <w14:solidFill>
              <w14:schemeClr w14:val="tx1"/>
            </w14:solidFill>
          </w14:textFill>
        </w:rPr>
        <w:t>/d，清水量为775m</w:t>
      </w:r>
      <w:r>
        <w:rPr>
          <w:rFonts w:hint="eastAsia"/>
          <w:color w:val="000000" w:themeColor="text1"/>
          <w:vertAlign w:val="superscript"/>
          <w:lang w:val="en-US"/>
          <w14:textFill>
            <w14:solidFill>
              <w14:schemeClr w14:val="tx1"/>
            </w14:solidFill>
          </w14:textFill>
        </w:rPr>
        <w:t>3</w:t>
      </w:r>
      <w:r>
        <w:rPr>
          <w:rFonts w:hint="eastAsia"/>
          <w:color w:val="000000" w:themeColor="text1"/>
          <w14:textFill>
            <w14:solidFill>
              <w14:schemeClr w14:val="tx1"/>
            </w14:solidFill>
          </w14:textFill>
        </w:rPr>
        <w:t>/d；注水系统设计压力为25MPa，实际注水出站压力为18.5MPa。</w:t>
      </w:r>
    </w:p>
    <w:p w14:paraId="7D2238E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4</w:t>
      </w:r>
      <w:r>
        <w:rPr>
          <w:rFonts w:hint="eastAsia"/>
          <w:color w:val="000000" w:themeColor="text1"/>
          <w14:textFill>
            <w14:solidFill>
              <w14:schemeClr w14:val="tx1"/>
            </w14:solidFill>
          </w14:textFill>
        </w:rPr>
        <w:t>）供配电现状</w:t>
      </w:r>
    </w:p>
    <w:p w14:paraId="24ED6B2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祥油田35kV变电站位于吉七井区中心，负责整个井区的供电。该变电站电压等级为35/10kV，规划为双进线、双主变，已建成35kV进线2条，分别为团油一线和团油二线，电源引自110kV团场变电站；吉祥油田35kV变电站已建成35kV/10kV主变2台，主变容量分别为5MVA和6.3MVA，最大供电能力10.2MW。变电站设9面10kV出线柜，其中2回为油区供电（吉一线、吉二线），1回为防止35kV 团油一线被盗反向空载送电，2回为吉祥联合站供电，4回备用出线。</w:t>
      </w:r>
    </w:p>
    <w:p w14:paraId="4333A4D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目前吉祥最大运行负荷约为3500kW。吉一线目前最大运行负荷500kW，吉二线目前最大运行负荷1700kW，2条线路之间已设联络开关，导线均采用3×LGJ-95/20。</w:t>
      </w:r>
    </w:p>
    <w:p w14:paraId="2F47630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5</w:t>
      </w:r>
      <w:r>
        <w:rPr>
          <w:rFonts w:hint="eastAsia"/>
          <w:color w:val="000000" w:themeColor="text1"/>
          <w14:textFill>
            <w14:solidFill>
              <w14:schemeClr w14:val="tx1"/>
            </w14:solidFill>
          </w14:textFill>
        </w:rPr>
        <w:t>）自动化现状</w:t>
      </w:r>
    </w:p>
    <w:p w14:paraId="60AF1A1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1）生产监控系统现状</w:t>
      </w:r>
    </w:p>
    <w:p w14:paraId="3888218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吉庆油田作业区已建1套生产监控系统（北京三维力控），吉7井区井、间、站数据已接入生产监控平台统一监控。生产监控系统通过PHD实时数据服务器与油田公司A11生产管理子系统数据映射。</w:t>
      </w:r>
    </w:p>
    <w:p w14:paraId="597AC44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2）油区无线网络现状</w:t>
      </w:r>
    </w:p>
    <w:p w14:paraId="55C7E2C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吉7井区采油井采用光缆+“LoRa+”或5.8G无线网桥+“LoRa+”的异构组网技术将井口数据传输至吉庆油田作业区生产监控系统集中监控。</w:t>
      </w:r>
    </w:p>
    <w:p w14:paraId="72F6896B">
      <w:pPr>
        <w:pStyle w:val="12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已建</w:t>
      </w:r>
      <w:r>
        <w:rPr>
          <w:rFonts w:hint="eastAsia"/>
          <w:color w:val="000000" w:themeColor="text1"/>
          <w14:textFill>
            <w14:solidFill>
              <w14:schemeClr w14:val="tx1"/>
            </w14:solidFill>
          </w14:textFill>
        </w:rPr>
        <w:t>计量站已建“LoRa”无线网关，实现周边采油井数据信号采集。</w:t>
      </w:r>
    </w:p>
    <w:p w14:paraId="7052EA97">
      <w:pPr>
        <w:pStyle w:val="120"/>
        <w:rPr>
          <w:rFonts w:hint="eastAsia"/>
          <w:color w:val="000000" w:themeColor="text1"/>
          <w14:textFill>
            <w14:solidFill>
              <w14:schemeClr w14:val="tx1"/>
            </w14:solidFill>
          </w14:textFill>
        </w:rPr>
        <w:sectPr>
          <w:footerReference r:id="rId7" w:type="default"/>
          <w:pgSz w:w="11906" w:h="16838"/>
          <w:pgMar w:top="1418" w:right="1588" w:bottom="1418" w:left="1588" w:header="1020" w:footer="1020" w:gutter="0"/>
          <w:cols w:space="720" w:num="1"/>
          <w:docGrid w:type="lines" w:linePitch="317" w:charSpace="0"/>
        </w:sectPr>
      </w:pPr>
      <w:r>
        <w:rPr>
          <w:rFonts w:hint="eastAsia"/>
          <w:color w:val="000000" w:themeColor="text1"/>
          <w14:textFill>
            <w14:solidFill>
              <w14:schemeClr w14:val="tx1"/>
            </w14:solidFill>
          </w14:textFill>
        </w:rPr>
        <w:t>吉7井区现有采油井、注水井、站场及管线分布示意图详见图3.1-1。</w:t>
      </w:r>
    </w:p>
    <w:p w14:paraId="37FE92F3">
      <w:pPr>
        <w:pStyle w:val="120"/>
        <w:spacing w:line="240" w:lineRule="auto"/>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9432925" cy="8101330"/>
            <wp:effectExtent l="0" t="0" r="15875" b="13970"/>
            <wp:docPr id="110" name="图片 110" descr="附图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附图02"/>
                    <pic:cNvPicPr>
                      <a:picLocks noChangeAspect="1"/>
                    </pic:cNvPicPr>
                  </pic:nvPicPr>
                  <pic:blipFill>
                    <a:blip r:embed="rId28"/>
                    <a:stretch>
                      <a:fillRect/>
                    </a:stretch>
                  </pic:blipFill>
                  <pic:spPr>
                    <a:xfrm>
                      <a:off x="0" y="0"/>
                      <a:ext cx="9432925" cy="8101330"/>
                    </a:xfrm>
                    <a:prstGeom prst="rect">
                      <a:avLst/>
                    </a:prstGeom>
                  </pic:spPr>
                </pic:pic>
              </a:graphicData>
            </a:graphic>
          </wp:inline>
        </w:drawing>
      </w:r>
    </w:p>
    <w:p w14:paraId="3C5843ED">
      <w:pPr>
        <w:pStyle w:val="112"/>
        <w:rPr>
          <w:rFonts w:hint="eastAsia" w:eastAsia="宋体"/>
          <w:color w:val="000000" w:themeColor="text1"/>
          <w14:textFill>
            <w14:solidFill>
              <w14:schemeClr w14:val="tx1"/>
            </w14:solidFill>
          </w14:textFill>
        </w:rPr>
      </w:pPr>
      <w:r>
        <w:rPr>
          <w:rFonts w:hint="eastAsia"/>
          <w:color w:val="000000" w:themeColor="text1"/>
          <w14:textFill>
            <w14:solidFill>
              <w14:schemeClr w14:val="tx1"/>
            </w14:solidFill>
          </w14:textFill>
        </w:rPr>
        <w:t>图3.1-1  吉7井区现有工程分布示意图</w:t>
      </w:r>
    </w:p>
    <w:p w14:paraId="2132B829">
      <w:pPr>
        <w:pStyle w:val="120"/>
        <w:ind w:firstLine="0" w:firstLineChars="0"/>
        <w:rPr>
          <w:rFonts w:hint="eastAsia"/>
          <w:color w:val="000000" w:themeColor="text1"/>
          <w14:textFill>
            <w14:solidFill>
              <w14:schemeClr w14:val="tx1"/>
            </w14:solidFill>
          </w14:textFill>
        </w:rPr>
        <w:sectPr>
          <w:pgSz w:w="23811" w:h="16838" w:orient="landscape"/>
          <w:pgMar w:top="1588" w:right="1418" w:bottom="1588" w:left="1418" w:header="1020" w:footer="1020" w:gutter="0"/>
          <w:cols w:space="720" w:num="1"/>
          <w:docGrid w:type="lines" w:linePitch="317" w:charSpace="0"/>
        </w:sectPr>
      </w:pPr>
    </w:p>
    <w:p w14:paraId="31CFC74D">
      <w:pPr>
        <w:pStyle w:val="8"/>
        <w:rPr>
          <w:rFonts w:hint="eastAsia"/>
          <w:color w:val="000000" w:themeColor="text1"/>
          <w14:textFill>
            <w14:solidFill>
              <w14:schemeClr w14:val="tx1"/>
            </w14:solidFill>
          </w14:textFill>
        </w:rPr>
      </w:pPr>
      <w:bookmarkStart w:id="202" w:name="_Hlk175249285"/>
      <w:bookmarkStart w:id="203" w:name="_Hlk160374378"/>
      <w:bookmarkStart w:id="204" w:name="_Hlk78832395"/>
      <w:bookmarkStart w:id="205" w:name="_Hlk147581247"/>
      <w:r>
        <w:rPr>
          <w:rFonts w:hint="eastAsia"/>
          <w:color w:val="000000" w:themeColor="text1"/>
          <w14:textFill>
            <w14:solidFill>
              <w14:schemeClr w14:val="tx1"/>
            </w14:solidFill>
          </w14:textFill>
        </w:rPr>
        <w:t>环境影响回顾</w:t>
      </w:r>
    </w:p>
    <w:bookmarkEnd w:id="202"/>
    <w:p w14:paraId="0B1D969D">
      <w:pPr>
        <w:pStyle w:val="46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（1）环保手续履行情况</w:t>
      </w:r>
    </w:p>
    <w:p w14:paraId="0927BD03">
      <w:pPr>
        <w:pStyle w:val="46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吉7井区和吉祥联合站的环保手续履行情况见表3.1-2。</w:t>
      </w:r>
    </w:p>
    <w:p w14:paraId="548AC380">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表3.1-2</w:t>
      </w:r>
      <w:r>
        <w:rPr>
          <w:color w:val="000000" w:themeColor="text1"/>
          <w14:textFill>
            <w14:solidFill>
              <w14:schemeClr w14:val="tx1"/>
            </w14:solidFill>
          </w14:textFill>
        </w:rPr>
        <w:t xml:space="preserve">  环保手续履行情况</w:t>
      </w:r>
      <w:r>
        <w:rPr>
          <w:rFonts w:hint="eastAsia"/>
          <w:color w:val="000000" w:themeColor="text1"/>
          <w14:textFill>
            <w14:solidFill>
              <w14:schemeClr w14:val="tx1"/>
            </w14:solidFill>
          </w14:textFill>
        </w:rPr>
        <w:t>表</w:t>
      </w:r>
    </w:p>
    <w:tbl>
      <w:tblPr>
        <w:tblStyle w:val="51"/>
        <w:tblW w:w="494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76"/>
        <w:gridCol w:w="1554"/>
        <w:gridCol w:w="1959"/>
        <w:gridCol w:w="1133"/>
        <w:gridCol w:w="1010"/>
      </w:tblGrid>
      <w:tr w14:paraId="6C0532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1723" w:type="pct"/>
            <w:vAlign w:val="center"/>
          </w:tcPr>
          <w:p w14:paraId="6A7AF42B">
            <w:pPr>
              <w:pStyle w:val="210"/>
              <w:rPr>
                <w:rFonts w:hint="eastAsia"/>
                <w:color w:val="000000" w:themeColor="text1"/>
                <w14:textFill>
                  <w14:solidFill>
                    <w14:schemeClr w14:val="tx1"/>
                  </w14:solidFill>
                </w14:textFill>
              </w:rPr>
            </w:pPr>
            <w:bookmarkStart w:id="206" w:name="_Hlk175249413"/>
            <w:r>
              <w:rPr>
                <w:color w:val="000000" w:themeColor="text1"/>
                <w14:textFill>
                  <w14:solidFill>
                    <w14:schemeClr w14:val="tx1"/>
                  </w14:solidFill>
                </w14:textFill>
              </w:rPr>
              <w:t>项目名称</w:t>
            </w:r>
          </w:p>
        </w:tc>
        <w:tc>
          <w:tcPr>
            <w:tcW w:w="900" w:type="pct"/>
            <w:vAlign w:val="center"/>
          </w:tcPr>
          <w:p w14:paraId="09F5FA5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环评审批</w:t>
            </w:r>
          </w:p>
          <w:p w14:paraId="3C9120CA">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时间</w:t>
            </w:r>
          </w:p>
        </w:tc>
        <w:tc>
          <w:tcPr>
            <w:tcW w:w="1134" w:type="pct"/>
            <w:vAlign w:val="center"/>
          </w:tcPr>
          <w:p w14:paraId="26A3A8A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审批部门</w:t>
            </w:r>
          </w:p>
        </w:tc>
        <w:tc>
          <w:tcPr>
            <w:tcW w:w="656" w:type="pct"/>
            <w:vAlign w:val="center"/>
          </w:tcPr>
          <w:p w14:paraId="6F8A864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竣工验收时间</w:t>
            </w:r>
          </w:p>
        </w:tc>
        <w:tc>
          <w:tcPr>
            <w:tcW w:w="584" w:type="pct"/>
            <w:vAlign w:val="center"/>
          </w:tcPr>
          <w:p w14:paraId="304F448A">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验收部门</w:t>
            </w:r>
          </w:p>
        </w:tc>
      </w:tr>
      <w:tr w14:paraId="7CA1C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1723" w:type="pct"/>
            <w:vAlign w:val="center"/>
          </w:tcPr>
          <w:p w14:paraId="1E76212B">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吉7井区吉006井断块梧桐沟组油藏建设工程环境影响报告书</w:t>
            </w:r>
          </w:p>
        </w:tc>
        <w:tc>
          <w:tcPr>
            <w:tcW w:w="900" w:type="pct"/>
            <w:vAlign w:val="center"/>
          </w:tcPr>
          <w:p w14:paraId="34E32E16">
            <w:pPr>
              <w:pStyle w:val="21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2014</w:t>
            </w:r>
            <w:r>
              <w:rPr>
                <w:rFonts w:hint="eastAsia"/>
                <w:color w:val="000000" w:themeColor="text1"/>
                <w:lang w:val="en-US" w:eastAsia="zh-CN"/>
                <w14:textFill>
                  <w14:solidFill>
                    <w14:schemeClr w14:val="tx1"/>
                  </w14:solidFill>
                </w14:textFill>
              </w:rPr>
              <w:t>年0</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月</w:t>
            </w:r>
            <w:r>
              <w:rPr>
                <w:color w:val="000000" w:themeColor="text1"/>
                <w14:textFill>
                  <w14:solidFill>
                    <w14:schemeClr w14:val="tx1"/>
                  </w14:solidFill>
                </w14:textFill>
              </w:rPr>
              <w:t>29</w:t>
            </w:r>
            <w:r>
              <w:rPr>
                <w:rFonts w:hint="eastAsia"/>
                <w:color w:val="000000" w:themeColor="text1"/>
                <w:lang w:val="en-US" w:eastAsia="zh-CN"/>
                <w14:textFill>
                  <w14:solidFill>
                    <w14:schemeClr w14:val="tx1"/>
                  </w14:solidFill>
                </w14:textFill>
              </w:rPr>
              <w:t>日</w:t>
            </w:r>
          </w:p>
        </w:tc>
        <w:tc>
          <w:tcPr>
            <w:tcW w:w="1134" w:type="pct"/>
            <w:vAlign w:val="center"/>
          </w:tcPr>
          <w:p w14:paraId="4141D403">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原</w:t>
            </w:r>
            <w:r>
              <w:rPr>
                <w:rFonts w:hint="eastAsia"/>
                <w:color w:val="000000" w:themeColor="text1"/>
                <w14:textFill>
                  <w14:solidFill>
                    <w14:schemeClr w14:val="tx1"/>
                  </w14:solidFill>
                </w14:textFill>
              </w:rPr>
              <w:t>新疆维吾尔</w:t>
            </w:r>
            <w:r>
              <w:rPr>
                <w:color w:val="000000" w:themeColor="text1"/>
                <w14:textFill>
                  <w14:solidFill>
                    <w14:schemeClr w14:val="tx1"/>
                  </w14:solidFill>
                </w14:textFill>
              </w:rPr>
              <w:t>自治区</w:t>
            </w:r>
            <w:r>
              <w:rPr>
                <w:rFonts w:hint="eastAsia"/>
                <w:color w:val="000000" w:themeColor="text1"/>
                <w14:textFill>
                  <w14:solidFill>
                    <w14:schemeClr w14:val="tx1"/>
                  </w14:solidFill>
                </w14:textFill>
              </w:rPr>
              <w:t>环境保护厅</w:t>
            </w:r>
          </w:p>
          <w:p w14:paraId="0A6BD611">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新环函</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134号</w:t>
            </w:r>
          </w:p>
        </w:tc>
        <w:tc>
          <w:tcPr>
            <w:tcW w:w="656" w:type="pct"/>
            <w:vAlign w:val="center"/>
          </w:tcPr>
          <w:p w14:paraId="65FFF602">
            <w:pPr>
              <w:pStyle w:val="210"/>
              <w:rPr>
                <w:rFonts w:hint="default"/>
                <w:color w:val="000000" w:themeColor="text1"/>
                <w:lang w:val="en-US"/>
                <w14:textFill>
                  <w14:solidFill>
                    <w14:schemeClr w14:val="tx1"/>
                  </w14:solidFill>
                </w14:textFill>
              </w:rPr>
            </w:pPr>
            <w:r>
              <w:rPr>
                <w:color w:val="000000" w:themeColor="text1"/>
                <w14:textFill>
                  <w14:solidFill>
                    <w14:schemeClr w14:val="tx1"/>
                  </w14:solidFill>
                </w14:textFill>
              </w:rPr>
              <w:t>2018</w:t>
            </w:r>
            <w:r>
              <w:rPr>
                <w:rFonts w:hint="eastAsia"/>
                <w:color w:val="000000" w:themeColor="text1"/>
                <w:lang w:val="en-US" w:eastAsia="zh-CN"/>
                <w14:textFill>
                  <w14:solidFill>
                    <w14:schemeClr w14:val="tx1"/>
                  </w14:solidFill>
                </w14:textFill>
              </w:rPr>
              <w:t>年0</w:t>
            </w:r>
            <w:r>
              <w:rPr>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月30日</w:t>
            </w:r>
          </w:p>
        </w:tc>
        <w:tc>
          <w:tcPr>
            <w:tcW w:w="584" w:type="pct"/>
            <w:vAlign w:val="center"/>
          </w:tcPr>
          <w:p w14:paraId="278D8E88">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企业自主验收</w:t>
            </w:r>
          </w:p>
        </w:tc>
      </w:tr>
      <w:tr w14:paraId="1AF70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1723" w:type="pct"/>
            <w:vAlign w:val="center"/>
          </w:tcPr>
          <w:p w14:paraId="6694B32D">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中国石油新疆油田分公司昌吉油田吉7井区梧桐沟组中深层稠油油藏常规水驱开发建设项目环境影响报告书</w:t>
            </w:r>
          </w:p>
        </w:tc>
        <w:tc>
          <w:tcPr>
            <w:tcW w:w="900" w:type="pct"/>
            <w:vAlign w:val="center"/>
          </w:tcPr>
          <w:p w14:paraId="71AAC58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2014</w:t>
            </w:r>
            <w:r>
              <w:rPr>
                <w:rFonts w:hint="eastAsia"/>
                <w:color w:val="000000" w:themeColor="text1"/>
                <w:lang w:val="en-US" w:eastAsia="zh-CN"/>
                <w14:textFill>
                  <w14:solidFill>
                    <w14:schemeClr w14:val="tx1"/>
                  </w14:solidFill>
                </w14:textFill>
              </w:rPr>
              <w:t>年0</w:t>
            </w:r>
            <w:r>
              <w:rPr>
                <w:color w:val="000000" w:themeColor="text1"/>
                <w14:textFill>
                  <w14:solidFill>
                    <w14:schemeClr w14:val="tx1"/>
                  </w14:solidFill>
                </w14:textFill>
              </w:rPr>
              <w:t>7</w:t>
            </w:r>
            <w:r>
              <w:rPr>
                <w:rFonts w:hint="eastAsia"/>
                <w:color w:val="000000" w:themeColor="text1"/>
                <w:lang w:val="en-US" w:eastAsia="zh-CN"/>
                <w14:textFill>
                  <w14:solidFill>
                    <w14:schemeClr w14:val="tx1"/>
                  </w14:solidFill>
                </w14:textFill>
              </w:rPr>
              <w:t>月31日</w:t>
            </w:r>
          </w:p>
        </w:tc>
        <w:tc>
          <w:tcPr>
            <w:tcW w:w="1134" w:type="pct"/>
            <w:vAlign w:val="center"/>
          </w:tcPr>
          <w:p w14:paraId="3F6983E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原</w:t>
            </w:r>
            <w:r>
              <w:rPr>
                <w:rFonts w:hint="eastAsia"/>
                <w:color w:val="000000" w:themeColor="text1"/>
                <w14:textFill>
                  <w14:solidFill>
                    <w14:schemeClr w14:val="tx1"/>
                  </w14:solidFill>
                </w14:textFill>
              </w:rPr>
              <w:t>新疆维吾尔</w:t>
            </w:r>
            <w:r>
              <w:rPr>
                <w:color w:val="000000" w:themeColor="text1"/>
                <w14:textFill>
                  <w14:solidFill>
                    <w14:schemeClr w14:val="tx1"/>
                  </w14:solidFill>
                </w14:textFill>
              </w:rPr>
              <w:t>自治区</w:t>
            </w:r>
            <w:r>
              <w:rPr>
                <w:rFonts w:hint="eastAsia"/>
                <w:color w:val="000000" w:themeColor="text1"/>
                <w14:textFill>
                  <w14:solidFill>
                    <w14:schemeClr w14:val="tx1"/>
                  </w14:solidFill>
                </w14:textFill>
              </w:rPr>
              <w:t>环境保护厅</w:t>
            </w:r>
          </w:p>
          <w:p w14:paraId="4DF5C1BB">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新环函</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918号</w:t>
            </w:r>
          </w:p>
        </w:tc>
        <w:tc>
          <w:tcPr>
            <w:tcW w:w="656" w:type="pct"/>
            <w:vAlign w:val="center"/>
          </w:tcPr>
          <w:p w14:paraId="6815FF18">
            <w:pPr>
              <w:pStyle w:val="210"/>
              <w:rPr>
                <w:rFonts w:hint="default"/>
                <w:color w:val="000000" w:themeColor="text1"/>
                <w:lang w:val="en-US"/>
                <w14:textFill>
                  <w14:solidFill>
                    <w14:schemeClr w14:val="tx1"/>
                  </w14:solidFill>
                </w14:textFill>
              </w:rPr>
            </w:pPr>
            <w:r>
              <w:rPr>
                <w:color w:val="000000" w:themeColor="text1"/>
                <w14:textFill>
                  <w14:solidFill>
                    <w14:schemeClr w14:val="tx1"/>
                  </w14:solidFill>
                </w14:textFill>
              </w:rPr>
              <w:t>2018</w:t>
            </w:r>
            <w:r>
              <w:rPr>
                <w:rFonts w:hint="eastAsia"/>
                <w:color w:val="000000" w:themeColor="text1"/>
                <w:lang w:val="en-US" w:eastAsia="zh-CN"/>
                <w14:textFill>
                  <w14:solidFill>
                    <w14:schemeClr w14:val="tx1"/>
                  </w14:solidFill>
                </w14:textFill>
              </w:rPr>
              <w:t>年0</w:t>
            </w:r>
            <w:r>
              <w:rPr>
                <w:color w:val="000000" w:themeColor="text1"/>
                <w14:textFill>
                  <w14:solidFill>
                    <w14:schemeClr w14:val="tx1"/>
                  </w14:solidFill>
                </w14:textFill>
              </w:rPr>
              <w:t>8</w:t>
            </w:r>
            <w:r>
              <w:rPr>
                <w:rFonts w:hint="eastAsia"/>
                <w:color w:val="000000" w:themeColor="text1"/>
                <w:lang w:val="en-US" w:eastAsia="zh-CN"/>
                <w14:textFill>
                  <w14:solidFill>
                    <w14:schemeClr w14:val="tx1"/>
                  </w14:solidFill>
                </w14:textFill>
              </w:rPr>
              <w:t>月19日</w:t>
            </w:r>
          </w:p>
        </w:tc>
        <w:tc>
          <w:tcPr>
            <w:tcW w:w="584" w:type="pct"/>
            <w:vAlign w:val="center"/>
          </w:tcPr>
          <w:p w14:paraId="2EE82598">
            <w:pPr>
              <w:pStyle w:val="21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分批验收，第一批通过</w:t>
            </w:r>
            <w:r>
              <w:rPr>
                <w:color w:val="000000" w:themeColor="text1"/>
                <w14:textFill>
                  <w14:solidFill>
                    <w14:schemeClr w14:val="tx1"/>
                  </w14:solidFill>
                </w14:textFill>
              </w:rPr>
              <w:t>企业自主验收</w:t>
            </w:r>
          </w:p>
        </w:tc>
      </w:tr>
      <w:tr w14:paraId="6D9014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1723" w:type="pct"/>
            <w:vAlign w:val="center"/>
          </w:tcPr>
          <w:p w14:paraId="118591C2">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吉7井区梧桐沟组油藏65口井加密开发工程及吉7井区集中拉油注水站改造项目环境影响报告表</w:t>
            </w:r>
          </w:p>
        </w:tc>
        <w:tc>
          <w:tcPr>
            <w:tcW w:w="900" w:type="pct"/>
            <w:vAlign w:val="center"/>
          </w:tcPr>
          <w:p w14:paraId="4C356AC9">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2018</w:t>
            </w:r>
            <w:r>
              <w:rPr>
                <w:rFonts w:hint="eastAsia"/>
                <w:color w:val="000000" w:themeColor="text1"/>
                <w:lang w:val="en-US" w:eastAsia="zh-CN"/>
                <w14:textFill>
                  <w14:solidFill>
                    <w14:schemeClr w14:val="tx1"/>
                  </w14:solidFill>
                </w14:textFill>
              </w:rPr>
              <w:t>年</w:t>
            </w:r>
            <w:r>
              <w:rPr>
                <w:color w:val="000000" w:themeColor="text1"/>
                <w14:textFill>
                  <w14:solidFill>
                    <w14:schemeClr w14:val="tx1"/>
                  </w14:solidFill>
                </w14:textFill>
              </w:rPr>
              <w:t>12</w:t>
            </w:r>
            <w:r>
              <w:rPr>
                <w:rFonts w:hint="eastAsia"/>
                <w:color w:val="000000" w:themeColor="text1"/>
                <w:lang w:val="en-US" w:eastAsia="zh-CN"/>
                <w14:textFill>
                  <w14:solidFill>
                    <w14:schemeClr w14:val="tx1"/>
                  </w14:solidFill>
                </w14:textFill>
              </w:rPr>
              <w:t>月</w:t>
            </w:r>
            <w:r>
              <w:rPr>
                <w:color w:val="000000" w:themeColor="text1"/>
                <w14:textFill>
                  <w14:solidFill>
                    <w14:schemeClr w14:val="tx1"/>
                  </w14:solidFill>
                </w14:textFill>
              </w:rPr>
              <w:t>24</w:t>
            </w:r>
            <w:r>
              <w:rPr>
                <w:rFonts w:hint="eastAsia"/>
                <w:color w:val="000000" w:themeColor="text1"/>
                <w:lang w:val="en-US" w:eastAsia="zh-CN"/>
                <w14:textFill>
                  <w14:solidFill>
                    <w14:schemeClr w14:val="tx1"/>
                  </w14:solidFill>
                </w14:textFill>
              </w:rPr>
              <w:t>日</w:t>
            </w:r>
          </w:p>
        </w:tc>
        <w:tc>
          <w:tcPr>
            <w:tcW w:w="1134" w:type="pct"/>
            <w:vAlign w:val="center"/>
          </w:tcPr>
          <w:p w14:paraId="30FB2AE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昌吉</w:t>
            </w:r>
            <w:r>
              <w:rPr>
                <w:rFonts w:hint="eastAsia"/>
                <w:color w:val="000000" w:themeColor="text1"/>
                <w14:textFill>
                  <w14:solidFill>
                    <w14:schemeClr w14:val="tx1"/>
                  </w14:solidFill>
                </w14:textFill>
              </w:rPr>
              <w:t>回族自治州生态环境局</w:t>
            </w:r>
          </w:p>
          <w:p w14:paraId="35BADC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昌州环评〔</w:t>
            </w:r>
            <w:r>
              <w:rPr>
                <w:color w:val="000000" w:themeColor="text1"/>
                <w14:textFill>
                  <w14:solidFill>
                    <w14:schemeClr w14:val="tx1"/>
                  </w14:solidFill>
                </w14:textFill>
              </w:rPr>
              <w:t>201</w:t>
            </w:r>
            <w:r>
              <w:rPr>
                <w:rFonts w:hint="eastAsia"/>
                <w:color w:val="000000" w:themeColor="text1"/>
                <w14:textFill>
                  <w14:solidFill>
                    <w14:schemeClr w14:val="tx1"/>
                  </w14:solidFill>
                </w14:textFill>
              </w:rPr>
              <w:t>8〕76号</w:t>
            </w:r>
          </w:p>
        </w:tc>
        <w:tc>
          <w:tcPr>
            <w:tcW w:w="656" w:type="pct"/>
            <w:vAlign w:val="center"/>
          </w:tcPr>
          <w:p w14:paraId="5CA4F443">
            <w:pPr>
              <w:pStyle w:val="210"/>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2019</w:t>
            </w:r>
            <w:r>
              <w:rPr>
                <w:rFonts w:hint="eastAsia"/>
                <w:color w:val="000000" w:themeColor="text1"/>
                <w:lang w:val="en-US" w:eastAsia="zh-CN"/>
                <w14:textFill>
                  <w14:solidFill>
                    <w14:schemeClr w14:val="tx1"/>
                  </w14:solidFill>
                </w14:textFill>
              </w:rPr>
              <w:t>年</w:t>
            </w:r>
            <w:r>
              <w:rPr>
                <w:rFonts w:hint="eastAsia"/>
                <w:color w:val="000000" w:themeColor="text1"/>
                <w14:textFill>
                  <w14:solidFill>
                    <w14:schemeClr w14:val="tx1"/>
                  </w14:solidFill>
                </w14:textFill>
              </w:rPr>
              <w:t>11</w:t>
            </w:r>
            <w:r>
              <w:rPr>
                <w:rFonts w:hint="eastAsia"/>
                <w:color w:val="000000" w:themeColor="text1"/>
                <w:lang w:val="en-US" w:eastAsia="zh-CN"/>
                <w14:textFill>
                  <w14:solidFill>
                    <w14:schemeClr w14:val="tx1"/>
                  </w14:solidFill>
                </w14:textFill>
              </w:rPr>
              <w:t>月14日</w:t>
            </w:r>
          </w:p>
        </w:tc>
        <w:tc>
          <w:tcPr>
            <w:tcW w:w="584" w:type="pct"/>
            <w:vAlign w:val="center"/>
          </w:tcPr>
          <w:p w14:paraId="3F3BA0A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企业自主验收</w:t>
            </w:r>
          </w:p>
        </w:tc>
      </w:tr>
      <w:tr w14:paraId="7609C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723" w:type="pct"/>
            <w:vAlign w:val="center"/>
          </w:tcPr>
          <w:p w14:paraId="4B5FB1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吉7井区吉006井断块补钻工程环境影响报告表</w:t>
            </w:r>
          </w:p>
        </w:tc>
        <w:tc>
          <w:tcPr>
            <w:tcW w:w="900" w:type="pct"/>
            <w:vAlign w:val="center"/>
          </w:tcPr>
          <w:p w14:paraId="311F46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2020</w:t>
            </w:r>
            <w:r>
              <w:rPr>
                <w:rFonts w:hint="eastAsia"/>
                <w:color w:val="000000" w:themeColor="text1"/>
                <w:lang w:val="en-US" w:eastAsia="zh-CN"/>
                <w14:textFill>
                  <w14:solidFill>
                    <w14:schemeClr w14:val="tx1"/>
                  </w14:solidFill>
                </w14:textFill>
              </w:rPr>
              <w:t>年0</w:t>
            </w: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月</w:t>
            </w:r>
            <w:r>
              <w:rPr>
                <w:rFonts w:hint="eastAsia"/>
                <w:color w:val="000000" w:themeColor="text1"/>
                <w14:textFill>
                  <w14:solidFill>
                    <w14:schemeClr w14:val="tx1"/>
                  </w14:solidFill>
                </w14:textFill>
              </w:rPr>
              <w:t>19</w:t>
            </w:r>
            <w:r>
              <w:rPr>
                <w:rFonts w:hint="eastAsia"/>
                <w:color w:val="000000" w:themeColor="text1"/>
                <w:lang w:val="en-US" w:eastAsia="zh-CN"/>
                <w14:textFill>
                  <w14:solidFill>
                    <w14:schemeClr w14:val="tx1"/>
                  </w14:solidFill>
                </w14:textFill>
              </w:rPr>
              <w:t>日</w:t>
            </w:r>
          </w:p>
        </w:tc>
        <w:tc>
          <w:tcPr>
            <w:tcW w:w="1134" w:type="pct"/>
            <w:vAlign w:val="center"/>
          </w:tcPr>
          <w:p w14:paraId="17EC17EB">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昌吉</w:t>
            </w:r>
            <w:r>
              <w:rPr>
                <w:rFonts w:hint="eastAsia"/>
                <w:color w:val="000000" w:themeColor="text1"/>
                <w14:textFill>
                  <w14:solidFill>
                    <w14:schemeClr w14:val="tx1"/>
                  </w14:solidFill>
                </w14:textFill>
              </w:rPr>
              <w:t>回族自治州生态环境局</w:t>
            </w:r>
          </w:p>
          <w:p w14:paraId="575E45F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昌州环评〔2020〕68号</w:t>
            </w:r>
          </w:p>
        </w:tc>
        <w:tc>
          <w:tcPr>
            <w:tcW w:w="656" w:type="pct"/>
            <w:vAlign w:val="center"/>
          </w:tcPr>
          <w:p w14:paraId="56B0273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2022</w:t>
            </w:r>
            <w:r>
              <w:rPr>
                <w:rFonts w:hint="eastAsia"/>
                <w:color w:val="000000" w:themeColor="text1"/>
                <w:lang w:val="en-US" w:eastAsia="zh-CN"/>
                <w14:textFill>
                  <w14:solidFill>
                    <w14:schemeClr w14:val="tx1"/>
                  </w14:solidFill>
                </w14:textFill>
              </w:rPr>
              <w:t>年</w:t>
            </w:r>
            <w:r>
              <w:rPr>
                <w:rFonts w:hint="eastAsia"/>
                <w:color w:val="000000" w:themeColor="text1"/>
                <w14:textFill>
                  <w14:solidFill>
                    <w14:schemeClr w14:val="tx1"/>
                  </w14:solidFill>
                </w14:textFill>
              </w:rPr>
              <w:t>10</w:t>
            </w:r>
            <w:r>
              <w:rPr>
                <w:rFonts w:hint="eastAsia"/>
                <w:color w:val="000000" w:themeColor="text1"/>
                <w:lang w:val="en-US" w:eastAsia="zh-CN"/>
                <w14:textFill>
                  <w14:solidFill>
                    <w14:schemeClr w14:val="tx1"/>
                  </w14:solidFill>
                </w14:textFill>
              </w:rPr>
              <w:t>月</w:t>
            </w:r>
            <w:r>
              <w:rPr>
                <w:rFonts w:hint="eastAsia"/>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日</w:t>
            </w:r>
          </w:p>
        </w:tc>
        <w:tc>
          <w:tcPr>
            <w:tcW w:w="584" w:type="pct"/>
            <w:vAlign w:val="center"/>
          </w:tcPr>
          <w:p w14:paraId="3EDE6D09">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企业自主验收</w:t>
            </w:r>
          </w:p>
        </w:tc>
      </w:tr>
      <w:tr w14:paraId="565708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723" w:type="pct"/>
            <w:vAlign w:val="center"/>
          </w:tcPr>
          <w:p w14:paraId="6F4752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吉7井区梧桐沟组、八道湾组油藏水平井开发工程环境影响报告表</w:t>
            </w:r>
          </w:p>
        </w:tc>
        <w:tc>
          <w:tcPr>
            <w:tcW w:w="900" w:type="pct"/>
            <w:vAlign w:val="center"/>
          </w:tcPr>
          <w:p w14:paraId="1E3880C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2021</w:t>
            </w:r>
            <w:r>
              <w:rPr>
                <w:rFonts w:hint="eastAsia"/>
                <w:color w:val="000000" w:themeColor="text1"/>
                <w:lang w:val="en-US" w:eastAsia="zh-CN"/>
                <w14:textFill>
                  <w14:solidFill>
                    <w14:schemeClr w14:val="tx1"/>
                  </w14:solidFill>
                </w14:textFill>
              </w:rPr>
              <w:t>年0</w:t>
            </w: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月</w:t>
            </w:r>
            <w:r>
              <w:rPr>
                <w:rFonts w:hint="eastAsia"/>
                <w:color w:val="000000" w:themeColor="text1"/>
                <w14:textFill>
                  <w14:solidFill>
                    <w14:schemeClr w14:val="tx1"/>
                  </w14:solidFill>
                </w14:textFill>
              </w:rPr>
              <w:t>18</w:t>
            </w:r>
            <w:r>
              <w:rPr>
                <w:rFonts w:hint="eastAsia"/>
                <w:color w:val="000000" w:themeColor="text1"/>
                <w:lang w:val="en-US" w:eastAsia="zh-CN"/>
                <w14:textFill>
                  <w14:solidFill>
                    <w14:schemeClr w14:val="tx1"/>
                  </w14:solidFill>
                </w14:textFill>
              </w:rPr>
              <w:t>日</w:t>
            </w:r>
          </w:p>
        </w:tc>
        <w:tc>
          <w:tcPr>
            <w:tcW w:w="1134" w:type="pct"/>
            <w:vAlign w:val="center"/>
          </w:tcPr>
          <w:p w14:paraId="78B18AB0">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昌吉</w:t>
            </w:r>
            <w:r>
              <w:rPr>
                <w:rFonts w:hint="eastAsia"/>
                <w:color w:val="000000" w:themeColor="text1"/>
                <w14:textFill>
                  <w14:solidFill>
                    <w14:schemeClr w14:val="tx1"/>
                  </w14:solidFill>
                </w14:textFill>
              </w:rPr>
              <w:t>回族自治州生态环境局昌州环评〔2021〕19号</w:t>
            </w:r>
          </w:p>
        </w:tc>
        <w:tc>
          <w:tcPr>
            <w:tcW w:w="656" w:type="pct"/>
            <w:vAlign w:val="center"/>
          </w:tcPr>
          <w:p w14:paraId="4E2282D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2022</w:t>
            </w:r>
            <w:r>
              <w:rPr>
                <w:rFonts w:hint="eastAsia"/>
                <w:color w:val="000000" w:themeColor="text1"/>
                <w:lang w:val="en-US" w:eastAsia="zh-CN"/>
                <w14:textFill>
                  <w14:solidFill>
                    <w14:schemeClr w14:val="tx1"/>
                  </w14:solidFill>
                </w14:textFill>
              </w:rPr>
              <w:t>年</w:t>
            </w:r>
            <w:r>
              <w:rPr>
                <w:rFonts w:hint="eastAsia"/>
                <w:color w:val="000000" w:themeColor="text1"/>
                <w14:textFill>
                  <w14:solidFill>
                    <w14:schemeClr w14:val="tx1"/>
                  </w14:solidFill>
                </w14:textFill>
              </w:rPr>
              <w:t>10</w:t>
            </w:r>
            <w:r>
              <w:rPr>
                <w:rFonts w:hint="eastAsia"/>
                <w:color w:val="000000" w:themeColor="text1"/>
                <w:lang w:val="en-US" w:eastAsia="zh-CN"/>
                <w14:textFill>
                  <w14:solidFill>
                    <w14:schemeClr w14:val="tx1"/>
                  </w14:solidFill>
                </w14:textFill>
              </w:rPr>
              <w:t>月</w:t>
            </w:r>
            <w:r>
              <w:rPr>
                <w:rFonts w:hint="eastAsia"/>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日</w:t>
            </w:r>
          </w:p>
        </w:tc>
        <w:tc>
          <w:tcPr>
            <w:tcW w:w="584" w:type="pct"/>
            <w:vAlign w:val="center"/>
          </w:tcPr>
          <w:p w14:paraId="1D014F97">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企业自主验收</w:t>
            </w:r>
          </w:p>
        </w:tc>
      </w:tr>
      <w:tr w14:paraId="25551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723" w:type="pct"/>
            <w:vAlign w:val="center"/>
          </w:tcPr>
          <w:p w14:paraId="63E0B8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吉7井区梧桐沟组、八道湾组油藏滚动开发区块工程环境影响报告表</w:t>
            </w:r>
          </w:p>
        </w:tc>
        <w:tc>
          <w:tcPr>
            <w:tcW w:w="900" w:type="pct"/>
            <w:vAlign w:val="center"/>
          </w:tcPr>
          <w:p w14:paraId="3F049C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2021</w:t>
            </w:r>
            <w:r>
              <w:rPr>
                <w:rFonts w:hint="eastAsia"/>
                <w:color w:val="000000" w:themeColor="text1"/>
                <w:lang w:val="en-US" w:eastAsia="zh-CN"/>
                <w14:textFill>
                  <w14:solidFill>
                    <w14:schemeClr w14:val="tx1"/>
                  </w14:solidFill>
                </w14:textFill>
              </w:rPr>
              <w:t>年0</w:t>
            </w:r>
            <w:r>
              <w:rPr>
                <w:rFonts w:hint="eastAsia"/>
                <w:color w:val="000000" w:themeColor="text1"/>
                <w14:textFill>
                  <w14:solidFill>
                    <w14:schemeClr w14:val="tx1"/>
                  </w14:solidFill>
                </w14:textFill>
              </w:rPr>
              <w:t>4</w:t>
            </w:r>
            <w:r>
              <w:rPr>
                <w:rFonts w:hint="eastAsia"/>
                <w:color w:val="000000" w:themeColor="text1"/>
                <w:lang w:val="en-US" w:eastAsia="zh-CN"/>
                <w14:textFill>
                  <w14:solidFill>
                    <w14:schemeClr w14:val="tx1"/>
                  </w14:solidFill>
                </w14:textFill>
              </w:rPr>
              <w:t>月</w:t>
            </w:r>
            <w:r>
              <w:rPr>
                <w:rFonts w:hint="eastAsia"/>
                <w:color w:val="000000" w:themeColor="text1"/>
                <w14:textFill>
                  <w14:solidFill>
                    <w14:schemeClr w14:val="tx1"/>
                  </w14:solidFill>
                </w14:textFill>
              </w:rPr>
              <w:t>14</w:t>
            </w:r>
            <w:r>
              <w:rPr>
                <w:rFonts w:hint="eastAsia"/>
                <w:color w:val="000000" w:themeColor="text1"/>
                <w:lang w:val="en-US" w:eastAsia="zh-CN"/>
                <w14:textFill>
                  <w14:solidFill>
                    <w14:schemeClr w14:val="tx1"/>
                  </w14:solidFill>
                </w14:textFill>
              </w:rPr>
              <w:t>日</w:t>
            </w:r>
          </w:p>
        </w:tc>
        <w:tc>
          <w:tcPr>
            <w:tcW w:w="1134" w:type="pct"/>
            <w:vAlign w:val="center"/>
          </w:tcPr>
          <w:p w14:paraId="2EF13A7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昌吉</w:t>
            </w:r>
            <w:r>
              <w:rPr>
                <w:rFonts w:hint="eastAsia"/>
                <w:color w:val="000000" w:themeColor="text1"/>
                <w14:textFill>
                  <w14:solidFill>
                    <w14:schemeClr w14:val="tx1"/>
                  </w14:solidFill>
                </w14:textFill>
              </w:rPr>
              <w:t>回族自治州生态环境局昌州环评〔2021〕33号</w:t>
            </w:r>
          </w:p>
        </w:tc>
        <w:tc>
          <w:tcPr>
            <w:tcW w:w="656" w:type="pct"/>
            <w:vAlign w:val="center"/>
          </w:tcPr>
          <w:p w14:paraId="775DBF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2022</w:t>
            </w:r>
            <w:r>
              <w:rPr>
                <w:rFonts w:hint="eastAsia"/>
                <w:color w:val="000000" w:themeColor="text1"/>
                <w:lang w:val="en-US" w:eastAsia="zh-CN"/>
                <w14:textFill>
                  <w14:solidFill>
                    <w14:schemeClr w14:val="tx1"/>
                  </w14:solidFill>
                </w14:textFill>
              </w:rPr>
              <w:t>年</w:t>
            </w:r>
            <w:r>
              <w:rPr>
                <w:rFonts w:hint="eastAsia"/>
                <w:color w:val="000000" w:themeColor="text1"/>
                <w14:textFill>
                  <w14:solidFill>
                    <w14:schemeClr w14:val="tx1"/>
                  </w14:solidFill>
                </w14:textFill>
              </w:rPr>
              <w:t>10</w:t>
            </w:r>
            <w:r>
              <w:rPr>
                <w:rFonts w:hint="eastAsia"/>
                <w:color w:val="000000" w:themeColor="text1"/>
                <w:lang w:val="en-US" w:eastAsia="zh-CN"/>
                <w14:textFill>
                  <w14:solidFill>
                    <w14:schemeClr w14:val="tx1"/>
                  </w14:solidFill>
                </w14:textFill>
              </w:rPr>
              <w:t>月</w:t>
            </w:r>
            <w:r>
              <w:rPr>
                <w:rFonts w:hint="eastAsia"/>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日</w:t>
            </w:r>
          </w:p>
        </w:tc>
        <w:tc>
          <w:tcPr>
            <w:tcW w:w="584" w:type="pct"/>
            <w:vAlign w:val="center"/>
          </w:tcPr>
          <w:p w14:paraId="627B0AAA">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企业自主验收</w:t>
            </w:r>
          </w:p>
        </w:tc>
      </w:tr>
    </w:tbl>
    <w:p w14:paraId="4B865067">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（2）现有工程环境影响回顾</w:t>
      </w:r>
    </w:p>
    <w:p w14:paraId="7AC7628B">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①废气</w:t>
      </w:r>
    </w:p>
    <w:bookmarkEnd w:id="206"/>
    <w:p w14:paraId="4E1C7A9D">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油区废气主要为油气集输过程中产生的无组织废气，吉祥联合站的废气主要为燃气设施（主要为热媒炉、相变加热炉、采暖橇）燃烧烟气。</w:t>
      </w:r>
    </w:p>
    <w:p w14:paraId="3598A64A">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1）无组织废气</w:t>
      </w:r>
    </w:p>
    <w:p w14:paraId="3C3022C6">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井区内油气集输过程中大部分采用管线密闭集输工艺，吉祥联合站均采用密闭流程，井区和站场所用阀门、法兰等连接件均为质量合格的产品，日常加强设备检维修。根据《吉木萨尔凹陷芦草沟组油藏吉</w:t>
      </w:r>
      <w:r>
        <w:rPr>
          <w:rFonts w:ascii="宋体" w:hAnsi="宋体" w:cs="宋体"/>
          <w:color w:val="000000" w:themeColor="text1"/>
          <w:sz w:val="24"/>
          <w:szCs w:val="24"/>
          <w14:textFill>
            <w14:solidFill>
              <w14:schemeClr w14:val="tx1"/>
            </w14:solidFill>
          </w14:textFill>
        </w:rPr>
        <w:t>305</w:t>
      </w:r>
      <w:r>
        <w:rPr>
          <w:rFonts w:hint="eastAsia" w:ascii="宋体" w:hAnsi="宋体" w:cs="宋体"/>
          <w:color w:val="000000" w:themeColor="text1"/>
          <w:sz w:val="24"/>
          <w:szCs w:val="24"/>
          <w14:textFill>
            <w14:solidFill>
              <w14:schemeClr w14:val="tx1"/>
            </w14:solidFill>
          </w14:textFill>
        </w:rPr>
        <w:t>－吉</w:t>
      </w:r>
      <w:r>
        <w:rPr>
          <w:rFonts w:ascii="宋体" w:hAnsi="宋体" w:cs="宋体"/>
          <w:color w:val="000000" w:themeColor="text1"/>
          <w:sz w:val="24"/>
          <w:szCs w:val="24"/>
          <w14:textFill>
            <w14:solidFill>
              <w14:schemeClr w14:val="tx1"/>
            </w14:solidFill>
          </w14:textFill>
        </w:rPr>
        <w:t>17</w:t>
      </w:r>
      <w:r>
        <w:rPr>
          <w:rFonts w:hint="eastAsia" w:ascii="宋体" w:hAnsi="宋体" w:cs="宋体"/>
          <w:color w:val="000000" w:themeColor="text1"/>
          <w:sz w:val="24"/>
          <w:szCs w:val="24"/>
          <w14:textFill>
            <w14:solidFill>
              <w14:schemeClr w14:val="tx1"/>
            </w14:solidFill>
          </w14:textFill>
        </w:rPr>
        <w:t>－吉</w:t>
      </w:r>
      <w:r>
        <w:rPr>
          <w:rFonts w:ascii="宋体" w:hAnsi="宋体" w:cs="宋体"/>
          <w:color w:val="000000" w:themeColor="text1"/>
          <w:sz w:val="24"/>
          <w:szCs w:val="24"/>
          <w14:textFill>
            <w14:solidFill>
              <w14:schemeClr w14:val="tx1"/>
            </w14:solidFill>
          </w14:textFill>
        </w:rPr>
        <w:t>37</w:t>
      </w:r>
      <w:r>
        <w:rPr>
          <w:rFonts w:hint="eastAsia" w:ascii="宋体" w:hAnsi="宋体" w:cs="宋体"/>
          <w:color w:val="000000" w:themeColor="text1"/>
          <w:sz w:val="24"/>
          <w:szCs w:val="24"/>
          <w14:textFill>
            <w14:solidFill>
              <w14:schemeClr w14:val="tx1"/>
            </w14:solidFill>
          </w14:textFill>
        </w:rPr>
        <w:t>井区开发地面工程（第一批）竣工环境保护验收调查报告》（</w:t>
      </w:r>
      <w:r>
        <w:rPr>
          <w:rFonts w:ascii="宋体" w:hAnsi="宋体" w:cs="宋体"/>
          <w:color w:val="000000" w:themeColor="text1"/>
          <w:sz w:val="24"/>
          <w:szCs w:val="24"/>
          <w14:textFill>
            <w14:solidFill>
              <w14:schemeClr w14:val="tx1"/>
            </w14:solidFill>
          </w14:textFill>
        </w:rPr>
        <w:t>2021</w:t>
      </w:r>
      <w:r>
        <w:rPr>
          <w:rFonts w:hint="eastAsia" w:ascii="宋体" w:hAnsi="宋体" w:cs="宋体"/>
          <w:color w:val="000000" w:themeColor="text1"/>
          <w:sz w:val="24"/>
          <w:szCs w:val="24"/>
          <w14:textFill>
            <w14:solidFill>
              <w14:schemeClr w14:val="tx1"/>
            </w14:solidFill>
          </w14:textFill>
        </w:rPr>
        <w:t>年</w:t>
      </w:r>
      <w:r>
        <w:rPr>
          <w:rFonts w:ascii="宋体" w:hAnsi="宋体" w:cs="宋体"/>
          <w:color w:val="000000" w:themeColor="text1"/>
          <w:sz w:val="24"/>
          <w:szCs w:val="24"/>
          <w14:textFill>
            <w14:solidFill>
              <w14:schemeClr w14:val="tx1"/>
            </w14:solidFill>
          </w14:textFill>
        </w:rPr>
        <w:t>10</w:t>
      </w:r>
      <w:r>
        <w:rPr>
          <w:rFonts w:hint="eastAsia" w:ascii="宋体" w:hAnsi="宋体" w:cs="宋体"/>
          <w:color w:val="000000" w:themeColor="text1"/>
          <w:sz w:val="24"/>
          <w:szCs w:val="24"/>
          <w14:textFill>
            <w14:solidFill>
              <w14:schemeClr w14:val="tx1"/>
            </w14:solidFill>
          </w14:textFill>
        </w:rPr>
        <w:t>月）和吉庆油田作业区对吉祥联合站厂界无组织非甲烷总烃和硫化氢的例行监测数据（2025年10月21日）可知</w:t>
      </w:r>
      <w:r>
        <w:rPr>
          <w:rFonts w:hint="eastAsia" w:ascii="宋体" w:hAnsi="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具体见表3.1-3</w:t>
      </w:r>
      <w:r>
        <w:rPr>
          <w:rFonts w:hint="eastAsia" w:ascii="宋体" w:hAnsi="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14:textFill>
            <w14:solidFill>
              <w14:schemeClr w14:val="tx1"/>
            </w14:solidFill>
          </w14:textFill>
        </w:rPr>
        <w:t>，采油井场和吉祥联合站厂界非甲烷总烃满足《陆上石油天然气开采工业大气污染物排放标准》（GB39728-2020）中企业边界污染控制要求，硫化氢满足《恶臭污染物排放标准》（GB14554-93）表1二级新改扩建浓度限值要求。</w:t>
      </w:r>
    </w:p>
    <w:p w14:paraId="1DB2E11F">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-3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厂界无组织非甲烷总烃监测结果一览表（单位：m</w:t>
      </w:r>
      <w:r>
        <w:rPr>
          <w:color w:val="000000" w:themeColor="text1"/>
          <w14:textFill>
            <w14:solidFill>
              <w14:schemeClr w14:val="tx1"/>
            </w14:solidFill>
          </w14:textFill>
        </w:rPr>
        <w:t>g</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6"/>
        <w:gridCol w:w="1006"/>
        <w:gridCol w:w="849"/>
        <w:gridCol w:w="1419"/>
        <w:gridCol w:w="1559"/>
        <w:gridCol w:w="1184"/>
        <w:gridCol w:w="1105"/>
        <w:gridCol w:w="772"/>
      </w:tblGrid>
      <w:tr w14:paraId="17DF9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9" w:type="pct"/>
            <w:vAlign w:val="center"/>
          </w:tcPr>
          <w:p w14:paraId="727317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站场</w:t>
            </w:r>
          </w:p>
          <w:p w14:paraId="446921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576" w:type="pct"/>
            <w:vAlign w:val="center"/>
          </w:tcPr>
          <w:p w14:paraId="103A26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监测时间</w:t>
            </w:r>
          </w:p>
        </w:tc>
        <w:tc>
          <w:tcPr>
            <w:tcW w:w="486" w:type="pct"/>
            <w:vAlign w:val="center"/>
          </w:tcPr>
          <w:p w14:paraId="21D7460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w:t>
            </w:r>
          </w:p>
          <w:p w14:paraId="5AA6E8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点位</w:t>
            </w:r>
          </w:p>
        </w:tc>
        <w:tc>
          <w:tcPr>
            <w:tcW w:w="812" w:type="pct"/>
            <w:vAlign w:val="center"/>
          </w:tcPr>
          <w:p w14:paraId="5035C57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892" w:type="pct"/>
            <w:vAlign w:val="center"/>
          </w:tcPr>
          <w:p w14:paraId="39E5538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监测值范围</w:t>
            </w:r>
          </w:p>
        </w:tc>
        <w:tc>
          <w:tcPr>
            <w:tcW w:w="677" w:type="pct"/>
            <w:vAlign w:val="center"/>
          </w:tcPr>
          <w:p w14:paraId="2DC3229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周界外最大浓度</w:t>
            </w:r>
          </w:p>
        </w:tc>
        <w:tc>
          <w:tcPr>
            <w:tcW w:w="632" w:type="pct"/>
            <w:vAlign w:val="center"/>
          </w:tcPr>
          <w:p w14:paraId="3212B0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标准限值</w:t>
            </w:r>
          </w:p>
        </w:tc>
        <w:tc>
          <w:tcPr>
            <w:tcW w:w="442" w:type="pct"/>
            <w:vAlign w:val="center"/>
          </w:tcPr>
          <w:p w14:paraId="120D00A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69B0D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9" w:type="pct"/>
            <w:vMerge w:val="restart"/>
            <w:vAlign w:val="center"/>
          </w:tcPr>
          <w:p w14:paraId="77BD715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吉祥联合站</w:t>
            </w:r>
          </w:p>
        </w:tc>
        <w:tc>
          <w:tcPr>
            <w:tcW w:w="576" w:type="pct"/>
            <w:vMerge w:val="restart"/>
            <w:vAlign w:val="center"/>
          </w:tcPr>
          <w:p w14:paraId="39B212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2025年10月21日</w:t>
            </w:r>
          </w:p>
        </w:tc>
        <w:tc>
          <w:tcPr>
            <w:tcW w:w="486" w:type="pct"/>
            <w:vAlign w:val="center"/>
          </w:tcPr>
          <w:p w14:paraId="7F6F9C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上风向</w:t>
            </w:r>
          </w:p>
        </w:tc>
        <w:tc>
          <w:tcPr>
            <w:tcW w:w="812" w:type="pct"/>
            <w:vAlign w:val="center"/>
          </w:tcPr>
          <w:p w14:paraId="77E5830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892" w:type="pct"/>
          </w:tcPr>
          <w:p w14:paraId="3AE162F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0.44～0.48</w:t>
            </w:r>
          </w:p>
        </w:tc>
        <w:tc>
          <w:tcPr>
            <w:tcW w:w="677" w:type="pct"/>
            <w:vAlign w:val="center"/>
          </w:tcPr>
          <w:p w14:paraId="739E5E1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0.48</w:t>
            </w:r>
          </w:p>
        </w:tc>
        <w:tc>
          <w:tcPr>
            <w:tcW w:w="632" w:type="pct"/>
            <w:vAlign w:val="center"/>
          </w:tcPr>
          <w:p w14:paraId="1D8C99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42" w:type="pct"/>
            <w:vAlign w:val="center"/>
          </w:tcPr>
          <w:p w14:paraId="35F095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FCD0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9" w:type="pct"/>
            <w:vMerge w:val="continue"/>
            <w:vAlign w:val="center"/>
          </w:tcPr>
          <w:p w14:paraId="40FE7537">
            <w:pPr>
              <w:pStyle w:val="210"/>
              <w:rPr>
                <w:rFonts w:hint="eastAsia"/>
                <w:color w:val="000000" w:themeColor="text1"/>
                <w14:textFill>
                  <w14:solidFill>
                    <w14:schemeClr w14:val="tx1"/>
                  </w14:solidFill>
                </w14:textFill>
              </w:rPr>
            </w:pPr>
          </w:p>
        </w:tc>
        <w:tc>
          <w:tcPr>
            <w:tcW w:w="576" w:type="pct"/>
            <w:vMerge w:val="continue"/>
            <w:vAlign w:val="center"/>
          </w:tcPr>
          <w:p w14:paraId="7CE3A362">
            <w:pPr>
              <w:pStyle w:val="210"/>
              <w:rPr>
                <w:rFonts w:hint="eastAsia"/>
                <w:color w:val="000000" w:themeColor="text1"/>
                <w14:textFill>
                  <w14:solidFill>
                    <w14:schemeClr w14:val="tx1"/>
                  </w14:solidFill>
                </w14:textFill>
              </w:rPr>
            </w:pPr>
          </w:p>
        </w:tc>
        <w:tc>
          <w:tcPr>
            <w:tcW w:w="486" w:type="pct"/>
            <w:vAlign w:val="center"/>
          </w:tcPr>
          <w:p w14:paraId="43FFCFB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下风向</w:t>
            </w:r>
          </w:p>
        </w:tc>
        <w:tc>
          <w:tcPr>
            <w:tcW w:w="812" w:type="pct"/>
            <w:vAlign w:val="center"/>
          </w:tcPr>
          <w:p w14:paraId="47D0E6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892" w:type="pct"/>
          </w:tcPr>
          <w:p w14:paraId="342454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0.56～0.67</w:t>
            </w:r>
          </w:p>
        </w:tc>
        <w:tc>
          <w:tcPr>
            <w:tcW w:w="677" w:type="pct"/>
            <w:vAlign w:val="center"/>
          </w:tcPr>
          <w:p w14:paraId="70BD990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0.67</w:t>
            </w:r>
          </w:p>
        </w:tc>
        <w:tc>
          <w:tcPr>
            <w:tcW w:w="632" w:type="pct"/>
            <w:vAlign w:val="center"/>
          </w:tcPr>
          <w:p w14:paraId="34A5D16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42" w:type="pct"/>
            <w:vAlign w:val="center"/>
          </w:tcPr>
          <w:p w14:paraId="586041E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FFB88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9" w:type="pct"/>
            <w:vMerge w:val="continue"/>
            <w:vAlign w:val="center"/>
          </w:tcPr>
          <w:p w14:paraId="77606224">
            <w:pPr>
              <w:pStyle w:val="210"/>
              <w:rPr>
                <w:rFonts w:hint="eastAsia"/>
                <w:color w:val="000000" w:themeColor="text1"/>
                <w14:textFill>
                  <w14:solidFill>
                    <w14:schemeClr w14:val="tx1"/>
                  </w14:solidFill>
                </w14:textFill>
              </w:rPr>
            </w:pPr>
          </w:p>
        </w:tc>
        <w:tc>
          <w:tcPr>
            <w:tcW w:w="576" w:type="pct"/>
            <w:vMerge w:val="continue"/>
            <w:vAlign w:val="center"/>
          </w:tcPr>
          <w:p w14:paraId="47A1EF3F">
            <w:pPr>
              <w:pStyle w:val="210"/>
              <w:rPr>
                <w:rFonts w:hint="eastAsia"/>
                <w:color w:val="000000" w:themeColor="text1"/>
                <w14:textFill>
                  <w14:solidFill>
                    <w14:schemeClr w14:val="tx1"/>
                  </w14:solidFill>
                </w14:textFill>
              </w:rPr>
            </w:pPr>
          </w:p>
        </w:tc>
        <w:tc>
          <w:tcPr>
            <w:tcW w:w="486" w:type="pct"/>
            <w:vAlign w:val="center"/>
          </w:tcPr>
          <w:p w14:paraId="2A641A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下风向</w:t>
            </w:r>
          </w:p>
        </w:tc>
        <w:tc>
          <w:tcPr>
            <w:tcW w:w="812" w:type="pct"/>
            <w:vAlign w:val="center"/>
          </w:tcPr>
          <w:p w14:paraId="5D5C7FA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892" w:type="pct"/>
          </w:tcPr>
          <w:p w14:paraId="409AD68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0.60～0.72</w:t>
            </w:r>
          </w:p>
        </w:tc>
        <w:tc>
          <w:tcPr>
            <w:tcW w:w="677" w:type="pct"/>
            <w:vAlign w:val="center"/>
          </w:tcPr>
          <w:p w14:paraId="0F23F7B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0.72</w:t>
            </w:r>
          </w:p>
        </w:tc>
        <w:tc>
          <w:tcPr>
            <w:tcW w:w="632" w:type="pct"/>
            <w:vAlign w:val="center"/>
          </w:tcPr>
          <w:p w14:paraId="71E314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42" w:type="pct"/>
            <w:vAlign w:val="center"/>
          </w:tcPr>
          <w:p w14:paraId="2F8518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F9F0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9" w:type="pct"/>
            <w:vMerge w:val="continue"/>
            <w:vAlign w:val="center"/>
          </w:tcPr>
          <w:p w14:paraId="0FC0A4E6">
            <w:pPr>
              <w:pStyle w:val="210"/>
              <w:rPr>
                <w:rFonts w:hint="eastAsia"/>
                <w:color w:val="000000" w:themeColor="text1"/>
                <w14:textFill>
                  <w14:solidFill>
                    <w14:schemeClr w14:val="tx1"/>
                  </w14:solidFill>
                </w14:textFill>
              </w:rPr>
            </w:pPr>
          </w:p>
        </w:tc>
        <w:tc>
          <w:tcPr>
            <w:tcW w:w="576" w:type="pct"/>
            <w:vMerge w:val="continue"/>
            <w:vAlign w:val="center"/>
          </w:tcPr>
          <w:p w14:paraId="6C82B2E4">
            <w:pPr>
              <w:pStyle w:val="210"/>
              <w:rPr>
                <w:rFonts w:hint="eastAsia"/>
                <w:color w:val="000000" w:themeColor="text1"/>
                <w14:textFill>
                  <w14:solidFill>
                    <w14:schemeClr w14:val="tx1"/>
                  </w14:solidFill>
                </w14:textFill>
              </w:rPr>
            </w:pPr>
          </w:p>
        </w:tc>
        <w:tc>
          <w:tcPr>
            <w:tcW w:w="486" w:type="pct"/>
            <w:vAlign w:val="center"/>
          </w:tcPr>
          <w:p w14:paraId="6D15BC8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下风向</w:t>
            </w:r>
          </w:p>
        </w:tc>
        <w:tc>
          <w:tcPr>
            <w:tcW w:w="812" w:type="pct"/>
            <w:vAlign w:val="center"/>
          </w:tcPr>
          <w:p w14:paraId="75EE6FD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892" w:type="pct"/>
          </w:tcPr>
          <w:p w14:paraId="574675F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0.62～0.77</w:t>
            </w:r>
          </w:p>
        </w:tc>
        <w:tc>
          <w:tcPr>
            <w:tcW w:w="677" w:type="pct"/>
            <w:vAlign w:val="center"/>
          </w:tcPr>
          <w:p w14:paraId="4529126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0.77</w:t>
            </w:r>
          </w:p>
        </w:tc>
        <w:tc>
          <w:tcPr>
            <w:tcW w:w="632" w:type="pct"/>
            <w:vAlign w:val="center"/>
          </w:tcPr>
          <w:p w14:paraId="53B3A25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42" w:type="pct"/>
            <w:vAlign w:val="center"/>
          </w:tcPr>
          <w:p w14:paraId="2D6751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C008C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9" w:type="pct"/>
            <w:vMerge w:val="continue"/>
            <w:vAlign w:val="center"/>
          </w:tcPr>
          <w:p w14:paraId="4379577C">
            <w:pPr>
              <w:pStyle w:val="210"/>
              <w:rPr>
                <w:rFonts w:hint="eastAsia"/>
                <w:color w:val="000000" w:themeColor="text1"/>
                <w14:textFill>
                  <w14:solidFill>
                    <w14:schemeClr w14:val="tx1"/>
                  </w14:solidFill>
                </w14:textFill>
              </w:rPr>
            </w:pPr>
          </w:p>
        </w:tc>
        <w:tc>
          <w:tcPr>
            <w:tcW w:w="576" w:type="pct"/>
            <w:vMerge w:val="restart"/>
            <w:vAlign w:val="center"/>
          </w:tcPr>
          <w:p w14:paraId="211DF9B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2025年10月21日</w:t>
            </w:r>
          </w:p>
        </w:tc>
        <w:tc>
          <w:tcPr>
            <w:tcW w:w="486" w:type="pct"/>
            <w:vAlign w:val="center"/>
          </w:tcPr>
          <w:p w14:paraId="1601371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上风向</w:t>
            </w:r>
          </w:p>
        </w:tc>
        <w:tc>
          <w:tcPr>
            <w:tcW w:w="812" w:type="pct"/>
            <w:vAlign w:val="center"/>
          </w:tcPr>
          <w:p w14:paraId="47AA8E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92" w:type="pct"/>
          </w:tcPr>
          <w:p w14:paraId="753219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＜0.2×10</w:t>
            </w:r>
            <w:r>
              <w:rPr>
                <w:rFonts w:hint="eastAsia"/>
                <w:color w:val="000000" w:themeColor="text1"/>
                <w:vertAlign w:val="superscript"/>
                <w14:textFill>
                  <w14:solidFill>
                    <w14:schemeClr w14:val="tx1"/>
                  </w14:solidFill>
                </w14:textFill>
              </w:rPr>
              <w:t>-3</w:t>
            </w:r>
          </w:p>
        </w:tc>
        <w:tc>
          <w:tcPr>
            <w:tcW w:w="677" w:type="pct"/>
            <w:vAlign w:val="center"/>
          </w:tcPr>
          <w:p w14:paraId="1DFEFE5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2" w:type="pct"/>
            <w:vAlign w:val="center"/>
          </w:tcPr>
          <w:p w14:paraId="5A6F5C7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0.06</w:t>
            </w:r>
          </w:p>
        </w:tc>
        <w:tc>
          <w:tcPr>
            <w:tcW w:w="442" w:type="pct"/>
            <w:vAlign w:val="center"/>
          </w:tcPr>
          <w:p w14:paraId="7D3A2DE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7CCF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9" w:type="pct"/>
            <w:vMerge w:val="continue"/>
            <w:vAlign w:val="center"/>
          </w:tcPr>
          <w:p w14:paraId="7C1BF021">
            <w:pPr>
              <w:pStyle w:val="210"/>
              <w:rPr>
                <w:rFonts w:hint="eastAsia"/>
                <w:color w:val="000000" w:themeColor="text1"/>
                <w14:textFill>
                  <w14:solidFill>
                    <w14:schemeClr w14:val="tx1"/>
                  </w14:solidFill>
                </w14:textFill>
              </w:rPr>
            </w:pPr>
          </w:p>
        </w:tc>
        <w:tc>
          <w:tcPr>
            <w:tcW w:w="576" w:type="pct"/>
            <w:vMerge w:val="continue"/>
            <w:vAlign w:val="center"/>
          </w:tcPr>
          <w:p w14:paraId="56D82111">
            <w:pPr>
              <w:pStyle w:val="210"/>
              <w:rPr>
                <w:rFonts w:hint="eastAsia"/>
                <w:color w:val="000000" w:themeColor="text1"/>
                <w14:textFill>
                  <w14:solidFill>
                    <w14:schemeClr w14:val="tx1"/>
                  </w14:solidFill>
                </w14:textFill>
              </w:rPr>
            </w:pPr>
          </w:p>
        </w:tc>
        <w:tc>
          <w:tcPr>
            <w:tcW w:w="486" w:type="pct"/>
            <w:vAlign w:val="center"/>
          </w:tcPr>
          <w:p w14:paraId="3C7965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下风向</w:t>
            </w:r>
          </w:p>
        </w:tc>
        <w:tc>
          <w:tcPr>
            <w:tcW w:w="812" w:type="pct"/>
          </w:tcPr>
          <w:p w14:paraId="18345DF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92" w:type="pct"/>
          </w:tcPr>
          <w:p w14:paraId="2C067B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＜0.2×10</w:t>
            </w:r>
            <w:r>
              <w:rPr>
                <w:rFonts w:hint="eastAsia"/>
                <w:color w:val="000000" w:themeColor="text1"/>
                <w:vertAlign w:val="superscript"/>
                <w14:textFill>
                  <w14:solidFill>
                    <w14:schemeClr w14:val="tx1"/>
                  </w14:solidFill>
                </w14:textFill>
              </w:rPr>
              <w:t>-3</w:t>
            </w:r>
          </w:p>
        </w:tc>
        <w:tc>
          <w:tcPr>
            <w:tcW w:w="677" w:type="pct"/>
          </w:tcPr>
          <w:p w14:paraId="0FBD512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2" w:type="pct"/>
            <w:vAlign w:val="center"/>
          </w:tcPr>
          <w:p w14:paraId="6CDFACC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0.06</w:t>
            </w:r>
          </w:p>
        </w:tc>
        <w:tc>
          <w:tcPr>
            <w:tcW w:w="442" w:type="pct"/>
            <w:vAlign w:val="center"/>
          </w:tcPr>
          <w:p w14:paraId="5BF3EC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8518A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9" w:type="pct"/>
            <w:vMerge w:val="continue"/>
            <w:vAlign w:val="center"/>
          </w:tcPr>
          <w:p w14:paraId="4D6EE604">
            <w:pPr>
              <w:pStyle w:val="210"/>
              <w:rPr>
                <w:rFonts w:hint="eastAsia"/>
                <w:color w:val="000000" w:themeColor="text1"/>
                <w14:textFill>
                  <w14:solidFill>
                    <w14:schemeClr w14:val="tx1"/>
                  </w14:solidFill>
                </w14:textFill>
              </w:rPr>
            </w:pPr>
          </w:p>
        </w:tc>
        <w:tc>
          <w:tcPr>
            <w:tcW w:w="576" w:type="pct"/>
            <w:vMerge w:val="continue"/>
            <w:vAlign w:val="center"/>
          </w:tcPr>
          <w:p w14:paraId="327AF741">
            <w:pPr>
              <w:pStyle w:val="210"/>
              <w:rPr>
                <w:rFonts w:hint="eastAsia"/>
                <w:color w:val="000000" w:themeColor="text1"/>
                <w14:textFill>
                  <w14:solidFill>
                    <w14:schemeClr w14:val="tx1"/>
                  </w14:solidFill>
                </w14:textFill>
              </w:rPr>
            </w:pPr>
          </w:p>
        </w:tc>
        <w:tc>
          <w:tcPr>
            <w:tcW w:w="486" w:type="pct"/>
            <w:vAlign w:val="center"/>
          </w:tcPr>
          <w:p w14:paraId="326C3D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下风向</w:t>
            </w:r>
          </w:p>
        </w:tc>
        <w:tc>
          <w:tcPr>
            <w:tcW w:w="812" w:type="pct"/>
          </w:tcPr>
          <w:p w14:paraId="7D7682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92" w:type="pct"/>
          </w:tcPr>
          <w:p w14:paraId="4675DE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＜0.2×10</w:t>
            </w:r>
            <w:r>
              <w:rPr>
                <w:rFonts w:hint="eastAsia"/>
                <w:color w:val="000000" w:themeColor="text1"/>
                <w:vertAlign w:val="superscript"/>
                <w14:textFill>
                  <w14:solidFill>
                    <w14:schemeClr w14:val="tx1"/>
                  </w14:solidFill>
                </w14:textFill>
              </w:rPr>
              <w:t>-3</w:t>
            </w:r>
          </w:p>
        </w:tc>
        <w:tc>
          <w:tcPr>
            <w:tcW w:w="677" w:type="pct"/>
          </w:tcPr>
          <w:p w14:paraId="32F4CE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2" w:type="pct"/>
            <w:vAlign w:val="center"/>
          </w:tcPr>
          <w:p w14:paraId="74A7F5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0.06</w:t>
            </w:r>
          </w:p>
        </w:tc>
        <w:tc>
          <w:tcPr>
            <w:tcW w:w="442" w:type="pct"/>
            <w:vAlign w:val="center"/>
          </w:tcPr>
          <w:p w14:paraId="6A8A57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B9C4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9" w:type="pct"/>
            <w:vMerge w:val="continue"/>
            <w:vAlign w:val="center"/>
          </w:tcPr>
          <w:p w14:paraId="4B35224B">
            <w:pPr>
              <w:pStyle w:val="210"/>
              <w:rPr>
                <w:rFonts w:hint="eastAsia"/>
                <w:color w:val="000000" w:themeColor="text1"/>
                <w14:textFill>
                  <w14:solidFill>
                    <w14:schemeClr w14:val="tx1"/>
                  </w14:solidFill>
                </w14:textFill>
              </w:rPr>
            </w:pPr>
          </w:p>
        </w:tc>
        <w:tc>
          <w:tcPr>
            <w:tcW w:w="576" w:type="pct"/>
            <w:vMerge w:val="continue"/>
            <w:vAlign w:val="center"/>
          </w:tcPr>
          <w:p w14:paraId="5071664B">
            <w:pPr>
              <w:pStyle w:val="210"/>
              <w:rPr>
                <w:rFonts w:hint="eastAsia"/>
                <w:color w:val="000000" w:themeColor="text1"/>
                <w14:textFill>
                  <w14:solidFill>
                    <w14:schemeClr w14:val="tx1"/>
                  </w14:solidFill>
                </w14:textFill>
              </w:rPr>
            </w:pPr>
          </w:p>
        </w:tc>
        <w:tc>
          <w:tcPr>
            <w:tcW w:w="486" w:type="pct"/>
            <w:vAlign w:val="center"/>
          </w:tcPr>
          <w:p w14:paraId="296E3D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下风向</w:t>
            </w:r>
          </w:p>
        </w:tc>
        <w:tc>
          <w:tcPr>
            <w:tcW w:w="812" w:type="pct"/>
          </w:tcPr>
          <w:p w14:paraId="053204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92" w:type="pct"/>
          </w:tcPr>
          <w:p w14:paraId="6AF283D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＜0.2×10</w:t>
            </w:r>
            <w:r>
              <w:rPr>
                <w:rFonts w:hint="eastAsia"/>
                <w:color w:val="000000" w:themeColor="text1"/>
                <w:vertAlign w:val="superscript"/>
                <w14:textFill>
                  <w14:solidFill>
                    <w14:schemeClr w14:val="tx1"/>
                  </w14:solidFill>
                </w14:textFill>
              </w:rPr>
              <w:t>-3</w:t>
            </w:r>
          </w:p>
        </w:tc>
        <w:tc>
          <w:tcPr>
            <w:tcW w:w="677" w:type="pct"/>
          </w:tcPr>
          <w:p w14:paraId="74B8568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2" w:type="pct"/>
            <w:vAlign w:val="center"/>
          </w:tcPr>
          <w:p w14:paraId="5EDC2BE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0.06</w:t>
            </w:r>
          </w:p>
        </w:tc>
        <w:tc>
          <w:tcPr>
            <w:tcW w:w="442" w:type="pct"/>
            <w:vAlign w:val="center"/>
          </w:tcPr>
          <w:p w14:paraId="3F8DBD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74C4EA77">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2）燃气设施燃烧烟气</w:t>
      </w:r>
    </w:p>
    <w:p w14:paraId="4163BF88">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吉祥联合站现有4台相变加热炉、2台热媒炉和4台采暖炉。各燃气设施具体情况见表3.1-4。</w:t>
      </w:r>
    </w:p>
    <w:p w14:paraId="2AB79841">
      <w:pPr>
        <w:widowControl/>
        <w:adjustRightInd w:val="0"/>
        <w:snapToGrid w:val="0"/>
        <w:spacing w:line="500" w:lineRule="exact"/>
        <w:ind w:firstLine="420" w:firstLineChars="200"/>
        <w:jc w:val="center"/>
        <w:rPr>
          <w:rFonts w:hint="eastAsia" w:ascii="宋体" w:hAnsi="宋体" w:cs="宋体"/>
          <w:color w:val="000000" w:themeColor="text1"/>
          <w:sz w:val="24"/>
          <w:szCs w:val="24"/>
          <w14:textFill>
            <w14:solidFill>
              <w14:schemeClr w14:val="tx1"/>
            </w14:solidFill>
          </w14:textFill>
        </w:rPr>
      </w:pPr>
      <w:r>
        <w:rPr>
          <w:rFonts w:ascii="黑体" w:hAnsi="黑体" w:eastAsia="黑体"/>
          <w:color w:val="000000" w:themeColor="text1"/>
          <w:szCs w:val="24"/>
          <w14:textFill>
            <w14:solidFill>
              <w14:schemeClr w14:val="tx1"/>
            </w14:solidFill>
          </w14:textFill>
        </w:rPr>
        <w:t>表</w:t>
      </w:r>
      <w:r>
        <w:rPr>
          <w:rFonts w:hint="eastAsia" w:ascii="黑体" w:hAnsi="黑体" w:eastAsia="黑体"/>
          <w:color w:val="000000" w:themeColor="text1"/>
          <w:szCs w:val="24"/>
          <w14:textFill>
            <w14:solidFill>
              <w14:schemeClr w14:val="tx1"/>
            </w14:solidFill>
          </w14:textFill>
        </w:rPr>
        <w:t xml:space="preserve">3.1-4  </w:t>
      </w:r>
      <w:r>
        <w:rPr>
          <w:rFonts w:ascii="黑体" w:hAnsi="黑体" w:eastAsia="黑体"/>
          <w:color w:val="000000" w:themeColor="text1"/>
          <w:szCs w:val="24"/>
          <w14:textFill>
            <w14:solidFill>
              <w14:schemeClr w14:val="tx1"/>
            </w14:solidFill>
          </w14:textFill>
        </w:rPr>
        <w:t>吉7井区废气排放源一览表</w:t>
      </w:r>
    </w:p>
    <w:tbl>
      <w:tblPr>
        <w:tblStyle w:val="418"/>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92"/>
        <w:gridCol w:w="1184"/>
        <w:gridCol w:w="3210"/>
        <w:gridCol w:w="1842"/>
        <w:gridCol w:w="1487"/>
        <w:gridCol w:w="10"/>
      </w:tblGrid>
      <w:tr w14:paraId="7C967F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 w:type="pct"/>
          <w:cantSplit/>
          <w:trHeight w:val="105" w:hRule="atLeast"/>
          <w:jc w:val="center"/>
        </w:trPr>
        <w:tc>
          <w:tcPr>
            <w:tcW w:w="568" w:type="pct"/>
            <w:vAlign w:val="center"/>
          </w:tcPr>
          <w:p w14:paraId="6058B2E7">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序号</w:t>
            </w:r>
          </w:p>
        </w:tc>
        <w:tc>
          <w:tcPr>
            <w:tcW w:w="678" w:type="pct"/>
            <w:vAlign w:val="center"/>
          </w:tcPr>
          <w:p w14:paraId="45D43816">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区域</w:t>
            </w:r>
          </w:p>
        </w:tc>
        <w:tc>
          <w:tcPr>
            <w:tcW w:w="1839" w:type="pct"/>
            <w:vAlign w:val="center"/>
          </w:tcPr>
          <w:p w14:paraId="79787A9B">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大气污染源</w:t>
            </w:r>
          </w:p>
        </w:tc>
        <w:tc>
          <w:tcPr>
            <w:tcW w:w="1055" w:type="pct"/>
            <w:vAlign w:val="center"/>
          </w:tcPr>
          <w:p w14:paraId="1E048B9D">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排放源高（m）</w:t>
            </w:r>
          </w:p>
        </w:tc>
        <w:tc>
          <w:tcPr>
            <w:tcW w:w="852" w:type="pct"/>
            <w:vAlign w:val="center"/>
          </w:tcPr>
          <w:p w14:paraId="2F6CD0E4">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功率</w:t>
            </w:r>
          </w:p>
        </w:tc>
      </w:tr>
      <w:tr w14:paraId="095669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 w:type="pct"/>
          <w:cantSplit/>
          <w:trHeight w:val="174" w:hRule="atLeast"/>
          <w:jc w:val="center"/>
        </w:trPr>
        <w:tc>
          <w:tcPr>
            <w:tcW w:w="568" w:type="pct"/>
            <w:tcBorders>
              <w:right w:val="single" w:color="auto" w:sz="4" w:space="0"/>
            </w:tcBorders>
            <w:vAlign w:val="center"/>
          </w:tcPr>
          <w:p w14:paraId="34B5F99E">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w:t>
            </w:r>
          </w:p>
        </w:tc>
        <w:tc>
          <w:tcPr>
            <w:tcW w:w="678" w:type="pct"/>
            <w:vMerge w:val="restart"/>
            <w:tcBorders>
              <w:left w:val="single" w:color="auto" w:sz="4" w:space="0"/>
            </w:tcBorders>
            <w:vAlign w:val="center"/>
          </w:tcPr>
          <w:p w14:paraId="4435F27F">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吉祥联合站</w:t>
            </w:r>
          </w:p>
        </w:tc>
        <w:tc>
          <w:tcPr>
            <w:tcW w:w="1839" w:type="pct"/>
            <w:vAlign w:val="center"/>
          </w:tcPr>
          <w:p w14:paraId="64A4D2A4">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1#相变加热炉</w:t>
            </w:r>
          </w:p>
        </w:tc>
        <w:tc>
          <w:tcPr>
            <w:tcW w:w="1055" w:type="pct"/>
            <w:vAlign w:val="center"/>
          </w:tcPr>
          <w:p w14:paraId="2231DBFC">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8</w:t>
            </w:r>
          </w:p>
        </w:tc>
        <w:tc>
          <w:tcPr>
            <w:tcW w:w="852" w:type="pct"/>
            <w:vAlign w:val="center"/>
          </w:tcPr>
          <w:p w14:paraId="6DD1166E">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2000kW</w:t>
            </w:r>
          </w:p>
        </w:tc>
      </w:tr>
      <w:tr w14:paraId="54C0B6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20" w:hRule="atLeast"/>
          <w:jc w:val="center"/>
        </w:trPr>
        <w:tc>
          <w:tcPr>
            <w:tcW w:w="568" w:type="pct"/>
            <w:tcBorders>
              <w:right w:val="single" w:color="auto" w:sz="4" w:space="0"/>
            </w:tcBorders>
            <w:vAlign w:val="center"/>
          </w:tcPr>
          <w:p w14:paraId="531B4BB7">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r>
              <w:rPr>
                <w:rFonts w:hint="eastAsia" w:ascii="宋体" w:hAnsi="宋体"/>
                <w:color w:val="000000" w:themeColor="text1"/>
                <w:sz w:val="23"/>
                <w:szCs w:val="24"/>
                <w14:textFill>
                  <w14:solidFill>
                    <w14:schemeClr w14:val="tx1"/>
                  </w14:solidFill>
                </w14:textFill>
              </w:rPr>
              <w:t>2</w:t>
            </w:r>
          </w:p>
        </w:tc>
        <w:tc>
          <w:tcPr>
            <w:tcW w:w="678" w:type="pct"/>
            <w:vMerge w:val="continue"/>
            <w:tcBorders>
              <w:left w:val="single" w:color="auto" w:sz="4" w:space="0"/>
            </w:tcBorders>
            <w:vAlign w:val="center"/>
          </w:tcPr>
          <w:p w14:paraId="593485FE">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p>
        </w:tc>
        <w:tc>
          <w:tcPr>
            <w:tcW w:w="1839" w:type="pct"/>
            <w:vAlign w:val="center"/>
          </w:tcPr>
          <w:p w14:paraId="4F054B4C">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2#相变加热炉</w:t>
            </w:r>
          </w:p>
        </w:tc>
        <w:tc>
          <w:tcPr>
            <w:tcW w:w="1055" w:type="pct"/>
            <w:vAlign w:val="center"/>
          </w:tcPr>
          <w:p w14:paraId="19267D46">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8</w:t>
            </w:r>
          </w:p>
        </w:tc>
        <w:tc>
          <w:tcPr>
            <w:tcW w:w="858" w:type="pct"/>
            <w:gridSpan w:val="2"/>
            <w:vAlign w:val="center"/>
          </w:tcPr>
          <w:p w14:paraId="74A0B806">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2000kW</w:t>
            </w:r>
          </w:p>
        </w:tc>
      </w:tr>
      <w:tr w14:paraId="184EC5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05" w:hRule="atLeast"/>
          <w:jc w:val="center"/>
        </w:trPr>
        <w:tc>
          <w:tcPr>
            <w:tcW w:w="568" w:type="pct"/>
            <w:tcBorders>
              <w:right w:val="single" w:color="auto" w:sz="4" w:space="0"/>
            </w:tcBorders>
            <w:vAlign w:val="center"/>
          </w:tcPr>
          <w:p w14:paraId="0037F415">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3</w:t>
            </w:r>
          </w:p>
        </w:tc>
        <w:tc>
          <w:tcPr>
            <w:tcW w:w="678" w:type="pct"/>
            <w:vMerge w:val="continue"/>
            <w:tcBorders>
              <w:left w:val="single" w:color="auto" w:sz="4" w:space="0"/>
            </w:tcBorders>
            <w:vAlign w:val="center"/>
          </w:tcPr>
          <w:p w14:paraId="7D9B6EA4">
            <w:pPr>
              <w:adjustRightInd w:val="0"/>
              <w:snapToGrid w:val="0"/>
              <w:spacing w:line="300" w:lineRule="exact"/>
              <w:jc w:val="center"/>
              <w:rPr>
                <w:rFonts w:hint="eastAsia" w:ascii="宋体" w:hAnsi="宋体"/>
                <w:color w:val="000000" w:themeColor="text1"/>
                <w:szCs w:val="24"/>
                <w14:textFill>
                  <w14:solidFill>
                    <w14:schemeClr w14:val="tx1"/>
                  </w14:solidFill>
                </w14:textFill>
              </w:rPr>
            </w:pPr>
          </w:p>
        </w:tc>
        <w:tc>
          <w:tcPr>
            <w:tcW w:w="1839" w:type="pct"/>
            <w:vAlign w:val="center"/>
          </w:tcPr>
          <w:p w14:paraId="4EF07F71">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3#相变加热炉</w:t>
            </w:r>
          </w:p>
        </w:tc>
        <w:tc>
          <w:tcPr>
            <w:tcW w:w="1055" w:type="pct"/>
            <w:vAlign w:val="center"/>
          </w:tcPr>
          <w:p w14:paraId="7B55EFA2">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8</w:t>
            </w:r>
          </w:p>
        </w:tc>
        <w:tc>
          <w:tcPr>
            <w:tcW w:w="858" w:type="pct"/>
            <w:gridSpan w:val="2"/>
            <w:vAlign w:val="center"/>
          </w:tcPr>
          <w:p w14:paraId="2AD71509">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2000kW</w:t>
            </w:r>
          </w:p>
        </w:tc>
      </w:tr>
      <w:tr w14:paraId="5E8577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20" w:hRule="atLeast"/>
          <w:jc w:val="center"/>
        </w:trPr>
        <w:tc>
          <w:tcPr>
            <w:tcW w:w="568" w:type="pct"/>
            <w:tcBorders>
              <w:right w:val="single" w:color="auto" w:sz="4" w:space="0"/>
            </w:tcBorders>
            <w:vAlign w:val="center"/>
          </w:tcPr>
          <w:p w14:paraId="20F8A132">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r>
              <w:rPr>
                <w:rFonts w:hint="eastAsia" w:ascii="宋体" w:hAnsi="宋体"/>
                <w:color w:val="000000" w:themeColor="text1"/>
                <w:sz w:val="23"/>
                <w:szCs w:val="24"/>
                <w14:textFill>
                  <w14:solidFill>
                    <w14:schemeClr w14:val="tx1"/>
                  </w14:solidFill>
                </w14:textFill>
              </w:rPr>
              <w:t>4</w:t>
            </w:r>
          </w:p>
        </w:tc>
        <w:tc>
          <w:tcPr>
            <w:tcW w:w="678" w:type="pct"/>
            <w:vMerge w:val="continue"/>
            <w:tcBorders>
              <w:left w:val="single" w:color="auto" w:sz="4" w:space="0"/>
            </w:tcBorders>
            <w:vAlign w:val="center"/>
          </w:tcPr>
          <w:p w14:paraId="7D4CB049">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p>
        </w:tc>
        <w:tc>
          <w:tcPr>
            <w:tcW w:w="1839" w:type="pct"/>
            <w:vAlign w:val="center"/>
          </w:tcPr>
          <w:p w14:paraId="0213D869">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5#相变加热炉</w:t>
            </w:r>
          </w:p>
        </w:tc>
        <w:tc>
          <w:tcPr>
            <w:tcW w:w="1055" w:type="pct"/>
            <w:vAlign w:val="center"/>
          </w:tcPr>
          <w:p w14:paraId="4E61D93C">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8</w:t>
            </w:r>
          </w:p>
        </w:tc>
        <w:tc>
          <w:tcPr>
            <w:tcW w:w="858" w:type="pct"/>
            <w:gridSpan w:val="2"/>
            <w:vAlign w:val="center"/>
          </w:tcPr>
          <w:p w14:paraId="1AD7A945">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2000kW</w:t>
            </w:r>
          </w:p>
        </w:tc>
      </w:tr>
      <w:tr w14:paraId="5ECF17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20" w:hRule="atLeast"/>
          <w:jc w:val="center"/>
        </w:trPr>
        <w:tc>
          <w:tcPr>
            <w:tcW w:w="568" w:type="pct"/>
            <w:tcBorders>
              <w:right w:val="single" w:color="auto" w:sz="4" w:space="0"/>
            </w:tcBorders>
            <w:vAlign w:val="center"/>
          </w:tcPr>
          <w:p w14:paraId="414E4B12">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r>
              <w:rPr>
                <w:rFonts w:hint="eastAsia" w:ascii="宋体" w:hAnsi="宋体"/>
                <w:color w:val="000000" w:themeColor="text1"/>
                <w:sz w:val="23"/>
                <w:szCs w:val="24"/>
                <w14:textFill>
                  <w14:solidFill>
                    <w14:schemeClr w14:val="tx1"/>
                  </w14:solidFill>
                </w14:textFill>
              </w:rPr>
              <w:t>5</w:t>
            </w:r>
          </w:p>
        </w:tc>
        <w:tc>
          <w:tcPr>
            <w:tcW w:w="678" w:type="pct"/>
            <w:vMerge w:val="continue"/>
            <w:tcBorders>
              <w:left w:val="single" w:color="auto" w:sz="4" w:space="0"/>
            </w:tcBorders>
            <w:vAlign w:val="center"/>
          </w:tcPr>
          <w:p w14:paraId="73A2D617">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p>
        </w:tc>
        <w:tc>
          <w:tcPr>
            <w:tcW w:w="1839" w:type="pct"/>
            <w:vAlign w:val="center"/>
          </w:tcPr>
          <w:p w14:paraId="48FC276B">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1#热媒炉</w:t>
            </w:r>
          </w:p>
        </w:tc>
        <w:tc>
          <w:tcPr>
            <w:tcW w:w="1055" w:type="pct"/>
            <w:vAlign w:val="center"/>
          </w:tcPr>
          <w:p w14:paraId="0C80FF7A">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8</w:t>
            </w:r>
          </w:p>
        </w:tc>
        <w:tc>
          <w:tcPr>
            <w:tcW w:w="858" w:type="pct"/>
            <w:gridSpan w:val="2"/>
            <w:vAlign w:val="center"/>
          </w:tcPr>
          <w:p w14:paraId="4BD5A95C">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1000kW</w:t>
            </w:r>
          </w:p>
        </w:tc>
      </w:tr>
      <w:tr w14:paraId="68197D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05" w:hRule="atLeast"/>
          <w:jc w:val="center"/>
        </w:trPr>
        <w:tc>
          <w:tcPr>
            <w:tcW w:w="568" w:type="pct"/>
            <w:tcBorders>
              <w:right w:val="single" w:color="auto" w:sz="4" w:space="0"/>
            </w:tcBorders>
            <w:vAlign w:val="center"/>
          </w:tcPr>
          <w:p w14:paraId="49C729A1">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6</w:t>
            </w:r>
          </w:p>
        </w:tc>
        <w:tc>
          <w:tcPr>
            <w:tcW w:w="678" w:type="pct"/>
            <w:vMerge w:val="continue"/>
            <w:tcBorders>
              <w:left w:val="single" w:color="auto" w:sz="4" w:space="0"/>
            </w:tcBorders>
            <w:vAlign w:val="center"/>
          </w:tcPr>
          <w:p w14:paraId="7894E22C">
            <w:pPr>
              <w:adjustRightInd w:val="0"/>
              <w:snapToGrid w:val="0"/>
              <w:spacing w:line="300" w:lineRule="exact"/>
              <w:jc w:val="center"/>
              <w:rPr>
                <w:rFonts w:hint="eastAsia" w:ascii="宋体" w:hAnsi="宋体"/>
                <w:color w:val="000000" w:themeColor="text1"/>
                <w:szCs w:val="24"/>
                <w14:textFill>
                  <w14:solidFill>
                    <w14:schemeClr w14:val="tx1"/>
                  </w14:solidFill>
                </w14:textFill>
              </w:rPr>
            </w:pPr>
          </w:p>
        </w:tc>
        <w:tc>
          <w:tcPr>
            <w:tcW w:w="1839" w:type="pct"/>
            <w:vAlign w:val="center"/>
          </w:tcPr>
          <w:p w14:paraId="02B5A647">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2#热媒炉</w:t>
            </w:r>
          </w:p>
        </w:tc>
        <w:tc>
          <w:tcPr>
            <w:tcW w:w="1055" w:type="pct"/>
            <w:vAlign w:val="center"/>
          </w:tcPr>
          <w:p w14:paraId="0DB8A1AD">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8</w:t>
            </w:r>
          </w:p>
        </w:tc>
        <w:tc>
          <w:tcPr>
            <w:tcW w:w="858" w:type="pct"/>
            <w:gridSpan w:val="2"/>
            <w:vAlign w:val="center"/>
          </w:tcPr>
          <w:p w14:paraId="7F1F1FF2">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1000kW</w:t>
            </w:r>
          </w:p>
        </w:tc>
      </w:tr>
      <w:tr w14:paraId="331145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20" w:hRule="atLeast"/>
          <w:jc w:val="center"/>
        </w:trPr>
        <w:tc>
          <w:tcPr>
            <w:tcW w:w="568" w:type="pct"/>
            <w:tcBorders>
              <w:right w:val="single" w:color="auto" w:sz="4" w:space="0"/>
            </w:tcBorders>
            <w:vAlign w:val="center"/>
          </w:tcPr>
          <w:p w14:paraId="34E8CC83">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r>
              <w:rPr>
                <w:rFonts w:hint="eastAsia" w:ascii="宋体" w:hAnsi="宋体"/>
                <w:color w:val="000000" w:themeColor="text1"/>
                <w:sz w:val="23"/>
                <w:szCs w:val="24"/>
                <w14:textFill>
                  <w14:solidFill>
                    <w14:schemeClr w14:val="tx1"/>
                  </w14:solidFill>
                </w14:textFill>
              </w:rPr>
              <w:t>7</w:t>
            </w:r>
          </w:p>
        </w:tc>
        <w:tc>
          <w:tcPr>
            <w:tcW w:w="678" w:type="pct"/>
            <w:vMerge w:val="continue"/>
            <w:tcBorders>
              <w:left w:val="single" w:color="auto" w:sz="4" w:space="0"/>
            </w:tcBorders>
            <w:vAlign w:val="center"/>
          </w:tcPr>
          <w:p w14:paraId="61FA99C0">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p>
        </w:tc>
        <w:tc>
          <w:tcPr>
            <w:tcW w:w="1839" w:type="pct"/>
            <w:vAlign w:val="center"/>
          </w:tcPr>
          <w:p w14:paraId="65E9449F">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1#采暖炉</w:t>
            </w:r>
          </w:p>
        </w:tc>
        <w:tc>
          <w:tcPr>
            <w:tcW w:w="1055" w:type="pct"/>
            <w:vAlign w:val="center"/>
          </w:tcPr>
          <w:p w14:paraId="40FA7ADA">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10</w:t>
            </w:r>
          </w:p>
        </w:tc>
        <w:tc>
          <w:tcPr>
            <w:tcW w:w="858" w:type="pct"/>
            <w:gridSpan w:val="2"/>
            <w:vAlign w:val="center"/>
          </w:tcPr>
          <w:p w14:paraId="6447D708">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350kW</w:t>
            </w:r>
          </w:p>
        </w:tc>
      </w:tr>
      <w:tr w14:paraId="34B098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05" w:hRule="atLeast"/>
          <w:jc w:val="center"/>
        </w:trPr>
        <w:tc>
          <w:tcPr>
            <w:tcW w:w="568" w:type="pct"/>
            <w:tcBorders>
              <w:right w:val="single" w:color="auto" w:sz="4" w:space="0"/>
            </w:tcBorders>
            <w:vAlign w:val="center"/>
          </w:tcPr>
          <w:p w14:paraId="38B507F1">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8</w:t>
            </w:r>
          </w:p>
        </w:tc>
        <w:tc>
          <w:tcPr>
            <w:tcW w:w="678" w:type="pct"/>
            <w:vMerge w:val="continue"/>
            <w:tcBorders>
              <w:left w:val="single" w:color="auto" w:sz="4" w:space="0"/>
            </w:tcBorders>
            <w:vAlign w:val="center"/>
          </w:tcPr>
          <w:p w14:paraId="13FE76C7">
            <w:pPr>
              <w:adjustRightInd w:val="0"/>
              <w:snapToGrid w:val="0"/>
              <w:spacing w:line="300" w:lineRule="exact"/>
              <w:jc w:val="center"/>
              <w:rPr>
                <w:rFonts w:hint="eastAsia" w:ascii="宋体" w:hAnsi="宋体"/>
                <w:color w:val="000000" w:themeColor="text1"/>
                <w:szCs w:val="24"/>
                <w14:textFill>
                  <w14:solidFill>
                    <w14:schemeClr w14:val="tx1"/>
                  </w14:solidFill>
                </w14:textFill>
              </w:rPr>
            </w:pPr>
          </w:p>
        </w:tc>
        <w:tc>
          <w:tcPr>
            <w:tcW w:w="1839" w:type="pct"/>
            <w:vAlign w:val="center"/>
          </w:tcPr>
          <w:p w14:paraId="241F7C0C">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2#采暖橇</w:t>
            </w:r>
          </w:p>
        </w:tc>
        <w:tc>
          <w:tcPr>
            <w:tcW w:w="1055" w:type="pct"/>
            <w:vAlign w:val="center"/>
          </w:tcPr>
          <w:p w14:paraId="66E6A456">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10</w:t>
            </w:r>
          </w:p>
        </w:tc>
        <w:tc>
          <w:tcPr>
            <w:tcW w:w="858" w:type="pct"/>
            <w:gridSpan w:val="2"/>
            <w:vAlign w:val="center"/>
          </w:tcPr>
          <w:p w14:paraId="393B5820">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350kW</w:t>
            </w:r>
          </w:p>
        </w:tc>
      </w:tr>
      <w:tr w14:paraId="57AD6E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20" w:hRule="atLeast"/>
          <w:jc w:val="center"/>
        </w:trPr>
        <w:tc>
          <w:tcPr>
            <w:tcW w:w="568" w:type="pct"/>
            <w:tcBorders>
              <w:right w:val="single" w:color="auto" w:sz="4" w:space="0"/>
            </w:tcBorders>
            <w:vAlign w:val="center"/>
          </w:tcPr>
          <w:p w14:paraId="75C99915">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r>
              <w:rPr>
                <w:rFonts w:hint="eastAsia" w:ascii="宋体" w:hAnsi="宋体"/>
                <w:color w:val="000000" w:themeColor="text1"/>
                <w:sz w:val="23"/>
                <w:szCs w:val="24"/>
                <w14:textFill>
                  <w14:solidFill>
                    <w14:schemeClr w14:val="tx1"/>
                  </w14:solidFill>
                </w14:textFill>
              </w:rPr>
              <w:t>9</w:t>
            </w:r>
          </w:p>
        </w:tc>
        <w:tc>
          <w:tcPr>
            <w:tcW w:w="678" w:type="pct"/>
            <w:vMerge w:val="continue"/>
            <w:tcBorders>
              <w:left w:val="single" w:color="auto" w:sz="4" w:space="0"/>
            </w:tcBorders>
            <w:vAlign w:val="center"/>
          </w:tcPr>
          <w:p w14:paraId="5202AC12">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p>
        </w:tc>
        <w:tc>
          <w:tcPr>
            <w:tcW w:w="1839" w:type="pct"/>
            <w:vAlign w:val="center"/>
          </w:tcPr>
          <w:p w14:paraId="4B9008AD">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3#采暖橇</w:t>
            </w:r>
          </w:p>
        </w:tc>
        <w:tc>
          <w:tcPr>
            <w:tcW w:w="1055" w:type="pct"/>
            <w:vAlign w:val="center"/>
          </w:tcPr>
          <w:p w14:paraId="6FA9C264">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10</w:t>
            </w:r>
          </w:p>
        </w:tc>
        <w:tc>
          <w:tcPr>
            <w:tcW w:w="858" w:type="pct"/>
            <w:gridSpan w:val="2"/>
            <w:vAlign w:val="center"/>
          </w:tcPr>
          <w:p w14:paraId="5E936598">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350kW</w:t>
            </w:r>
          </w:p>
        </w:tc>
      </w:tr>
      <w:tr w14:paraId="3D67CA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20" w:hRule="atLeast"/>
          <w:jc w:val="center"/>
        </w:trPr>
        <w:tc>
          <w:tcPr>
            <w:tcW w:w="568" w:type="pct"/>
            <w:tcBorders>
              <w:right w:val="single" w:color="auto" w:sz="4" w:space="0"/>
            </w:tcBorders>
            <w:vAlign w:val="center"/>
          </w:tcPr>
          <w:p w14:paraId="33706A3D">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r>
              <w:rPr>
                <w:rFonts w:hint="eastAsia" w:ascii="宋体" w:hAnsi="宋体"/>
                <w:color w:val="000000" w:themeColor="text1"/>
                <w:sz w:val="23"/>
                <w:szCs w:val="24"/>
                <w14:textFill>
                  <w14:solidFill>
                    <w14:schemeClr w14:val="tx1"/>
                  </w14:solidFill>
                </w14:textFill>
              </w:rPr>
              <w:t>10</w:t>
            </w:r>
          </w:p>
        </w:tc>
        <w:tc>
          <w:tcPr>
            <w:tcW w:w="678" w:type="pct"/>
            <w:vMerge w:val="continue"/>
            <w:tcBorders>
              <w:left w:val="single" w:color="auto" w:sz="4" w:space="0"/>
            </w:tcBorders>
            <w:vAlign w:val="center"/>
          </w:tcPr>
          <w:p w14:paraId="7AA86852">
            <w:pPr>
              <w:adjustRightInd w:val="0"/>
              <w:snapToGrid w:val="0"/>
              <w:spacing w:line="300" w:lineRule="exact"/>
              <w:jc w:val="center"/>
              <w:rPr>
                <w:rFonts w:hint="eastAsia" w:ascii="宋体" w:hAnsi="宋体"/>
                <w:color w:val="000000" w:themeColor="text1"/>
                <w:sz w:val="23"/>
                <w:szCs w:val="24"/>
                <w14:textFill>
                  <w14:solidFill>
                    <w14:schemeClr w14:val="tx1"/>
                  </w14:solidFill>
                </w14:textFill>
              </w:rPr>
            </w:pPr>
          </w:p>
        </w:tc>
        <w:tc>
          <w:tcPr>
            <w:tcW w:w="1839" w:type="pct"/>
            <w:vAlign w:val="center"/>
          </w:tcPr>
          <w:p w14:paraId="29B6FA8A">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4#采暖橇</w:t>
            </w:r>
          </w:p>
        </w:tc>
        <w:tc>
          <w:tcPr>
            <w:tcW w:w="1055" w:type="pct"/>
            <w:vAlign w:val="center"/>
          </w:tcPr>
          <w:p w14:paraId="6BB65792">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10</w:t>
            </w:r>
          </w:p>
        </w:tc>
        <w:tc>
          <w:tcPr>
            <w:tcW w:w="858" w:type="pct"/>
            <w:gridSpan w:val="2"/>
            <w:vAlign w:val="center"/>
          </w:tcPr>
          <w:p w14:paraId="4D4A7B44">
            <w:pPr>
              <w:adjustRightInd w:val="0"/>
              <w:snapToGrid w:val="0"/>
              <w:spacing w:line="300" w:lineRule="exact"/>
              <w:jc w:val="center"/>
              <w:rPr>
                <w:rFonts w:hint="eastAsia" w:ascii="宋体" w:hAnsi="宋体"/>
                <w:color w:val="000000" w:themeColor="text1"/>
                <w:szCs w:val="24"/>
                <w14:textFill>
                  <w14:solidFill>
                    <w14:schemeClr w14:val="tx1"/>
                  </w14:solidFill>
                </w14:textFill>
              </w:rPr>
            </w:pPr>
            <w:r>
              <w:rPr>
                <w:rFonts w:hint="eastAsia" w:ascii="宋体" w:hAnsi="宋体"/>
                <w:color w:val="000000" w:themeColor="text1"/>
                <w:szCs w:val="24"/>
                <w14:textFill>
                  <w14:solidFill>
                    <w14:schemeClr w14:val="tx1"/>
                  </w14:solidFill>
                </w14:textFill>
              </w:rPr>
              <w:t>350kW</w:t>
            </w:r>
          </w:p>
        </w:tc>
      </w:tr>
    </w:tbl>
    <w:p w14:paraId="51BE3EB7">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各相变加热炉、热媒炉和采暖橇均以天然气为燃料，燃烧烟气中污染物主要为氮氧化物、二氧化硫和颗粒物，燃烧烟气经排气筒排放。根据吉庆油田作业区对吉祥联合站的燃气设施例行监测数据（</w:t>
      </w:r>
      <w:r>
        <w:rPr>
          <w:rFonts w:hint="eastAsia" w:ascii="宋体" w:hAnsi="宋体" w:cs="宋体"/>
          <w:color w:val="000000" w:themeColor="text1"/>
          <w:sz w:val="24"/>
          <w:szCs w:val="24"/>
          <w:lang w:val="en-US" w:eastAsia="zh-CN"/>
          <w14:textFill>
            <w14:solidFill>
              <w14:schemeClr w14:val="tx1"/>
            </w14:solidFill>
          </w14:textFill>
        </w:rPr>
        <w:t>具体见表3.1-5</w:t>
      </w:r>
      <w:r>
        <w:rPr>
          <w:rFonts w:hint="eastAsia" w:ascii="宋体" w:hAnsi="宋体" w:cs="宋体"/>
          <w:color w:val="000000" w:themeColor="text1"/>
          <w:sz w:val="24"/>
          <w:szCs w:val="24"/>
          <w14:textFill>
            <w14:solidFill>
              <w14:schemeClr w14:val="tx1"/>
            </w14:solidFill>
          </w14:textFill>
        </w:rPr>
        <w:t>）可知，燃气设施燃烧烟气中二氧化硫、颗粒物和氮氧化物排放浓度满足《锅炉大气污染物排放标准》表</w:t>
      </w:r>
      <w:r>
        <w:rPr>
          <w:rFonts w:ascii="宋体" w:hAnsi="宋体" w:cs="宋体"/>
          <w:color w:val="000000" w:themeColor="text1"/>
          <w:sz w:val="24"/>
          <w:szCs w:val="24"/>
          <w14:textFill>
            <w14:solidFill>
              <w14:schemeClr w14:val="tx1"/>
            </w14:solidFill>
          </w14:textFill>
        </w:rPr>
        <w:t>2</w:t>
      </w:r>
      <w:r>
        <w:rPr>
          <w:rFonts w:hint="eastAsia" w:ascii="宋体" w:hAnsi="宋体" w:cs="宋体"/>
          <w:color w:val="000000" w:themeColor="text1"/>
          <w:sz w:val="24"/>
          <w:szCs w:val="24"/>
          <w14:textFill>
            <w14:solidFill>
              <w14:schemeClr w14:val="tx1"/>
            </w14:solidFill>
          </w14:textFill>
        </w:rPr>
        <w:t>大气污染物排放限值要求。</w:t>
      </w:r>
    </w:p>
    <w:p w14:paraId="0A78D9F6">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此外杀菌注水站还有少量Cl</w:t>
      </w:r>
      <w:r>
        <w:rPr>
          <w:rFonts w:hint="eastAsia" w:ascii="宋体" w:hAnsi="宋体" w:cs="宋体"/>
          <w:color w:val="000000" w:themeColor="text1"/>
          <w:sz w:val="24"/>
          <w:szCs w:val="24"/>
          <w:vertAlign w:val="subscript"/>
          <w14:textFill>
            <w14:solidFill>
              <w14:schemeClr w14:val="tx1"/>
            </w14:solidFill>
          </w14:textFill>
        </w:rPr>
        <w:t>2</w:t>
      </w:r>
      <w:r>
        <w:rPr>
          <w:rFonts w:hint="eastAsia" w:ascii="宋体" w:hAnsi="宋体" w:cs="宋体"/>
          <w:color w:val="000000" w:themeColor="text1"/>
          <w:sz w:val="24"/>
          <w:szCs w:val="24"/>
          <w14:textFill>
            <w14:solidFill>
              <w14:schemeClr w14:val="tx1"/>
            </w14:solidFill>
          </w14:textFill>
        </w:rPr>
        <w:t>、HCl产生，以无组织形式排放。</w:t>
      </w:r>
    </w:p>
    <w:p w14:paraId="594E5FEC">
      <w:pPr>
        <w:spacing w:line="500" w:lineRule="atLeast"/>
        <w:ind w:firstLine="420"/>
        <w:jc w:val="center"/>
        <w:rPr>
          <w:rStyle w:val="166"/>
          <w:rFonts w:hint="eastAsia"/>
          <w:color w:val="000000" w:themeColor="text1"/>
          <w14:textFill>
            <w14:solidFill>
              <w14:schemeClr w14:val="tx1"/>
            </w14:solidFill>
          </w14:textFill>
        </w:rPr>
      </w:pPr>
      <w:bookmarkStart w:id="207" w:name="_Ref160099897"/>
      <w:r>
        <w:rPr>
          <w:rStyle w:val="166"/>
          <w:color w:val="000000" w:themeColor="text1"/>
          <w14:textFill>
            <w14:solidFill>
              <w14:schemeClr w14:val="tx1"/>
            </w14:solidFill>
          </w14:textFill>
        </w:rPr>
        <w:t>表</w:t>
      </w:r>
      <w:bookmarkEnd w:id="207"/>
      <w:r>
        <w:rPr>
          <w:rStyle w:val="166"/>
          <w:rFonts w:hint="eastAsia"/>
          <w:color w:val="000000" w:themeColor="text1"/>
          <w14:textFill>
            <w14:solidFill>
              <w14:schemeClr w14:val="tx1"/>
            </w14:solidFill>
          </w14:textFill>
        </w:rPr>
        <w:t>3.1-5</w:t>
      </w:r>
      <w:r>
        <w:rPr>
          <w:rStyle w:val="166"/>
          <w:color w:val="000000" w:themeColor="text1"/>
          <w14:textFill>
            <w14:solidFill>
              <w14:schemeClr w14:val="tx1"/>
            </w14:solidFill>
          </w14:textFill>
        </w:rPr>
        <w:t xml:space="preserve">  </w:t>
      </w:r>
      <w:r>
        <w:rPr>
          <w:rStyle w:val="166"/>
          <w:rFonts w:hint="eastAsia"/>
          <w:color w:val="000000" w:themeColor="text1"/>
          <w14:textFill>
            <w14:solidFill>
              <w14:schemeClr w14:val="tx1"/>
            </w14:solidFill>
          </w14:textFill>
        </w:rPr>
        <w:t>吉祥联合站有组织废气监测数据一览表</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2"/>
        <w:gridCol w:w="1275"/>
        <w:gridCol w:w="1515"/>
        <w:gridCol w:w="1604"/>
        <w:gridCol w:w="1446"/>
        <w:gridCol w:w="1170"/>
        <w:gridCol w:w="728"/>
      </w:tblGrid>
      <w:tr w14:paraId="18CD1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Align w:val="center"/>
          </w:tcPr>
          <w:p w14:paraId="2EC2CB5C">
            <w:pPr>
              <w:pStyle w:val="210"/>
              <w:rPr>
                <w:rFonts w:hint="eastAsia" w:cs="宋体"/>
                <w:color w:val="000000" w:themeColor="text1"/>
                <w:kern w:val="2"/>
                <w:szCs w:val="21"/>
                <w14:textFill>
                  <w14:solidFill>
                    <w14:schemeClr w14:val="tx1"/>
                  </w14:solidFill>
                </w14:textFill>
              </w:rPr>
            </w:pPr>
            <w:r>
              <w:rPr>
                <w:rFonts w:hint="eastAsia" w:cs="宋体"/>
                <w:color w:val="000000" w:themeColor="text1"/>
                <w:kern w:val="2"/>
                <w:szCs w:val="21"/>
                <w14:textFill>
                  <w14:solidFill>
                    <w14:schemeClr w14:val="tx1"/>
                  </w14:solidFill>
                </w14:textFill>
              </w:rPr>
              <w:t>点位</w:t>
            </w:r>
          </w:p>
        </w:tc>
        <w:tc>
          <w:tcPr>
            <w:tcW w:w="1275" w:type="dxa"/>
            <w:vAlign w:val="center"/>
          </w:tcPr>
          <w:p w14:paraId="02004E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监测因子</w:t>
            </w:r>
          </w:p>
        </w:tc>
        <w:tc>
          <w:tcPr>
            <w:tcW w:w="1515" w:type="dxa"/>
            <w:vAlign w:val="center"/>
          </w:tcPr>
          <w:p w14:paraId="60C138C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排放浓度（mg/m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604" w:type="dxa"/>
            <w:vAlign w:val="center"/>
          </w:tcPr>
          <w:p w14:paraId="6FACE5E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排放速率（kg/h）</w:t>
            </w:r>
          </w:p>
        </w:tc>
        <w:tc>
          <w:tcPr>
            <w:tcW w:w="1446" w:type="dxa"/>
            <w:vAlign w:val="center"/>
          </w:tcPr>
          <w:p w14:paraId="56FC4F5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烟气标干流量（m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p>
        </w:tc>
        <w:tc>
          <w:tcPr>
            <w:tcW w:w="1170" w:type="dxa"/>
            <w:vAlign w:val="center"/>
          </w:tcPr>
          <w:p w14:paraId="287DA69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标准限值（mg/m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728" w:type="dxa"/>
            <w:vAlign w:val="center"/>
          </w:tcPr>
          <w:p w14:paraId="776C8F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p w14:paraId="1AC5294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情况</w:t>
            </w:r>
          </w:p>
        </w:tc>
      </w:tr>
      <w:tr w14:paraId="765E7D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restart"/>
            <w:vAlign w:val="center"/>
          </w:tcPr>
          <w:p w14:paraId="0FC56BD6">
            <w:pPr>
              <w:pStyle w:val="210"/>
              <w:rPr>
                <w:rFonts w:hint="eastAsia"/>
                <w:color w:val="000000" w:themeColor="text1"/>
                <w14:textFill>
                  <w14:solidFill>
                    <w14:schemeClr w14:val="tx1"/>
                  </w14:solidFill>
                </w14:textFill>
              </w:rPr>
            </w:pPr>
            <w:r>
              <w:rPr>
                <w:rFonts w:hint="eastAsia" w:cs="宋体"/>
                <w:color w:val="000000" w:themeColor="text1"/>
                <w:kern w:val="2"/>
                <w:szCs w:val="21"/>
                <w14:textFill>
                  <w14:solidFill>
                    <w14:schemeClr w14:val="tx1"/>
                  </w14:solidFill>
                </w14:textFill>
              </w:rPr>
              <w:t>吉祥联合站1#采暖炉（2025.12.3）</w:t>
            </w:r>
          </w:p>
        </w:tc>
        <w:tc>
          <w:tcPr>
            <w:tcW w:w="1275" w:type="dxa"/>
            <w:vMerge w:val="restart"/>
            <w:vAlign w:val="center"/>
          </w:tcPr>
          <w:p w14:paraId="23C69AA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氮氧化物</w:t>
            </w:r>
          </w:p>
        </w:tc>
        <w:tc>
          <w:tcPr>
            <w:tcW w:w="1515" w:type="dxa"/>
            <w:vAlign w:val="center"/>
          </w:tcPr>
          <w:p w14:paraId="1526DA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1604" w:type="dxa"/>
            <w:vAlign w:val="center"/>
          </w:tcPr>
          <w:p w14:paraId="0E9BE2D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6.78×10</w:t>
            </w:r>
            <w:r>
              <w:rPr>
                <w:rFonts w:hint="eastAsia"/>
                <w:color w:val="000000" w:themeColor="text1"/>
                <w:vertAlign w:val="superscript"/>
                <w14:textFill>
                  <w14:solidFill>
                    <w14:schemeClr w14:val="tx1"/>
                  </w14:solidFill>
                </w14:textFill>
              </w:rPr>
              <w:t>-3</w:t>
            </w:r>
          </w:p>
        </w:tc>
        <w:tc>
          <w:tcPr>
            <w:tcW w:w="1446" w:type="dxa"/>
            <w:vAlign w:val="center"/>
          </w:tcPr>
          <w:p w14:paraId="0D5A16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295</w:t>
            </w:r>
          </w:p>
        </w:tc>
        <w:tc>
          <w:tcPr>
            <w:tcW w:w="1170" w:type="dxa"/>
            <w:vMerge w:val="restart"/>
            <w:vAlign w:val="center"/>
          </w:tcPr>
          <w:p w14:paraId="5427392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728" w:type="dxa"/>
            <w:vAlign w:val="center"/>
          </w:tcPr>
          <w:p w14:paraId="7FC9A8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00C9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221277EB">
            <w:pPr>
              <w:pStyle w:val="210"/>
              <w:rPr>
                <w:rFonts w:hint="eastAsia"/>
                <w:color w:val="000000" w:themeColor="text1"/>
                <w14:textFill>
                  <w14:solidFill>
                    <w14:schemeClr w14:val="tx1"/>
                  </w14:solidFill>
                </w14:textFill>
              </w:rPr>
            </w:pPr>
          </w:p>
        </w:tc>
        <w:tc>
          <w:tcPr>
            <w:tcW w:w="1275" w:type="dxa"/>
            <w:vMerge w:val="continue"/>
            <w:vAlign w:val="center"/>
          </w:tcPr>
          <w:p w14:paraId="398F4578">
            <w:pPr>
              <w:pStyle w:val="210"/>
              <w:rPr>
                <w:rFonts w:hint="eastAsia"/>
                <w:color w:val="000000" w:themeColor="text1"/>
                <w14:textFill>
                  <w14:solidFill>
                    <w14:schemeClr w14:val="tx1"/>
                  </w14:solidFill>
                </w14:textFill>
              </w:rPr>
            </w:pPr>
          </w:p>
        </w:tc>
        <w:tc>
          <w:tcPr>
            <w:tcW w:w="1515" w:type="dxa"/>
            <w:vAlign w:val="center"/>
          </w:tcPr>
          <w:p w14:paraId="4868D0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1604" w:type="dxa"/>
            <w:vAlign w:val="center"/>
          </w:tcPr>
          <w:p w14:paraId="782407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6.94×10</w:t>
            </w:r>
            <w:r>
              <w:rPr>
                <w:rFonts w:hint="eastAsia"/>
                <w:color w:val="000000" w:themeColor="text1"/>
                <w:vertAlign w:val="superscript"/>
                <w14:textFill>
                  <w14:solidFill>
                    <w14:schemeClr w14:val="tx1"/>
                  </w14:solidFill>
                </w14:textFill>
              </w:rPr>
              <w:t>-3</w:t>
            </w:r>
          </w:p>
        </w:tc>
        <w:tc>
          <w:tcPr>
            <w:tcW w:w="1446" w:type="dxa"/>
            <w:vAlign w:val="center"/>
          </w:tcPr>
          <w:p w14:paraId="1931B6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289</w:t>
            </w:r>
          </w:p>
        </w:tc>
        <w:tc>
          <w:tcPr>
            <w:tcW w:w="1170" w:type="dxa"/>
            <w:vMerge w:val="continue"/>
            <w:vAlign w:val="center"/>
          </w:tcPr>
          <w:p w14:paraId="232F89BA">
            <w:pPr>
              <w:pStyle w:val="210"/>
              <w:rPr>
                <w:rFonts w:hint="eastAsia"/>
                <w:color w:val="000000" w:themeColor="text1"/>
                <w14:textFill>
                  <w14:solidFill>
                    <w14:schemeClr w14:val="tx1"/>
                  </w14:solidFill>
                </w14:textFill>
              </w:rPr>
            </w:pPr>
          </w:p>
        </w:tc>
        <w:tc>
          <w:tcPr>
            <w:tcW w:w="728" w:type="dxa"/>
            <w:vAlign w:val="center"/>
          </w:tcPr>
          <w:p w14:paraId="71C3652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A405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2F4BED3D">
            <w:pPr>
              <w:pStyle w:val="210"/>
              <w:rPr>
                <w:rFonts w:hint="eastAsia"/>
                <w:color w:val="000000" w:themeColor="text1"/>
                <w14:textFill>
                  <w14:solidFill>
                    <w14:schemeClr w14:val="tx1"/>
                  </w14:solidFill>
                </w14:textFill>
              </w:rPr>
            </w:pPr>
          </w:p>
        </w:tc>
        <w:tc>
          <w:tcPr>
            <w:tcW w:w="1275" w:type="dxa"/>
            <w:vMerge w:val="continue"/>
            <w:vAlign w:val="center"/>
          </w:tcPr>
          <w:p w14:paraId="0ED90744">
            <w:pPr>
              <w:pStyle w:val="210"/>
              <w:rPr>
                <w:rFonts w:hint="eastAsia"/>
                <w:color w:val="000000" w:themeColor="text1"/>
                <w14:textFill>
                  <w14:solidFill>
                    <w14:schemeClr w14:val="tx1"/>
                  </w14:solidFill>
                </w14:textFill>
              </w:rPr>
            </w:pPr>
          </w:p>
        </w:tc>
        <w:tc>
          <w:tcPr>
            <w:tcW w:w="1515" w:type="dxa"/>
            <w:vAlign w:val="center"/>
          </w:tcPr>
          <w:p w14:paraId="36F887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w:t>
            </w:r>
          </w:p>
        </w:tc>
        <w:tc>
          <w:tcPr>
            <w:tcW w:w="1604" w:type="dxa"/>
            <w:vAlign w:val="center"/>
          </w:tcPr>
          <w:p w14:paraId="777FBE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8.54×10</w:t>
            </w:r>
            <w:r>
              <w:rPr>
                <w:rFonts w:hint="eastAsia"/>
                <w:color w:val="000000" w:themeColor="text1"/>
                <w:vertAlign w:val="superscript"/>
                <w14:textFill>
                  <w14:solidFill>
                    <w14:schemeClr w14:val="tx1"/>
                  </w14:solidFill>
                </w14:textFill>
              </w:rPr>
              <w:t>-3</w:t>
            </w:r>
          </w:p>
        </w:tc>
        <w:tc>
          <w:tcPr>
            <w:tcW w:w="1446" w:type="dxa"/>
            <w:vAlign w:val="center"/>
          </w:tcPr>
          <w:p w14:paraId="7AC8E4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356</w:t>
            </w:r>
          </w:p>
        </w:tc>
        <w:tc>
          <w:tcPr>
            <w:tcW w:w="1170" w:type="dxa"/>
            <w:vMerge w:val="continue"/>
            <w:vAlign w:val="center"/>
          </w:tcPr>
          <w:p w14:paraId="07E06A5D">
            <w:pPr>
              <w:pStyle w:val="210"/>
              <w:rPr>
                <w:rFonts w:hint="eastAsia"/>
                <w:color w:val="000000" w:themeColor="text1"/>
                <w14:textFill>
                  <w14:solidFill>
                    <w14:schemeClr w14:val="tx1"/>
                  </w14:solidFill>
                </w14:textFill>
              </w:rPr>
            </w:pPr>
          </w:p>
        </w:tc>
        <w:tc>
          <w:tcPr>
            <w:tcW w:w="728" w:type="dxa"/>
            <w:vAlign w:val="center"/>
          </w:tcPr>
          <w:p w14:paraId="475D1D7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F136B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restart"/>
            <w:vAlign w:val="center"/>
          </w:tcPr>
          <w:p w14:paraId="71DB40D9">
            <w:pPr>
              <w:pStyle w:val="210"/>
              <w:rPr>
                <w:rFonts w:hint="eastAsia"/>
                <w:color w:val="000000" w:themeColor="text1"/>
                <w14:textFill>
                  <w14:solidFill>
                    <w14:schemeClr w14:val="tx1"/>
                  </w14:solidFill>
                </w14:textFill>
              </w:rPr>
            </w:pPr>
            <w:bookmarkStart w:id="208" w:name="_Hlk173403522"/>
            <w:bookmarkStart w:id="209" w:name="_Hlk175249389"/>
            <w:r>
              <w:rPr>
                <w:rFonts w:hint="eastAsia" w:cs="宋体"/>
                <w:color w:val="000000" w:themeColor="text1"/>
                <w:kern w:val="2"/>
                <w:szCs w:val="21"/>
                <w14:textFill>
                  <w14:solidFill>
                    <w14:schemeClr w14:val="tx1"/>
                  </w14:solidFill>
                </w14:textFill>
              </w:rPr>
              <w:t>吉祥联合站1#采暖炉（2025.1.6）</w:t>
            </w:r>
          </w:p>
        </w:tc>
        <w:tc>
          <w:tcPr>
            <w:tcW w:w="1275" w:type="dxa"/>
            <w:vAlign w:val="center"/>
          </w:tcPr>
          <w:p w14:paraId="0353B8D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氮氧化物</w:t>
            </w:r>
          </w:p>
        </w:tc>
        <w:tc>
          <w:tcPr>
            <w:tcW w:w="1515" w:type="dxa"/>
            <w:vAlign w:val="center"/>
          </w:tcPr>
          <w:p w14:paraId="3DE631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28～31</w:t>
            </w:r>
          </w:p>
        </w:tc>
        <w:tc>
          <w:tcPr>
            <w:tcW w:w="1604" w:type="dxa"/>
            <w:vAlign w:val="center"/>
          </w:tcPr>
          <w:p w14:paraId="42F379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0.007～0.008</w:t>
            </w:r>
          </w:p>
        </w:tc>
        <w:tc>
          <w:tcPr>
            <w:tcW w:w="1446" w:type="dxa"/>
            <w:vAlign w:val="center"/>
          </w:tcPr>
          <w:p w14:paraId="119322B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231～255</w:t>
            </w:r>
          </w:p>
        </w:tc>
        <w:tc>
          <w:tcPr>
            <w:tcW w:w="1170" w:type="dxa"/>
            <w:vAlign w:val="center"/>
          </w:tcPr>
          <w:p w14:paraId="54A821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728" w:type="dxa"/>
            <w:vAlign w:val="center"/>
          </w:tcPr>
          <w:p w14:paraId="510E5D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23FE5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170449F6">
            <w:pPr>
              <w:pStyle w:val="210"/>
              <w:rPr>
                <w:rFonts w:hint="eastAsia"/>
                <w:color w:val="000000" w:themeColor="text1"/>
                <w14:textFill>
                  <w14:solidFill>
                    <w14:schemeClr w14:val="tx1"/>
                  </w14:solidFill>
                </w14:textFill>
              </w:rPr>
            </w:pPr>
          </w:p>
        </w:tc>
        <w:tc>
          <w:tcPr>
            <w:tcW w:w="1275" w:type="dxa"/>
            <w:vAlign w:val="center"/>
          </w:tcPr>
          <w:p w14:paraId="1A96325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二氧化硫</w:t>
            </w:r>
          </w:p>
        </w:tc>
        <w:tc>
          <w:tcPr>
            <w:tcW w:w="1515" w:type="dxa"/>
            <w:vAlign w:val="center"/>
          </w:tcPr>
          <w:p w14:paraId="0F15200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604" w:type="dxa"/>
            <w:vAlign w:val="center"/>
          </w:tcPr>
          <w:p w14:paraId="387959E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46" w:type="dxa"/>
            <w:vAlign w:val="center"/>
          </w:tcPr>
          <w:p w14:paraId="227B75D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231～255</w:t>
            </w:r>
          </w:p>
        </w:tc>
        <w:tc>
          <w:tcPr>
            <w:tcW w:w="1170" w:type="dxa"/>
            <w:vAlign w:val="center"/>
          </w:tcPr>
          <w:p w14:paraId="7565BC4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728" w:type="dxa"/>
            <w:vAlign w:val="center"/>
          </w:tcPr>
          <w:p w14:paraId="5AF41E6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7F8FA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48480EA5">
            <w:pPr>
              <w:pStyle w:val="210"/>
              <w:rPr>
                <w:rFonts w:hint="eastAsia"/>
                <w:color w:val="000000" w:themeColor="text1"/>
                <w14:textFill>
                  <w14:solidFill>
                    <w14:schemeClr w14:val="tx1"/>
                  </w14:solidFill>
                </w14:textFill>
              </w:rPr>
            </w:pPr>
          </w:p>
        </w:tc>
        <w:tc>
          <w:tcPr>
            <w:tcW w:w="1275" w:type="dxa"/>
            <w:vAlign w:val="center"/>
          </w:tcPr>
          <w:p w14:paraId="0F66B03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515" w:type="dxa"/>
            <w:vAlign w:val="center"/>
          </w:tcPr>
          <w:p w14:paraId="7183643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2.5～3.4</w:t>
            </w:r>
          </w:p>
        </w:tc>
        <w:tc>
          <w:tcPr>
            <w:tcW w:w="1604" w:type="dxa"/>
            <w:vAlign w:val="center"/>
          </w:tcPr>
          <w:p w14:paraId="58A815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～8.6×10</w:t>
            </w:r>
            <w:r>
              <w:rPr>
                <w:rFonts w:hint="eastAsia"/>
                <w:color w:val="000000" w:themeColor="text1"/>
                <w:vertAlign w:val="superscript"/>
                <w14:textFill>
                  <w14:solidFill>
                    <w14:schemeClr w14:val="tx1"/>
                  </w14:solidFill>
                </w14:textFill>
              </w:rPr>
              <w:t>-4</w:t>
            </w:r>
          </w:p>
        </w:tc>
        <w:tc>
          <w:tcPr>
            <w:tcW w:w="1446" w:type="dxa"/>
            <w:vAlign w:val="center"/>
          </w:tcPr>
          <w:p w14:paraId="434DBE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231～255</w:t>
            </w:r>
          </w:p>
        </w:tc>
        <w:tc>
          <w:tcPr>
            <w:tcW w:w="1170" w:type="dxa"/>
            <w:vAlign w:val="center"/>
          </w:tcPr>
          <w:p w14:paraId="187F9C9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728" w:type="dxa"/>
            <w:vAlign w:val="center"/>
          </w:tcPr>
          <w:p w14:paraId="72A6E70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17C5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992" w:type="dxa"/>
            <w:vMerge w:val="restart"/>
            <w:vAlign w:val="center"/>
          </w:tcPr>
          <w:p w14:paraId="75A5C191">
            <w:pPr>
              <w:pStyle w:val="210"/>
              <w:rPr>
                <w:rFonts w:hint="eastAsia"/>
                <w:color w:val="000000" w:themeColor="text1"/>
                <w14:textFill>
                  <w14:solidFill>
                    <w14:schemeClr w14:val="tx1"/>
                  </w14:solidFill>
                </w14:textFill>
              </w:rPr>
            </w:pPr>
            <w:r>
              <w:rPr>
                <w:rFonts w:hint="eastAsia" w:cs="宋体"/>
                <w:color w:val="000000" w:themeColor="text1"/>
                <w:kern w:val="2"/>
                <w:szCs w:val="21"/>
                <w14:textFill>
                  <w14:solidFill>
                    <w14:schemeClr w14:val="tx1"/>
                  </w14:solidFill>
                </w14:textFill>
              </w:rPr>
              <w:t>吉祥联合站</w:t>
            </w:r>
            <w:r>
              <w:rPr>
                <w:rFonts w:hint="eastAsia"/>
                <w:color w:val="000000" w:themeColor="text1"/>
                <w:szCs w:val="24"/>
                <w14:textFill>
                  <w14:solidFill>
                    <w14:schemeClr w14:val="tx1"/>
                  </w14:solidFill>
                </w14:textFill>
              </w:rPr>
              <w:t>1#热媒炉</w:t>
            </w:r>
            <w:r>
              <w:rPr>
                <w:rFonts w:hint="eastAsia" w:cs="宋体"/>
                <w:color w:val="000000" w:themeColor="text1"/>
                <w:kern w:val="2"/>
                <w:szCs w:val="21"/>
                <w14:textFill>
                  <w14:solidFill>
                    <w14:schemeClr w14:val="tx1"/>
                  </w14:solidFill>
                </w14:textFill>
              </w:rPr>
              <w:t>（2025.12.2）</w:t>
            </w:r>
          </w:p>
        </w:tc>
        <w:tc>
          <w:tcPr>
            <w:tcW w:w="1275" w:type="dxa"/>
            <w:vMerge w:val="restart"/>
            <w:vAlign w:val="center"/>
          </w:tcPr>
          <w:p w14:paraId="72FFC0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氮氧化物</w:t>
            </w:r>
          </w:p>
        </w:tc>
        <w:tc>
          <w:tcPr>
            <w:tcW w:w="1515" w:type="dxa"/>
            <w:vAlign w:val="center"/>
          </w:tcPr>
          <w:p w14:paraId="58916C8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1604" w:type="dxa"/>
            <w:vAlign w:val="center"/>
          </w:tcPr>
          <w:p w14:paraId="5DFD19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0.0153</w:t>
            </w:r>
          </w:p>
        </w:tc>
        <w:tc>
          <w:tcPr>
            <w:tcW w:w="1446" w:type="dxa"/>
            <w:vAlign w:val="center"/>
          </w:tcPr>
          <w:p w14:paraId="51BA1FF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767</w:t>
            </w:r>
          </w:p>
        </w:tc>
        <w:tc>
          <w:tcPr>
            <w:tcW w:w="1170" w:type="dxa"/>
            <w:vMerge w:val="restart"/>
            <w:vAlign w:val="center"/>
          </w:tcPr>
          <w:p w14:paraId="6C6A29A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728" w:type="dxa"/>
            <w:vAlign w:val="center"/>
          </w:tcPr>
          <w:p w14:paraId="3FCD492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28D28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5AAF5BD7">
            <w:pPr>
              <w:pStyle w:val="210"/>
              <w:rPr>
                <w:rFonts w:hint="eastAsia"/>
                <w:color w:val="000000" w:themeColor="text1"/>
                <w14:textFill>
                  <w14:solidFill>
                    <w14:schemeClr w14:val="tx1"/>
                  </w14:solidFill>
                </w14:textFill>
              </w:rPr>
            </w:pPr>
          </w:p>
        </w:tc>
        <w:tc>
          <w:tcPr>
            <w:tcW w:w="1275" w:type="dxa"/>
            <w:vMerge w:val="continue"/>
            <w:vAlign w:val="center"/>
          </w:tcPr>
          <w:p w14:paraId="14631B67">
            <w:pPr>
              <w:pStyle w:val="210"/>
              <w:rPr>
                <w:rFonts w:hint="eastAsia"/>
                <w:color w:val="000000" w:themeColor="text1"/>
                <w14:textFill>
                  <w14:solidFill>
                    <w14:schemeClr w14:val="tx1"/>
                  </w14:solidFill>
                </w14:textFill>
              </w:rPr>
            </w:pPr>
          </w:p>
        </w:tc>
        <w:tc>
          <w:tcPr>
            <w:tcW w:w="1515" w:type="dxa"/>
            <w:vAlign w:val="center"/>
          </w:tcPr>
          <w:p w14:paraId="391EFF2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1604" w:type="dxa"/>
            <w:vAlign w:val="center"/>
          </w:tcPr>
          <w:p w14:paraId="752F78F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0.0151</w:t>
            </w:r>
          </w:p>
        </w:tc>
        <w:tc>
          <w:tcPr>
            <w:tcW w:w="1446" w:type="dxa"/>
            <w:vAlign w:val="center"/>
          </w:tcPr>
          <w:p w14:paraId="3940C15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840</w:t>
            </w:r>
          </w:p>
        </w:tc>
        <w:tc>
          <w:tcPr>
            <w:tcW w:w="1170" w:type="dxa"/>
            <w:vMerge w:val="continue"/>
            <w:vAlign w:val="center"/>
          </w:tcPr>
          <w:p w14:paraId="0445511E">
            <w:pPr>
              <w:pStyle w:val="210"/>
              <w:rPr>
                <w:rFonts w:hint="eastAsia"/>
                <w:color w:val="000000" w:themeColor="text1"/>
                <w14:textFill>
                  <w14:solidFill>
                    <w14:schemeClr w14:val="tx1"/>
                  </w14:solidFill>
                </w14:textFill>
              </w:rPr>
            </w:pPr>
          </w:p>
        </w:tc>
        <w:tc>
          <w:tcPr>
            <w:tcW w:w="728" w:type="dxa"/>
            <w:vAlign w:val="center"/>
          </w:tcPr>
          <w:p w14:paraId="724595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2CD5E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2C4D336E">
            <w:pPr>
              <w:pStyle w:val="210"/>
              <w:rPr>
                <w:rFonts w:hint="eastAsia"/>
                <w:color w:val="000000" w:themeColor="text1"/>
                <w14:textFill>
                  <w14:solidFill>
                    <w14:schemeClr w14:val="tx1"/>
                  </w14:solidFill>
                </w14:textFill>
              </w:rPr>
            </w:pPr>
          </w:p>
        </w:tc>
        <w:tc>
          <w:tcPr>
            <w:tcW w:w="1275" w:type="dxa"/>
            <w:vMerge w:val="continue"/>
            <w:vAlign w:val="center"/>
          </w:tcPr>
          <w:p w14:paraId="28BACE44">
            <w:pPr>
              <w:pStyle w:val="210"/>
              <w:rPr>
                <w:rFonts w:hint="eastAsia"/>
                <w:color w:val="000000" w:themeColor="text1"/>
                <w14:textFill>
                  <w14:solidFill>
                    <w14:schemeClr w14:val="tx1"/>
                  </w14:solidFill>
                </w14:textFill>
              </w:rPr>
            </w:pPr>
          </w:p>
        </w:tc>
        <w:tc>
          <w:tcPr>
            <w:tcW w:w="1515" w:type="dxa"/>
            <w:vAlign w:val="center"/>
          </w:tcPr>
          <w:p w14:paraId="2187CF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1604" w:type="dxa"/>
            <w:vAlign w:val="center"/>
          </w:tcPr>
          <w:p w14:paraId="7226040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0.0183</w:t>
            </w:r>
          </w:p>
        </w:tc>
        <w:tc>
          <w:tcPr>
            <w:tcW w:w="1446" w:type="dxa"/>
            <w:vAlign w:val="center"/>
          </w:tcPr>
          <w:p w14:paraId="3775EC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917</w:t>
            </w:r>
          </w:p>
        </w:tc>
        <w:tc>
          <w:tcPr>
            <w:tcW w:w="1170" w:type="dxa"/>
            <w:vMerge w:val="continue"/>
            <w:vAlign w:val="center"/>
          </w:tcPr>
          <w:p w14:paraId="41F5D7A0">
            <w:pPr>
              <w:pStyle w:val="210"/>
              <w:rPr>
                <w:rFonts w:hint="eastAsia"/>
                <w:color w:val="000000" w:themeColor="text1"/>
                <w14:textFill>
                  <w14:solidFill>
                    <w14:schemeClr w14:val="tx1"/>
                  </w14:solidFill>
                </w14:textFill>
              </w:rPr>
            </w:pPr>
          </w:p>
        </w:tc>
        <w:tc>
          <w:tcPr>
            <w:tcW w:w="728" w:type="dxa"/>
            <w:vAlign w:val="center"/>
          </w:tcPr>
          <w:p w14:paraId="0F5DF6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F2DD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restart"/>
            <w:vAlign w:val="center"/>
          </w:tcPr>
          <w:p w14:paraId="3B9F228C">
            <w:pPr>
              <w:pStyle w:val="210"/>
              <w:rPr>
                <w:rFonts w:hint="eastAsia"/>
                <w:color w:val="000000" w:themeColor="text1"/>
                <w14:textFill>
                  <w14:solidFill>
                    <w14:schemeClr w14:val="tx1"/>
                  </w14:solidFill>
                </w14:textFill>
              </w:rPr>
            </w:pPr>
            <w:r>
              <w:rPr>
                <w:rFonts w:hint="eastAsia" w:cs="宋体"/>
                <w:color w:val="000000" w:themeColor="text1"/>
                <w:kern w:val="2"/>
                <w:szCs w:val="21"/>
                <w14:textFill>
                  <w14:solidFill>
                    <w14:schemeClr w14:val="tx1"/>
                  </w14:solidFill>
                </w14:textFill>
              </w:rPr>
              <w:t>吉祥联合站</w:t>
            </w:r>
            <w:r>
              <w:rPr>
                <w:rFonts w:hint="eastAsia"/>
                <w:color w:val="000000" w:themeColor="text1"/>
                <w:szCs w:val="24"/>
                <w14:textFill>
                  <w14:solidFill>
                    <w14:schemeClr w14:val="tx1"/>
                  </w14:solidFill>
                </w14:textFill>
              </w:rPr>
              <w:t>2#热媒炉</w:t>
            </w:r>
            <w:r>
              <w:rPr>
                <w:rFonts w:hint="eastAsia" w:cs="宋体"/>
                <w:color w:val="000000" w:themeColor="text1"/>
                <w:kern w:val="2"/>
                <w:szCs w:val="21"/>
                <w14:textFill>
                  <w14:solidFill>
                    <w14:schemeClr w14:val="tx1"/>
                  </w14:solidFill>
                </w14:textFill>
              </w:rPr>
              <w:t>（2025.1.4）</w:t>
            </w:r>
          </w:p>
        </w:tc>
        <w:tc>
          <w:tcPr>
            <w:tcW w:w="1275" w:type="dxa"/>
            <w:vAlign w:val="center"/>
          </w:tcPr>
          <w:p w14:paraId="62FD23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氮氧化物</w:t>
            </w:r>
          </w:p>
        </w:tc>
        <w:tc>
          <w:tcPr>
            <w:tcW w:w="1515" w:type="dxa"/>
            <w:vAlign w:val="center"/>
          </w:tcPr>
          <w:p w14:paraId="24406E5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16～19</w:t>
            </w:r>
          </w:p>
        </w:tc>
        <w:tc>
          <w:tcPr>
            <w:tcW w:w="1604" w:type="dxa"/>
            <w:vAlign w:val="center"/>
          </w:tcPr>
          <w:p w14:paraId="56D67F0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0.012～0.014</w:t>
            </w:r>
          </w:p>
        </w:tc>
        <w:tc>
          <w:tcPr>
            <w:tcW w:w="1446" w:type="dxa"/>
            <w:vAlign w:val="center"/>
          </w:tcPr>
          <w:p w14:paraId="7DD45E4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807～854</w:t>
            </w:r>
          </w:p>
        </w:tc>
        <w:tc>
          <w:tcPr>
            <w:tcW w:w="1170" w:type="dxa"/>
            <w:vAlign w:val="center"/>
          </w:tcPr>
          <w:p w14:paraId="573193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728" w:type="dxa"/>
            <w:vAlign w:val="center"/>
          </w:tcPr>
          <w:p w14:paraId="23FDEB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6B74F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7B95FCAA">
            <w:pPr>
              <w:pStyle w:val="210"/>
              <w:rPr>
                <w:rFonts w:hint="eastAsia"/>
                <w:color w:val="000000" w:themeColor="text1"/>
                <w14:textFill>
                  <w14:solidFill>
                    <w14:schemeClr w14:val="tx1"/>
                  </w14:solidFill>
                </w14:textFill>
              </w:rPr>
            </w:pPr>
          </w:p>
        </w:tc>
        <w:tc>
          <w:tcPr>
            <w:tcW w:w="1275" w:type="dxa"/>
            <w:vAlign w:val="center"/>
          </w:tcPr>
          <w:p w14:paraId="440B09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二氧化硫</w:t>
            </w:r>
          </w:p>
        </w:tc>
        <w:tc>
          <w:tcPr>
            <w:tcW w:w="1515" w:type="dxa"/>
            <w:vAlign w:val="center"/>
          </w:tcPr>
          <w:p w14:paraId="7688D92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604" w:type="dxa"/>
            <w:vAlign w:val="center"/>
          </w:tcPr>
          <w:p w14:paraId="7B00C53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46" w:type="dxa"/>
            <w:vAlign w:val="center"/>
          </w:tcPr>
          <w:p w14:paraId="679B244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807～854</w:t>
            </w:r>
          </w:p>
        </w:tc>
        <w:tc>
          <w:tcPr>
            <w:tcW w:w="1170" w:type="dxa"/>
            <w:vAlign w:val="center"/>
          </w:tcPr>
          <w:p w14:paraId="45CC7C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728" w:type="dxa"/>
            <w:vAlign w:val="center"/>
          </w:tcPr>
          <w:p w14:paraId="50E0AF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05E8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517B6073">
            <w:pPr>
              <w:pStyle w:val="210"/>
              <w:rPr>
                <w:rFonts w:hint="eastAsia"/>
                <w:color w:val="000000" w:themeColor="text1"/>
                <w14:textFill>
                  <w14:solidFill>
                    <w14:schemeClr w14:val="tx1"/>
                  </w14:solidFill>
                </w14:textFill>
              </w:rPr>
            </w:pPr>
          </w:p>
        </w:tc>
        <w:tc>
          <w:tcPr>
            <w:tcW w:w="1275" w:type="dxa"/>
            <w:vAlign w:val="center"/>
          </w:tcPr>
          <w:p w14:paraId="0530049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515" w:type="dxa"/>
            <w:vAlign w:val="center"/>
          </w:tcPr>
          <w:p w14:paraId="1E2D663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2.2～3.0</w:t>
            </w:r>
          </w:p>
        </w:tc>
        <w:tc>
          <w:tcPr>
            <w:tcW w:w="1604" w:type="dxa"/>
            <w:vAlign w:val="center"/>
          </w:tcPr>
          <w:p w14:paraId="4EB6C6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1.66×10</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～2.31×10</w:t>
            </w:r>
            <w:r>
              <w:rPr>
                <w:rFonts w:hint="eastAsia"/>
                <w:color w:val="000000" w:themeColor="text1"/>
                <w:vertAlign w:val="superscript"/>
                <w14:textFill>
                  <w14:solidFill>
                    <w14:schemeClr w14:val="tx1"/>
                  </w14:solidFill>
                </w14:textFill>
              </w:rPr>
              <w:t>-3</w:t>
            </w:r>
          </w:p>
        </w:tc>
        <w:tc>
          <w:tcPr>
            <w:tcW w:w="1446" w:type="dxa"/>
            <w:vAlign w:val="center"/>
          </w:tcPr>
          <w:p w14:paraId="54D920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807～854</w:t>
            </w:r>
          </w:p>
        </w:tc>
        <w:tc>
          <w:tcPr>
            <w:tcW w:w="1170" w:type="dxa"/>
            <w:vAlign w:val="center"/>
          </w:tcPr>
          <w:p w14:paraId="28B6A87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728" w:type="dxa"/>
            <w:vAlign w:val="center"/>
          </w:tcPr>
          <w:p w14:paraId="026AA5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17B35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restart"/>
            <w:vAlign w:val="center"/>
          </w:tcPr>
          <w:p w14:paraId="54EA2DFD">
            <w:pPr>
              <w:pStyle w:val="210"/>
              <w:rPr>
                <w:rFonts w:hint="eastAsia"/>
                <w:color w:val="000000" w:themeColor="text1"/>
                <w14:textFill>
                  <w14:solidFill>
                    <w14:schemeClr w14:val="tx1"/>
                  </w14:solidFill>
                </w14:textFill>
              </w:rPr>
            </w:pPr>
            <w:r>
              <w:rPr>
                <w:rFonts w:hint="eastAsia" w:cs="宋体"/>
                <w:color w:val="000000" w:themeColor="text1"/>
                <w:kern w:val="2"/>
                <w:szCs w:val="21"/>
                <w14:textFill>
                  <w14:solidFill>
                    <w14:schemeClr w14:val="tx1"/>
                  </w14:solidFill>
                </w14:textFill>
              </w:rPr>
              <w:t>吉祥联合站</w:t>
            </w:r>
            <w:r>
              <w:rPr>
                <w:rFonts w:hint="eastAsia"/>
                <w:color w:val="000000" w:themeColor="text1"/>
                <w:szCs w:val="24"/>
                <w14:textFill>
                  <w14:solidFill>
                    <w14:schemeClr w14:val="tx1"/>
                  </w14:solidFill>
                </w14:textFill>
              </w:rPr>
              <w:t>1#相变炉</w:t>
            </w:r>
            <w:r>
              <w:rPr>
                <w:rFonts w:hint="eastAsia" w:cs="宋体"/>
                <w:color w:val="000000" w:themeColor="text1"/>
                <w:kern w:val="2"/>
                <w:szCs w:val="21"/>
                <w14:textFill>
                  <w14:solidFill>
                    <w14:schemeClr w14:val="tx1"/>
                  </w14:solidFill>
                </w14:textFill>
              </w:rPr>
              <w:t>（2025.1.3）</w:t>
            </w:r>
          </w:p>
        </w:tc>
        <w:tc>
          <w:tcPr>
            <w:tcW w:w="1275" w:type="dxa"/>
            <w:vAlign w:val="center"/>
          </w:tcPr>
          <w:p w14:paraId="36F32B5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氮氧化物</w:t>
            </w:r>
          </w:p>
        </w:tc>
        <w:tc>
          <w:tcPr>
            <w:tcW w:w="1515" w:type="dxa"/>
            <w:vAlign w:val="center"/>
          </w:tcPr>
          <w:p w14:paraId="29D34A3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28～30</w:t>
            </w:r>
          </w:p>
        </w:tc>
        <w:tc>
          <w:tcPr>
            <w:tcW w:w="1604" w:type="dxa"/>
            <w:vAlign w:val="center"/>
          </w:tcPr>
          <w:p w14:paraId="29D288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0.029～0.031</w:t>
            </w:r>
          </w:p>
        </w:tc>
        <w:tc>
          <w:tcPr>
            <w:tcW w:w="1446" w:type="dxa"/>
            <w:vAlign w:val="center"/>
          </w:tcPr>
          <w:p w14:paraId="0CC3E2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1614～1674</w:t>
            </w:r>
          </w:p>
        </w:tc>
        <w:tc>
          <w:tcPr>
            <w:tcW w:w="1170" w:type="dxa"/>
            <w:vAlign w:val="center"/>
          </w:tcPr>
          <w:p w14:paraId="51E4146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728" w:type="dxa"/>
            <w:vAlign w:val="center"/>
          </w:tcPr>
          <w:p w14:paraId="35EF89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45D8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2EB1812A">
            <w:pPr>
              <w:pStyle w:val="210"/>
              <w:rPr>
                <w:rFonts w:hint="eastAsia"/>
                <w:color w:val="000000" w:themeColor="text1"/>
                <w14:textFill>
                  <w14:solidFill>
                    <w14:schemeClr w14:val="tx1"/>
                  </w14:solidFill>
                </w14:textFill>
              </w:rPr>
            </w:pPr>
          </w:p>
        </w:tc>
        <w:tc>
          <w:tcPr>
            <w:tcW w:w="1275" w:type="dxa"/>
            <w:vAlign w:val="center"/>
          </w:tcPr>
          <w:p w14:paraId="6AB4E3C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二氧化硫</w:t>
            </w:r>
          </w:p>
        </w:tc>
        <w:tc>
          <w:tcPr>
            <w:tcW w:w="1515" w:type="dxa"/>
            <w:vAlign w:val="center"/>
          </w:tcPr>
          <w:p w14:paraId="38921F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604" w:type="dxa"/>
            <w:vAlign w:val="center"/>
          </w:tcPr>
          <w:p w14:paraId="58C121C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46" w:type="dxa"/>
            <w:vAlign w:val="center"/>
          </w:tcPr>
          <w:p w14:paraId="0439EB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1614～1674</w:t>
            </w:r>
          </w:p>
        </w:tc>
        <w:tc>
          <w:tcPr>
            <w:tcW w:w="1170" w:type="dxa"/>
            <w:vAlign w:val="center"/>
          </w:tcPr>
          <w:p w14:paraId="3D1E5BA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728" w:type="dxa"/>
            <w:vAlign w:val="center"/>
          </w:tcPr>
          <w:p w14:paraId="50AF690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75945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44227E9A">
            <w:pPr>
              <w:pStyle w:val="210"/>
              <w:rPr>
                <w:rFonts w:hint="eastAsia"/>
                <w:color w:val="000000" w:themeColor="text1"/>
                <w14:textFill>
                  <w14:solidFill>
                    <w14:schemeClr w14:val="tx1"/>
                  </w14:solidFill>
                </w14:textFill>
              </w:rPr>
            </w:pPr>
          </w:p>
        </w:tc>
        <w:tc>
          <w:tcPr>
            <w:tcW w:w="1275" w:type="dxa"/>
            <w:vAlign w:val="center"/>
          </w:tcPr>
          <w:p w14:paraId="7A5FA2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515" w:type="dxa"/>
            <w:vAlign w:val="center"/>
          </w:tcPr>
          <w:p w14:paraId="41DA963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3.3～5.2</w:t>
            </w:r>
          </w:p>
        </w:tc>
        <w:tc>
          <w:tcPr>
            <w:tcW w:w="1604" w:type="dxa"/>
            <w:vAlign w:val="center"/>
          </w:tcPr>
          <w:p w14:paraId="79C17C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3.52×10</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～5.49×10</w:t>
            </w:r>
            <w:r>
              <w:rPr>
                <w:rFonts w:hint="eastAsia"/>
                <w:color w:val="000000" w:themeColor="text1"/>
                <w:vertAlign w:val="superscript"/>
                <w14:textFill>
                  <w14:solidFill>
                    <w14:schemeClr w14:val="tx1"/>
                  </w14:solidFill>
                </w14:textFill>
              </w:rPr>
              <w:t>-3</w:t>
            </w:r>
          </w:p>
        </w:tc>
        <w:tc>
          <w:tcPr>
            <w:tcW w:w="1446" w:type="dxa"/>
            <w:vAlign w:val="center"/>
          </w:tcPr>
          <w:p w14:paraId="0ED7966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1614～1674</w:t>
            </w:r>
          </w:p>
        </w:tc>
        <w:tc>
          <w:tcPr>
            <w:tcW w:w="1170" w:type="dxa"/>
            <w:vAlign w:val="center"/>
          </w:tcPr>
          <w:p w14:paraId="7FB23D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728" w:type="dxa"/>
            <w:vAlign w:val="center"/>
          </w:tcPr>
          <w:p w14:paraId="73F3B4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69479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restart"/>
            <w:vAlign w:val="center"/>
          </w:tcPr>
          <w:p w14:paraId="66BC7013">
            <w:pPr>
              <w:pStyle w:val="210"/>
              <w:rPr>
                <w:rFonts w:hint="eastAsia"/>
                <w:color w:val="000000" w:themeColor="text1"/>
                <w14:textFill>
                  <w14:solidFill>
                    <w14:schemeClr w14:val="tx1"/>
                  </w14:solidFill>
                </w14:textFill>
              </w:rPr>
            </w:pPr>
            <w:r>
              <w:rPr>
                <w:rFonts w:hint="eastAsia" w:cs="宋体"/>
                <w:color w:val="000000" w:themeColor="text1"/>
                <w:kern w:val="2"/>
                <w:szCs w:val="21"/>
                <w14:textFill>
                  <w14:solidFill>
                    <w14:schemeClr w14:val="tx1"/>
                  </w14:solidFill>
                </w14:textFill>
              </w:rPr>
              <w:t>吉祥联合站</w:t>
            </w:r>
            <w:r>
              <w:rPr>
                <w:rFonts w:hint="eastAsia"/>
                <w:color w:val="000000" w:themeColor="text1"/>
                <w:szCs w:val="24"/>
                <w14:textFill>
                  <w14:solidFill>
                    <w14:schemeClr w14:val="tx1"/>
                  </w14:solidFill>
                </w14:textFill>
              </w:rPr>
              <w:t>1#相变炉</w:t>
            </w:r>
            <w:r>
              <w:rPr>
                <w:rFonts w:hint="eastAsia" w:cs="宋体"/>
                <w:color w:val="000000" w:themeColor="text1"/>
                <w:kern w:val="2"/>
                <w:szCs w:val="21"/>
                <w14:textFill>
                  <w14:solidFill>
                    <w14:schemeClr w14:val="tx1"/>
                  </w14:solidFill>
                </w14:textFill>
              </w:rPr>
              <w:t>（2025.12.2）</w:t>
            </w:r>
          </w:p>
        </w:tc>
        <w:tc>
          <w:tcPr>
            <w:tcW w:w="1275" w:type="dxa"/>
            <w:vMerge w:val="restart"/>
            <w:vAlign w:val="center"/>
          </w:tcPr>
          <w:p w14:paraId="6624783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氮氧化物</w:t>
            </w:r>
          </w:p>
        </w:tc>
        <w:tc>
          <w:tcPr>
            <w:tcW w:w="1515" w:type="dxa"/>
            <w:vAlign w:val="center"/>
          </w:tcPr>
          <w:p w14:paraId="2025DF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39</w:t>
            </w:r>
          </w:p>
        </w:tc>
        <w:tc>
          <w:tcPr>
            <w:tcW w:w="1604" w:type="dxa"/>
            <w:vAlign w:val="center"/>
          </w:tcPr>
          <w:p w14:paraId="67FF10A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0.0671</w:t>
            </w:r>
          </w:p>
        </w:tc>
        <w:tc>
          <w:tcPr>
            <w:tcW w:w="1446" w:type="dxa"/>
            <w:vAlign w:val="center"/>
          </w:tcPr>
          <w:p w14:paraId="3F2F838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1766</w:t>
            </w:r>
          </w:p>
        </w:tc>
        <w:tc>
          <w:tcPr>
            <w:tcW w:w="1170" w:type="dxa"/>
            <w:vMerge w:val="restart"/>
            <w:vAlign w:val="center"/>
          </w:tcPr>
          <w:p w14:paraId="1CD4D0B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728" w:type="dxa"/>
            <w:vAlign w:val="center"/>
          </w:tcPr>
          <w:p w14:paraId="2B57E9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8EE59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68F7C5EC">
            <w:pPr>
              <w:pStyle w:val="210"/>
              <w:rPr>
                <w:rFonts w:hint="eastAsia"/>
                <w:color w:val="000000" w:themeColor="text1"/>
                <w14:textFill>
                  <w14:solidFill>
                    <w14:schemeClr w14:val="tx1"/>
                  </w14:solidFill>
                </w14:textFill>
              </w:rPr>
            </w:pPr>
          </w:p>
        </w:tc>
        <w:tc>
          <w:tcPr>
            <w:tcW w:w="1275" w:type="dxa"/>
            <w:vMerge w:val="continue"/>
            <w:vAlign w:val="center"/>
          </w:tcPr>
          <w:p w14:paraId="0470CDE6">
            <w:pPr>
              <w:pStyle w:val="210"/>
              <w:rPr>
                <w:rFonts w:hint="eastAsia"/>
                <w:color w:val="000000" w:themeColor="text1"/>
                <w14:textFill>
                  <w14:solidFill>
                    <w14:schemeClr w14:val="tx1"/>
                  </w14:solidFill>
                </w14:textFill>
              </w:rPr>
            </w:pPr>
          </w:p>
        </w:tc>
        <w:tc>
          <w:tcPr>
            <w:tcW w:w="1515" w:type="dxa"/>
            <w:vAlign w:val="center"/>
          </w:tcPr>
          <w:p w14:paraId="769797E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39</w:t>
            </w:r>
          </w:p>
        </w:tc>
        <w:tc>
          <w:tcPr>
            <w:tcW w:w="1604" w:type="dxa"/>
            <w:vAlign w:val="center"/>
          </w:tcPr>
          <w:p w14:paraId="30AAED8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0.0632</w:t>
            </w:r>
          </w:p>
        </w:tc>
        <w:tc>
          <w:tcPr>
            <w:tcW w:w="1446" w:type="dxa"/>
            <w:vAlign w:val="center"/>
          </w:tcPr>
          <w:p w14:paraId="28673CD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1663</w:t>
            </w:r>
          </w:p>
        </w:tc>
        <w:tc>
          <w:tcPr>
            <w:tcW w:w="1170" w:type="dxa"/>
            <w:vMerge w:val="continue"/>
            <w:vAlign w:val="center"/>
          </w:tcPr>
          <w:p w14:paraId="1B96EEE9">
            <w:pPr>
              <w:pStyle w:val="210"/>
              <w:rPr>
                <w:rFonts w:hint="eastAsia"/>
                <w:color w:val="000000" w:themeColor="text1"/>
                <w14:textFill>
                  <w14:solidFill>
                    <w14:schemeClr w14:val="tx1"/>
                  </w14:solidFill>
                </w14:textFill>
              </w:rPr>
            </w:pPr>
          </w:p>
        </w:tc>
        <w:tc>
          <w:tcPr>
            <w:tcW w:w="728" w:type="dxa"/>
            <w:vAlign w:val="center"/>
          </w:tcPr>
          <w:p w14:paraId="085827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C2BA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92" w:type="dxa"/>
            <w:vMerge w:val="continue"/>
            <w:vAlign w:val="center"/>
          </w:tcPr>
          <w:p w14:paraId="2AEEF402">
            <w:pPr>
              <w:pStyle w:val="210"/>
              <w:rPr>
                <w:rFonts w:hint="eastAsia"/>
                <w:color w:val="000000" w:themeColor="text1"/>
                <w14:textFill>
                  <w14:solidFill>
                    <w14:schemeClr w14:val="tx1"/>
                  </w14:solidFill>
                </w14:textFill>
              </w:rPr>
            </w:pPr>
          </w:p>
        </w:tc>
        <w:tc>
          <w:tcPr>
            <w:tcW w:w="1275" w:type="dxa"/>
            <w:vMerge w:val="continue"/>
            <w:vAlign w:val="center"/>
          </w:tcPr>
          <w:p w14:paraId="2C13AC85">
            <w:pPr>
              <w:pStyle w:val="210"/>
              <w:rPr>
                <w:rFonts w:hint="eastAsia"/>
                <w:color w:val="000000" w:themeColor="text1"/>
                <w14:textFill>
                  <w14:solidFill>
                    <w14:schemeClr w14:val="tx1"/>
                  </w14:solidFill>
                </w14:textFill>
              </w:rPr>
            </w:pPr>
          </w:p>
        </w:tc>
        <w:tc>
          <w:tcPr>
            <w:tcW w:w="1515" w:type="dxa"/>
            <w:vAlign w:val="center"/>
          </w:tcPr>
          <w:p w14:paraId="09CE423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1604" w:type="dxa"/>
            <w:vAlign w:val="center"/>
          </w:tcPr>
          <w:p w14:paraId="48CEC79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0.0622</w:t>
            </w:r>
          </w:p>
        </w:tc>
        <w:tc>
          <w:tcPr>
            <w:tcW w:w="1446" w:type="dxa"/>
            <w:vAlign w:val="center"/>
          </w:tcPr>
          <w:p w14:paraId="3FCAD7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1778</w:t>
            </w:r>
          </w:p>
        </w:tc>
        <w:tc>
          <w:tcPr>
            <w:tcW w:w="1170" w:type="dxa"/>
            <w:vMerge w:val="continue"/>
            <w:vAlign w:val="center"/>
          </w:tcPr>
          <w:p w14:paraId="63ABAB1C">
            <w:pPr>
              <w:pStyle w:val="210"/>
              <w:rPr>
                <w:rFonts w:hint="eastAsia"/>
                <w:color w:val="000000" w:themeColor="text1"/>
                <w14:textFill>
                  <w14:solidFill>
                    <w14:schemeClr w14:val="tx1"/>
                  </w14:solidFill>
                </w14:textFill>
              </w:rPr>
            </w:pPr>
          </w:p>
        </w:tc>
        <w:tc>
          <w:tcPr>
            <w:tcW w:w="728" w:type="dxa"/>
            <w:vAlign w:val="center"/>
          </w:tcPr>
          <w:p w14:paraId="4BD02BC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0104AC24">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3）吉祥联合站泄漏检测与修复（LDAR）</w:t>
      </w:r>
      <w:bookmarkEnd w:id="208"/>
    </w:p>
    <w:p w14:paraId="2B4C8CB0">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吉庆油田作业区于2025年6月和10月对吉祥联合站开展了第一轮和第二轮</w:t>
      </w:r>
      <w:r>
        <w:rPr>
          <w:rFonts w:ascii="宋体" w:hAnsi="宋体" w:cs="宋体"/>
          <w:color w:val="000000" w:themeColor="text1"/>
          <w:sz w:val="24"/>
          <w:szCs w:val="24"/>
          <w14:textFill>
            <w14:solidFill>
              <w14:schemeClr w14:val="tx1"/>
            </w14:solidFill>
          </w14:textFill>
        </w:rPr>
        <w:t>LDAR检测</w:t>
      </w:r>
      <w:r>
        <w:rPr>
          <w:rFonts w:hint="eastAsia" w:ascii="宋体" w:hAnsi="宋体" w:cs="宋体"/>
          <w:color w:val="000000" w:themeColor="text1"/>
          <w:sz w:val="24"/>
          <w:szCs w:val="24"/>
          <w14:textFill>
            <w14:solidFill>
              <w14:schemeClr w14:val="tx1"/>
            </w14:solidFill>
          </w14:textFill>
        </w:rPr>
        <w:t>，</w:t>
      </w:r>
      <w:r>
        <w:rPr>
          <w:rFonts w:ascii="宋体" w:hAnsi="宋体" w:cs="宋体"/>
          <w:color w:val="000000" w:themeColor="text1"/>
          <w:sz w:val="24"/>
          <w:szCs w:val="24"/>
          <w14:textFill>
            <w14:solidFill>
              <w14:schemeClr w14:val="tx1"/>
            </w14:solidFill>
          </w14:textFill>
        </w:rPr>
        <w:t>检测主要是</w:t>
      </w:r>
      <w:r>
        <w:rPr>
          <w:rFonts w:hint="eastAsia" w:ascii="宋体" w:hAnsi="宋体" w:cs="宋体"/>
          <w:color w:val="000000" w:themeColor="text1"/>
          <w:sz w:val="24"/>
          <w:szCs w:val="24"/>
          <w14:textFill>
            <w14:solidFill>
              <w14:schemeClr w14:val="tx1"/>
            </w14:solidFill>
          </w14:textFill>
        </w:rPr>
        <w:t>针对</w:t>
      </w:r>
      <w:r>
        <w:rPr>
          <w:rFonts w:ascii="宋体" w:hAnsi="宋体" w:cs="宋体"/>
          <w:color w:val="000000" w:themeColor="text1"/>
          <w:sz w:val="24"/>
          <w:szCs w:val="24"/>
          <w14:textFill>
            <w14:solidFill>
              <w14:schemeClr w14:val="tx1"/>
            </w14:solidFill>
          </w14:textFill>
        </w:rPr>
        <w:t>全年运行易产生VOCs泄漏</w:t>
      </w:r>
      <w:r>
        <w:rPr>
          <w:rFonts w:hint="eastAsia" w:ascii="宋体" w:hAnsi="宋体" w:cs="宋体"/>
          <w:color w:val="000000" w:themeColor="text1"/>
          <w:sz w:val="24"/>
          <w:szCs w:val="24"/>
          <w14:textFill>
            <w14:solidFill>
              <w14:schemeClr w14:val="tx1"/>
            </w14:solidFill>
          </w14:textFill>
        </w:rPr>
        <w:t>的法兰、</w:t>
      </w:r>
      <w:r>
        <w:rPr>
          <w:rFonts w:ascii="宋体" w:hAnsi="宋体" w:cs="宋体"/>
          <w:color w:val="000000" w:themeColor="text1"/>
          <w:sz w:val="24"/>
          <w:szCs w:val="24"/>
          <w14:textFill>
            <w14:solidFill>
              <w14:schemeClr w14:val="tx1"/>
            </w14:solidFill>
          </w14:textFill>
        </w:rPr>
        <w:t>取样连接系统、开口阀或开口管线、泄压设备、压缩机、搅拌器、阀门及泵</w:t>
      </w:r>
      <w:r>
        <w:rPr>
          <w:rFonts w:hint="eastAsia" w:ascii="宋体" w:hAnsi="宋体" w:cs="宋体"/>
          <w:color w:val="000000" w:themeColor="text1"/>
          <w:sz w:val="24"/>
          <w:szCs w:val="24"/>
          <w14:textFill>
            <w14:solidFill>
              <w14:schemeClr w14:val="tx1"/>
            </w14:solidFill>
          </w14:textFill>
        </w:rPr>
        <w:t>等</w:t>
      </w:r>
      <w:r>
        <w:rPr>
          <w:rFonts w:ascii="宋体" w:hAnsi="宋体" w:cs="宋体"/>
          <w:color w:val="000000" w:themeColor="text1"/>
          <w:sz w:val="24"/>
          <w:szCs w:val="24"/>
          <w14:textFill>
            <w14:solidFill>
              <w14:schemeClr w14:val="tx1"/>
            </w14:solidFill>
          </w14:textFill>
        </w:rPr>
        <w:t>密封点</w:t>
      </w:r>
      <w:r>
        <w:rPr>
          <w:rFonts w:hint="eastAsia" w:ascii="宋体" w:hAnsi="宋体" w:cs="宋体"/>
          <w:color w:val="000000" w:themeColor="text1"/>
          <w:sz w:val="24"/>
          <w:szCs w:val="24"/>
          <w14:textFill>
            <w14:solidFill>
              <w14:schemeClr w14:val="tx1"/>
            </w14:solidFill>
          </w14:textFill>
        </w:rPr>
        <w:t>。两次监测对吉祥联合站内的1157个动密封点、1492个静密封点进行泄漏检测，未发现泄漏点，不存在修复情况。</w:t>
      </w:r>
    </w:p>
    <w:p w14:paraId="32BE0AD7">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现有工程拉油罐车装卸采用的是密封式快速接头，现有储罐罐体均保持完好，无孔洞、缝隙（除内浮顶罐边缘通气孔外）；除采样、计量、例行检查、维护和其他正常活动外，储罐附件的开口（孔）均保持密闭。</w:t>
      </w:r>
    </w:p>
    <w:bookmarkEnd w:id="209"/>
    <w:p w14:paraId="3FB2A359">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②废水</w:t>
      </w:r>
    </w:p>
    <w:p w14:paraId="4331693B">
      <w:pPr>
        <w:widowControl/>
        <w:adjustRightInd w:val="0"/>
        <w:snapToGrid w:val="0"/>
        <w:spacing w:line="50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井区废水主要为洗井废水、井下作业废液（压裂返排液和废洗井液），集中收集后拉运至吉祥联合站采出水处理系统处理；吉祥联合站废水主要为采出水和生活污水，采出水管输至吉祥联合站采出水处理系统处理，出水水质《碎屑岩油藏注水水质指标技术要求及分析方法》（SY/T 5329-2022）</w:t>
      </w:r>
      <w:r>
        <w:rPr>
          <w:rFonts w:hint="eastAsia" w:ascii="宋体" w:hAnsi="宋体" w:cs="宋体"/>
          <w:color w:val="000000" w:themeColor="text1"/>
          <w:sz w:val="24"/>
          <w:szCs w:val="24"/>
          <w:lang w:val="en-US" w:eastAsia="zh-CN"/>
          <w14:textFill>
            <w14:solidFill>
              <w14:schemeClr w14:val="tx1"/>
            </w14:solidFill>
          </w14:textFill>
        </w:rPr>
        <w:t>中Ⅲ级</w:t>
      </w:r>
      <w:r>
        <w:rPr>
          <w:rFonts w:hint="eastAsia" w:ascii="宋体" w:hAnsi="宋体" w:cs="宋体"/>
          <w:color w:val="000000" w:themeColor="text1"/>
          <w:sz w:val="24"/>
          <w:szCs w:val="24"/>
          <w14:textFill>
            <w14:solidFill>
              <w14:schemeClr w14:val="tx1"/>
            </w14:solidFill>
          </w14:textFill>
        </w:rPr>
        <w:t>标准要求后，回注油藏（水质监测数据见表3.1-6）</w:t>
      </w:r>
      <w:r>
        <w:rPr>
          <w:rFonts w:hint="eastAsia" w:ascii="宋体" w:hAnsi="宋体" w:eastAsia="宋体" w:cs="宋体"/>
          <w:color w:val="000000" w:themeColor="text1"/>
          <w:sz w:val="24"/>
          <w:szCs w:val="24"/>
          <w14:textFill>
            <w14:solidFill>
              <w14:schemeClr w14:val="tx1"/>
            </w14:solidFill>
          </w14:textFill>
        </w:rPr>
        <w:t>。生活污水经站内排水管网收集后，排入化粪池，</w:t>
      </w:r>
      <w:r>
        <w:rPr>
          <w:rFonts w:hint="eastAsia" w:ascii="宋体" w:hAnsi="宋体" w:eastAsia="宋体" w:cs="宋体"/>
          <w:color w:val="000000" w:themeColor="text1"/>
          <w:sz w:val="24"/>
          <w:szCs w:val="24"/>
          <w:lang w:val="en-US" w:eastAsia="zh-CN"/>
          <w14:textFill>
            <w14:solidFill>
              <w14:schemeClr w14:val="tx1"/>
            </w14:solidFill>
          </w14:textFill>
        </w:rPr>
        <w:t>最终排至</w:t>
      </w:r>
      <w:r>
        <w:rPr>
          <w:rFonts w:hint="eastAsia" w:ascii="宋体" w:hAnsi="宋体" w:eastAsia="宋体" w:cs="宋体"/>
          <w:color w:val="000000" w:themeColor="text1"/>
          <w:sz w:val="24"/>
          <w:szCs w:val="24"/>
          <w14:textFill>
            <w14:solidFill>
              <w14:schemeClr w14:val="tx1"/>
            </w14:solidFill>
          </w14:textFill>
        </w:rPr>
        <w:t>吉7井区老生活区东侧</w:t>
      </w:r>
      <w:r>
        <w:rPr>
          <w:rFonts w:hint="eastAsia" w:ascii="宋体" w:hAnsi="宋体" w:eastAsia="宋体" w:cs="宋体"/>
          <w:color w:val="000000" w:themeColor="text1"/>
          <w:sz w:val="24"/>
          <w:szCs w:val="24"/>
          <w:lang w:val="en-US" w:eastAsia="zh-CN"/>
          <w14:textFill>
            <w14:solidFill>
              <w14:schemeClr w14:val="tx1"/>
            </w14:solidFill>
          </w14:textFill>
        </w:rPr>
        <w:t>的</w:t>
      </w:r>
      <w:r>
        <w:rPr>
          <w:rFonts w:hint="eastAsia" w:ascii="宋体" w:hAnsi="宋体" w:eastAsia="宋体" w:cs="宋体"/>
          <w:color w:val="000000" w:themeColor="text1"/>
          <w:sz w:val="24"/>
          <w:szCs w:val="24"/>
          <w14:textFill>
            <w14:solidFill>
              <w14:schemeClr w14:val="tx1"/>
            </w14:solidFill>
          </w14:textFill>
        </w:rPr>
        <w:t>5000m³生活污水蒸发池</w:t>
      </w:r>
      <w:r>
        <w:rPr>
          <w:rFonts w:hint="eastAsia" w:ascii="宋体" w:hAnsi="宋体" w:eastAsia="宋体" w:cs="宋体"/>
          <w:color w:val="000000" w:themeColor="text1"/>
          <w:sz w:val="24"/>
          <w:szCs w:val="24"/>
          <w:lang w:val="en-US" w:eastAsia="zh-CN"/>
          <w14:textFill>
            <w14:solidFill>
              <w14:schemeClr w14:val="tx1"/>
            </w14:solidFill>
          </w14:textFill>
        </w:rPr>
        <w:t>处理，化粪池及蒸发池底部少量污泥定期委托第三方清掏处理</w:t>
      </w:r>
      <w:r>
        <w:rPr>
          <w:rFonts w:hint="eastAsia" w:ascii="宋体" w:hAnsi="宋体" w:eastAsia="宋体" w:cs="宋体"/>
          <w:color w:val="000000" w:themeColor="text1"/>
          <w:sz w:val="24"/>
          <w:szCs w:val="24"/>
          <w14:textFill>
            <w14:solidFill>
              <w14:schemeClr w14:val="tx1"/>
            </w14:solidFill>
          </w14:textFill>
        </w:rPr>
        <w:t>。</w:t>
      </w:r>
    </w:p>
    <w:p w14:paraId="599EE123">
      <w:pPr>
        <w:pStyle w:val="112"/>
        <w:rPr>
          <w:rFonts w:hint="eastAsia"/>
          <w:color w:val="000000" w:themeColor="text1"/>
          <w14:textFill>
            <w14:solidFill>
              <w14:schemeClr w14:val="tx1"/>
            </w14:solidFill>
          </w14:textFill>
        </w:rPr>
      </w:pPr>
      <w:bookmarkStart w:id="210" w:name="_Ref160231848"/>
      <w:r>
        <w:rPr>
          <w:color w:val="000000" w:themeColor="text1"/>
          <w14:textFill>
            <w14:solidFill>
              <w14:schemeClr w14:val="tx1"/>
            </w14:solidFill>
          </w14:textFill>
        </w:rPr>
        <w:t>表</w:t>
      </w:r>
      <w:bookmarkEnd w:id="210"/>
      <w:r>
        <w:rPr>
          <w:rFonts w:hint="eastAsia"/>
          <w:color w:val="000000" w:themeColor="text1"/>
          <w14:textFill>
            <w14:solidFill>
              <w14:schemeClr w14:val="tx1"/>
            </w14:solidFill>
          </w14:textFill>
        </w:rPr>
        <w:t>3.1-6  吉祥联合站采出水处理系统出水水质监测结果一览表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5"/>
        <w:gridCol w:w="2542"/>
        <w:gridCol w:w="1471"/>
        <w:gridCol w:w="1833"/>
        <w:gridCol w:w="1649"/>
      </w:tblGrid>
      <w:tr w14:paraId="4B8DAB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trPr>
        <w:tc>
          <w:tcPr>
            <w:tcW w:w="707" w:type="pct"/>
            <w:vAlign w:val="center"/>
          </w:tcPr>
          <w:p w14:paraId="3F2FDA5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监测时间</w:t>
            </w:r>
          </w:p>
        </w:tc>
        <w:tc>
          <w:tcPr>
            <w:tcW w:w="1455" w:type="pct"/>
            <w:vAlign w:val="center"/>
          </w:tcPr>
          <w:p w14:paraId="29D871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842" w:type="pct"/>
            <w:vAlign w:val="center"/>
          </w:tcPr>
          <w:p w14:paraId="6F99885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监测值范围</w:t>
            </w:r>
          </w:p>
        </w:tc>
        <w:tc>
          <w:tcPr>
            <w:tcW w:w="1049" w:type="pct"/>
            <w:vAlign w:val="center"/>
          </w:tcPr>
          <w:p w14:paraId="7011645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标准限值</w:t>
            </w:r>
          </w:p>
        </w:tc>
        <w:tc>
          <w:tcPr>
            <w:tcW w:w="944" w:type="pct"/>
            <w:vAlign w:val="center"/>
          </w:tcPr>
          <w:p w14:paraId="6643A1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778CE7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707" w:type="pct"/>
            <w:vMerge w:val="restart"/>
            <w:vAlign w:val="center"/>
          </w:tcPr>
          <w:p w14:paraId="14FB2C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2026.2.3</w:t>
            </w:r>
          </w:p>
        </w:tc>
        <w:tc>
          <w:tcPr>
            <w:tcW w:w="1455" w:type="pct"/>
            <w:vAlign w:val="center"/>
          </w:tcPr>
          <w:p w14:paraId="02F529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悬浮固体含量（</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tc>
        <w:tc>
          <w:tcPr>
            <w:tcW w:w="842" w:type="pct"/>
            <w:vAlign w:val="center"/>
          </w:tcPr>
          <w:p w14:paraId="1233A5F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1.33～3.33</w:t>
            </w:r>
          </w:p>
        </w:tc>
        <w:tc>
          <w:tcPr>
            <w:tcW w:w="1049" w:type="pct"/>
            <w:vAlign w:val="center"/>
          </w:tcPr>
          <w:p w14:paraId="6273E0C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944" w:type="pct"/>
            <w:vAlign w:val="center"/>
          </w:tcPr>
          <w:p w14:paraId="1284466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32AC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707" w:type="pct"/>
            <w:vMerge w:val="continue"/>
            <w:vAlign w:val="center"/>
          </w:tcPr>
          <w:p w14:paraId="739EF702">
            <w:pPr>
              <w:pStyle w:val="280"/>
              <w:rPr>
                <w:rFonts w:hint="eastAsia"/>
                <w:color w:val="000000" w:themeColor="text1"/>
                <w14:textFill>
                  <w14:solidFill>
                    <w14:schemeClr w14:val="tx1"/>
                  </w14:solidFill>
                </w14:textFill>
              </w:rPr>
            </w:pPr>
          </w:p>
        </w:tc>
        <w:tc>
          <w:tcPr>
            <w:tcW w:w="1455" w:type="pct"/>
            <w:vAlign w:val="center"/>
          </w:tcPr>
          <w:p w14:paraId="3476FA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含油量（</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tc>
        <w:tc>
          <w:tcPr>
            <w:tcW w:w="842" w:type="pct"/>
            <w:vAlign w:val="center"/>
          </w:tcPr>
          <w:p w14:paraId="537E1D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2.02～3.10</w:t>
            </w:r>
          </w:p>
        </w:tc>
        <w:tc>
          <w:tcPr>
            <w:tcW w:w="1049" w:type="pct"/>
            <w:vAlign w:val="center"/>
          </w:tcPr>
          <w:p w14:paraId="28508FD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944" w:type="pct"/>
            <w:vAlign w:val="center"/>
          </w:tcPr>
          <w:p w14:paraId="35AB99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33F38851">
      <w:pPr>
        <w:pStyle w:val="462"/>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吉7井区</w:t>
      </w:r>
      <w:r>
        <w:rPr>
          <w:rFonts w:hint="eastAsia"/>
          <w:color w:val="000000" w:themeColor="text1"/>
          <w:lang w:val="en-US"/>
          <w14:textFill>
            <w14:solidFill>
              <w14:schemeClr w14:val="tx1"/>
            </w14:solidFill>
          </w14:textFill>
        </w:rPr>
        <w:t>吉祥联合站</w:t>
      </w:r>
      <w:r>
        <w:rPr>
          <w:rFonts w:hint="eastAsia"/>
          <w:color w:val="000000" w:themeColor="text1"/>
          <w14:textFill>
            <w14:solidFill>
              <w14:schemeClr w14:val="tx1"/>
            </w14:solidFill>
          </w14:textFill>
        </w:rPr>
        <w:t>西侧100m处为吉7井区老生活区，目前外租给吉庆作业区工程承包单位用作员工宿舍，东</w:t>
      </w:r>
      <w:r>
        <w:rPr>
          <w:rFonts w:hint="eastAsia"/>
          <w:color w:val="000000" w:themeColor="text1"/>
          <w:lang w:val="en-US" w:eastAsia="zh-CN"/>
          <w14:textFill>
            <w14:solidFill>
              <w14:schemeClr w14:val="tx1"/>
            </w14:solidFill>
          </w14:textFill>
        </w:rPr>
        <w:t>南</w:t>
      </w:r>
      <w:r>
        <w:rPr>
          <w:rFonts w:hint="eastAsia"/>
          <w:color w:val="000000" w:themeColor="text1"/>
          <w14:textFill>
            <w14:solidFill>
              <w14:schemeClr w14:val="tx1"/>
            </w14:solidFill>
          </w14:textFill>
        </w:rPr>
        <w:t>侧为5000m³生活污水蒸发池。</w:t>
      </w:r>
    </w:p>
    <w:p w14:paraId="26E3EBAF">
      <w:pPr>
        <w:pStyle w:val="462"/>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经查阅相关资料，现有</w:t>
      </w:r>
      <w:r>
        <w:rPr>
          <w:rFonts w:hint="eastAsia"/>
          <w:color w:val="000000" w:themeColor="text1"/>
          <w14:textFill>
            <w14:solidFill>
              <w14:schemeClr w14:val="tx1"/>
            </w14:solidFill>
          </w14:textFill>
        </w:rPr>
        <w:t>5000m³生活污水蒸发池</w:t>
      </w:r>
      <w:r>
        <w:rPr>
          <w:rFonts w:hint="eastAsia"/>
          <w:color w:val="000000" w:themeColor="text1"/>
          <w:lang w:val="en-US" w:eastAsia="zh-CN"/>
          <w14:textFill>
            <w14:solidFill>
              <w14:schemeClr w14:val="tx1"/>
            </w14:solidFill>
          </w14:textFill>
        </w:rPr>
        <w:t>包含在《吉木萨尔县吉祥作业区生活污水处理设施建设项目》中，该项目2023年9月1日开工建设，2013年11月1日建设完成，蒸发池规格50m×50m×3.5m，容量5000</w:t>
      </w:r>
      <w:r>
        <w:rPr>
          <w:rFonts w:hint="eastAsia"/>
          <w:color w:val="000000" w:themeColor="text1"/>
          <w14:textFill>
            <w14:solidFill>
              <w14:schemeClr w14:val="tx1"/>
            </w14:solidFill>
          </w14:textFill>
        </w:rPr>
        <w:t>m³</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蒸发池施工过程中进行了</w:t>
      </w:r>
      <w:r>
        <w:rPr>
          <w:rFonts w:hint="eastAsia"/>
          <w:color w:val="000000" w:themeColor="text1"/>
          <w:lang w:eastAsia="zh-CN"/>
          <w14:textFill>
            <w14:solidFill>
              <w14:schemeClr w14:val="tx1"/>
            </w14:solidFill>
          </w14:textFill>
        </w:rPr>
        <w:t>底层压实、充填、推平、布筋和混凝土现浇、坑底放坡等操作。</w:t>
      </w:r>
      <w:r>
        <w:rPr>
          <w:rFonts w:hint="eastAsia"/>
          <w:color w:val="000000" w:themeColor="text1"/>
          <w:lang w:val="en-US" w:eastAsia="zh-CN"/>
          <w14:textFill>
            <w14:solidFill>
              <w14:schemeClr w14:val="tx1"/>
            </w14:solidFill>
          </w14:textFill>
        </w:rPr>
        <w:t>池内表面设有硬化及防渗工程等防护措施。2014年8月5日，原吉木萨尔县环境保护局出具了该项目环境影响登记表的审批意见，同意该项目建设，2014年8月28日，原吉木萨尔县环境保护局出具了建设项目验收合格的登记意见。</w:t>
      </w:r>
    </w:p>
    <w:p w14:paraId="6F48F19B">
      <w:pPr>
        <w:pStyle w:val="462"/>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吉7井区老生活区</w:t>
      </w:r>
      <w:r>
        <w:rPr>
          <w:rFonts w:hint="eastAsia"/>
          <w:color w:val="000000" w:themeColor="text1"/>
          <w:lang w:val="en-US" w:eastAsia="zh-CN"/>
          <w14:textFill>
            <w14:solidFill>
              <w14:schemeClr w14:val="tx1"/>
            </w14:solidFill>
          </w14:textFill>
        </w:rPr>
        <w:t>生活污水依次进入一级化粪沉降池，二级污水池，三级蒸发池，具体为：生活污水排放→化粪沉降池→（化粪沉降池）污水自流至污水池→污水泵抽出至蒸发池，目前该蒸发池正常运行，根据吉庆油田作业区2025年10月29日的监测数据（见表3.1-7）可知，蒸发池水质满足《污水综合排放标准》（GB8978-1996）及修改单三级标准限值要求，不存在环境问题。</w:t>
      </w:r>
    </w:p>
    <w:p w14:paraId="770C9A09">
      <w:pPr>
        <w:spacing w:line="500" w:lineRule="atLeast"/>
        <w:ind w:firstLine="420"/>
        <w:jc w:val="center"/>
        <w:rPr>
          <w:rStyle w:val="166"/>
          <w:rFonts w:hint="default" w:eastAsia="黑体"/>
          <w:color w:val="000000" w:themeColor="text1"/>
          <w:lang w:val="en-US" w:eastAsia="zh-CN"/>
          <w14:textFill>
            <w14:solidFill>
              <w14:schemeClr w14:val="tx1"/>
            </w14:solidFill>
          </w14:textFill>
        </w:rPr>
      </w:pPr>
      <w:r>
        <w:rPr>
          <w:rStyle w:val="166"/>
          <w:color w:val="000000" w:themeColor="text1"/>
          <w14:textFill>
            <w14:solidFill>
              <w14:schemeClr w14:val="tx1"/>
            </w14:solidFill>
          </w14:textFill>
        </w:rPr>
        <w:t>表</w:t>
      </w:r>
      <w:r>
        <w:rPr>
          <w:rStyle w:val="166"/>
          <w:rFonts w:hint="eastAsia"/>
          <w:color w:val="000000" w:themeColor="text1"/>
          <w14:textFill>
            <w14:solidFill>
              <w14:schemeClr w14:val="tx1"/>
            </w14:solidFill>
          </w14:textFill>
        </w:rPr>
        <w:t xml:space="preserve">3.1-7  </w:t>
      </w:r>
      <w:r>
        <w:rPr>
          <w:rFonts w:hint="eastAsia" w:ascii="黑体" w:hAnsi="黑体" w:eastAsia="黑体"/>
          <w:color w:val="000000" w:themeColor="text1"/>
          <w14:textFill>
            <w14:solidFill>
              <w14:schemeClr w14:val="tx1"/>
            </w14:solidFill>
          </w14:textFill>
        </w:rPr>
        <w:t>吉祥联合站</w:t>
      </w:r>
      <w:r>
        <w:rPr>
          <w:rFonts w:hint="eastAsia" w:ascii="黑体" w:hAnsi="黑体" w:eastAsia="黑体"/>
          <w:color w:val="000000" w:themeColor="text1"/>
          <w:lang w:val="en-US" w:eastAsia="zh-CN"/>
          <w14:textFill>
            <w14:solidFill>
              <w14:schemeClr w14:val="tx1"/>
            </w14:solidFill>
          </w14:textFill>
        </w:rPr>
        <w:t>污水蒸发池水质指标监测数据</w:t>
      </w:r>
    </w:p>
    <w:tbl>
      <w:tblPr>
        <w:tblStyle w:val="5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7"/>
        <w:gridCol w:w="2006"/>
        <w:gridCol w:w="1812"/>
        <w:gridCol w:w="1760"/>
        <w:gridCol w:w="1760"/>
      </w:tblGrid>
      <w:tr w14:paraId="51C62E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Align w:val="center"/>
          </w:tcPr>
          <w:p w14:paraId="61CA11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1149" w:type="pct"/>
            <w:vAlign w:val="center"/>
          </w:tcPr>
          <w:p w14:paraId="202C92DC">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监测项目</w:t>
            </w:r>
          </w:p>
        </w:tc>
        <w:tc>
          <w:tcPr>
            <w:tcW w:w="1038" w:type="pct"/>
            <w:vAlign w:val="center"/>
          </w:tcPr>
          <w:p w14:paraId="3F178830">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单位（mg/L）</w:t>
            </w:r>
          </w:p>
        </w:tc>
        <w:tc>
          <w:tcPr>
            <w:tcW w:w="1008" w:type="pct"/>
            <w:vAlign w:val="center"/>
          </w:tcPr>
          <w:p w14:paraId="0FF463FB">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标准限值（mg/L）</w:t>
            </w:r>
          </w:p>
        </w:tc>
        <w:tc>
          <w:tcPr>
            <w:tcW w:w="1008" w:type="pct"/>
            <w:vAlign w:val="center"/>
          </w:tcPr>
          <w:p w14:paraId="78712EAF">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达标情况</w:t>
            </w:r>
          </w:p>
        </w:tc>
      </w:tr>
      <w:tr w14:paraId="0DD72B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restart"/>
            <w:vAlign w:val="center"/>
          </w:tcPr>
          <w:p w14:paraId="1AB77617">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监测单位：国检测试控股集团新疆有限公司。监测时间：2025年10月29日；</w:t>
            </w:r>
          </w:p>
        </w:tc>
        <w:tc>
          <w:tcPr>
            <w:tcW w:w="1149" w:type="pct"/>
            <w:vAlign w:val="center"/>
          </w:tcPr>
          <w:p w14:paraId="2EA5C65E">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化学需氧量</w:t>
            </w:r>
          </w:p>
        </w:tc>
        <w:tc>
          <w:tcPr>
            <w:tcW w:w="1038" w:type="pct"/>
            <w:vAlign w:val="center"/>
          </w:tcPr>
          <w:p w14:paraId="1ED9305D">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42</w:t>
            </w:r>
          </w:p>
        </w:tc>
        <w:tc>
          <w:tcPr>
            <w:tcW w:w="1008" w:type="pct"/>
            <w:vAlign w:val="center"/>
          </w:tcPr>
          <w:p w14:paraId="4484FCAB">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1008" w:type="pct"/>
            <w:vAlign w:val="center"/>
          </w:tcPr>
          <w:p w14:paraId="180F4492">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1D58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4B8C7974">
            <w:pPr>
              <w:pStyle w:val="280"/>
              <w:rPr>
                <w:rFonts w:hint="eastAsia"/>
                <w:color w:val="000000" w:themeColor="text1"/>
                <w14:textFill>
                  <w14:solidFill>
                    <w14:schemeClr w14:val="tx1"/>
                  </w14:solidFill>
                </w14:textFill>
              </w:rPr>
            </w:pPr>
          </w:p>
        </w:tc>
        <w:tc>
          <w:tcPr>
            <w:tcW w:w="1149" w:type="pct"/>
            <w:vAlign w:val="center"/>
          </w:tcPr>
          <w:p w14:paraId="458DBC98">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五日生化需氧量</w:t>
            </w:r>
          </w:p>
        </w:tc>
        <w:tc>
          <w:tcPr>
            <w:tcW w:w="1038" w:type="pct"/>
            <w:vAlign w:val="center"/>
          </w:tcPr>
          <w:p w14:paraId="7AAB4510">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4.80</w:t>
            </w:r>
          </w:p>
        </w:tc>
        <w:tc>
          <w:tcPr>
            <w:tcW w:w="1008" w:type="pct"/>
            <w:vAlign w:val="center"/>
          </w:tcPr>
          <w:p w14:paraId="3EC4C086">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1008" w:type="pct"/>
            <w:vAlign w:val="center"/>
          </w:tcPr>
          <w:p w14:paraId="48CAEA81">
            <w:pPr>
              <w:jc w:val="center"/>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5AB3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0A3861D2">
            <w:pPr>
              <w:pStyle w:val="280"/>
              <w:rPr>
                <w:rFonts w:hint="eastAsia"/>
                <w:color w:val="000000" w:themeColor="text1"/>
                <w14:textFill>
                  <w14:solidFill>
                    <w14:schemeClr w14:val="tx1"/>
                  </w14:solidFill>
                </w14:textFill>
              </w:rPr>
            </w:pPr>
          </w:p>
        </w:tc>
        <w:tc>
          <w:tcPr>
            <w:tcW w:w="1149" w:type="pct"/>
            <w:vAlign w:val="center"/>
          </w:tcPr>
          <w:p w14:paraId="5BD80143">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氨氮</w:t>
            </w:r>
          </w:p>
        </w:tc>
        <w:tc>
          <w:tcPr>
            <w:tcW w:w="1038" w:type="pct"/>
            <w:vAlign w:val="center"/>
          </w:tcPr>
          <w:p w14:paraId="006F41C4">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4.70</w:t>
            </w:r>
          </w:p>
        </w:tc>
        <w:tc>
          <w:tcPr>
            <w:tcW w:w="1008" w:type="pct"/>
            <w:vAlign w:val="center"/>
          </w:tcPr>
          <w:p w14:paraId="2605E520">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008" w:type="pct"/>
            <w:vAlign w:val="center"/>
          </w:tcPr>
          <w:p w14:paraId="79B3894B">
            <w:pPr>
              <w:jc w:val="center"/>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0636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6E64A448">
            <w:pPr>
              <w:pStyle w:val="280"/>
              <w:rPr>
                <w:rFonts w:hint="eastAsia"/>
                <w:color w:val="000000" w:themeColor="text1"/>
                <w14:textFill>
                  <w14:solidFill>
                    <w14:schemeClr w14:val="tx1"/>
                  </w14:solidFill>
                </w14:textFill>
              </w:rPr>
            </w:pPr>
          </w:p>
        </w:tc>
        <w:tc>
          <w:tcPr>
            <w:tcW w:w="1149" w:type="pct"/>
            <w:vAlign w:val="center"/>
          </w:tcPr>
          <w:p w14:paraId="2289BE0E">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总磷</w:t>
            </w:r>
          </w:p>
        </w:tc>
        <w:tc>
          <w:tcPr>
            <w:tcW w:w="1038" w:type="pct"/>
            <w:vAlign w:val="center"/>
          </w:tcPr>
          <w:p w14:paraId="1D8CBA12">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4.30</w:t>
            </w:r>
          </w:p>
        </w:tc>
        <w:tc>
          <w:tcPr>
            <w:tcW w:w="1008" w:type="pct"/>
            <w:vAlign w:val="center"/>
          </w:tcPr>
          <w:p w14:paraId="53AED064">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008" w:type="pct"/>
            <w:vAlign w:val="center"/>
          </w:tcPr>
          <w:p w14:paraId="58E93056">
            <w:pPr>
              <w:jc w:val="center"/>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73E91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122FB74D">
            <w:pPr>
              <w:pStyle w:val="280"/>
              <w:rPr>
                <w:rFonts w:hint="eastAsia"/>
                <w:color w:val="000000" w:themeColor="text1"/>
                <w14:textFill>
                  <w14:solidFill>
                    <w14:schemeClr w14:val="tx1"/>
                  </w14:solidFill>
                </w14:textFill>
              </w:rPr>
            </w:pPr>
          </w:p>
        </w:tc>
        <w:tc>
          <w:tcPr>
            <w:tcW w:w="1149" w:type="pct"/>
            <w:vAlign w:val="center"/>
          </w:tcPr>
          <w:p w14:paraId="078540CF">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总氮</w:t>
            </w:r>
          </w:p>
        </w:tc>
        <w:tc>
          <w:tcPr>
            <w:tcW w:w="1038" w:type="pct"/>
            <w:vAlign w:val="center"/>
          </w:tcPr>
          <w:p w14:paraId="24C7213B">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26.0</w:t>
            </w:r>
          </w:p>
        </w:tc>
        <w:tc>
          <w:tcPr>
            <w:tcW w:w="1008" w:type="pct"/>
            <w:vAlign w:val="center"/>
          </w:tcPr>
          <w:p w14:paraId="3E3F1786">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008" w:type="pct"/>
            <w:vAlign w:val="center"/>
          </w:tcPr>
          <w:p w14:paraId="71E621C2">
            <w:pPr>
              <w:jc w:val="center"/>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4AA1B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12FDD71B">
            <w:pPr>
              <w:pStyle w:val="280"/>
              <w:rPr>
                <w:rFonts w:hint="eastAsia"/>
                <w:color w:val="000000" w:themeColor="text1"/>
                <w14:textFill>
                  <w14:solidFill>
                    <w14:schemeClr w14:val="tx1"/>
                  </w14:solidFill>
                </w14:textFill>
              </w:rPr>
            </w:pPr>
          </w:p>
        </w:tc>
        <w:tc>
          <w:tcPr>
            <w:tcW w:w="1149" w:type="pct"/>
            <w:vAlign w:val="center"/>
          </w:tcPr>
          <w:p w14:paraId="7FE2B432">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石油类</w:t>
            </w:r>
          </w:p>
        </w:tc>
        <w:tc>
          <w:tcPr>
            <w:tcW w:w="1038" w:type="pct"/>
            <w:vAlign w:val="center"/>
          </w:tcPr>
          <w:p w14:paraId="0C4CE439">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＜0.06</w:t>
            </w:r>
          </w:p>
        </w:tc>
        <w:tc>
          <w:tcPr>
            <w:tcW w:w="1008" w:type="pct"/>
            <w:vAlign w:val="center"/>
          </w:tcPr>
          <w:p w14:paraId="607852E1">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w:t>
            </w:r>
          </w:p>
        </w:tc>
        <w:tc>
          <w:tcPr>
            <w:tcW w:w="1008" w:type="pct"/>
            <w:vAlign w:val="center"/>
          </w:tcPr>
          <w:p w14:paraId="2533E246">
            <w:pPr>
              <w:jc w:val="center"/>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6B77EC2C">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③噪声</w:t>
      </w:r>
    </w:p>
    <w:p w14:paraId="72AC5635">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井区噪声源主要为各类机泵和巡检车辆；吉祥联合站内噪声源主要为机泵、风机、空压机、压缩机等。通过采用低噪声设备、基础减振、定期对各设备检维修、保养，将机泵布置在室内等措施进行防治。吉祥联合站内现状噪声源强详见下表。</w:t>
      </w:r>
    </w:p>
    <w:p w14:paraId="587423C4">
      <w:pPr>
        <w:spacing w:line="500" w:lineRule="atLeast"/>
        <w:ind w:firstLine="420"/>
        <w:jc w:val="center"/>
        <w:rPr>
          <w:rStyle w:val="166"/>
          <w:rFonts w:hint="eastAsia"/>
          <w:color w:val="000000" w:themeColor="text1"/>
          <w14:textFill>
            <w14:solidFill>
              <w14:schemeClr w14:val="tx1"/>
            </w14:solidFill>
          </w14:textFill>
        </w:rPr>
      </w:pPr>
      <w:r>
        <w:rPr>
          <w:rStyle w:val="166"/>
          <w:color w:val="000000" w:themeColor="text1"/>
          <w14:textFill>
            <w14:solidFill>
              <w14:schemeClr w14:val="tx1"/>
            </w14:solidFill>
          </w14:textFill>
        </w:rPr>
        <w:t>表</w:t>
      </w:r>
      <w:r>
        <w:rPr>
          <w:rStyle w:val="166"/>
          <w:rFonts w:hint="eastAsia"/>
          <w:color w:val="000000" w:themeColor="text1"/>
          <w14:textFill>
            <w14:solidFill>
              <w14:schemeClr w14:val="tx1"/>
            </w14:solidFill>
          </w14:textFill>
        </w:rPr>
        <w:t>3.1-</w:t>
      </w:r>
      <w:r>
        <w:rPr>
          <w:rStyle w:val="166"/>
          <w:rFonts w:hint="eastAsia" w:eastAsia="黑体"/>
          <w:color w:val="000000" w:themeColor="text1"/>
          <w:lang w:val="en-US" w:eastAsia="zh-CN"/>
          <w14:textFill>
            <w14:solidFill>
              <w14:schemeClr w14:val="tx1"/>
            </w14:solidFill>
          </w14:textFill>
        </w:rPr>
        <w:t>8</w:t>
      </w:r>
      <w:r>
        <w:rPr>
          <w:rStyle w:val="166"/>
          <w:rFonts w:hint="eastAsia"/>
          <w:color w:val="000000" w:themeColor="text1"/>
          <w14:textFill>
            <w14:solidFill>
              <w14:schemeClr w14:val="tx1"/>
            </w14:solidFill>
          </w14:textFill>
        </w:rPr>
        <w:t xml:space="preserve">  </w:t>
      </w:r>
      <w:r>
        <w:rPr>
          <w:rFonts w:hint="eastAsia" w:ascii="黑体" w:hAnsi="黑体" w:eastAsia="黑体"/>
          <w:color w:val="000000" w:themeColor="text1"/>
          <w14:textFill>
            <w14:solidFill>
              <w14:schemeClr w14:val="tx1"/>
            </w14:solidFill>
          </w14:textFill>
        </w:rPr>
        <w:t>吉祥联合站</w:t>
      </w:r>
      <w:r>
        <w:rPr>
          <w:rStyle w:val="166"/>
          <w:rFonts w:hint="eastAsia"/>
          <w:color w:val="000000" w:themeColor="text1"/>
          <w14:textFill>
            <w14:solidFill>
              <w14:schemeClr w14:val="tx1"/>
            </w14:solidFill>
          </w14:textFill>
        </w:rPr>
        <w:t>现有噪声源基本情况</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96"/>
        <w:gridCol w:w="1659"/>
        <w:gridCol w:w="2272"/>
        <w:gridCol w:w="2203"/>
      </w:tblGrid>
      <w:tr w14:paraId="4F28B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7" w:type="pct"/>
            <w:vAlign w:val="center"/>
          </w:tcPr>
          <w:p w14:paraId="7A8D01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950" w:type="pct"/>
            <w:vAlign w:val="center"/>
          </w:tcPr>
          <w:p w14:paraId="0E7C89A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数量（台）</w:t>
            </w:r>
          </w:p>
        </w:tc>
        <w:tc>
          <w:tcPr>
            <w:tcW w:w="1301" w:type="pct"/>
            <w:vAlign w:val="center"/>
          </w:tcPr>
          <w:p w14:paraId="5ABA1B4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类型</w:t>
            </w:r>
          </w:p>
        </w:tc>
        <w:tc>
          <w:tcPr>
            <w:tcW w:w="1262" w:type="pct"/>
            <w:vAlign w:val="center"/>
          </w:tcPr>
          <w:p w14:paraId="30B5F2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源强[</w:t>
            </w:r>
            <w:r>
              <w:rPr>
                <w:color w:val="000000" w:themeColor="text1"/>
                <w14:textFill>
                  <w14:solidFill>
                    <w14:schemeClr w14:val="tx1"/>
                  </w14:solidFill>
                </w14:textFill>
              </w:rPr>
              <w:t>dB</w:t>
            </w:r>
            <w:r>
              <w:rPr>
                <w:rFonts w:hint="eastAsia"/>
                <w:color w:val="000000" w:themeColor="text1"/>
                <w14:textFill>
                  <w14:solidFill>
                    <w14:schemeClr w14:val="tx1"/>
                  </w14:solidFill>
                </w14:textFill>
              </w:rPr>
              <w:t>（A）</w:t>
            </w:r>
            <w:r>
              <w:rPr>
                <w:color w:val="000000" w:themeColor="text1"/>
                <w14:textFill>
                  <w14:solidFill>
                    <w14:schemeClr w14:val="tx1"/>
                  </w14:solidFill>
                </w14:textFill>
              </w:rPr>
              <w:t>]</w:t>
            </w:r>
          </w:p>
        </w:tc>
      </w:tr>
      <w:tr w14:paraId="147FB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7" w:type="pct"/>
            <w:vAlign w:val="center"/>
          </w:tcPr>
          <w:p w14:paraId="67DD85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各类机泵</w:t>
            </w:r>
          </w:p>
        </w:tc>
        <w:tc>
          <w:tcPr>
            <w:tcW w:w="950" w:type="pct"/>
            <w:vAlign w:val="center"/>
          </w:tcPr>
          <w:p w14:paraId="38663B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301" w:type="pct"/>
            <w:vAlign w:val="center"/>
          </w:tcPr>
          <w:p w14:paraId="45147F4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点声源</w:t>
            </w:r>
          </w:p>
        </w:tc>
        <w:tc>
          <w:tcPr>
            <w:tcW w:w="1262" w:type="pct"/>
            <w:vAlign w:val="center"/>
          </w:tcPr>
          <w:p w14:paraId="3E63C4B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80～85</w:t>
            </w:r>
          </w:p>
        </w:tc>
      </w:tr>
      <w:tr w14:paraId="02BF9A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7" w:type="pct"/>
            <w:vAlign w:val="center"/>
          </w:tcPr>
          <w:p w14:paraId="0316A55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阀门及调压设备等</w:t>
            </w:r>
          </w:p>
        </w:tc>
        <w:tc>
          <w:tcPr>
            <w:tcW w:w="950" w:type="pct"/>
            <w:vAlign w:val="center"/>
          </w:tcPr>
          <w:p w14:paraId="16D2F08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301" w:type="pct"/>
            <w:vAlign w:val="center"/>
          </w:tcPr>
          <w:p w14:paraId="356120D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点声源</w:t>
            </w:r>
          </w:p>
        </w:tc>
        <w:tc>
          <w:tcPr>
            <w:tcW w:w="1262" w:type="pct"/>
            <w:vAlign w:val="center"/>
          </w:tcPr>
          <w:p w14:paraId="6A34B2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70～85</w:t>
            </w:r>
          </w:p>
        </w:tc>
      </w:tr>
      <w:tr w14:paraId="0F1D2A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7" w:type="pct"/>
            <w:vAlign w:val="center"/>
          </w:tcPr>
          <w:p w14:paraId="0BA2EA1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加热炉</w:t>
            </w:r>
          </w:p>
        </w:tc>
        <w:tc>
          <w:tcPr>
            <w:tcW w:w="950" w:type="pct"/>
            <w:vAlign w:val="center"/>
          </w:tcPr>
          <w:p w14:paraId="03FA531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301" w:type="pct"/>
            <w:vAlign w:val="center"/>
          </w:tcPr>
          <w:p w14:paraId="35534E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点声源</w:t>
            </w:r>
          </w:p>
        </w:tc>
        <w:tc>
          <w:tcPr>
            <w:tcW w:w="1262" w:type="pct"/>
            <w:vAlign w:val="center"/>
          </w:tcPr>
          <w:p w14:paraId="57EBE0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70～85</w:t>
            </w:r>
          </w:p>
        </w:tc>
      </w:tr>
      <w:tr w14:paraId="702CB9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87" w:type="pct"/>
            <w:vAlign w:val="center"/>
          </w:tcPr>
          <w:p w14:paraId="6CED1E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压缩机</w:t>
            </w:r>
          </w:p>
        </w:tc>
        <w:tc>
          <w:tcPr>
            <w:tcW w:w="950" w:type="pct"/>
            <w:vAlign w:val="center"/>
          </w:tcPr>
          <w:p w14:paraId="5FAD3E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301" w:type="pct"/>
            <w:vAlign w:val="center"/>
          </w:tcPr>
          <w:p w14:paraId="1440038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点声源</w:t>
            </w:r>
          </w:p>
        </w:tc>
        <w:tc>
          <w:tcPr>
            <w:tcW w:w="1262" w:type="pct"/>
            <w:vAlign w:val="center"/>
          </w:tcPr>
          <w:p w14:paraId="76D54E6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80～85</w:t>
            </w:r>
          </w:p>
        </w:tc>
      </w:tr>
      <w:tr w14:paraId="081299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7" w:type="pct"/>
            <w:vAlign w:val="center"/>
          </w:tcPr>
          <w:p w14:paraId="7ED085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分离器、阀门、调压装置</w:t>
            </w:r>
          </w:p>
        </w:tc>
        <w:tc>
          <w:tcPr>
            <w:tcW w:w="950" w:type="pct"/>
            <w:vAlign w:val="center"/>
          </w:tcPr>
          <w:p w14:paraId="209E291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301" w:type="pct"/>
            <w:vAlign w:val="center"/>
          </w:tcPr>
          <w:p w14:paraId="6E9B03A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点声源</w:t>
            </w:r>
          </w:p>
        </w:tc>
        <w:tc>
          <w:tcPr>
            <w:tcW w:w="1262" w:type="pct"/>
            <w:vAlign w:val="center"/>
          </w:tcPr>
          <w:p w14:paraId="4BE76B7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70～85</w:t>
            </w:r>
          </w:p>
        </w:tc>
      </w:tr>
      <w:tr w14:paraId="376B7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7" w:type="pct"/>
            <w:vAlign w:val="center"/>
          </w:tcPr>
          <w:p w14:paraId="4CA1860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系统超压、火炬放空</w:t>
            </w:r>
          </w:p>
        </w:tc>
        <w:tc>
          <w:tcPr>
            <w:tcW w:w="950" w:type="pct"/>
            <w:vAlign w:val="center"/>
          </w:tcPr>
          <w:p w14:paraId="6B9FE9F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301" w:type="pct"/>
            <w:vAlign w:val="center"/>
          </w:tcPr>
          <w:p w14:paraId="70DEF19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点声源</w:t>
            </w:r>
          </w:p>
        </w:tc>
        <w:tc>
          <w:tcPr>
            <w:tcW w:w="1262" w:type="pct"/>
            <w:vAlign w:val="center"/>
          </w:tcPr>
          <w:p w14:paraId="33E6C6F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110～120</w:t>
            </w:r>
          </w:p>
        </w:tc>
      </w:tr>
    </w:tbl>
    <w:p w14:paraId="31137FF8">
      <w:pPr>
        <w:spacing w:line="50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根据2025年吉庆油田作业区例行监测数据可知，采油井场和吉祥联合站及采油井场厂界昼夜噪声值均满足《工业企业厂界环境噪声排放标准》（GB12348-2008）中2类限值要求，监测数据详见下表。</w:t>
      </w:r>
    </w:p>
    <w:p w14:paraId="17BFA669">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厂界昼夜噪声监测结果一览表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73"/>
        <w:gridCol w:w="1476"/>
        <w:gridCol w:w="1195"/>
        <w:gridCol w:w="773"/>
        <w:gridCol w:w="772"/>
        <w:gridCol w:w="1055"/>
        <w:gridCol w:w="913"/>
        <w:gridCol w:w="774"/>
        <w:gridCol w:w="999"/>
      </w:tblGrid>
      <w:tr w14:paraId="18F2D0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restart"/>
            <w:vAlign w:val="center"/>
          </w:tcPr>
          <w:p w14:paraId="2E5FD50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站场名称</w:t>
            </w:r>
          </w:p>
        </w:tc>
        <w:tc>
          <w:tcPr>
            <w:tcW w:w="725" w:type="pct"/>
            <w:vMerge w:val="restart"/>
            <w:vAlign w:val="center"/>
          </w:tcPr>
          <w:p w14:paraId="2D7B261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监测时间</w:t>
            </w:r>
          </w:p>
        </w:tc>
        <w:tc>
          <w:tcPr>
            <w:tcW w:w="700" w:type="pct"/>
            <w:vMerge w:val="restart"/>
            <w:vAlign w:val="center"/>
          </w:tcPr>
          <w:p w14:paraId="6870DF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监测点</w:t>
            </w:r>
          </w:p>
        </w:tc>
        <w:tc>
          <w:tcPr>
            <w:tcW w:w="1534" w:type="pct"/>
            <w:gridSpan w:val="3"/>
            <w:vAlign w:val="center"/>
          </w:tcPr>
          <w:p w14:paraId="4D3EE6F8">
            <w:pPr>
              <w:pStyle w:val="280"/>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昼间</w:t>
            </w:r>
            <w:r>
              <w:rPr>
                <w:rFonts w:hint="eastAsia"/>
                <w:color w:val="000000" w:themeColor="text1"/>
                <w14:textFill>
                  <w14:solidFill>
                    <w14:schemeClr w14:val="tx1"/>
                  </w14:solidFill>
                </w14:textFill>
              </w:rPr>
              <w:t>[dB（A）]</w:t>
            </w:r>
          </w:p>
        </w:tc>
        <w:tc>
          <w:tcPr>
            <w:tcW w:w="1583" w:type="pct"/>
            <w:gridSpan w:val="3"/>
            <w:vAlign w:val="center"/>
          </w:tcPr>
          <w:p w14:paraId="012F91A3">
            <w:pPr>
              <w:pStyle w:val="280"/>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夜间</w:t>
            </w:r>
            <w:r>
              <w:rPr>
                <w:rFonts w:hint="eastAsia"/>
                <w:color w:val="000000" w:themeColor="text1"/>
                <w14:textFill>
                  <w14:solidFill>
                    <w14:schemeClr w14:val="tx1"/>
                  </w14:solidFill>
                </w14:textFill>
              </w:rPr>
              <w:t>[dB（A）]</w:t>
            </w:r>
          </w:p>
        </w:tc>
      </w:tr>
      <w:tr w14:paraId="251DE6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continue"/>
            <w:vAlign w:val="center"/>
          </w:tcPr>
          <w:p w14:paraId="3622ECF7">
            <w:pPr>
              <w:pStyle w:val="280"/>
              <w:rPr>
                <w:rFonts w:hint="eastAsia"/>
                <w:color w:val="000000" w:themeColor="text1"/>
                <w14:textFill>
                  <w14:solidFill>
                    <w14:schemeClr w14:val="tx1"/>
                  </w14:solidFill>
                </w14:textFill>
              </w:rPr>
            </w:pPr>
          </w:p>
        </w:tc>
        <w:tc>
          <w:tcPr>
            <w:tcW w:w="725" w:type="pct"/>
            <w:vMerge w:val="continue"/>
            <w:vAlign w:val="center"/>
          </w:tcPr>
          <w:p w14:paraId="74E997F5">
            <w:pPr>
              <w:pStyle w:val="280"/>
              <w:rPr>
                <w:rFonts w:hint="eastAsia"/>
                <w:color w:val="000000" w:themeColor="text1"/>
                <w14:textFill>
                  <w14:solidFill>
                    <w14:schemeClr w14:val="tx1"/>
                  </w14:solidFill>
                </w14:textFill>
              </w:rPr>
            </w:pPr>
          </w:p>
        </w:tc>
        <w:tc>
          <w:tcPr>
            <w:tcW w:w="700" w:type="pct"/>
            <w:vMerge w:val="continue"/>
            <w:vAlign w:val="center"/>
          </w:tcPr>
          <w:p w14:paraId="40777A74">
            <w:pPr>
              <w:pStyle w:val="280"/>
              <w:rPr>
                <w:rFonts w:hint="eastAsia"/>
                <w:color w:val="000000" w:themeColor="text1"/>
                <w14:textFill>
                  <w14:solidFill>
                    <w14:schemeClr w14:val="tx1"/>
                  </w14:solidFill>
                </w14:textFill>
              </w:rPr>
            </w:pPr>
          </w:p>
        </w:tc>
        <w:tc>
          <w:tcPr>
            <w:tcW w:w="458" w:type="pct"/>
            <w:vAlign w:val="center"/>
          </w:tcPr>
          <w:p w14:paraId="42A196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57" w:type="pct"/>
            <w:vAlign w:val="center"/>
          </w:tcPr>
          <w:p w14:paraId="4C0719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p>
        </w:tc>
        <w:tc>
          <w:tcPr>
            <w:tcW w:w="619" w:type="pct"/>
            <w:vAlign w:val="center"/>
          </w:tcPr>
          <w:p w14:paraId="4779022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538" w:type="pct"/>
            <w:vAlign w:val="center"/>
          </w:tcPr>
          <w:p w14:paraId="0853EF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58" w:type="pct"/>
            <w:vAlign w:val="center"/>
          </w:tcPr>
          <w:p w14:paraId="171411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p>
        </w:tc>
        <w:tc>
          <w:tcPr>
            <w:tcW w:w="587" w:type="pct"/>
            <w:vAlign w:val="center"/>
          </w:tcPr>
          <w:p w14:paraId="77EEF44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2182FD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restart"/>
            <w:vAlign w:val="center"/>
          </w:tcPr>
          <w:p w14:paraId="071E3BC5">
            <w:pPr>
              <w:pStyle w:val="28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吉祥联合站</w:t>
            </w:r>
          </w:p>
        </w:tc>
        <w:tc>
          <w:tcPr>
            <w:tcW w:w="725" w:type="pct"/>
            <w:vMerge w:val="restart"/>
            <w:vAlign w:val="center"/>
          </w:tcPr>
          <w:p w14:paraId="2DE7A95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2025.10.21～10.22</w:t>
            </w:r>
          </w:p>
        </w:tc>
        <w:tc>
          <w:tcPr>
            <w:tcW w:w="700" w:type="pct"/>
            <w:vAlign w:val="center"/>
          </w:tcPr>
          <w:p w14:paraId="2B575D7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458" w:type="pct"/>
            <w:vAlign w:val="center"/>
          </w:tcPr>
          <w:p w14:paraId="51A9A4A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51</w:t>
            </w:r>
          </w:p>
        </w:tc>
        <w:tc>
          <w:tcPr>
            <w:tcW w:w="457" w:type="pct"/>
            <w:vAlign w:val="center"/>
          </w:tcPr>
          <w:p w14:paraId="741E6F4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619" w:type="pct"/>
            <w:vAlign w:val="center"/>
          </w:tcPr>
          <w:p w14:paraId="4E9F39F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538" w:type="pct"/>
            <w:vAlign w:val="center"/>
          </w:tcPr>
          <w:p w14:paraId="4D7F0C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458" w:type="pct"/>
            <w:vAlign w:val="center"/>
          </w:tcPr>
          <w:p w14:paraId="1E1323F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587" w:type="pct"/>
            <w:vAlign w:val="center"/>
          </w:tcPr>
          <w:p w14:paraId="5F56D70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84FB5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continue"/>
            <w:vAlign w:val="center"/>
          </w:tcPr>
          <w:p w14:paraId="39537E21">
            <w:pPr>
              <w:pStyle w:val="280"/>
              <w:rPr>
                <w:rFonts w:hint="eastAsia"/>
                <w:color w:val="000000" w:themeColor="text1"/>
                <w14:textFill>
                  <w14:solidFill>
                    <w14:schemeClr w14:val="tx1"/>
                  </w14:solidFill>
                </w14:textFill>
              </w:rPr>
            </w:pPr>
          </w:p>
        </w:tc>
        <w:tc>
          <w:tcPr>
            <w:tcW w:w="725" w:type="pct"/>
            <w:vMerge w:val="continue"/>
            <w:vAlign w:val="center"/>
          </w:tcPr>
          <w:p w14:paraId="531A9174">
            <w:pPr>
              <w:pStyle w:val="280"/>
              <w:rPr>
                <w:rFonts w:hint="eastAsia"/>
                <w:color w:val="000000" w:themeColor="text1"/>
                <w14:textFill>
                  <w14:solidFill>
                    <w14:schemeClr w14:val="tx1"/>
                  </w14:solidFill>
                </w14:textFill>
              </w:rPr>
            </w:pPr>
          </w:p>
        </w:tc>
        <w:tc>
          <w:tcPr>
            <w:tcW w:w="700" w:type="pct"/>
            <w:vAlign w:val="center"/>
          </w:tcPr>
          <w:p w14:paraId="3D4AE45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458" w:type="pct"/>
            <w:vAlign w:val="center"/>
          </w:tcPr>
          <w:p w14:paraId="7D267E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457" w:type="pct"/>
            <w:vAlign w:val="center"/>
          </w:tcPr>
          <w:p w14:paraId="48DE23B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619" w:type="pct"/>
            <w:vAlign w:val="center"/>
          </w:tcPr>
          <w:p w14:paraId="0D0D74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538" w:type="pct"/>
            <w:vAlign w:val="center"/>
          </w:tcPr>
          <w:p w14:paraId="5828379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458" w:type="pct"/>
            <w:vAlign w:val="center"/>
          </w:tcPr>
          <w:p w14:paraId="19EA2F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587" w:type="pct"/>
            <w:vAlign w:val="center"/>
          </w:tcPr>
          <w:p w14:paraId="481C7F6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E6C49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continue"/>
            <w:vAlign w:val="center"/>
          </w:tcPr>
          <w:p w14:paraId="74E4ADB8">
            <w:pPr>
              <w:pStyle w:val="280"/>
              <w:rPr>
                <w:rFonts w:hint="eastAsia"/>
                <w:color w:val="000000" w:themeColor="text1"/>
                <w14:textFill>
                  <w14:solidFill>
                    <w14:schemeClr w14:val="tx1"/>
                  </w14:solidFill>
                </w14:textFill>
              </w:rPr>
            </w:pPr>
          </w:p>
        </w:tc>
        <w:tc>
          <w:tcPr>
            <w:tcW w:w="725" w:type="pct"/>
            <w:vMerge w:val="continue"/>
            <w:vAlign w:val="center"/>
          </w:tcPr>
          <w:p w14:paraId="03E959EB">
            <w:pPr>
              <w:pStyle w:val="280"/>
              <w:rPr>
                <w:rFonts w:hint="eastAsia"/>
                <w:color w:val="000000" w:themeColor="text1"/>
                <w14:textFill>
                  <w14:solidFill>
                    <w14:schemeClr w14:val="tx1"/>
                  </w14:solidFill>
                </w14:textFill>
              </w:rPr>
            </w:pPr>
          </w:p>
        </w:tc>
        <w:tc>
          <w:tcPr>
            <w:tcW w:w="700" w:type="pct"/>
            <w:vAlign w:val="center"/>
          </w:tcPr>
          <w:p w14:paraId="2A2B39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458" w:type="pct"/>
            <w:vAlign w:val="center"/>
          </w:tcPr>
          <w:p w14:paraId="574604A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457" w:type="pct"/>
            <w:vAlign w:val="center"/>
          </w:tcPr>
          <w:p w14:paraId="342C50A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619" w:type="pct"/>
            <w:vAlign w:val="center"/>
          </w:tcPr>
          <w:p w14:paraId="231F116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538" w:type="pct"/>
            <w:vAlign w:val="center"/>
          </w:tcPr>
          <w:p w14:paraId="79EB641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458" w:type="pct"/>
            <w:vAlign w:val="center"/>
          </w:tcPr>
          <w:p w14:paraId="566CF2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587" w:type="pct"/>
            <w:vAlign w:val="center"/>
          </w:tcPr>
          <w:p w14:paraId="2CB107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B6DAA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continue"/>
            <w:vAlign w:val="center"/>
          </w:tcPr>
          <w:p w14:paraId="3B58D149">
            <w:pPr>
              <w:pStyle w:val="280"/>
              <w:rPr>
                <w:rFonts w:hint="eastAsia"/>
                <w:color w:val="000000" w:themeColor="text1"/>
                <w14:textFill>
                  <w14:solidFill>
                    <w14:schemeClr w14:val="tx1"/>
                  </w14:solidFill>
                </w14:textFill>
              </w:rPr>
            </w:pPr>
          </w:p>
        </w:tc>
        <w:tc>
          <w:tcPr>
            <w:tcW w:w="725" w:type="pct"/>
            <w:vMerge w:val="continue"/>
            <w:vAlign w:val="center"/>
          </w:tcPr>
          <w:p w14:paraId="5961A8BF">
            <w:pPr>
              <w:pStyle w:val="280"/>
              <w:rPr>
                <w:rFonts w:hint="eastAsia"/>
                <w:color w:val="000000" w:themeColor="text1"/>
                <w14:textFill>
                  <w14:solidFill>
                    <w14:schemeClr w14:val="tx1"/>
                  </w14:solidFill>
                </w14:textFill>
              </w:rPr>
            </w:pPr>
          </w:p>
        </w:tc>
        <w:tc>
          <w:tcPr>
            <w:tcW w:w="700" w:type="pct"/>
            <w:vAlign w:val="center"/>
          </w:tcPr>
          <w:p w14:paraId="12938F51">
            <w:pPr>
              <w:pStyle w:val="280"/>
              <w:rPr>
                <w:rFonts w:hint="eastAsia"/>
                <w:color w:val="000000" w:themeColor="text1"/>
                <w14:textFill>
                  <w14:solidFill>
                    <w14:schemeClr w14:val="tx1"/>
                  </w14:solidFill>
                </w14:textFill>
              </w:rPr>
            </w:pPr>
            <w:bookmarkStart w:id="211" w:name="_Toc155368783"/>
            <w:bookmarkStart w:id="212" w:name="_Toc160381874"/>
            <w:r>
              <w:rPr>
                <w:rFonts w:hint="eastAsia"/>
                <w:color w:val="000000" w:themeColor="text1"/>
                <w14:textFill>
                  <w14:solidFill>
                    <w14:schemeClr w14:val="tx1"/>
                  </w14:solidFill>
                </w14:textFill>
              </w:rPr>
              <w:t>北厂界</w:t>
            </w:r>
            <w:bookmarkEnd w:id="211"/>
            <w:bookmarkEnd w:id="212"/>
          </w:p>
        </w:tc>
        <w:tc>
          <w:tcPr>
            <w:tcW w:w="458" w:type="pct"/>
            <w:vAlign w:val="center"/>
          </w:tcPr>
          <w:p w14:paraId="41EDC76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457" w:type="pct"/>
            <w:vAlign w:val="center"/>
          </w:tcPr>
          <w:p w14:paraId="5A0898D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619" w:type="pct"/>
            <w:vAlign w:val="center"/>
          </w:tcPr>
          <w:p w14:paraId="16DCF7D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538" w:type="pct"/>
            <w:vAlign w:val="center"/>
          </w:tcPr>
          <w:p w14:paraId="361D4E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458" w:type="pct"/>
            <w:vAlign w:val="center"/>
          </w:tcPr>
          <w:p w14:paraId="1D56521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587" w:type="pct"/>
            <w:vAlign w:val="center"/>
          </w:tcPr>
          <w:p w14:paraId="1398E3F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18477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restart"/>
            <w:vAlign w:val="center"/>
          </w:tcPr>
          <w:p w14:paraId="693ABB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采油井场</w:t>
            </w:r>
          </w:p>
        </w:tc>
        <w:tc>
          <w:tcPr>
            <w:tcW w:w="725" w:type="pct"/>
            <w:vMerge w:val="restart"/>
            <w:vAlign w:val="center"/>
          </w:tcPr>
          <w:p w14:paraId="0D4707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2021.1.23</w:t>
            </w:r>
          </w:p>
        </w:tc>
        <w:tc>
          <w:tcPr>
            <w:tcW w:w="700" w:type="pct"/>
            <w:vAlign w:val="center"/>
          </w:tcPr>
          <w:p w14:paraId="78F596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458" w:type="pct"/>
            <w:vAlign w:val="center"/>
          </w:tcPr>
          <w:p w14:paraId="00A1504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457" w:type="pct"/>
            <w:vAlign w:val="center"/>
          </w:tcPr>
          <w:p w14:paraId="47914B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619" w:type="pct"/>
            <w:vAlign w:val="center"/>
          </w:tcPr>
          <w:p w14:paraId="2C0C039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538" w:type="pct"/>
            <w:vAlign w:val="center"/>
          </w:tcPr>
          <w:p w14:paraId="63F292F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458" w:type="pct"/>
            <w:vAlign w:val="center"/>
          </w:tcPr>
          <w:p w14:paraId="6BFD09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587" w:type="pct"/>
            <w:vAlign w:val="center"/>
          </w:tcPr>
          <w:p w14:paraId="655463C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26ECD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continue"/>
            <w:vAlign w:val="center"/>
          </w:tcPr>
          <w:p w14:paraId="01EFEC09">
            <w:pPr>
              <w:pStyle w:val="280"/>
              <w:rPr>
                <w:rFonts w:hint="eastAsia"/>
                <w:color w:val="000000" w:themeColor="text1"/>
                <w14:textFill>
                  <w14:solidFill>
                    <w14:schemeClr w14:val="tx1"/>
                  </w14:solidFill>
                </w14:textFill>
              </w:rPr>
            </w:pPr>
          </w:p>
        </w:tc>
        <w:tc>
          <w:tcPr>
            <w:tcW w:w="725" w:type="pct"/>
            <w:vMerge w:val="continue"/>
            <w:vAlign w:val="center"/>
          </w:tcPr>
          <w:p w14:paraId="6C3ED422">
            <w:pPr>
              <w:pStyle w:val="280"/>
              <w:rPr>
                <w:rFonts w:hint="eastAsia"/>
                <w:color w:val="000000" w:themeColor="text1"/>
                <w14:textFill>
                  <w14:solidFill>
                    <w14:schemeClr w14:val="tx1"/>
                  </w14:solidFill>
                </w14:textFill>
              </w:rPr>
            </w:pPr>
          </w:p>
        </w:tc>
        <w:tc>
          <w:tcPr>
            <w:tcW w:w="700" w:type="pct"/>
            <w:vAlign w:val="center"/>
          </w:tcPr>
          <w:p w14:paraId="415D056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458" w:type="pct"/>
            <w:vAlign w:val="center"/>
          </w:tcPr>
          <w:p w14:paraId="28A524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w:t>
            </w:r>
          </w:p>
        </w:tc>
        <w:tc>
          <w:tcPr>
            <w:tcW w:w="457" w:type="pct"/>
            <w:vAlign w:val="center"/>
          </w:tcPr>
          <w:p w14:paraId="626E565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619" w:type="pct"/>
            <w:vAlign w:val="center"/>
          </w:tcPr>
          <w:p w14:paraId="3DF252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538" w:type="pct"/>
          </w:tcPr>
          <w:p w14:paraId="14424A1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458" w:type="pct"/>
            <w:vAlign w:val="center"/>
          </w:tcPr>
          <w:p w14:paraId="4E2008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587" w:type="pct"/>
            <w:vAlign w:val="center"/>
          </w:tcPr>
          <w:p w14:paraId="3DE0C19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B9397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continue"/>
            <w:vAlign w:val="center"/>
          </w:tcPr>
          <w:p w14:paraId="1FCA3685">
            <w:pPr>
              <w:pStyle w:val="280"/>
              <w:rPr>
                <w:rFonts w:hint="eastAsia"/>
                <w:color w:val="000000" w:themeColor="text1"/>
                <w14:textFill>
                  <w14:solidFill>
                    <w14:schemeClr w14:val="tx1"/>
                  </w14:solidFill>
                </w14:textFill>
              </w:rPr>
            </w:pPr>
          </w:p>
        </w:tc>
        <w:tc>
          <w:tcPr>
            <w:tcW w:w="725" w:type="pct"/>
            <w:vMerge w:val="continue"/>
            <w:vAlign w:val="center"/>
          </w:tcPr>
          <w:p w14:paraId="2B9A40FE">
            <w:pPr>
              <w:pStyle w:val="280"/>
              <w:rPr>
                <w:rFonts w:hint="eastAsia"/>
                <w:color w:val="000000" w:themeColor="text1"/>
                <w14:textFill>
                  <w14:solidFill>
                    <w14:schemeClr w14:val="tx1"/>
                  </w14:solidFill>
                </w14:textFill>
              </w:rPr>
            </w:pPr>
          </w:p>
        </w:tc>
        <w:tc>
          <w:tcPr>
            <w:tcW w:w="700" w:type="pct"/>
            <w:vAlign w:val="center"/>
          </w:tcPr>
          <w:p w14:paraId="57BC1E5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458" w:type="pct"/>
            <w:vAlign w:val="center"/>
          </w:tcPr>
          <w:p w14:paraId="66E5208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457" w:type="pct"/>
            <w:vAlign w:val="center"/>
          </w:tcPr>
          <w:p w14:paraId="7F1D15C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619" w:type="pct"/>
            <w:vAlign w:val="center"/>
          </w:tcPr>
          <w:p w14:paraId="19DA865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538" w:type="pct"/>
          </w:tcPr>
          <w:p w14:paraId="6F60468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458" w:type="pct"/>
            <w:vAlign w:val="center"/>
          </w:tcPr>
          <w:p w14:paraId="5B7E156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587" w:type="pct"/>
            <w:vAlign w:val="center"/>
          </w:tcPr>
          <w:p w14:paraId="0F0846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F0411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58" w:type="pct"/>
            <w:vMerge w:val="continue"/>
            <w:vAlign w:val="center"/>
          </w:tcPr>
          <w:p w14:paraId="7833758D">
            <w:pPr>
              <w:pStyle w:val="280"/>
              <w:rPr>
                <w:rFonts w:hint="eastAsia"/>
                <w:color w:val="000000" w:themeColor="text1"/>
                <w14:textFill>
                  <w14:solidFill>
                    <w14:schemeClr w14:val="tx1"/>
                  </w14:solidFill>
                </w14:textFill>
              </w:rPr>
            </w:pPr>
          </w:p>
        </w:tc>
        <w:tc>
          <w:tcPr>
            <w:tcW w:w="725" w:type="pct"/>
            <w:vMerge w:val="continue"/>
            <w:vAlign w:val="center"/>
          </w:tcPr>
          <w:p w14:paraId="69319982">
            <w:pPr>
              <w:pStyle w:val="280"/>
              <w:rPr>
                <w:rFonts w:hint="eastAsia"/>
                <w:color w:val="000000" w:themeColor="text1"/>
                <w14:textFill>
                  <w14:solidFill>
                    <w14:schemeClr w14:val="tx1"/>
                  </w14:solidFill>
                </w14:textFill>
              </w:rPr>
            </w:pPr>
          </w:p>
        </w:tc>
        <w:tc>
          <w:tcPr>
            <w:tcW w:w="700" w:type="pct"/>
            <w:vAlign w:val="center"/>
          </w:tcPr>
          <w:p w14:paraId="2EDAF0A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c>
          <w:tcPr>
            <w:tcW w:w="458" w:type="pct"/>
            <w:vAlign w:val="center"/>
          </w:tcPr>
          <w:p w14:paraId="204F54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457" w:type="pct"/>
            <w:vAlign w:val="center"/>
          </w:tcPr>
          <w:p w14:paraId="1E6847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619" w:type="pct"/>
            <w:vAlign w:val="center"/>
          </w:tcPr>
          <w:p w14:paraId="218FA7C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538" w:type="pct"/>
          </w:tcPr>
          <w:p w14:paraId="1F24460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458" w:type="pct"/>
            <w:vAlign w:val="center"/>
          </w:tcPr>
          <w:p w14:paraId="4DA0228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587" w:type="pct"/>
            <w:vAlign w:val="center"/>
          </w:tcPr>
          <w:p w14:paraId="1358C18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6A0E4F53">
      <w:pPr>
        <w:spacing w:line="50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④固体废物</w:t>
      </w:r>
    </w:p>
    <w:p w14:paraId="420600D0">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区固体废物主要为设备检维修时产生的废机油、废含油抹布、劳保用品和沾油防渗材料；吉祥联合站内固体废物主要为含油污泥、废机油、废含油抹布、劳保用品和生活垃圾；含油污泥、废机油属于《国家危险废物名录》HW08类危险废物，废含油抹布、劳保用品和废滤料属于《国家危险废物名录》HW49类危险废物，集中收集后依托吉祥联合站</w:t>
      </w:r>
      <w:r>
        <w:rPr>
          <w:rFonts w:hint="eastAsia"/>
          <w:color w:val="000000" w:themeColor="text1"/>
          <w:lang w:val="en-US" w:eastAsia="zh-CN"/>
          <w14:textFill>
            <w14:solidFill>
              <w14:schemeClr w14:val="tx1"/>
            </w14:solidFill>
          </w14:textFill>
        </w:rPr>
        <w:t>危险废物贮存点</w:t>
      </w:r>
      <w:r>
        <w:rPr>
          <w:rFonts w:hint="eastAsia"/>
          <w:color w:val="000000" w:themeColor="text1"/>
          <w14:textFill>
            <w14:solidFill>
              <w14:schemeClr w14:val="tx1"/>
            </w14:solidFill>
          </w14:textFill>
        </w:rPr>
        <w:t>分类暂存，最终统一交由克拉玛依博达生态环保科技有限责任公司。生活垃圾定期清运至吉木萨尔县生活垃圾填埋场。</w:t>
      </w:r>
    </w:p>
    <w:p w14:paraId="7B5A0759">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⑤土壤和地下水</w:t>
      </w:r>
    </w:p>
    <w:p w14:paraId="47D8CEBA">
      <w:pPr>
        <w:pStyle w:val="193"/>
        <w:rPr>
          <w:rFonts w:hint="eastAsia"/>
          <w:color w:val="000000" w:themeColor="text1"/>
          <w:spacing w:val="-4"/>
          <w14:textFill>
            <w14:solidFill>
              <w14:schemeClr w14:val="tx1"/>
            </w14:solidFill>
          </w14:textFill>
        </w:rPr>
      </w:pPr>
      <w:r>
        <w:rPr>
          <w:rFonts w:hint="eastAsia"/>
          <w:color w:val="000000" w:themeColor="text1"/>
          <w14:textFill>
            <w14:solidFill>
              <w14:schemeClr w14:val="tx1"/>
            </w14:solidFill>
          </w14:textFill>
        </w:rPr>
        <w:t>井区和站场产生的废水、固体废物均得到妥善处置，吉庆油田作业区采取的土壤和地下水保护措施主要为：井场、吉祥联合站均进行了分区防渗，站外压裂液返排防渗池和化粪池均进行了防渗处理，加强对各类储罐、管线、各类池体的日常维护和巡检，装车区及吉祥联合站卸油区的罐中均设有液位计，装车时出料口处设有残余液体收集装置，并定期清空；作业区定期对管线进行渗漏监测；各类传输泵进料端均安装了关闭控制阀门，加强对各类传输泵的维护。《中国石油新疆油田分公司吉庆油田作业区土壤污染隐患排查报告》中对吉7</w:t>
      </w:r>
      <w:r>
        <w:rPr>
          <w:rFonts w:hint="eastAsia"/>
          <w:color w:val="000000" w:themeColor="text1"/>
          <w:spacing w:val="-4"/>
          <w14:textFill>
            <w14:solidFill>
              <w14:schemeClr w14:val="tx1"/>
            </w14:solidFill>
          </w14:textFill>
        </w:rPr>
        <w:t>井区、</w:t>
      </w:r>
      <w:r>
        <w:rPr>
          <w:rFonts w:hint="eastAsia"/>
          <w:color w:val="000000" w:themeColor="text1"/>
          <w14:textFill>
            <w14:solidFill>
              <w14:schemeClr w14:val="tx1"/>
            </w14:solidFill>
          </w14:textFill>
        </w:rPr>
        <w:t>吉祥联合站</w:t>
      </w:r>
      <w:r>
        <w:rPr>
          <w:rFonts w:hint="eastAsia"/>
          <w:color w:val="000000" w:themeColor="text1"/>
          <w:spacing w:val="-4"/>
          <w14:textFill>
            <w14:solidFill>
              <w14:schemeClr w14:val="tx1"/>
            </w14:solidFill>
          </w14:textFill>
        </w:rPr>
        <w:t>站内土壤进行了监测，根据监测结果可知，土壤中的各监测因子均满足</w:t>
      </w:r>
      <w:r>
        <w:rPr>
          <w:color w:val="000000" w:themeColor="text1"/>
          <w14:textFill>
            <w14:solidFill>
              <w14:schemeClr w14:val="tx1"/>
            </w14:solidFill>
          </w14:textFill>
        </w:rPr>
        <w:t>《土壤环境质量 建设用地土壤污染风险管控标准（试行）》（GB36600-2018）第二类用地风险筛选值要求。</w:t>
      </w:r>
      <w:r>
        <w:rPr>
          <w:rFonts w:hint="eastAsia"/>
          <w:color w:val="000000" w:themeColor="text1"/>
          <w:spacing w:val="-4"/>
          <w14:textFill>
            <w14:solidFill>
              <w14:schemeClr w14:val="tx1"/>
            </w14:solidFill>
          </w14:textFill>
        </w:rPr>
        <w:t>根据吉庆油田作业区对附近现有地下水井例行监测数据可知，区域地下水中石油类满足《地表水环境质量标准》（GB3838-2002）中的Ⅲ类标准要求。</w:t>
      </w:r>
    </w:p>
    <w:p w14:paraId="637F96E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⑥生态环境</w:t>
      </w:r>
    </w:p>
    <w:p w14:paraId="30CCF3E3">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油田区域内钻井工程结束后，基本对临时占地范围内及周边的场地进行了清理及平整，恢复了原貌。对井场永久占地范围内地表结合井区荒漠的特点，油田道路铺设了砂石，站场周围做了平整和压实，减少了侵蚀量。根据现场踏勘情况，区域内井场至计量站的集输管线均采用了地下敷设方式，施工结束后恢复了地表原状。</w:t>
      </w:r>
      <w:r>
        <w:rPr>
          <w:rFonts w:hint="eastAsia"/>
          <w:color w:val="000000" w:themeColor="text1"/>
          <w14:textFill>
            <w14:solidFill>
              <w14:schemeClr w14:val="tx1"/>
            </w14:solidFill>
          </w14:textFill>
        </w:rPr>
        <w:t>已建</w:t>
      </w:r>
      <w:r>
        <w:rPr>
          <w:color w:val="000000" w:themeColor="text1"/>
          <w14:textFill>
            <w14:solidFill>
              <w14:schemeClr w14:val="tx1"/>
            </w14:solidFill>
          </w14:textFill>
        </w:rPr>
        <w:t>计量站完成</w:t>
      </w:r>
      <w:r>
        <w:rPr>
          <w:rFonts w:hint="eastAsia"/>
          <w:color w:val="000000" w:themeColor="text1"/>
          <w14:textFill>
            <w14:solidFill>
              <w14:schemeClr w14:val="tx1"/>
            </w14:solidFill>
          </w14:textFill>
        </w:rPr>
        <w:t>了</w:t>
      </w:r>
      <w:r>
        <w:rPr>
          <w:color w:val="000000" w:themeColor="text1"/>
          <w14:textFill>
            <w14:solidFill>
              <w14:schemeClr w14:val="tx1"/>
            </w14:solidFill>
          </w14:textFill>
        </w:rPr>
        <w:t>地面硬化，现有井场均已平整，由砾石铺垫，井场周边也形成了较稳定的生态结构，根据完井时间不同，各井场恢复程度不同。</w:t>
      </w:r>
    </w:p>
    <w:p w14:paraId="03967431">
      <w:pPr>
        <w:pStyle w:val="193"/>
        <w:ind w:firstLine="480"/>
        <w:rPr>
          <w:rFonts w:hint="eastAsia"/>
          <w:color w:val="000000" w:themeColor="text1"/>
          <w14:textFill>
            <w14:solidFill>
              <w14:schemeClr w14:val="tx1"/>
            </w14:solidFill>
          </w14:textFill>
        </w:rPr>
      </w:pPr>
      <w:bookmarkStart w:id="213" w:name="_Hlk175249429"/>
      <w:r>
        <w:rPr>
          <w:rFonts w:hint="eastAsia"/>
          <w:color w:val="000000" w:themeColor="text1"/>
          <w14:textFill>
            <w14:solidFill>
              <w14:schemeClr w14:val="tx1"/>
            </w14:solidFill>
          </w14:textFill>
        </w:rPr>
        <w:t>（3）环境管理回顾</w:t>
      </w:r>
    </w:p>
    <w:p w14:paraId="590F64ED">
      <w:pPr>
        <w:pStyle w:val="19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①</w:t>
      </w:r>
      <w:bookmarkEnd w:id="213"/>
      <w:r>
        <w:rPr>
          <w:rFonts w:hint="eastAsia"/>
          <w:color w:val="000000" w:themeColor="text1"/>
          <w:lang w:bidi="ar"/>
          <w14:textFill>
            <w14:solidFill>
              <w14:schemeClr w14:val="tx1"/>
            </w14:solidFill>
          </w14:textFill>
        </w:rPr>
        <w:t>现有工程环境影响后评价实施情况</w:t>
      </w:r>
    </w:p>
    <w:p w14:paraId="00A1D7FF">
      <w:pPr>
        <w:pStyle w:val="193"/>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吉庆作业区油气规模化开发始于201</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2021年吉庆油田作业区组织</w:t>
      </w:r>
      <w:r>
        <w:rPr>
          <w:rFonts w:hint="eastAsia"/>
          <w:color w:val="000000" w:themeColor="text1"/>
          <w14:textFill>
            <w14:solidFill>
              <w14:schemeClr w14:val="tx1"/>
            </w14:solidFill>
          </w14:textFill>
        </w:rPr>
        <w:t>开展</w:t>
      </w:r>
      <w:r>
        <w:rPr>
          <w:rFonts w:hint="eastAsia"/>
          <w:color w:val="000000" w:themeColor="text1"/>
          <w:lang w:val="en-US" w:eastAsia="zh-CN"/>
          <w14:textFill>
            <w14:solidFill>
              <w14:schemeClr w14:val="tx1"/>
            </w14:solidFill>
          </w14:textFill>
        </w:rPr>
        <w:t>了</w:t>
      </w:r>
      <w:r>
        <w:rPr>
          <w:rFonts w:hint="eastAsia"/>
          <w:color w:val="000000" w:themeColor="text1"/>
          <w14:textFill>
            <w14:solidFill>
              <w14:schemeClr w14:val="tx1"/>
            </w14:solidFill>
          </w14:textFill>
        </w:rPr>
        <w:t>第一轮环境影响后评价</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编制了吉庆油田作业区吉7井区2012—2020年环境影响后评价报告书，2021年10月29日该环境影响后评价报告书在新疆维吾尔自治区生态环境厅进行了备案，备案文号：新环环评函﹝2021﹞988号。</w:t>
      </w:r>
    </w:p>
    <w:p w14:paraId="3E9FC352">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目前正在组织开展第</w:t>
      </w:r>
      <w:r>
        <w:rPr>
          <w:rFonts w:hint="eastAsia"/>
          <w:color w:val="000000" w:themeColor="text1"/>
          <w:lang w:val="en-US" w:eastAsia="zh-CN"/>
          <w14:textFill>
            <w14:solidFill>
              <w14:schemeClr w14:val="tx1"/>
            </w14:solidFill>
          </w14:textFill>
        </w:rPr>
        <w:t>二</w:t>
      </w:r>
      <w:r>
        <w:rPr>
          <w:rFonts w:hint="eastAsia"/>
          <w:color w:val="000000" w:themeColor="text1"/>
          <w14:textFill>
            <w14:solidFill>
              <w14:schemeClr w14:val="tx1"/>
            </w14:solidFill>
          </w14:textFill>
        </w:rPr>
        <w:t>轮环境影响后评价工作。</w:t>
      </w:r>
    </w:p>
    <w:p w14:paraId="1214F7DC">
      <w:pPr>
        <w:pStyle w:val="462"/>
        <w:rPr>
          <w:rFonts w:hint="eastAsia"/>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②</w:t>
      </w:r>
      <w:r>
        <w:rPr>
          <w:rFonts w:hint="eastAsia"/>
          <w:color w:val="000000" w:themeColor="text1"/>
          <w:lang w:bidi="ar"/>
          <w14:textFill>
            <w14:solidFill>
              <w14:schemeClr w14:val="tx1"/>
            </w14:solidFill>
          </w14:textFill>
        </w:rPr>
        <w:t>现有工程排污许可证执行情况</w:t>
      </w:r>
    </w:p>
    <w:p w14:paraId="497568F2">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固定污染源排污许可分类管理名录（2019年版）》，吉祥联合站站内的热媒炉等固定污染源实行排污许可登记管理，吉庆油田作业区于2020年4月23日在全国排污许可证管理信息平台进行了首次登记，后面进行了9次变更，作业区最新取得的固定污染源排污登记回执（登记编号：91650200715597998M025X）具体如下：</w:t>
      </w:r>
    </w:p>
    <w:p w14:paraId="3847E455">
      <w:pPr>
        <w:pStyle w:val="193"/>
        <w:spacing w:line="240" w:lineRule="auto"/>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540375" cy="7835900"/>
            <wp:effectExtent l="0" t="0" r="3175" b="12700"/>
            <wp:docPr id="54" name="图片 54" descr="5541c0e3113845f8983d734f8a9dd44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5541c0e3113845f8983d734f8a9dd44e_1"/>
                    <pic:cNvPicPr>
                      <a:picLocks noChangeAspect="1"/>
                    </pic:cNvPicPr>
                  </pic:nvPicPr>
                  <pic:blipFill>
                    <a:blip r:embed="rId29"/>
                    <a:stretch>
                      <a:fillRect/>
                    </a:stretch>
                  </pic:blipFill>
                  <pic:spPr>
                    <a:xfrm>
                      <a:off x="0" y="0"/>
                      <a:ext cx="5540375" cy="7835900"/>
                    </a:xfrm>
                    <a:prstGeom prst="rect">
                      <a:avLst/>
                    </a:prstGeom>
                  </pic:spPr>
                </pic:pic>
              </a:graphicData>
            </a:graphic>
          </wp:inline>
        </w:drawing>
      </w:r>
    </w:p>
    <w:p w14:paraId="390F513E">
      <w:pPr>
        <w:pStyle w:val="462"/>
        <w:rPr>
          <w:rFonts w:hint="eastAsia"/>
          <w:color w:val="000000" w:themeColor="text1"/>
          <w:lang w:bidi="ar"/>
          <w14:textFill>
            <w14:solidFill>
              <w14:schemeClr w14:val="tx1"/>
            </w14:solidFill>
          </w14:textFill>
        </w:rPr>
      </w:pPr>
      <w:bookmarkStart w:id="214" w:name="_Hlk117526492"/>
      <w:r>
        <w:rPr>
          <w:rFonts w:hint="eastAsia"/>
          <w:color w:val="000000" w:themeColor="text1"/>
          <w:lang w:val="en-US" w:eastAsia="zh-CN" w:bidi="ar"/>
          <w14:textFill>
            <w14:solidFill>
              <w14:schemeClr w14:val="tx1"/>
            </w14:solidFill>
          </w14:textFill>
        </w:rPr>
        <w:t>③突发环境事件</w:t>
      </w:r>
      <w:r>
        <w:rPr>
          <w:rFonts w:hint="eastAsia"/>
          <w:color w:val="000000" w:themeColor="text1"/>
          <w:lang w:bidi="ar"/>
          <w14:textFill>
            <w14:solidFill>
              <w14:schemeClr w14:val="tx1"/>
            </w14:solidFill>
          </w14:textFill>
        </w:rPr>
        <w:t>环境应急预案及应急演练情况</w:t>
      </w:r>
    </w:p>
    <w:bookmarkEnd w:id="214"/>
    <w:p w14:paraId="1BAC927D">
      <w:pPr>
        <w:pStyle w:val="462"/>
        <w:rPr>
          <w:rFonts w:hint="eastAsia"/>
          <w:color w:val="000000" w:themeColor="text1"/>
          <w:lang w:bidi="ar"/>
          <w14:textFill>
            <w14:solidFill>
              <w14:schemeClr w14:val="tx1"/>
            </w14:solidFill>
          </w14:textFill>
        </w:rPr>
      </w:pPr>
      <w:r>
        <w:rPr>
          <w:rFonts w:hint="eastAsia"/>
          <w:color w:val="000000" w:themeColor="text1"/>
          <w:lang w:val="en-US" w:eastAsia="zh-CN"/>
          <w14:textFill>
            <w14:solidFill>
              <w14:schemeClr w14:val="tx1"/>
            </w14:solidFill>
          </w14:textFill>
        </w:rPr>
        <w:t>2026年03月25日</w:t>
      </w:r>
      <w:r>
        <w:rPr>
          <w:rFonts w:hint="eastAsia"/>
          <w:color w:val="000000" w:themeColor="text1"/>
          <w14:textFill>
            <w14:solidFill>
              <w14:schemeClr w14:val="tx1"/>
            </w14:solidFill>
          </w14:textFill>
        </w:rPr>
        <w:t>吉庆油田作业区编制了《中国石油新疆油田分公司吉庆油田作业区突发环境事件应急预案》，已在昌吉回族自治州生态环境局吉木萨尔县分局进行了备案（备案编号：6</w:t>
      </w:r>
      <w:r>
        <w:rPr>
          <w:color w:val="000000" w:themeColor="text1"/>
          <w14:textFill>
            <w14:solidFill>
              <w14:schemeClr w14:val="tx1"/>
            </w14:solidFill>
          </w14:textFill>
        </w:rPr>
        <w:t>52327-202</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-016-L</w:t>
      </w:r>
      <w:r>
        <w:rPr>
          <w:rFonts w:hint="eastAsia"/>
          <w:color w:val="000000" w:themeColor="text1"/>
          <w14:textFill>
            <w14:solidFill>
              <w14:schemeClr w14:val="tx1"/>
            </w14:solidFill>
          </w14:textFill>
        </w:rPr>
        <w:t>）。</w:t>
      </w:r>
      <w:r>
        <w:rPr>
          <w:rFonts w:hint="eastAsia"/>
          <w:color w:val="000000" w:themeColor="text1"/>
          <w:lang w:bidi="ar"/>
          <w14:textFill>
            <w14:solidFill>
              <w14:schemeClr w14:val="tx1"/>
            </w14:solidFill>
          </w14:textFill>
        </w:rPr>
        <w:t>同时作业区制定有“突发环境事件应急演练计划”，每年进行1次突发环境事件应急演练，演练完成后</w:t>
      </w:r>
      <w:r>
        <w:rPr>
          <w:rFonts w:hint="eastAsia"/>
          <w:color w:val="000000" w:themeColor="text1"/>
          <w:lang w:val="en-US" w:eastAsia="zh-CN" w:bidi="ar"/>
          <w14:textFill>
            <w14:solidFill>
              <w14:schemeClr w14:val="tx1"/>
            </w14:solidFill>
          </w14:textFill>
        </w:rPr>
        <w:t>对应急演练进行了记录，对应急演练过程进行了评估，填写了应急演练组织及实施过程评估表，</w:t>
      </w:r>
      <w:r>
        <w:rPr>
          <w:rFonts w:hint="eastAsia"/>
          <w:color w:val="000000" w:themeColor="text1"/>
          <w:lang w:bidi="ar"/>
          <w14:textFill>
            <w14:solidFill>
              <w14:schemeClr w14:val="tx1"/>
            </w14:solidFill>
          </w14:textFill>
        </w:rPr>
        <w:t>编制了《吉庆油田作业区环境污染突发事件应急演练方案应急演练总结》。</w:t>
      </w:r>
    </w:p>
    <w:p w14:paraId="226D0E73">
      <w:pPr>
        <w:pStyle w:val="462"/>
        <w:spacing w:line="240" w:lineRule="auto"/>
        <w:ind w:left="0" w:leftChars="0" w:firstLine="0" w:firstLineChars="0"/>
        <w:rPr>
          <w:rFonts w:hint="eastAsia" w:eastAsia="宋体"/>
          <w:color w:val="000000" w:themeColor="text1"/>
          <w:lang w:eastAsia="zh-CN" w:bidi="ar"/>
          <w14:textFill>
            <w14:solidFill>
              <w14:schemeClr w14:val="tx1"/>
            </w14:solidFill>
          </w14:textFill>
        </w:rPr>
      </w:pPr>
      <w:r>
        <w:rPr>
          <w:rFonts w:hint="eastAsia" w:eastAsia="宋体"/>
          <w:color w:val="000000" w:themeColor="text1"/>
          <w:lang w:eastAsia="zh-CN" w:bidi="ar"/>
          <w14:textFill>
            <w14:solidFill>
              <w14:schemeClr w14:val="tx1"/>
            </w14:solidFill>
          </w14:textFill>
        </w:rPr>
        <w:drawing>
          <wp:inline distT="0" distB="0" distL="114300" distR="114300">
            <wp:extent cx="2670810" cy="2016125"/>
            <wp:effectExtent l="0" t="0" r="15240" b="3175"/>
            <wp:docPr id="431" name="图片 431" descr="微信图片_2025082616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微信图片_20250826163732"/>
                    <pic:cNvPicPr>
                      <a:picLocks noChangeAspect="1"/>
                    </pic:cNvPicPr>
                  </pic:nvPicPr>
                  <pic:blipFill>
                    <a:blip r:embed="rId30"/>
                    <a:srcRect l="6904" r="6780"/>
                    <a:stretch>
                      <a:fillRect/>
                    </a:stretch>
                  </pic:blipFill>
                  <pic:spPr>
                    <a:xfrm>
                      <a:off x="0" y="0"/>
                      <a:ext cx="2670810" cy="2016125"/>
                    </a:xfrm>
                    <a:prstGeom prst="rect">
                      <a:avLst/>
                    </a:prstGeom>
                  </pic:spPr>
                </pic:pic>
              </a:graphicData>
            </a:graphic>
          </wp:inline>
        </w:drawing>
      </w:r>
      <w:bookmarkStart w:id="215" w:name="_Hlk117526498"/>
      <w:r>
        <w:rPr>
          <w:rFonts w:hint="eastAsia" w:eastAsia="宋体"/>
          <w:color w:val="000000" w:themeColor="text1"/>
          <w:lang w:eastAsia="zh-CN" w:bidi="ar"/>
          <w14:textFill>
            <w14:solidFill>
              <w14:schemeClr w14:val="tx1"/>
            </w14:solidFill>
          </w14:textFill>
        </w:rPr>
        <w:drawing>
          <wp:inline distT="0" distB="0" distL="114300" distR="114300">
            <wp:extent cx="2668905" cy="2016125"/>
            <wp:effectExtent l="0" t="0" r="17145" b="3175"/>
            <wp:docPr id="432" name="图片 432" descr="微信图片_2025082616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微信图片_20250826165244"/>
                    <pic:cNvPicPr>
                      <a:picLocks noChangeAspect="1"/>
                    </pic:cNvPicPr>
                  </pic:nvPicPr>
                  <pic:blipFill>
                    <a:blip r:embed="rId31"/>
                    <a:stretch>
                      <a:fillRect/>
                    </a:stretch>
                  </pic:blipFill>
                  <pic:spPr>
                    <a:xfrm>
                      <a:off x="0" y="0"/>
                      <a:ext cx="2668905" cy="2016125"/>
                    </a:xfrm>
                    <a:prstGeom prst="rect">
                      <a:avLst/>
                    </a:prstGeom>
                  </pic:spPr>
                </pic:pic>
              </a:graphicData>
            </a:graphic>
          </wp:inline>
        </w:drawing>
      </w:r>
    </w:p>
    <w:p w14:paraId="3D3A6BDF">
      <w:pPr>
        <w:pStyle w:val="462"/>
        <w:spacing w:line="240" w:lineRule="auto"/>
        <w:ind w:left="0" w:leftChars="0" w:firstLine="0" w:firstLineChars="0"/>
        <w:jc w:val="center"/>
        <w:rPr>
          <w:rFonts w:hint="eastAsia"/>
          <w:b/>
          <w:bCs/>
          <w:color w:val="000000" w:themeColor="text1"/>
          <w:sz w:val="21"/>
          <w:szCs w:val="21"/>
          <w:lang w:val="en-US" w:eastAsia="zh-CN" w:bidi="ar"/>
          <w14:textFill>
            <w14:solidFill>
              <w14:schemeClr w14:val="tx1"/>
            </w14:solidFill>
          </w14:textFill>
        </w:rPr>
      </w:pPr>
      <w:r>
        <w:rPr>
          <w:rFonts w:hint="eastAsia"/>
          <w:b/>
          <w:bCs/>
          <w:color w:val="000000" w:themeColor="text1"/>
          <w:sz w:val="21"/>
          <w:szCs w:val="21"/>
          <w:lang w:val="en-US" w:eastAsia="zh-CN" w:bidi="ar"/>
          <w14:textFill>
            <w14:solidFill>
              <w14:schemeClr w14:val="tx1"/>
            </w14:solidFill>
          </w14:textFill>
        </w:rPr>
        <w:t>突发环境事件应急演练照片</w:t>
      </w:r>
    </w:p>
    <w:p w14:paraId="5F58C140">
      <w:pPr>
        <w:pStyle w:val="462"/>
        <w:spacing w:line="240" w:lineRule="auto"/>
        <w:ind w:left="0" w:leftChars="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81625" cy="7524750"/>
            <wp:effectExtent l="0" t="0" r="9525" b="0"/>
            <wp:docPr id="4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9"/>
                    <pic:cNvPicPr>
                      <a:picLocks noChangeAspect="1"/>
                    </pic:cNvPicPr>
                  </pic:nvPicPr>
                  <pic:blipFill>
                    <a:blip r:embed="rId32"/>
                    <a:stretch>
                      <a:fillRect/>
                    </a:stretch>
                  </pic:blipFill>
                  <pic:spPr>
                    <a:xfrm>
                      <a:off x="0" y="0"/>
                      <a:ext cx="5381625" cy="7524750"/>
                    </a:xfrm>
                    <a:prstGeom prst="rect">
                      <a:avLst/>
                    </a:prstGeom>
                    <a:noFill/>
                    <a:ln>
                      <a:noFill/>
                    </a:ln>
                  </pic:spPr>
                </pic:pic>
              </a:graphicData>
            </a:graphic>
          </wp:inline>
        </w:drawing>
      </w:r>
    </w:p>
    <w:p w14:paraId="4ECC2D48">
      <w:pPr>
        <w:pStyle w:val="462"/>
        <w:spacing w:line="240" w:lineRule="auto"/>
        <w:ind w:left="0" w:leftChars="0" w:firstLine="0" w:firstLineChars="0"/>
        <w:jc w:val="center"/>
        <w:rPr>
          <w:rFonts w:hint="default"/>
          <w:color w:val="000000" w:themeColor="text1"/>
          <w:lang w:val="en-US" w:eastAsia="zh-CN"/>
          <w14:textFill>
            <w14:solidFill>
              <w14:schemeClr w14:val="tx1"/>
            </w14:solidFill>
          </w14:textFill>
        </w:rPr>
      </w:pPr>
      <w:r>
        <w:rPr>
          <w:rFonts w:hint="eastAsia"/>
          <w:b/>
          <w:bCs/>
          <w:color w:val="000000" w:themeColor="text1"/>
          <w:sz w:val="21"/>
          <w:szCs w:val="21"/>
          <w:lang w:val="en-US" w:eastAsia="zh-CN" w:bidi="ar"/>
          <w14:textFill>
            <w14:solidFill>
              <w14:schemeClr w14:val="tx1"/>
            </w14:solidFill>
          </w14:textFill>
        </w:rPr>
        <w:t>突发环境事件应急演练</w:t>
      </w:r>
    </w:p>
    <w:p w14:paraId="467C8C84">
      <w:pPr>
        <w:pStyle w:val="462"/>
        <w:rPr>
          <w:rFonts w:hint="eastAsia"/>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④</w:t>
      </w:r>
      <w:r>
        <w:rPr>
          <w:rFonts w:hint="eastAsia"/>
          <w:color w:val="000000" w:themeColor="text1"/>
          <w:lang w:bidi="ar"/>
          <w14:textFill>
            <w14:solidFill>
              <w14:schemeClr w14:val="tx1"/>
            </w14:solidFill>
          </w14:textFill>
        </w:rPr>
        <w:t>自行监测情况</w:t>
      </w:r>
      <w:bookmarkEnd w:id="215"/>
    </w:p>
    <w:p w14:paraId="5A3778F4">
      <w:pPr>
        <w:pStyle w:val="193"/>
        <w:ind w:firstLine="480"/>
        <w:rPr>
          <w:rFonts w:hint="eastAsia"/>
          <w:color w:val="000000" w:themeColor="text1"/>
          <w:lang w:eastAsia="zh-CN" w:bidi="ar"/>
          <w14:textFill>
            <w14:solidFill>
              <w14:schemeClr w14:val="tx1"/>
            </w14:solidFill>
          </w14:textFill>
        </w:rPr>
      </w:pPr>
      <w:r>
        <w:rPr>
          <w:rFonts w:hint="eastAsia"/>
          <w:color w:val="000000" w:themeColor="text1"/>
          <w:lang w:bidi="ar"/>
          <w14:textFill>
            <w14:solidFill>
              <w14:schemeClr w14:val="tx1"/>
            </w14:solidFill>
          </w14:textFill>
        </w:rPr>
        <w:t>吉庆油田作业区已制定了《新疆油田公司吉庆油田作业区202</w:t>
      </w:r>
      <w:r>
        <w:rPr>
          <w:rFonts w:hint="eastAsia"/>
          <w:color w:val="000000" w:themeColor="text1"/>
          <w:lang w:val="en-US" w:eastAsia="zh-CN" w:bidi="ar"/>
          <w14:textFill>
            <w14:solidFill>
              <w14:schemeClr w14:val="tx1"/>
            </w14:solidFill>
          </w14:textFill>
        </w:rPr>
        <w:t>6</w:t>
      </w:r>
      <w:r>
        <w:rPr>
          <w:rFonts w:hint="eastAsia"/>
          <w:color w:val="000000" w:themeColor="text1"/>
          <w:lang w:bidi="ar"/>
          <w14:textFill>
            <w14:solidFill>
              <w14:schemeClr w14:val="tx1"/>
            </w14:solidFill>
          </w14:textFill>
        </w:rPr>
        <w:t>年自行监测方案》，为履行排污单位自行监测的职责，自行监测手段为手动监测</w:t>
      </w:r>
      <w:r>
        <w:rPr>
          <w:rFonts w:hint="eastAsia"/>
          <w:color w:val="000000" w:themeColor="text1"/>
          <w:lang w:eastAsia="zh-CN" w:bidi="ar"/>
          <w14:textFill>
            <w14:solidFill>
              <w14:schemeClr w14:val="tx1"/>
            </w14:solidFill>
          </w14:textFill>
        </w:rPr>
        <w:t>。</w:t>
      </w:r>
    </w:p>
    <w:p w14:paraId="016D4F72">
      <w:pPr>
        <w:pStyle w:val="193"/>
        <w:ind w:firstLine="480"/>
        <w:rPr>
          <w:rFonts w:hint="eastAsia" w:cs="宋体"/>
          <w:color w:val="000000" w:themeColor="text1"/>
          <w:highlight w:val="yellow"/>
          <w14:textFill>
            <w14:solidFill>
              <w14:schemeClr w14:val="tx1"/>
            </w14:solidFill>
          </w14:textFill>
        </w:rPr>
      </w:pPr>
      <w:r>
        <w:rPr>
          <w:rFonts w:hint="eastAsia" w:cs="宋体"/>
          <w:color w:val="000000" w:themeColor="text1"/>
          <w14:textFill>
            <w14:solidFill>
              <w14:schemeClr w14:val="tx1"/>
            </w14:solidFill>
          </w14:textFill>
        </w:rPr>
        <w:t>《</w:t>
      </w:r>
      <w:r>
        <w:rPr>
          <w:rFonts w:hint="eastAsia"/>
          <w:color w:val="000000" w:themeColor="text1"/>
          <w:lang w:bidi="ar"/>
          <w14:textFill>
            <w14:solidFill>
              <w14:schemeClr w14:val="tx1"/>
            </w14:solidFill>
          </w14:textFill>
        </w:rPr>
        <w:t>新疆油田公司吉庆油田作业区202</w:t>
      </w:r>
      <w:r>
        <w:rPr>
          <w:rFonts w:hint="eastAsia"/>
          <w:color w:val="000000" w:themeColor="text1"/>
          <w:lang w:val="en-US" w:eastAsia="zh-CN" w:bidi="ar"/>
          <w14:textFill>
            <w14:solidFill>
              <w14:schemeClr w14:val="tx1"/>
            </w14:solidFill>
          </w14:textFill>
        </w:rPr>
        <w:t>6</w:t>
      </w:r>
      <w:r>
        <w:rPr>
          <w:rFonts w:hint="eastAsia"/>
          <w:color w:val="000000" w:themeColor="text1"/>
          <w:lang w:bidi="ar"/>
          <w14:textFill>
            <w14:solidFill>
              <w14:schemeClr w14:val="tx1"/>
            </w14:solidFill>
          </w14:textFill>
        </w:rPr>
        <w:t>年自行监测方案</w:t>
      </w:r>
      <w:r>
        <w:rPr>
          <w:rFonts w:hint="eastAsia" w:cs="宋体"/>
          <w:color w:val="000000" w:themeColor="text1"/>
          <w14:textFill>
            <w14:solidFill>
              <w14:schemeClr w14:val="tx1"/>
            </w14:solidFill>
          </w14:textFill>
        </w:rPr>
        <w:t>》</w:t>
      </w:r>
      <w:r>
        <w:rPr>
          <w:rFonts w:hint="eastAsia" w:cs="宋体"/>
          <w:color w:val="000000" w:themeColor="text1"/>
          <w:lang w:val="en-US" w:eastAsia="zh-CN"/>
          <w14:textFill>
            <w14:solidFill>
              <w14:schemeClr w14:val="tx1"/>
            </w14:solidFill>
          </w14:textFill>
        </w:rPr>
        <w:t>包括污染源</w:t>
      </w:r>
      <w:r>
        <w:rPr>
          <w:rFonts w:hint="eastAsia" w:ascii="宋体" w:hAnsi="宋体" w:eastAsia="宋体" w:cs="宋体"/>
          <w:color w:val="000000" w:themeColor="text1"/>
          <w:lang w:val="en-US" w:eastAsia="zh-CN"/>
          <w14:textFill>
            <w14:solidFill>
              <w14:schemeClr w14:val="tx1"/>
            </w14:solidFill>
          </w14:textFill>
        </w:rPr>
        <w:t>（废气、噪声）</w:t>
      </w:r>
      <w:r>
        <w:rPr>
          <w:rFonts w:hint="eastAsia" w:cs="宋体"/>
          <w:color w:val="000000" w:themeColor="text1"/>
          <w:lang w:val="en-US" w:eastAsia="zh-CN"/>
          <w14:textFill>
            <w14:solidFill>
              <w14:schemeClr w14:val="tx1"/>
            </w14:solidFill>
          </w14:textFill>
        </w:rPr>
        <w:t>和环境监测（土壤和地下水）两部分，</w:t>
      </w:r>
      <w:r>
        <w:rPr>
          <w:rFonts w:hint="eastAsia" w:cs="宋体"/>
          <w:color w:val="000000" w:themeColor="text1"/>
          <w14:textFill>
            <w14:solidFill>
              <w14:schemeClr w14:val="tx1"/>
            </w14:solidFill>
          </w14:textFill>
        </w:rPr>
        <w:t>主要是对</w:t>
      </w:r>
      <w:r>
        <w:rPr>
          <w:rFonts w:hint="eastAsia" w:cs="宋体"/>
          <w:color w:val="000000" w:themeColor="text1"/>
          <w:lang w:val="en-US" w:eastAsia="zh-CN"/>
          <w14:textFill>
            <w14:solidFill>
              <w14:schemeClr w14:val="tx1"/>
            </w14:solidFill>
          </w14:textFill>
        </w:rPr>
        <w:t>吉祥联合站</w:t>
      </w:r>
      <w:r>
        <w:rPr>
          <w:rFonts w:hint="eastAsia" w:ascii="宋体" w:hAnsi="宋体" w:eastAsia="宋体" w:cs="Times New Roman"/>
          <w:color w:val="000000" w:themeColor="text1"/>
          <w:lang w:val="en-US" w:eastAsia="zh-CN" w:bidi="ar"/>
          <w14:textFill>
            <w14:solidFill>
              <w14:schemeClr w14:val="tx1"/>
            </w14:solidFill>
          </w14:textFill>
        </w:rPr>
        <w:t>站内相变炉、</w:t>
      </w:r>
      <w:r>
        <w:rPr>
          <w:rFonts w:hint="eastAsia" w:ascii="宋体" w:hAnsi="宋体" w:eastAsia="宋体" w:cs="Times New Roman"/>
          <w:color w:val="000000" w:themeColor="text1"/>
          <w:lang w:bidi="ar"/>
          <w14:textFill>
            <w14:solidFill>
              <w14:schemeClr w14:val="tx1"/>
            </w14:solidFill>
          </w14:textFill>
        </w:rPr>
        <w:t>有机热载体</w:t>
      </w:r>
      <w:r>
        <w:rPr>
          <w:rFonts w:hint="eastAsia" w:ascii="宋体" w:hAnsi="宋体" w:eastAsia="宋体" w:cs="Times New Roman"/>
          <w:color w:val="000000" w:themeColor="text1"/>
          <w:lang w:val="en-US" w:eastAsia="zh-CN" w:bidi="ar"/>
          <w14:textFill>
            <w14:solidFill>
              <w14:schemeClr w14:val="tx1"/>
            </w14:solidFill>
          </w14:textFill>
        </w:rPr>
        <w:t>炉和</w:t>
      </w:r>
      <w:r>
        <w:rPr>
          <w:rFonts w:hint="eastAsia" w:ascii="宋体" w:hAnsi="宋体" w:eastAsia="宋体" w:cs="Times New Roman"/>
          <w:color w:val="000000" w:themeColor="text1"/>
          <w:lang w:bidi="ar"/>
          <w14:textFill>
            <w14:solidFill>
              <w14:schemeClr w14:val="tx1"/>
            </w14:solidFill>
          </w14:textFill>
        </w:rPr>
        <w:t>采暖撬</w:t>
      </w:r>
      <w:r>
        <w:rPr>
          <w:rFonts w:hint="eastAsia" w:ascii="宋体" w:hAnsi="宋体" w:eastAsia="宋体" w:cs="Times New Roman"/>
          <w:color w:val="000000" w:themeColor="text1"/>
          <w:lang w:val="en-US" w:eastAsia="zh-CN" w:bidi="ar"/>
          <w14:textFill>
            <w14:solidFill>
              <w14:schemeClr w14:val="tx1"/>
            </w14:solidFill>
          </w14:textFill>
        </w:rPr>
        <w:t>有组织废气（颗粒物、二氧化硫、氮氧化物、林格曼黑度）、</w:t>
      </w:r>
      <w:r>
        <w:rPr>
          <w:rFonts w:hint="eastAsia" w:cs="宋体"/>
          <w:color w:val="000000" w:themeColor="text1"/>
          <w:lang w:val="en-US" w:eastAsia="zh-CN"/>
          <w14:textFill>
            <w14:solidFill>
              <w14:schemeClr w14:val="tx1"/>
            </w14:solidFill>
          </w14:textFill>
        </w:rPr>
        <w:t>吉祥联合站</w:t>
      </w:r>
      <w:r>
        <w:rPr>
          <w:rFonts w:hint="eastAsia" w:ascii="宋体" w:hAnsi="宋体" w:eastAsia="宋体" w:cs="Times New Roman"/>
          <w:color w:val="000000" w:themeColor="text1"/>
          <w:lang w:bidi="ar"/>
          <w14:textFill>
            <w14:solidFill>
              <w14:schemeClr w14:val="tx1"/>
            </w14:solidFill>
          </w14:textFill>
        </w:rPr>
        <w:t>的厂</w:t>
      </w:r>
      <w:r>
        <w:rPr>
          <w:rFonts w:hint="eastAsia" w:cs="宋体"/>
          <w:color w:val="000000" w:themeColor="text1"/>
          <w14:textFill>
            <w14:solidFill>
              <w14:schemeClr w14:val="tx1"/>
            </w14:solidFill>
          </w14:textFill>
        </w:rPr>
        <w:t>界无组织废气</w:t>
      </w:r>
      <w:r>
        <w:rPr>
          <w:rFonts w:hint="eastAsia" w:cs="宋体"/>
          <w:color w:val="000000" w:themeColor="text1"/>
          <w:lang w:eastAsia="zh-CN"/>
          <w14:textFill>
            <w14:solidFill>
              <w14:schemeClr w14:val="tx1"/>
            </w14:solidFill>
          </w14:textFill>
        </w:rPr>
        <w:t>（</w:t>
      </w:r>
      <w:r>
        <w:rPr>
          <w:rFonts w:hint="eastAsia" w:cs="宋体"/>
          <w:color w:val="000000" w:themeColor="text1"/>
          <w:lang w:val="en-US" w:eastAsia="zh-CN"/>
          <w14:textFill>
            <w14:solidFill>
              <w14:schemeClr w14:val="tx1"/>
            </w14:solidFill>
          </w14:textFill>
        </w:rPr>
        <w:t>非甲烷总烃和硫化氢</w:t>
      </w:r>
      <w:r>
        <w:rPr>
          <w:rFonts w:hint="eastAsia" w:cs="宋体"/>
          <w:color w:val="000000" w:themeColor="text1"/>
          <w:lang w:eastAsia="zh-CN"/>
          <w14:textFill>
            <w14:solidFill>
              <w14:schemeClr w14:val="tx1"/>
            </w14:solidFill>
          </w14:textFill>
        </w:rPr>
        <w:t>）</w:t>
      </w:r>
      <w:r>
        <w:rPr>
          <w:rFonts w:hint="eastAsia" w:cs="宋体"/>
          <w:color w:val="000000" w:themeColor="text1"/>
          <w:lang w:val="en-US" w:eastAsia="zh-CN"/>
          <w14:textFill>
            <w14:solidFill>
              <w14:schemeClr w14:val="tx1"/>
            </w14:solidFill>
          </w14:textFill>
        </w:rPr>
        <w:t>和</w:t>
      </w:r>
      <w:r>
        <w:rPr>
          <w:rFonts w:hint="eastAsia" w:cs="宋体"/>
          <w:color w:val="000000" w:themeColor="text1"/>
          <w14:textFill>
            <w14:solidFill>
              <w14:schemeClr w14:val="tx1"/>
            </w14:solidFill>
          </w14:textFill>
        </w:rPr>
        <w:t>噪声</w:t>
      </w:r>
      <w:r>
        <w:rPr>
          <w:rFonts w:hint="eastAsia" w:ascii="宋体" w:hAnsi="宋体" w:eastAsia="宋体" w:cs="宋体"/>
          <w:color w:val="000000" w:themeColor="text1"/>
          <w:lang w:val="en-US" w:eastAsia="zh-CN"/>
          <w14:textFill>
            <w14:solidFill>
              <w14:schemeClr w14:val="tx1"/>
            </w14:solidFill>
          </w14:textFill>
        </w:rPr>
        <w:t>、吉祥联合站站内土壤、吉7井区地下水制定了例行监测计划，例行监测计划主要包括排污单位概况、各要素监测点位、监测频次、监测因子、监测分析方法、执行标准、质量保证与质量控制、信息记录和报告以及信息公开等，由于吉祥联合站和吉7井区不涉及废水外排，无废水监测计</w:t>
      </w:r>
      <w:r>
        <w:rPr>
          <w:rFonts w:hint="eastAsia" w:cs="宋体"/>
          <w:color w:val="000000" w:themeColor="text1"/>
          <w:lang w:val="en-US" w:eastAsia="zh-CN"/>
          <w14:textFill>
            <w14:solidFill>
              <w14:schemeClr w14:val="tx1"/>
            </w14:solidFill>
          </w14:textFill>
        </w:rPr>
        <w:t>划；</w:t>
      </w:r>
      <w:r>
        <w:rPr>
          <w:rFonts w:hint="eastAsia"/>
          <w:color w:val="000000" w:themeColor="text1"/>
          <w:lang w:bidi="ar"/>
          <w14:textFill>
            <w14:solidFill>
              <w14:schemeClr w14:val="tx1"/>
            </w14:solidFill>
          </w14:textFill>
        </w:rPr>
        <w:t>吉庆油田作业区</w:t>
      </w:r>
      <w:r>
        <w:rPr>
          <w:rFonts w:hint="eastAsia" w:cs="宋体"/>
          <w:color w:val="000000" w:themeColor="text1"/>
          <w14:textFill>
            <w14:solidFill>
              <w14:schemeClr w14:val="tx1"/>
            </w14:solidFill>
          </w14:textFill>
        </w:rPr>
        <w:t>严格按照2026年度自行监测方案执行，</w:t>
      </w:r>
      <w:r>
        <w:rPr>
          <w:rFonts w:hint="eastAsia" w:cs="宋体"/>
          <w:color w:val="000000" w:themeColor="text1"/>
          <w:lang w:val="en-US" w:eastAsia="zh-CN"/>
          <w14:textFill>
            <w14:solidFill>
              <w14:schemeClr w14:val="tx1"/>
            </w14:solidFill>
          </w14:textFill>
        </w:rPr>
        <w:t>委托第三方具有相应资质的监测机构</w:t>
      </w:r>
      <w:r>
        <w:rPr>
          <w:rFonts w:hint="eastAsia" w:cs="宋体"/>
          <w:color w:val="000000" w:themeColor="text1"/>
          <w14:textFill>
            <w14:solidFill>
              <w14:schemeClr w14:val="tx1"/>
            </w14:solidFill>
          </w14:textFill>
        </w:rPr>
        <w:t>对</w:t>
      </w:r>
      <w:r>
        <w:rPr>
          <w:rFonts w:hint="eastAsia" w:cs="宋体"/>
          <w:color w:val="000000" w:themeColor="text1"/>
          <w:lang w:val="en-US" w:eastAsia="zh-CN"/>
          <w14:textFill>
            <w14:solidFill>
              <w14:schemeClr w14:val="tx1"/>
            </w14:solidFill>
          </w14:textFill>
        </w:rPr>
        <w:t>吉祥联合站</w:t>
      </w:r>
      <w:r>
        <w:rPr>
          <w:rFonts w:hint="eastAsia" w:cs="宋体"/>
          <w:color w:val="000000" w:themeColor="text1"/>
          <w14:textFill>
            <w14:solidFill>
              <w14:schemeClr w14:val="tx1"/>
            </w14:solidFill>
          </w14:textFill>
        </w:rPr>
        <w:t>的废气（</w:t>
      </w:r>
      <w:r>
        <w:rPr>
          <w:rFonts w:hint="eastAsia" w:ascii="宋体" w:hAnsi="宋体" w:eastAsia="宋体" w:cs="Times New Roman"/>
          <w:color w:val="000000" w:themeColor="text1"/>
          <w:lang w:val="en-US" w:eastAsia="zh-CN" w:bidi="ar"/>
          <w14:textFill>
            <w14:solidFill>
              <w14:schemeClr w14:val="tx1"/>
            </w14:solidFill>
          </w14:textFill>
        </w:rPr>
        <w:t>有组织废气和</w:t>
      </w:r>
      <w:r>
        <w:rPr>
          <w:rFonts w:hint="eastAsia" w:cs="宋体"/>
          <w:color w:val="000000" w:themeColor="text1"/>
          <w14:textFill>
            <w14:solidFill>
              <w14:schemeClr w14:val="tx1"/>
            </w14:solidFill>
          </w14:textFill>
        </w:rPr>
        <w:t>无组织废气）、厂界噪声进行了监测，根据前文</w:t>
      </w:r>
      <w:r>
        <w:rPr>
          <w:rFonts w:cs="宋体"/>
          <w:color w:val="000000" w:themeColor="text1"/>
          <w14:textFill>
            <w14:solidFill>
              <w14:schemeClr w14:val="tx1"/>
            </w14:solidFill>
          </w14:textFill>
        </w:rPr>
        <w:t>表3.1-</w:t>
      </w:r>
      <w:r>
        <w:rPr>
          <w:rFonts w:hint="eastAsia" w:cs="宋体"/>
          <w:color w:val="000000" w:themeColor="text1"/>
          <w:lang w:val="en-US" w:eastAsia="zh-CN"/>
          <w14:textFill>
            <w14:solidFill>
              <w14:schemeClr w14:val="tx1"/>
            </w14:solidFill>
          </w14:textFill>
        </w:rPr>
        <w:t>3</w:t>
      </w:r>
      <w:r>
        <w:rPr>
          <w:rFonts w:hint="eastAsia" w:cs="宋体"/>
          <w:color w:val="000000" w:themeColor="text1"/>
          <w:lang w:eastAsia="zh-CN"/>
          <w14:textFill>
            <w14:solidFill>
              <w14:schemeClr w14:val="tx1"/>
            </w14:solidFill>
          </w14:textFill>
        </w:rPr>
        <w:t>、</w:t>
      </w:r>
      <w:r>
        <w:rPr>
          <w:rFonts w:cs="宋体"/>
          <w:color w:val="000000" w:themeColor="text1"/>
          <w14:textFill>
            <w14:solidFill>
              <w14:schemeClr w14:val="tx1"/>
            </w14:solidFill>
          </w14:textFill>
        </w:rPr>
        <w:t>表3.1-</w:t>
      </w:r>
      <w:r>
        <w:rPr>
          <w:rFonts w:hint="eastAsia" w:cs="宋体"/>
          <w:color w:val="000000" w:themeColor="text1"/>
          <w:lang w:val="en-US" w:eastAsia="zh-CN"/>
          <w14:textFill>
            <w14:solidFill>
              <w14:schemeClr w14:val="tx1"/>
            </w14:solidFill>
          </w14:textFill>
        </w:rPr>
        <w:t>5和表3.1-9吉祥联合站</w:t>
      </w:r>
      <w:r>
        <w:rPr>
          <w:rFonts w:hint="eastAsia" w:cs="宋体"/>
          <w:color w:val="000000" w:themeColor="text1"/>
          <w14:textFill>
            <w14:solidFill>
              <w14:schemeClr w14:val="tx1"/>
            </w14:solidFill>
          </w14:textFill>
        </w:rPr>
        <w:t>例行监测数据可知，</w:t>
      </w:r>
      <w:r>
        <w:rPr>
          <w:rFonts w:hint="eastAsia" w:cs="宋体"/>
          <w:color w:val="000000" w:themeColor="text1"/>
          <w:lang w:val="en-US" w:eastAsia="zh-CN"/>
          <w14:textFill>
            <w14:solidFill>
              <w14:schemeClr w14:val="tx1"/>
            </w14:solidFill>
          </w14:textFill>
        </w:rPr>
        <w:t>吉祥联合站</w:t>
      </w:r>
      <w:r>
        <w:rPr>
          <w:rFonts w:hint="eastAsia" w:cs="宋体"/>
          <w:color w:val="000000" w:themeColor="text1"/>
          <w14:textFill>
            <w14:solidFill>
              <w14:schemeClr w14:val="tx1"/>
            </w14:solidFill>
          </w14:textFill>
        </w:rPr>
        <w:t>的废气和噪声均可实现达标排放。</w:t>
      </w:r>
      <w:r>
        <w:rPr>
          <w:rFonts w:hint="eastAsia"/>
          <w:color w:val="000000" w:themeColor="text1"/>
          <w:lang w:bidi="ar"/>
          <w14:textFill>
            <w14:solidFill>
              <w14:schemeClr w14:val="tx1"/>
            </w14:solidFill>
          </w14:textFill>
        </w:rPr>
        <w:t>吉庆油田作业区</w:t>
      </w:r>
      <w:r>
        <w:rPr>
          <w:rFonts w:hint="eastAsia" w:cs="宋体"/>
          <w:color w:val="000000" w:themeColor="text1"/>
          <w14:textFill>
            <w14:solidFill>
              <w14:schemeClr w14:val="tx1"/>
            </w14:solidFill>
          </w14:textFill>
        </w:rPr>
        <w:t>同时建立有例行监测台账，对现有污染源和各污染物排放量、达标情况等进行了统计汇总。</w:t>
      </w:r>
    </w:p>
    <w:p w14:paraId="0F3C6D76">
      <w:pPr>
        <w:pStyle w:val="462"/>
        <w:rPr>
          <w:rFonts w:hint="eastAsia" w:eastAsia="宋体"/>
          <w:color w:val="000000" w:themeColor="text1"/>
          <w:lang w:val="en-US" w:eastAsia="zh-CN" w:bidi="ar"/>
          <w14:textFill>
            <w14:solidFill>
              <w14:schemeClr w14:val="tx1"/>
            </w14:solidFill>
          </w14:textFill>
        </w:rPr>
      </w:pPr>
      <w:bookmarkStart w:id="216" w:name="_Hlk117526504"/>
      <w:r>
        <w:rPr>
          <w:rFonts w:hint="eastAsia"/>
          <w:color w:val="000000" w:themeColor="text1"/>
          <w:lang w:val="en-US" w:eastAsia="zh-CN" w:bidi="ar"/>
          <w14:textFill>
            <w14:solidFill>
              <w14:schemeClr w14:val="tx1"/>
            </w14:solidFill>
          </w14:textFill>
        </w:rPr>
        <w:t>⑤</w:t>
      </w:r>
      <w:r>
        <w:rPr>
          <w:rFonts w:hint="eastAsia"/>
          <w:color w:val="000000" w:themeColor="text1"/>
          <w:lang w:bidi="ar"/>
          <w14:textFill>
            <w14:solidFill>
              <w14:schemeClr w14:val="tx1"/>
            </w14:solidFill>
          </w14:textFill>
        </w:rPr>
        <w:t>环境管理台账记录</w:t>
      </w:r>
      <w:bookmarkEnd w:id="216"/>
      <w:r>
        <w:rPr>
          <w:rFonts w:hint="eastAsia"/>
          <w:color w:val="000000" w:themeColor="text1"/>
          <w:lang w:val="en-US" w:eastAsia="zh-CN" w:bidi="ar"/>
          <w14:textFill>
            <w14:solidFill>
              <w14:schemeClr w14:val="tx1"/>
            </w14:solidFill>
          </w14:textFill>
        </w:rPr>
        <w:t>情况</w:t>
      </w:r>
    </w:p>
    <w:p w14:paraId="1C400529">
      <w:pPr>
        <w:pStyle w:val="462"/>
        <w:rPr>
          <w:rFonts w:hint="eastAsia"/>
          <w:color w:val="000000" w:themeColor="text1"/>
          <w:lang w:bidi="ar"/>
          <w14:textFill>
            <w14:solidFill>
              <w14:schemeClr w14:val="tx1"/>
            </w14:solidFill>
          </w14:textFill>
        </w:rPr>
      </w:pPr>
      <w:bookmarkStart w:id="217" w:name="_Hlk98426917"/>
      <w:r>
        <w:rPr>
          <w:rFonts w:hint="eastAsia"/>
          <w:color w:val="000000" w:themeColor="text1"/>
          <w:lang w:bidi="ar"/>
          <w14:textFill>
            <w14:solidFill>
              <w14:schemeClr w14:val="tx1"/>
            </w14:solidFill>
          </w14:textFill>
        </w:rPr>
        <w:t>吉庆油田作业区已经根据排污许可证中载明的台账记录要求，建立台账记录制度，并指定专人负责台账记录工作。</w:t>
      </w:r>
      <w:bookmarkEnd w:id="217"/>
      <w:r>
        <w:rPr>
          <w:rFonts w:hint="eastAsia"/>
          <w:color w:val="000000" w:themeColor="text1"/>
          <w:lang w:bidi="ar"/>
          <w14:textFill>
            <w14:solidFill>
              <w14:schemeClr w14:val="tx1"/>
            </w14:solidFill>
          </w14:textFill>
        </w:rPr>
        <w:t>记录形式包括电子和纸质台账两种。台账记录内容包括基本信息、监测记录信息、生产设施运行管理信息、污染治理措施运行管理信息和其他环境管理信息等。</w:t>
      </w:r>
    </w:p>
    <w:p w14:paraId="5F12BFB3">
      <w:pPr>
        <w:pStyle w:val="462"/>
        <w:rPr>
          <w:rFonts w:hint="eastAsia"/>
          <w:color w:val="000000" w:themeColor="text1"/>
          <w:lang w:bidi="ar"/>
          <w14:textFill>
            <w14:solidFill>
              <w14:schemeClr w14:val="tx1"/>
            </w14:solidFill>
          </w14:textFill>
        </w:rPr>
      </w:pPr>
      <w:bookmarkStart w:id="218" w:name="_Hlk175249435"/>
      <w:r>
        <w:rPr>
          <w:rFonts w:hint="eastAsia" w:cs="宋体"/>
          <w:color w:val="000000" w:themeColor="text1"/>
          <w:lang w:val="en-US" w:eastAsia="zh-CN" w:bidi="ar"/>
          <w14:textFill>
            <w14:solidFill>
              <w14:schemeClr w14:val="tx1"/>
            </w14:solidFill>
          </w14:textFill>
        </w:rPr>
        <w:t>⑥</w:t>
      </w:r>
      <w:r>
        <w:rPr>
          <w:rFonts w:hint="eastAsia"/>
          <w:color w:val="000000" w:themeColor="text1"/>
          <w:lang w:bidi="ar"/>
          <w14:textFill>
            <w14:solidFill>
              <w14:schemeClr w14:val="tx1"/>
            </w14:solidFill>
          </w14:textFill>
        </w:rPr>
        <w:t>清洁生产审核情况</w:t>
      </w:r>
    </w:p>
    <w:p w14:paraId="643DE40E">
      <w:pPr>
        <w:pStyle w:val="46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吉庆油田作业区2023年11月开展了第一轮清洁生产审核工作，并于2023年12月13日取得了昌吉回族自治州生态环境局出具的《关于中国石油天然气股份有限公司新疆油田分公司吉庆油田作业区清洁生产审核评估意见的函》，目前正在组织清洁生产审核验收。</w:t>
      </w:r>
    </w:p>
    <w:p w14:paraId="25710E7E">
      <w:pPr>
        <w:pStyle w:val="462"/>
        <w:rPr>
          <w:rFonts w:hint="eastAsia" w:cs="宋体"/>
          <w:color w:val="000000" w:themeColor="text1"/>
          <w14:textFill>
            <w14:solidFill>
              <w14:schemeClr w14:val="tx1"/>
            </w14:solidFill>
          </w14:textFill>
        </w:rPr>
      </w:pPr>
      <w:r>
        <w:rPr>
          <w:rFonts w:hint="eastAsia"/>
          <w:color w:val="000000" w:themeColor="text1"/>
          <w:lang w:val="en-US" w:eastAsia="zh-CN" w:bidi="ar"/>
          <w14:textFill>
            <w14:solidFill>
              <w14:schemeClr w14:val="tx1"/>
            </w14:solidFill>
          </w14:textFill>
        </w:rPr>
        <w:t>⑦</w:t>
      </w:r>
      <w:r>
        <w:rPr>
          <w:rFonts w:hint="eastAsia" w:cs="宋体"/>
          <w:color w:val="000000" w:themeColor="text1"/>
          <w14:textFill>
            <w14:solidFill>
              <w14:schemeClr w14:val="tx1"/>
            </w14:solidFill>
          </w14:textFill>
        </w:rPr>
        <w:t>危险废物管理计划</w:t>
      </w:r>
    </w:p>
    <w:p w14:paraId="44BD3824">
      <w:pPr>
        <w:pStyle w:val="462"/>
        <w:rPr>
          <w:rFonts w:hint="eastAsia"/>
          <w:color w:val="000000" w:themeColor="text1"/>
          <w:lang w:val="en-US" w:eastAsia="zh-CN"/>
          <w14:textFill>
            <w14:solidFill>
              <w14:schemeClr w14:val="tx1"/>
            </w14:solidFill>
          </w14:textFill>
        </w:rPr>
      </w:pPr>
      <w:r>
        <w:rPr>
          <w:rFonts w:hint="eastAsia"/>
          <w:color w:val="000000" w:themeColor="text1"/>
          <w:lang w:bidi="ar"/>
          <w14:textFill>
            <w14:solidFill>
              <w14:schemeClr w14:val="tx1"/>
            </w14:solidFill>
          </w14:textFill>
        </w:rPr>
        <w:t>吉庆油田作业区</w:t>
      </w:r>
      <w:r>
        <w:rPr>
          <w:rFonts w:hint="eastAsia"/>
          <w:color w:val="000000" w:themeColor="text1"/>
          <w14:textFill>
            <w14:solidFill>
              <w14:schemeClr w14:val="tx1"/>
            </w14:solidFill>
          </w14:textFill>
        </w:rPr>
        <w:t>建立了完善的危险废物管理计划，按年度制定了危险废物管理计划，并定期向生态环境主管部门上报备案。2026年</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20</w:t>
      </w:r>
      <w:r>
        <w:rPr>
          <w:rFonts w:hint="eastAsia"/>
          <w:color w:val="000000" w:themeColor="text1"/>
          <w14:textFill>
            <w14:solidFill>
              <w14:schemeClr w14:val="tx1"/>
            </w14:solidFill>
          </w14:textFill>
        </w:rPr>
        <w:t>日</w:t>
      </w:r>
      <w:r>
        <w:rPr>
          <w:rFonts w:hint="eastAsia"/>
          <w:color w:val="000000" w:themeColor="text1"/>
          <w:lang w:bidi="ar"/>
          <w14:textFill>
            <w14:solidFill>
              <w14:schemeClr w14:val="tx1"/>
            </w14:solidFill>
          </w14:textFill>
        </w:rPr>
        <w:t>吉庆油田作业区</w:t>
      </w:r>
      <w:r>
        <w:rPr>
          <w:rFonts w:hint="eastAsia"/>
          <w:color w:val="000000" w:themeColor="text1"/>
          <w14:textFill>
            <w14:solidFill>
              <w14:schemeClr w14:val="tx1"/>
            </w14:solidFill>
          </w14:textFill>
        </w:rPr>
        <w:t>已按照要求申报了2026年度的危险废物管理计划，并在</w:t>
      </w:r>
      <w:r>
        <w:rPr>
          <w:rFonts w:hint="eastAsia"/>
          <w:color w:val="000000" w:themeColor="text1"/>
          <w:lang w:val="en-US" w:eastAsia="zh-CN"/>
          <w14:textFill>
            <w14:solidFill>
              <w14:schemeClr w14:val="tx1"/>
            </w14:solidFill>
          </w14:textFill>
        </w:rPr>
        <w:t>昌吉州生态环境局吉木萨尔县分局</w:t>
      </w:r>
      <w:r>
        <w:rPr>
          <w:rFonts w:hint="eastAsia"/>
          <w:color w:val="000000" w:themeColor="text1"/>
          <w14:textFill>
            <w14:solidFill>
              <w14:schemeClr w14:val="tx1"/>
            </w14:solidFill>
          </w14:textFill>
        </w:rPr>
        <w:t>进行了备案，备案编号：65</w:t>
      </w:r>
      <w:r>
        <w:rPr>
          <w:rFonts w:hint="eastAsia"/>
          <w:color w:val="000000" w:themeColor="text1"/>
          <w:lang w:val="en-US" w:eastAsia="zh-CN"/>
          <w14:textFill>
            <w14:solidFill>
              <w14:schemeClr w14:val="tx1"/>
            </w14:solidFill>
          </w14:textFill>
        </w:rPr>
        <w:t>232720260052</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危险废物</w:t>
      </w:r>
      <w:r>
        <w:rPr>
          <w:rFonts w:hint="eastAsia"/>
          <w:color w:val="000000" w:themeColor="text1"/>
          <w14:textFill>
            <w14:solidFill>
              <w14:schemeClr w14:val="tx1"/>
            </w14:solidFill>
          </w14:textFill>
        </w:rPr>
        <w:t>管理计划期限为2026年</w:t>
      </w: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1月</w:t>
      </w: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1日至2026年12月31日，该管理计划</w:t>
      </w:r>
      <w:r>
        <w:rPr>
          <w:color w:val="000000" w:themeColor="text1"/>
          <w14:textFill>
            <w14:solidFill>
              <w14:schemeClr w14:val="tx1"/>
            </w14:solidFill>
          </w14:textFill>
        </w:rPr>
        <w:t>从</w:t>
      </w:r>
      <w:r>
        <w:rPr>
          <w:rFonts w:hint="eastAsia"/>
          <w:color w:val="000000" w:themeColor="text1"/>
          <w14:textFill>
            <w14:solidFill>
              <w14:schemeClr w14:val="tx1"/>
            </w14:solidFill>
          </w14:textFill>
        </w:rPr>
        <w:t>单位基本信息、设施信息表、危险废物产生情况信息表、危险废物贮存情况信息表、危险废物自行利用/处置情况信息表、危险废物减量化计划和措施、危险废物转移情况信息表共七部分组成。主要包括了</w:t>
      </w:r>
      <w:r>
        <w:rPr>
          <w:color w:val="000000" w:themeColor="text1"/>
          <w14:textFill>
            <w14:solidFill>
              <w14:schemeClr w14:val="tx1"/>
            </w14:solidFill>
          </w14:textFill>
        </w:rPr>
        <w:t>危险废物产生的基本情况、产生节点、产生概况、减量计划和措施、转移情况（包括危险废物台账的建立和转移联单制度的落实）以及危险废物委托处置情况等方面进行全方位管理，符合《危险废物管理计划和管理台账制定技术导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HJ1259-2022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中相关要求。</w:t>
      </w:r>
      <w:r>
        <w:rPr>
          <w:rFonts w:hint="eastAsia"/>
          <w:color w:val="000000" w:themeColor="text1"/>
          <w:lang w:bidi="ar"/>
          <w14:textFill>
            <w14:solidFill>
              <w14:schemeClr w14:val="tx1"/>
            </w14:solidFill>
          </w14:textFill>
        </w:rPr>
        <w:t>吉庆油田作业区</w:t>
      </w:r>
      <w:r>
        <w:rPr>
          <w:rFonts w:hint="eastAsia"/>
          <w:color w:val="000000" w:themeColor="text1"/>
          <w14:textFill>
            <w14:solidFill>
              <w14:schemeClr w14:val="tx1"/>
            </w14:solidFill>
          </w14:textFill>
        </w:rPr>
        <w:t>2026年危险废物管理计划</w:t>
      </w:r>
      <w:r>
        <w:rPr>
          <w:rFonts w:hint="eastAsia"/>
          <w:color w:val="000000" w:themeColor="text1"/>
          <w:lang w:val="en-US" w:eastAsia="zh-CN"/>
          <w14:textFill>
            <w14:solidFill>
              <w14:schemeClr w14:val="tx1"/>
            </w14:solidFill>
          </w14:textFill>
        </w:rPr>
        <w:t>备案登记表具体如下：</w:t>
      </w:r>
    </w:p>
    <w:p w14:paraId="5E56435C">
      <w:pPr>
        <w:pStyle w:val="462"/>
        <w:spacing w:line="240" w:lineRule="auto"/>
        <w:ind w:left="0" w:leftChars="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15230" cy="7271385"/>
            <wp:effectExtent l="0" t="0" r="13970" b="5715"/>
            <wp:docPr id="4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0"/>
                    <pic:cNvPicPr>
                      <a:picLocks noChangeAspect="1"/>
                    </pic:cNvPicPr>
                  </pic:nvPicPr>
                  <pic:blipFill>
                    <a:blip r:embed="rId33"/>
                    <a:stretch>
                      <a:fillRect/>
                    </a:stretch>
                  </pic:blipFill>
                  <pic:spPr>
                    <a:xfrm>
                      <a:off x="0" y="0"/>
                      <a:ext cx="5015230" cy="7271385"/>
                    </a:xfrm>
                    <a:prstGeom prst="rect">
                      <a:avLst/>
                    </a:prstGeom>
                    <a:noFill/>
                    <a:ln>
                      <a:noFill/>
                    </a:ln>
                  </pic:spPr>
                </pic:pic>
              </a:graphicData>
            </a:graphic>
          </wp:inline>
        </w:drawing>
      </w:r>
    </w:p>
    <w:p w14:paraId="0240B2CF">
      <w:pPr>
        <w:pStyle w:val="462"/>
        <w:spacing w:line="240" w:lineRule="auto"/>
        <w:ind w:left="0" w:leftChars="0" w:firstLine="0" w:firstLineChars="0"/>
        <w:jc w:val="center"/>
        <w:rPr>
          <w:rFonts w:hint="eastAsia"/>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吉庆油田作业区2026年危险废物管理</w:t>
      </w:r>
      <w:r>
        <w:rPr>
          <w:rFonts w:hint="eastAsia" w:ascii="宋体" w:hAnsi="宋体" w:eastAsia="宋体" w:cs="Times New Roman"/>
          <w:b/>
          <w:bCs/>
          <w:color w:val="000000" w:themeColor="text1"/>
          <w:lang w:eastAsia="zh-CN"/>
          <w14:textFill>
            <w14:solidFill>
              <w14:schemeClr w14:val="tx1"/>
            </w14:solidFill>
          </w14:textFill>
        </w:rPr>
        <w:t>计划备案登记表</w:t>
      </w:r>
    </w:p>
    <w:bookmarkEnd w:id="218"/>
    <w:p w14:paraId="595EEEE1">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4</w:t>
      </w:r>
      <w:r>
        <w:rPr>
          <w:rFonts w:hint="eastAsia" w:ascii="宋体" w:hAnsi="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14:textFill>
            <w14:solidFill>
              <w14:schemeClr w14:val="tx1"/>
            </w14:solidFill>
          </w14:textFill>
        </w:rPr>
        <w:t>现有工程污染物排放量汇总</w:t>
      </w:r>
    </w:p>
    <w:p w14:paraId="29FF1EF5">
      <w:pPr>
        <w:widowControl/>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现有工程污染物排放量见表3.1-</w:t>
      </w:r>
      <w:r>
        <w:rPr>
          <w:rFonts w:hint="eastAsia" w:ascii="宋体" w:hAnsi="宋体" w:cs="宋体"/>
          <w:color w:val="000000" w:themeColor="text1"/>
          <w:sz w:val="24"/>
          <w:szCs w:val="24"/>
          <w:lang w:val="en-US" w:eastAsia="zh-CN"/>
          <w14:textFill>
            <w14:solidFill>
              <w14:schemeClr w14:val="tx1"/>
            </w14:solidFill>
          </w14:textFill>
        </w:rPr>
        <w:t>10</w:t>
      </w:r>
      <w:r>
        <w:rPr>
          <w:rFonts w:hint="eastAsia" w:ascii="宋体" w:hAnsi="宋体" w:cs="宋体"/>
          <w:color w:val="000000" w:themeColor="text1"/>
          <w:sz w:val="24"/>
          <w:szCs w:val="24"/>
          <w14:textFill>
            <w14:solidFill>
              <w14:schemeClr w14:val="tx1"/>
            </w14:solidFill>
          </w14:textFill>
        </w:rPr>
        <w:t>。</w:t>
      </w:r>
    </w:p>
    <w:p w14:paraId="6882DD09">
      <w:pPr>
        <w:pStyle w:val="112"/>
        <w:rPr>
          <w:rFonts w:hint="eastAsia"/>
          <w:color w:val="000000" w:themeColor="text1"/>
          <w14:textFill>
            <w14:solidFill>
              <w14:schemeClr w14:val="tx1"/>
            </w14:solidFill>
          </w14:textFill>
        </w:rPr>
      </w:pPr>
    </w:p>
    <w:p w14:paraId="3B536217">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表3.1-</w:t>
      </w:r>
      <w:r>
        <w:rPr>
          <w:rFonts w:hint="eastAsia"/>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 xml:space="preserve">  现有工程污染物产生及排放情况一览表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800"/>
        <w:gridCol w:w="2175"/>
        <w:gridCol w:w="1844"/>
        <w:gridCol w:w="2126"/>
        <w:gridCol w:w="1785"/>
      </w:tblGrid>
      <w:tr w14:paraId="784D38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Align w:val="center"/>
          </w:tcPr>
          <w:p w14:paraId="08E6D1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1245" w:type="pct"/>
            <w:vAlign w:val="center"/>
          </w:tcPr>
          <w:p w14:paraId="1A11C0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污染源</w:t>
            </w:r>
          </w:p>
        </w:tc>
        <w:tc>
          <w:tcPr>
            <w:tcW w:w="1056" w:type="pct"/>
            <w:vAlign w:val="center"/>
          </w:tcPr>
          <w:p w14:paraId="361C85A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1217" w:type="pct"/>
          </w:tcPr>
          <w:p w14:paraId="7F4033D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现有工程产生量</w:t>
            </w:r>
          </w:p>
        </w:tc>
        <w:tc>
          <w:tcPr>
            <w:tcW w:w="1022" w:type="pct"/>
            <w:vAlign w:val="center"/>
          </w:tcPr>
          <w:p w14:paraId="5D1135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现有工程排放量</w:t>
            </w:r>
          </w:p>
        </w:tc>
      </w:tr>
      <w:tr w14:paraId="01B62B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restart"/>
            <w:vAlign w:val="center"/>
          </w:tcPr>
          <w:p w14:paraId="458259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1245" w:type="pct"/>
            <w:vMerge w:val="restart"/>
            <w:vAlign w:val="center"/>
          </w:tcPr>
          <w:p w14:paraId="34A8862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无组织排放</w:t>
            </w:r>
          </w:p>
        </w:tc>
        <w:tc>
          <w:tcPr>
            <w:tcW w:w="1056" w:type="pct"/>
            <w:vAlign w:val="center"/>
          </w:tcPr>
          <w:p w14:paraId="402FACA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217" w:type="pct"/>
            <w:vAlign w:val="center"/>
          </w:tcPr>
          <w:p w14:paraId="7FFF9A1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34.57t/a</w:t>
            </w:r>
          </w:p>
        </w:tc>
        <w:tc>
          <w:tcPr>
            <w:tcW w:w="1022" w:type="pct"/>
            <w:vAlign w:val="center"/>
          </w:tcPr>
          <w:p w14:paraId="0BC78E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34.57t/a</w:t>
            </w:r>
          </w:p>
        </w:tc>
      </w:tr>
      <w:tr w14:paraId="79B1AE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449F20D0">
            <w:pPr>
              <w:pStyle w:val="280"/>
              <w:rPr>
                <w:rFonts w:hint="eastAsia"/>
                <w:color w:val="000000" w:themeColor="text1"/>
                <w14:textFill>
                  <w14:solidFill>
                    <w14:schemeClr w14:val="tx1"/>
                  </w14:solidFill>
                </w14:textFill>
              </w:rPr>
            </w:pPr>
          </w:p>
        </w:tc>
        <w:tc>
          <w:tcPr>
            <w:tcW w:w="1245" w:type="pct"/>
            <w:vMerge w:val="continue"/>
            <w:vAlign w:val="center"/>
          </w:tcPr>
          <w:p w14:paraId="27BAAC26">
            <w:pPr>
              <w:pStyle w:val="280"/>
              <w:rPr>
                <w:rFonts w:hint="eastAsia"/>
                <w:color w:val="000000" w:themeColor="text1"/>
                <w14:textFill>
                  <w14:solidFill>
                    <w14:schemeClr w14:val="tx1"/>
                  </w14:solidFill>
                </w14:textFill>
              </w:rPr>
            </w:pPr>
          </w:p>
        </w:tc>
        <w:tc>
          <w:tcPr>
            <w:tcW w:w="1056" w:type="pct"/>
            <w:vAlign w:val="center"/>
          </w:tcPr>
          <w:p w14:paraId="3F6AFD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217" w:type="pct"/>
            <w:vAlign w:val="center"/>
          </w:tcPr>
          <w:p w14:paraId="068A283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22" w:type="pct"/>
            <w:vAlign w:val="center"/>
          </w:tcPr>
          <w:p w14:paraId="7D351D4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89E3E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30768539">
            <w:pPr>
              <w:pStyle w:val="280"/>
              <w:rPr>
                <w:rFonts w:hint="eastAsia"/>
                <w:color w:val="000000" w:themeColor="text1"/>
                <w14:textFill>
                  <w14:solidFill>
                    <w14:schemeClr w14:val="tx1"/>
                  </w14:solidFill>
                </w14:textFill>
              </w:rPr>
            </w:pPr>
            <w:bookmarkStart w:id="219" w:name="_Hlk173322489"/>
          </w:p>
        </w:tc>
        <w:tc>
          <w:tcPr>
            <w:tcW w:w="1245" w:type="pct"/>
            <w:vMerge w:val="restart"/>
            <w:vAlign w:val="center"/>
          </w:tcPr>
          <w:p w14:paraId="4DE1A98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热媒炉、燃气设备等烟气</w:t>
            </w:r>
          </w:p>
        </w:tc>
        <w:tc>
          <w:tcPr>
            <w:tcW w:w="1056" w:type="pct"/>
            <w:vAlign w:val="center"/>
          </w:tcPr>
          <w:p w14:paraId="6532A2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x</w:t>
            </w:r>
          </w:p>
        </w:tc>
        <w:tc>
          <w:tcPr>
            <w:tcW w:w="1217" w:type="pct"/>
            <w:vAlign w:val="center"/>
          </w:tcPr>
          <w:p w14:paraId="6286454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24.06t/a</w:t>
            </w:r>
          </w:p>
        </w:tc>
        <w:tc>
          <w:tcPr>
            <w:tcW w:w="1022" w:type="pct"/>
            <w:vAlign w:val="center"/>
          </w:tcPr>
          <w:p w14:paraId="541D06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24.06t/a</w:t>
            </w:r>
          </w:p>
        </w:tc>
      </w:tr>
      <w:tr w14:paraId="79D4B3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69E20695">
            <w:pPr>
              <w:pStyle w:val="280"/>
              <w:rPr>
                <w:rFonts w:hint="eastAsia"/>
                <w:color w:val="000000" w:themeColor="text1"/>
                <w14:textFill>
                  <w14:solidFill>
                    <w14:schemeClr w14:val="tx1"/>
                  </w14:solidFill>
                </w14:textFill>
              </w:rPr>
            </w:pPr>
          </w:p>
        </w:tc>
        <w:tc>
          <w:tcPr>
            <w:tcW w:w="1245" w:type="pct"/>
            <w:vMerge w:val="continue"/>
            <w:vAlign w:val="center"/>
          </w:tcPr>
          <w:p w14:paraId="1F236A5B">
            <w:pPr>
              <w:pStyle w:val="280"/>
              <w:rPr>
                <w:rFonts w:hint="eastAsia"/>
                <w:color w:val="000000" w:themeColor="text1"/>
                <w14:textFill>
                  <w14:solidFill>
                    <w14:schemeClr w14:val="tx1"/>
                  </w14:solidFill>
                </w14:textFill>
              </w:rPr>
            </w:pPr>
          </w:p>
        </w:tc>
        <w:tc>
          <w:tcPr>
            <w:tcW w:w="1056" w:type="pct"/>
            <w:vAlign w:val="center"/>
          </w:tcPr>
          <w:p w14:paraId="2CB3F1F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S0</w:t>
            </w:r>
            <w:r>
              <w:rPr>
                <w:rFonts w:hint="eastAsia"/>
                <w:color w:val="000000" w:themeColor="text1"/>
                <w:vertAlign w:val="subscript"/>
                <w14:textFill>
                  <w14:solidFill>
                    <w14:schemeClr w14:val="tx1"/>
                  </w14:solidFill>
                </w14:textFill>
              </w:rPr>
              <w:t>2</w:t>
            </w:r>
          </w:p>
        </w:tc>
        <w:tc>
          <w:tcPr>
            <w:tcW w:w="1217" w:type="pct"/>
            <w:vAlign w:val="center"/>
          </w:tcPr>
          <w:p w14:paraId="0E5545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6.01t/a</w:t>
            </w:r>
          </w:p>
        </w:tc>
        <w:tc>
          <w:tcPr>
            <w:tcW w:w="1022" w:type="pct"/>
            <w:vAlign w:val="center"/>
          </w:tcPr>
          <w:p w14:paraId="785BEE5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6.01t/a</w:t>
            </w:r>
          </w:p>
        </w:tc>
      </w:tr>
      <w:tr w14:paraId="4E8697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6FE467B5">
            <w:pPr>
              <w:pStyle w:val="280"/>
              <w:rPr>
                <w:rFonts w:hint="eastAsia"/>
                <w:color w:val="000000" w:themeColor="text1"/>
                <w14:textFill>
                  <w14:solidFill>
                    <w14:schemeClr w14:val="tx1"/>
                  </w14:solidFill>
                </w14:textFill>
              </w:rPr>
            </w:pPr>
          </w:p>
        </w:tc>
        <w:tc>
          <w:tcPr>
            <w:tcW w:w="1245" w:type="pct"/>
            <w:vMerge w:val="continue"/>
            <w:vAlign w:val="center"/>
          </w:tcPr>
          <w:p w14:paraId="286B8111">
            <w:pPr>
              <w:pStyle w:val="280"/>
              <w:rPr>
                <w:rFonts w:hint="eastAsia"/>
                <w:color w:val="000000" w:themeColor="text1"/>
                <w14:textFill>
                  <w14:solidFill>
                    <w14:schemeClr w14:val="tx1"/>
                  </w14:solidFill>
                </w14:textFill>
              </w:rPr>
            </w:pPr>
          </w:p>
        </w:tc>
        <w:tc>
          <w:tcPr>
            <w:tcW w:w="1056" w:type="pct"/>
            <w:vAlign w:val="center"/>
          </w:tcPr>
          <w:p w14:paraId="3F433BD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217" w:type="pct"/>
            <w:vAlign w:val="center"/>
          </w:tcPr>
          <w:p w14:paraId="115ACE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2.41t/a</w:t>
            </w:r>
          </w:p>
        </w:tc>
        <w:tc>
          <w:tcPr>
            <w:tcW w:w="1022" w:type="pct"/>
            <w:vAlign w:val="center"/>
          </w:tcPr>
          <w:p w14:paraId="63B2698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2.41t/a</w:t>
            </w:r>
          </w:p>
        </w:tc>
      </w:tr>
      <w:bookmarkEnd w:id="219"/>
      <w:tr w14:paraId="177FBF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restart"/>
            <w:vAlign w:val="center"/>
          </w:tcPr>
          <w:p w14:paraId="1C63DD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245" w:type="pct"/>
            <w:vAlign w:val="center"/>
          </w:tcPr>
          <w:p w14:paraId="3E36D8B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洗井废水</w:t>
            </w:r>
          </w:p>
        </w:tc>
        <w:tc>
          <w:tcPr>
            <w:tcW w:w="1056" w:type="pct"/>
            <w:vAlign w:val="center"/>
          </w:tcPr>
          <w:p w14:paraId="5923C4C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化学需氧量、石油类</w:t>
            </w:r>
          </w:p>
        </w:tc>
        <w:tc>
          <w:tcPr>
            <w:tcW w:w="1217" w:type="pct"/>
            <w:vAlign w:val="center"/>
          </w:tcPr>
          <w:p w14:paraId="4C42101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56544t/a</w:t>
            </w:r>
          </w:p>
        </w:tc>
        <w:tc>
          <w:tcPr>
            <w:tcW w:w="1022" w:type="pct"/>
            <w:vAlign w:val="center"/>
          </w:tcPr>
          <w:p w14:paraId="1D711D5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r>
      <w:tr w14:paraId="4201EB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1AF532E4">
            <w:pPr>
              <w:pStyle w:val="280"/>
              <w:rPr>
                <w:rFonts w:hint="eastAsia"/>
                <w:color w:val="000000" w:themeColor="text1"/>
                <w14:textFill>
                  <w14:solidFill>
                    <w14:schemeClr w14:val="tx1"/>
                  </w14:solidFill>
                </w14:textFill>
              </w:rPr>
            </w:pPr>
            <w:bookmarkStart w:id="220" w:name="_Hlk173334816"/>
          </w:p>
        </w:tc>
        <w:tc>
          <w:tcPr>
            <w:tcW w:w="1245" w:type="pct"/>
            <w:vAlign w:val="center"/>
          </w:tcPr>
          <w:p w14:paraId="4BAE10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压裂返排液</w:t>
            </w:r>
          </w:p>
        </w:tc>
        <w:tc>
          <w:tcPr>
            <w:tcW w:w="1056" w:type="pct"/>
            <w:vAlign w:val="center"/>
          </w:tcPr>
          <w:p w14:paraId="6FBABB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石油类、COD</w:t>
            </w:r>
          </w:p>
        </w:tc>
        <w:tc>
          <w:tcPr>
            <w:tcW w:w="1217" w:type="pct"/>
            <w:vAlign w:val="center"/>
          </w:tcPr>
          <w:p w14:paraId="69C7BE3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89235.36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p>
        </w:tc>
        <w:tc>
          <w:tcPr>
            <w:tcW w:w="1022" w:type="pct"/>
            <w:vAlign w:val="center"/>
          </w:tcPr>
          <w:p w14:paraId="2ED87B6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r>
      <w:tr w14:paraId="1038BC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5EAE3DCC">
            <w:pPr>
              <w:pStyle w:val="280"/>
              <w:rPr>
                <w:rFonts w:hint="eastAsia"/>
                <w:color w:val="000000" w:themeColor="text1"/>
                <w14:textFill>
                  <w14:solidFill>
                    <w14:schemeClr w14:val="tx1"/>
                  </w14:solidFill>
                </w14:textFill>
              </w:rPr>
            </w:pPr>
          </w:p>
        </w:tc>
        <w:tc>
          <w:tcPr>
            <w:tcW w:w="1245" w:type="pct"/>
            <w:vAlign w:val="center"/>
          </w:tcPr>
          <w:p w14:paraId="5D85A9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废洗井液</w:t>
            </w:r>
          </w:p>
        </w:tc>
        <w:tc>
          <w:tcPr>
            <w:tcW w:w="1056" w:type="pct"/>
            <w:vAlign w:val="center"/>
          </w:tcPr>
          <w:p w14:paraId="6BB53D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石油类、COD</w:t>
            </w:r>
          </w:p>
        </w:tc>
        <w:tc>
          <w:tcPr>
            <w:tcW w:w="1217" w:type="pct"/>
            <w:vAlign w:val="center"/>
          </w:tcPr>
          <w:p w14:paraId="22F82B4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18815.76t/a</w:t>
            </w:r>
          </w:p>
        </w:tc>
        <w:tc>
          <w:tcPr>
            <w:tcW w:w="1022" w:type="pct"/>
            <w:vAlign w:val="center"/>
          </w:tcPr>
          <w:p w14:paraId="25A043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r>
      <w:tr w14:paraId="712BEC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6B946F95">
            <w:pPr>
              <w:pStyle w:val="280"/>
              <w:rPr>
                <w:rFonts w:hint="eastAsia"/>
                <w:color w:val="000000" w:themeColor="text1"/>
                <w14:textFill>
                  <w14:solidFill>
                    <w14:schemeClr w14:val="tx1"/>
                  </w14:solidFill>
                </w14:textFill>
              </w:rPr>
            </w:pPr>
          </w:p>
        </w:tc>
        <w:tc>
          <w:tcPr>
            <w:tcW w:w="1245" w:type="pct"/>
            <w:vAlign w:val="center"/>
          </w:tcPr>
          <w:p w14:paraId="38898DE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1056" w:type="pct"/>
            <w:vAlign w:val="center"/>
          </w:tcPr>
          <w:p w14:paraId="1016C5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COD、SS、NH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1217" w:type="pct"/>
            <w:vAlign w:val="center"/>
          </w:tcPr>
          <w:p w14:paraId="549F76A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87.6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p>
        </w:tc>
        <w:tc>
          <w:tcPr>
            <w:tcW w:w="1022" w:type="pct"/>
            <w:vAlign w:val="center"/>
          </w:tcPr>
          <w:p w14:paraId="0498B387">
            <w:pPr>
              <w:pStyle w:val="280"/>
              <w:rPr>
                <w:rFonts w:hint="eastAsia"/>
                <w:color w:val="000000" w:themeColor="text1"/>
                <w14:textFill>
                  <w14:solidFill>
                    <w14:schemeClr w14:val="tx1"/>
                  </w14:solidFill>
                </w14:textFill>
              </w:rPr>
            </w:pPr>
          </w:p>
        </w:tc>
      </w:tr>
      <w:bookmarkEnd w:id="220"/>
      <w:tr w14:paraId="4E6ED5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restart"/>
            <w:vAlign w:val="center"/>
          </w:tcPr>
          <w:p w14:paraId="3D09B1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w:t>
            </w:r>
          </w:p>
          <w:p w14:paraId="37E7FB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废物</w:t>
            </w:r>
          </w:p>
        </w:tc>
        <w:tc>
          <w:tcPr>
            <w:tcW w:w="1245" w:type="pct"/>
            <w:vAlign w:val="center"/>
          </w:tcPr>
          <w:p w14:paraId="599F055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含油污泥</w:t>
            </w:r>
          </w:p>
        </w:tc>
        <w:tc>
          <w:tcPr>
            <w:tcW w:w="1056" w:type="pct"/>
            <w:vAlign w:val="center"/>
          </w:tcPr>
          <w:p w14:paraId="449BD5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1217" w:type="pct"/>
            <w:vAlign w:val="center"/>
          </w:tcPr>
          <w:p w14:paraId="29530C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3267.36t/a</w:t>
            </w:r>
          </w:p>
        </w:tc>
        <w:tc>
          <w:tcPr>
            <w:tcW w:w="1022" w:type="pct"/>
          </w:tcPr>
          <w:p w14:paraId="720895F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w:t>
            </w:r>
          </w:p>
        </w:tc>
      </w:tr>
      <w:tr w14:paraId="201806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0D14250D">
            <w:pPr>
              <w:pStyle w:val="280"/>
              <w:rPr>
                <w:rFonts w:hint="eastAsia"/>
                <w:color w:val="000000" w:themeColor="text1"/>
                <w14:textFill>
                  <w14:solidFill>
                    <w14:schemeClr w14:val="tx1"/>
                  </w14:solidFill>
                </w14:textFill>
              </w:rPr>
            </w:pPr>
          </w:p>
        </w:tc>
        <w:tc>
          <w:tcPr>
            <w:tcW w:w="1245" w:type="pct"/>
            <w:vAlign w:val="center"/>
          </w:tcPr>
          <w:p w14:paraId="58DE2AE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w:t>
            </w:r>
          </w:p>
        </w:tc>
        <w:tc>
          <w:tcPr>
            <w:tcW w:w="1056" w:type="pct"/>
            <w:vAlign w:val="center"/>
          </w:tcPr>
          <w:p w14:paraId="5E20CF2F">
            <w:pPr>
              <w:pStyle w:val="280"/>
              <w:rPr>
                <w:rFonts w:hint="eastAsia"/>
                <w:color w:val="000000" w:themeColor="text1"/>
                <w14:textFill>
                  <w14:solidFill>
                    <w14:schemeClr w14:val="tx1"/>
                  </w14:solidFill>
                </w14:textFill>
              </w:rPr>
            </w:pPr>
            <w:bookmarkStart w:id="221" w:name="OLE_LINK42"/>
            <w:r>
              <w:rPr>
                <w:rFonts w:hint="eastAsia"/>
                <w:color w:val="000000" w:themeColor="text1"/>
                <w14:textFill>
                  <w14:solidFill>
                    <w14:schemeClr w14:val="tx1"/>
                  </w14:solidFill>
                </w14:textFill>
              </w:rPr>
              <w:t>石油类</w:t>
            </w:r>
            <w:bookmarkEnd w:id="221"/>
          </w:p>
        </w:tc>
        <w:tc>
          <w:tcPr>
            <w:tcW w:w="1217" w:type="pct"/>
            <w:vAlign w:val="center"/>
          </w:tcPr>
          <w:p w14:paraId="2BB9342A">
            <w:pPr>
              <w:pStyle w:val="280"/>
              <w:rPr>
                <w:rFonts w:hint="eastAsia"/>
                <w:color w:val="000000" w:themeColor="text1"/>
                <w14:textFill>
                  <w14:solidFill>
                    <w14:schemeClr w14:val="tx1"/>
                  </w14:solidFill>
                </w14:textFill>
              </w:rPr>
            </w:pPr>
            <w:bookmarkStart w:id="222" w:name="OLE_LINK43"/>
            <w:r>
              <w:rPr>
                <w:rFonts w:hint="eastAsia"/>
                <w:color w:val="000000" w:themeColor="text1"/>
                <w14:textFill>
                  <w14:solidFill>
                    <w14:schemeClr w14:val="tx1"/>
                  </w14:solidFill>
                </w14:textFill>
              </w:rPr>
              <w:t>37.2t/a</w:t>
            </w:r>
            <w:bookmarkEnd w:id="222"/>
          </w:p>
        </w:tc>
        <w:tc>
          <w:tcPr>
            <w:tcW w:w="1022" w:type="pct"/>
          </w:tcPr>
          <w:p w14:paraId="7B12ECE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w:t>
            </w:r>
          </w:p>
        </w:tc>
      </w:tr>
      <w:tr w14:paraId="1FDE77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54B99FC3">
            <w:pPr>
              <w:pStyle w:val="280"/>
              <w:rPr>
                <w:rFonts w:hint="eastAsia"/>
                <w:color w:val="000000" w:themeColor="text1"/>
                <w14:textFill>
                  <w14:solidFill>
                    <w14:schemeClr w14:val="tx1"/>
                  </w14:solidFill>
                </w14:textFill>
              </w:rPr>
            </w:pPr>
          </w:p>
        </w:tc>
        <w:tc>
          <w:tcPr>
            <w:tcW w:w="1245" w:type="pct"/>
            <w:vAlign w:val="center"/>
          </w:tcPr>
          <w:p w14:paraId="7032E4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废润滑油桶</w:t>
            </w:r>
          </w:p>
        </w:tc>
        <w:tc>
          <w:tcPr>
            <w:tcW w:w="1056" w:type="pct"/>
            <w:vAlign w:val="center"/>
          </w:tcPr>
          <w:p w14:paraId="6B784C2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1217" w:type="pct"/>
            <w:vAlign w:val="center"/>
          </w:tcPr>
          <w:p w14:paraId="010E18D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3.7t/a</w:t>
            </w:r>
          </w:p>
        </w:tc>
        <w:tc>
          <w:tcPr>
            <w:tcW w:w="1022" w:type="pct"/>
          </w:tcPr>
          <w:p w14:paraId="14DA904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w:t>
            </w:r>
          </w:p>
        </w:tc>
      </w:tr>
      <w:tr w14:paraId="606C2F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34AC5711">
            <w:pPr>
              <w:pStyle w:val="280"/>
              <w:rPr>
                <w:rFonts w:hint="eastAsia"/>
                <w:color w:val="000000" w:themeColor="text1"/>
                <w14:textFill>
                  <w14:solidFill>
                    <w14:schemeClr w14:val="tx1"/>
                  </w14:solidFill>
                </w14:textFill>
              </w:rPr>
            </w:pPr>
          </w:p>
        </w:tc>
        <w:tc>
          <w:tcPr>
            <w:tcW w:w="1245" w:type="pct"/>
            <w:vAlign w:val="center"/>
          </w:tcPr>
          <w:p w14:paraId="529508B2">
            <w:pPr>
              <w:pStyle w:val="280"/>
              <w:rPr>
                <w:rFonts w:hint="eastAsia"/>
                <w:color w:val="000000" w:themeColor="text1"/>
                <w14:textFill>
                  <w14:solidFill>
                    <w14:schemeClr w14:val="tx1"/>
                  </w14:solidFill>
                </w14:textFill>
              </w:rPr>
            </w:pPr>
            <w:r>
              <w:rPr>
                <w:rFonts w:hint="eastAsia"/>
                <w:color w:val="000000" w:themeColor="text1"/>
                <w:lang w:val="zh-CN"/>
                <w14:textFill>
                  <w14:solidFill>
                    <w14:schemeClr w14:val="tx1"/>
                  </w14:solidFill>
                </w14:textFill>
              </w:rPr>
              <w:t>沾油废防渗材料</w:t>
            </w:r>
          </w:p>
        </w:tc>
        <w:tc>
          <w:tcPr>
            <w:tcW w:w="1056" w:type="pct"/>
            <w:vAlign w:val="center"/>
          </w:tcPr>
          <w:p w14:paraId="3A7B6A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1217" w:type="pct"/>
            <w:vAlign w:val="center"/>
          </w:tcPr>
          <w:p w14:paraId="2BBFB2D9">
            <w:pPr>
              <w:pStyle w:val="280"/>
              <w:rPr>
                <w:rFonts w:hint="eastAsia"/>
                <w:color w:val="000000" w:themeColor="text1"/>
                <w14:textFill>
                  <w14:solidFill>
                    <w14:schemeClr w14:val="tx1"/>
                  </w14:solidFill>
                </w14:textFill>
              </w:rPr>
            </w:pPr>
            <w:bookmarkStart w:id="223" w:name="OLE_LINK44"/>
            <w:r>
              <w:rPr>
                <w:rFonts w:hint="eastAsia"/>
                <w:color w:val="000000" w:themeColor="text1"/>
                <w14:textFill>
                  <w14:solidFill>
                    <w14:schemeClr w14:val="tx1"/>
                  </w14:solidFill>
                </w14:textFill>
              </w:rPr>
              <w:t>52.1t/a</w:t>
            </w:r>
            <w:bookmarkEnd w:id="223"/>
          </w:p>
        </w:tc>
        <w:tc>
          <w:tcPr>
            <w:tcW w:w="1022" w:type="pct"/>
          </w:tcPr>
          <w:p w14:paraId="743CED6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w:t>
            </w:r>
          </w:p>
        </w:tc>
      </w:tr>
      <w:tr w14:paraId="71219D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315CC7DF">
            <w:pPr>
              <w:pStyle w:val="280"/>
              <w:rPr>
                <w:rFonts w:hint="eastAsia"/>
                <w:color w:val="000000" w:themeColor="text1"/>
                <w14:textFill>
                  <w14:solidFill>
                    <w14:schemeClr w14:val="tx1"/>
                  </w14:solidFill>
                </w14:textFill>
              </w:rPr>
            </w:pPr>
          </w:p>
        </w:tc>
        <w:tc>
          <w:tcPr>
            <w:tcW w:w="1245" w:type="pct"/>
            <w:vAlign w:val="center"/>
          </w:tcPr>
          <w:p w14:paraId="4F6C7C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废含油抹布、劳保用品</w:t>
            </w:r>
          </w:p>
        </w:tc>
        <w:tc>
          <w:tcPr>
            <w:tcW w:w="1056" w:type="pct"/>
            <w:vAlign w:val="center"/>
          </w:tcPr>
          <w:p w14:paraId="1000309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1217" w:type="pct"/>
          </w:tcPr>
          <w:p w14:paraId="7254CA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37.2t/a</w:t>
            </w:r>
          </w:p>
        </w:tc>
        <w:tc>
          <w:tcPr>
            <w:tcW w:w="1022" w:type="pct"/>
          </w:tcPr>
          <w:p w14:paraId="39F1178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w:t>
            </w:r>
          </w:p>
        </w:tc>
      </w:tr>
      <w:tr w14:paraId="06BDB1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58" w:type="pct"/>
            <w:vMerge w:val="continue"/>
            <w:vAlign w:val="center"/>
          </w:tcPr>
          <w:p w14:paraId="319FFA5E">
            <w:pPr>
              <w:pStyle w:val="280"/>
              <w:rPr>
                <w:rFonts w:hint="eastAsia"/>
                <w:color w:val="000000" w:themeColor="text1"/>
                <w14:textFill>
                  <w14:solidFill>
                    <w14:schemeClr w14:val="tx1"/>
                  </w14:solidFill>
                </w14:textFill>
              </w:rPr>
            </w:pPr>
          </w:p>
        </w:tc>
        <w:tc>
          <w:tcPr>
            <w:tcW w:w="1245" w:type="pct"/>
            <w:vAlign w:val="center"/>
          </w:tcPr>
          <w:p w14:paraId="6154B7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056" w:type="pct"/>
            <w:vAlign w:val="center"/>
          </w:tcPr>
          <w:p w14:paraId="0A106AB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17" w:type="pct"/>
          </w:tcPr>
          <w:p w14:paraId="32D9BCD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2.7t/a</w:t>
            </w:r>
          </w:p>
        </w:tc>
        <w:tc>
          <w:tcPr>
            <w:tcW w:w="1022" w:type="pct"/>
          </w:tcPr>
          <w:p w14:paraId="662DD12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w:t>
            </w:r>
          </w:p>
        </w:tc>
      </w:tr>
    </w:tbl>
    <w:p w14:paraId="3652C154">
      <w:pPr>
        <w:pStyle w:val="46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⑨退役设施</w:t>
      </w:r>
    </w:p>
    <w:p w14:paraId="1FCF7455">
      <w:pPr>
        <w:pStyle w:val="46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吉7井区油气开发始于2011年，2014年开始规模开发，井区目前尚未产生退役设施，考虑到未来老井利用的可能性，井区现有未生产井按照关井管理，未采取封井的措施，井场已平整，井场植被逐步自然恢复。</w:t>
      </w:r>
    </w:p>
    <w:p w14:paraId="74AE98EC">
      <w:pPr>
        <w:pStyle w:val="46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现场踏勘和调查过程中未发现在建工程建设过程中存在环境问题。</w:t>
      </w:r>
    </w:p>
    <w:bookmarkEnd w:id="203"/>
    <w:bookmarkEnd w:id="204"/>
    <w:bookmarkEnd w:id="205"/>
    <w:p w14:paraId="692D90D7">
      <w:pPr>
        <w:pStyle w:val="8"/>
        <w:rPr>
          <w:rFonts w:hint="eastAsia"/>
          <w:color w:val="000000" w:themeColor="text1"/>
          <w14:textFill>
            <w14:solidFill>
              <w14:schemeClr w14:val="tx1"/>
            </w14:solidFill>
          </w14:textFill>
        </w:rPr>
      </w:pPr>
      <w:bookmarkStart w:id="224" w:name="_Hlk175249476"/>
      <w:bookmarkStart w:id="225" w:name="_Hlk175249500"/>
      <w:r>
        <w:rPr>
          <w:rFonts w:hint="eastAsia"/>
          <w:color w:val="000000" w:themeColor="text1"/>
          <w14:textFill>
            <w14:solidFill>
              <w14:schemeClr w14:val="tx1"/>
            </w14:solidFill>
          </w14:textFill>
        </w:rPr>
        <w:t>存在的环境问题及“以新带老”整改措施</w:t>
      </w:r>
    </w:p>
    <w:bookmarkEnd w:id="224"/>
    <w:p w14:paraId="141A72BB">
      <w:pPr>
        <w:pStyle w:val="462"/>
        <w:rPr>
          <w:rFonts w:hint="eastAsia"/>
          <w:color w:val="000000" w:themeColor="text1"/>
          <w:lang w:bidi="ar"/>
          <w14:textFill>
            <w14:solidFill>
              <w14:schemeClr w14:val="tx1"/>
            </w14:solidFill>
          </w14:textFill>
        </w:rPr>
      </w:pPr>
      <w:bookmarkStart w:id="226" w:name="_Hlk175848453"/>
      <w:r>
        <w:rPr>
          <w:rFonts w:hint="eastAsia"/>
          <w:color w:val="000000" w:themeColor="text1"/>
          <w:lang w:bidi="ar"/>
          <w14:textFill>
            <w14:solidFill>
              <w14:schemeClr w14:val="tx1"/>
            </w14:solidFill>
          </w14:textFill>
        </w:rPr>
        <w:t>（1）现有工程存在的环境问题</w:t>
      </w:r>
    </w:p>
    <w:p w14:paraId="1C12CD11">
      <w:pPr>
        <w:pStyle w:val="462"/>
        <w:rPr>
          <w:rFonts w:hint="default"/>
          <w:color w:val="000000" w:themeColor="text1"/>
          <w:lang w:val="en-US" w:eastAsia="zh-CN" w:bidi="ar"/>
          <w14:textFill>
            <w14:solidFill>
              <w14:schemeClr w14:val="tx1"/>
            </w14:solidFill>
          </w14:textFill>
        </w:rPr>
      </w:pPr>
      <w:bookmarkStart w:id="227" w:name="_Hlk175847245"/>
      <w:r>
        <w:rPr>
          <w:rFonts w:hint="eastAsia"/>
          <w:color w:val="000000" w:themeColor="text1"/>
          <w:lang w:val="en-US" w:eastAsia="zh-CN" w:bidi="ar"/>
          <w14:textFill>
            <w14:solidFill>
              <w14:schemeClr w14:val="tx1"/>
            </w14:solidFill>
          </w14:textFill>
        </w:rPr>
        <w:t>①临时占地</w:t>
      </w:r>
    </w:p>
    <w:p w14:paraId="55B0359E">
      <w:pPr>
        <w:pStyle w:val="46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根据现场调查结果可知，项目所在区域没有出现过套外返水、漏油、井喷等情况，区块内现有钻井工程井场及其他附属设施严格按照环评批复进行了占地和平面布置，未发生违规占地行为。现有井场已进行平整，由砾石铺垫，井场岩屑池已经覆土，井场及周边均没有污油出现。已完钻井的水基/油基岩屑已按照环评要求清理处置，现场踏勘时岩屑已全部清运完毕，井场未见遗留。但目前临时占地内植被尚未完全恢复。井区内现有井场已进行平整，由砾石铺垫，井场岩屑池已经覆土，井场及周边均没有污油出现。已完钻井的水基/油基岩屑已按照环评要求清理处置，现场踏勘时岩屑已全部清运完毕，井场未见遗留。</w:t>
      </w:r>
    </w:p>
    <w:p w14:paraId="6405C563">
      <w:pPr>
        <w:pStyle w:val="462"/>
        <w:rPr>
          <w:rFonts w:hint="eastAsia"/>
          <w:color w:val="000000" w:themeColor="text1"/>
          <w:lang w:bidi="ar"/>
          <w14:textFill>
            <w14:solidFill>
              <w14:schemeClr w14:val="tx1"/>
            </w14:solidFill>
          </w14:textFill>
        </w:rPr>
      </w:pPr>
      <w:r>
        <w:rPr>
          <w:rFonts w:hint="eastAsia" w:cs="宋体"/>
          <w:color w:val="000000" w:themeColor="text1"/>
          <w:lang w:bidi="ar"/>
          <w14:textFill>
            <w14:solidFill>
              <w14:schemeClr w14:val="tx1"/>
            </w14:solidFill>
          </w14:textFill>
        </w:rPr>
        <w:t>目前现有工程存在的环境问题为：</w:t>
      </w:r>
      <w:r>
        <w:rPr>
          <w:rFonts w:hint="eastAsia"/>
          <w:color w:val="000000" w:themeColor="text1"/>
          <w:lang w:bidi="ar"/>
          <w14:textFill>
            <w14:solidFill>
              <w14:schemeClr w14:val="tx1"/>
            </w14:solidFill>
          </w14:textFill>
        </w:rPr>
        <w:t>临时占地内植被尚未完全恢复，井区部分地段有车辆乱碾乱轧的痕迹。</w:t>
      </w:r>
    </w:p>
    <w:p w14:paraId="4BF73F4F">
      <w:pPr>
        <w:pStyle w:val="462"/>
        <w:rPr>
          <w:rFonts w:hint="eastAsia"/>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②</w:t>
      </w:r>
      <w:r>
        <w:rPr>
          <w:rFonts w:hint="eastAsia" w:ascii="宋体" w:hAnsi="宋体" w:cs="宋体"/>
          <w:color w:val="000000" w:themeColor="text1"/>
          <w:sz w:val="24"/>
          <w:szCs w:val="24"/>
          <w14:textFill>
            <w14:solidFill>
              <w14:schemeClr w14:val="tx1"/>
            </w14:solidFill>
          </w14:textFill>
        </w:rPr>
        <w:t>吉祥联合站采出水处理系统</w:t>
      </w:r>
    </w:p>
    <w:p w14:paraId="1EAF333E">
      <w:pPr>
        <w:pStyle w:val="462"/>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吉祥联合站采出水处理系统处理出水水质</w:t>
      </w:r>
      <w:r>
        <w:rPr>
          <w:rFonts w:hint="eastAsia" w:ascii="宋体" w:hAnsi="宋体" w:cs="宋体"/>
          <w:color w:val="000000" w:themeColor="text1"/>
          <w:sz w:val="24"/>
          <w:szCs w:val="24"/>
          <w:lang w:val="en-US" w:eastAsia="zh-CN"/>
          <w14:textFill>
            <w14:solidFill>
              <w14:schemeClr w14:val="tx1"/>
            </w14:solidFill>
          </w14:textFill>
        </w:rPr>
        <w:t>监测因子中只监测了含油率和悬浮固体含量，未监测悬浮颗粒粒径中值和腐蚀率、</w:t>
      </w:r>
    </w:p>
    <w:p w14:paraId="4C7262BF">
      <w:pPr>
        <w:pStyle w:val="46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（2）整改措施</w:t>
      </w:r>
    </w:p>
    <w:p w14:paraId="25237F98">
      <w:pPr>
        <w:pStyle w:val="46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①临时占地</w:t>
      </w:r>
    </w:p>
    <w:p w14:paraId="5B4315EC">
      <w:pPr>
        <w:pStyle w:val="462"/>
        <w:rPr>
          <w:rFonts w:hint="eastAsia"/>
          <w:color w:val="000000" w:themeColor="text1"/>
          <w:spacing w:val="-4"/>
          <w14:textFill>
            <w14:solidFill>
              <w14:schemeClr w14:val="tx1"/>
            </w14:solidFill>
          </w14:textFill>
        </w:rPr>
      </w:pPr>
      <w:r>
        <w:rPr>
          <w:rFonts w:hint="eastAsia"/>
          <w:color w:val="000000" w:themeColor="text1"/>
          <w14:textFill>
            <w14:solidFill>
              <w14:schemeClr w14:val="tx1"/>
            </w14:solidFill>
          </w14:textFill>
        </w:rPr>
        <w:t>针对已开发区域遗留的环境问题，在本次开发建设过程中，要重点采取以下措施：拟建项目建设中应严格规定施工车辆、施工机械及施工人员的活动范围，不</w:t>
      </w:r>
      <w:r>
        <w:rPr>
          <w:rFonts w:hint="eastAsia"/>
          <w:color w:val="000000" w:themeColor="text1"/>
          <w:spacing w:val="8"/>
          <w14:textFill>
            <w14:solidFill>
              <w14:schemeClr w14:val="tx1"/>
            </w14:solidFill>
          </w14:textFill>
        </w:rPr>
        <w:t xml:space="preserve"> </w:t>
      </w:r>
      <w:r>
        <w:rPr>
          <w:rFonts w:hint="eastAsia"/>
          <w:color w:val="000000" w:themeColor="text1"/>
          <w:spacing w:val="-4"/>
          <w14:textFill>
            <w14:solidFill>
              <w14:schemeClr w14:val="tx1"/>
            </w14:solidFill>
          </w14:textFill>
        </w:rPr>
        <w:t>得乱碾乱轧，随意开设便道。</w:t>
      </w:r>
      <w:bookmarkEnd w:id="226"/>
      <w:bookmarkEnd w:id="227"/>
    </w:p>
    <w:p w14:paraId="6D0B3B7F">
      <w:pPr>
        <w:pStyle w:val="462"/>
        <w:rPr>
          <w:rFonts w:hint="eastAsia" w:ascii="宋体" w:hAnsi="宋体" w:cs="宋体"/>
          <w:color w:val="000000" w:themeColor="text1"/>
          <w:sz w:val="24"/>
          <w:szCs w:val="24"/>
          <w14:textFill>
            <w14:solidFill>
              <w14:schemeClr w14:val="tx1"/>
            </w14:solidFill>
          </w14:textFill>
        </w:rPr>
      </w:pPr>
      <w:r>
        <w:rPr>
          <w:rFonts w:hint="eastAsia"/>
          <w:color w:val="000000" w:themeColor="text1"/>
          <w:spacing w:val="-4"/>
          <w:lang w:val="en-US" w:eastAsia="zh-CN"/>
          <w14:textFill>
            <w14:solidFill>
              <w14:schemeClr w14:val="tx1"/>
            </w14:solidFill>
          </w14:textFill>
        </w:rPr>
        <w:t>②</w:t>
      </w:r>
      <w:r>
        <w:rPr>
          <w:rFonts w:hint="eastAsia" w:ascii="宋体" w:hAnsi="宋体" w:cs="宋体"/>
          <w:color w:val="000000" w:themeColor="text1"/>
          <w:sz w:val="24"/>
          <w:szCs w:val="24"/>
          <w14:textFill>
            <w14:solidFill>
              <w14:schemeClr w14:val="tx1"/>
            </w14:solidFill>
          </w14:textFill>
        </w:rPr>
        <w:t>吉祥联合站采出水处理系统</w:t>
      </w:r>
    </w:p>
    <w:p w14:paraId="72589C7C">
      <w:pPr>
        <w:pStyle w:val="462"/>
        <w:rPr>
          <w:rFonts w:hint="eastAsia" w:ascii="宋体" w:hAnsi="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吉祥联合站采出水处理系统出水水质监测因子应该严格按照《碎屑岩油藏注水水质指标技术要求及分析方法》（SY/T 5329-2022）中Ⅲ级标准对应的监测因子，修改完善现有自行监测计划，并在后续的吉祥联合站采出水处理系统出水例行监测中补充</w:t>
      </w:r>
      <w:r>
        <w:rPr>
          <w:rFonts w:hint="eastAsia" w:ascii="宋体" w:hAnsi="宋体" w:eastAsia="宋体" w:cs="宋体"/>
          <w:color w:val="000000" w:themeColor="text1"/>
          <w:sz w:val="24"/>
          <w:szCs w:val="24"/>
          <w:lang w:val="en-US" w:eastAsia="zh-CN"/>
          <w14:textFill>
            <w14:solidFill>
              <w14:schemeClr w14:val="tx1"/>
            </w14:solidFill>
          </w14:textFill>
        </w:rPr>
        <w:t>悬浮颗粒粒径中值和腐蚀率。</w:t>
      </w:r>
    </w:p>
    <w:bookmarkEnd w:id="225"/>
    <w:p w14:paraId="37ACE516">
      <w:pPr>
        <w:pStyle w:val="7"/>
        <w:rPr>
          <w:rFonts w:hint="eastAsia"/>
          <w:color w:val="000000" w:themeColor="text1"/>
          <w14:textFill>
            <w14:solidFill>
              <w14:schemeClr w14:val="tx1"/>
            </w14:solidFill>
          </w14:textFill>
        </w:rPr>
      </w:pPr>
      <w:bookmarkStart w:id="228" w:name="_Toc29236"/>
      <w:r>
        <w:rPr>
          <w:rFonts w:hint="eastAsia"/>
          <w:color w:val="000000" w:themeColor="text1"/>
          <w14:textFill>
            <w14:solidFill>
              <w14:schemeClr w14:val="tx1"/>
            </w14:solidFill>
          </w14:textFill>
        </w:rPr>
        <w:t>改扩建项目工程概况</w:t>
      </w:r>
      <w:bookmarkEnd w:id="228"/>
    </w:p>
    <w:p w14:paraId="7EDD5B79">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建设项目基本情况</w:t>
      </w:r>
    </w:p>
    <w:p w14:paraId="0D0B330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（1）项目名称</w:t>
      </w:r>
    </w:p>
    <w:p w14:paraId="01B1A05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吉7井区梧桐沟组油藏2026年更新补钻产能建设项目。</w:t>
      </w:r>
    </w:p>
    <w:p w14:paraId="1660C256">
      <w:pPr>
        <w:pStyle w:val="120"/>
        <w:rPr>
          <w:rFonts w:hint="eastAsia"/>
          <w:color w:val="000000" w:themeColor="text1"/>
          <w14:textFill>
            <w14:solidFill>
              <w14:schemeClr w14:val="tx1"/>
            </w14:solidFill>
          </w14:textFill>
        </w:rPr>
      </w:pPr>
      <w:bookmarkStart w:id="229" w:name="_Hlk92203766"/>
      <w:r>
        <w:rPr>
          <w:rFonts w:hint="eastAsia"/>
          <w:color w:val="000000" w:themeColor="text1"/>
          <w14:textFill>
            <w14:solidFill>
              <w14:schemeClr w14:val="tx1"/>
            </w14:solidFill>
          </w14:textFill>
        </w:rPr>
        <w:t>（2）建设单位</w:t>
      </w:r>
    </w:p>
    <w:p w14:paraId="190C0E7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中国石油新疆油田分公司吉庆油田作业区。</w:t>
      </w:r>
    </w:p>
    <w:p w14:paraId="7E940F6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）项目性质</w:t>
      </w:r>
    </w:p>
    <w:bookmarkEnd w:id="229"/>
    <w:p w14:paraId="111F94EC">
      <w:pPr>
        <w:pStyle w:val="120"/>
        <w:rPr>
          <w:rFonts w:hint="eastAsia"/>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关于进一步加强和规范油气田开发项目环境保护管理工作的通知》（新环发〔2018〕133号）中规定：“各油气田开发业主单位认真梳理区域内油气开发现状，明确环境影响已评价和开发范围（即老区块）、未评价和开发范围（即新区块）的范围坐标；凡属于环境影响评价文件批复区域新增油气田开发建设行为，其增层开采、加密建井等均按照老区块开发建设编制环评文件；凡属于环境影响评价文件批复未涉及区域内的开发建设行为均按照新区块编报环评文件”。本项目位于已确定产能的老区块，</w:t>
      </w:r>
      <w:r>
        <w:rPr>
          <w:rFonts w:hint="eastAsia"/>
          <w:color w:val="000000" w:themeColor="text1"/>
          <w:kern w:val="0"/>
          <w:lang w:val="en-US"/>
          <w14:textFill>
            <w14:solidFill>
              <w14:schemeClr w14:val="tx1"/>
            </w14:solidFill>
          </w14:textFill>
        </w:rPr>
        <w:t>项目建设性质为</w:t>
      </w:r>
      <w:r>
        <w:rPr>
          <w:rFonts w:hint="eastAsia"/>
          <w:color w:val="000000" w:themeColor="text1"/>
          <w14:textFill>
            <w14:solidFill>
              <w14:schemeClr w14:val="tx1"/>
            </w14:solidFill>
          </w14:textFill>
        </w:rPr>
        <w:t>改扩建</w:t>
      </w:r>
      <w:r>
        <w:rPr>
          <w:rFonts w:hint="eastAsia"/>
          <w:color w:val="000000" w:themeColor="text1"/>
          <w:kern w:val="0"/>
          <w14:textFill>
            <w14:solidFill>
              <w14:schemeClr w14:val="tx1"/>
            </w14:solidFill>
          </w14:textFill>
        </w:rPr>
        <w:t>。</w:t>
      </w:r>
    </w:p>
    <w:p w14:paraId="03A0E5B3">
      <w:pPr>
        <w:pStyle w:val="120"/>
        <w:rPr>
          <w:rFonts w:hint="eastAsia"/>
          <w:color w:val="000000" w:themeColor="text1"/>
          <w14:textFill>
            <w14:solidFill>
              <w14:schemeClr w14:val="tx1"/>
            </w14:solidFill>
          </w14:textFill>
        </w:rPr>
      </w:pPr>
      <w:bookmarkStart w:id="230" w:name="_Hlk35516863"/>
      <w:r>
        <w:rPr>
          <w:rFonts w:hint="eastAsia"/>
          <w:color w:val="000000" w:themeColor="text1"/>
          <w14:textFill>
            <w14:solidFill>
              <w14:schemeClr w14:val="tx1"/>
            </w14:solidFill>
          </w14:textFill>
        </w:rPr>
        <w:t>（4）建设地点</w:t>
      </w:r>
    </w:p>
    <w:p w14:paraId="4E98ADD6">
      <w:pPr>
        <w:pStyle w:val="120"/>
        <w:rPr>
          <w:rFonts w:hint="eastAsia"/>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本项目行政隶属于新疆维吾尔自治区昌吉回族自治州吉木萨尔县</w:t>
      </w:r>
      <w:bookmarkStart w:id="231" w:name="_Hlk169026816"/>
      <w:r>
        <w:rPr>
          <w:rFonts w:hint="eastAsia"/>
          <w:color w:val="000000" w:themeColor="text1"/>
          <w14:textFill>
            <w14:solidFill>
              <w14:schemeClr w14:val="tx1"/>
            </w14:solidFill>
          </w14:textFill>
        </w:rPr>
        <w:t>，项目西南距昌吉回族自治州吉木萨尔县县城的距离约为</w:t>
      </w:r>
      <w:r>
        <w:rPr>
          <w:rFonts w:hint="eastAsia"/>
          <w:color w:val="000000" w:themeColor="text1"/>
          <w:lang w:val="en-US"/>
          <w14:textFill>
            <w14:solidFill>
              <w14:schemeClr w14:val="tx1"/>
            </w14:solidFill>
          </w14:textFill>
        </w:rPr>
        <w:t>12.9</w:t>
      </w:r>
      <w:r>
        <w:rPr>
          <w:rFonts w:hint="eastAsia"/>
          <w:color w:val="000000" w:themeColor="text1"/>
          <w14:textFill>
            <w14:solidFill>
              <w14:schemeClr w14:val="tx1"/>
            </w14:solidFill>
          </w14:textFill>
        </w:rPr>
        <w:t>km，</w:t>
      </w:r>
      <w:r>
        <w:rPr>
          <w:rFonts w:hint="eastAsia"/>
          <w:color w:val="000000" w:themeColor="text1"/>
          <w:lang w:val="en-US"/>
          <w14:textFill>
            <w14:solidFill>
              <w14:schemeClr w14:val="tx1"/>
            </w14:solidFill>
          </w14:textFill>
        </w:rPr>
        <w:t>西北距新疆生产建设兵团第六师红旗农场约18.8km，西南距S239约3.2km</w:t>
      </w:r>
      <w:r>
        <w:rPr>
          <w:rFonts w:hint="eastAsia"/>
          <w:color w:val="000000" w:themeColor="text1"/>
          <w14:textFill>
            <w14:solidFill>
              <w14:schemeClr w14:val="tx1"/>
            </w14:solidFill>
          </w14:textFill>
        </w:rPr>
        <w:t>。中心点坐标：E 89°16′12.097</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，N 44°06′52.061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。详见图3.2-1。</w:t>
      </w:r>
    </w:p>
    <w:bookmarkEnd w:id="231"/>
    <w:p w14:paraId="5251D23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（5）建设内容</w:t>
      </w:r>
    </w:p>
    <w:p w14:paraId="27FA8244">
      <w:pPr>
        <w:widowControl/>
        <w:adjustRightInd w:val="0"/>
        <w:snapToGrid w:val="0"/>
        <w:spacing w:line="500" w:lineRule="exact"/>
        <w:ind w:firstLine="480" w:firstLineChars="200"/>
        <w:rPr>
          <w:rFonts w:hint="eastAsia" w:ascii="宋体" w:hAnsi="宋体"/>
          <w:color w:val="000000" w:themeColor="text1"/>
          <w:kern w:val="0"/>
          <w:sz w:val="24"/>
          <w:szCs w:val="24"/>
          <w14:textFill>
            <w14:solidFill>
              <w14:schemeClr w14:val="tx1"/>
            </w14:solidFill>
          </w14:textFill>
        </w:rPr>
        <w:sectPr>
          <w:pgSz w:w="11906" w:h="16838"/>
          <w:pgMar w:top="1418" w:right="1588" w:bottom="1418" w:left="1588" w:header="1020" w:footer="1020" w:gutter="0"/>
          <w:cols w:space="720" w:num="1"/>
          <w:docGrid w:type="lines" w:linePitch="317" w:charSpace="0"/>
        </w:sectPr>
      </w:pPr>
      <w:bookmarkStart w:id="232" w:name="_Hlk168908677"/>
      <w:r>
        <w:rPr>
          <w:rFonts w:hint="eastAsia" w:ascii="宋体" w:hAnsi="宋体"/>
          <w:color w:val="000000" w:themeColor="text1"/>
          <w:sz w:val="24"/>
          <w:szCs w:val="24"/>
          <w14:textFill>
            <w14:solidFill>
              <w14:schemeClr w14:val="tx1"/>
            </w14:solidFill>
          </w14:textFill>
        </w:rPr>
        <w:t>拟部署采油井6口，2口注水井，</w:t>
      </w:r>
      <w:r>
        <w:rPr>
          <w:rFonts w:ascii="宋体" w:hAnsi="宋体"/>
          <w:color w:val="000000" w:themeColor="text1"/>
          <w:sz w:val="24"/>
          <w:szCs w:val="24"/>
          <w14:textFill>
            <w14:solidFill>
              <w14:schemeClr w14:val="tx1"/>
            </w14:solidFill>
          </w14:textFill>
        </w:rPr>
        <w:t>钻井</w:t>
      </w:r>
      <w:r>
        <w:rPr>
          <w:rFonts w:hint="eastAsia" w:ascii="宋体" w:hAnsi="宋体"/>
          <w:color w:val="000000" w:themeColor="text1"/>
          <w:sz w:val="24"/>
          <w:szCs w:val="24"/>
          <w14:textFill>
            <w14:solidFill>
              <w14:schemeClr w14:val="tx1"/>
            </w14:solidFill>
          </w14:textFill>
        </w:rPr>
        <w:t>总</w:t>
      </w:r>
      <w:r>
        <w:rPr>
          <w:rFonts w:ascii="宋体" w:hAnsi="宋体"/>
          <w:color w:val="000000" w:themeColor="text1"/>
          <w:sz w:val="24"/>
          <w:szCs w:val="24"/>
          <w14:textFill>
            <w14:solidFill>
              <w14:schemeClr w14:val="tx1"/>
            </w14:solidFill>
          </w14:textFill>
        </w:rPr>
        <w:t>进尺</w:t>
      </w:r>
      <w:r>
        <w:rPr>
          <w:rFonts w:hint="eastAsia" w:ascii="宋体" w:hAnsi="宋体"/>
          <w:color w:val="000000" w:themeColor="text1"/>
          <w:sz w:val="24"/>
          <w:szCs w:val="24"/>
          <w14:textFill>
            <w14:solidFill>
              <w14:schemeClr w14:val="tx1"/>
            </w14:solidFill>
          </w14:textFill>
        </w:rPr>
        <w:t>14411</w:t>
      </w:r>
      <w:r>
        <w:rPr>
          <w:rFonts w:ascii="宋体" w:hAnsi="宋体"/>
          <w:color w:val="000000" w:themeColor="text1"/>
          <w:sz w:val="24"/>
          <w:szCs w:val="24"/>
          <w14:textFill>
            <w14:solidFill>
              <w14:schemeClr w14:val="tx1"/>
            </w14:solidFill>
          </w14:textFill>
        </w:rPr>
        <w:t>m，</w:t>
      </w:r>
      <w:r>
        <w:rPr>
          <w:rFonts w:hint="eastAsia" w:ascii="宋体" w:hAnsi="宋体"/>
          <w:color w:val="000000" w:themeColor="text1"/>
          <w:sz w:val="24"/>
          <w:szCs w:val="24"/>
          <w14:textFill>
            <w14:solidFill>
              <w14:schemeClr w14:val="tx1"/>
            </w14:solidFill>
          </w14:textFill>
        </w:rPr>
        <w:t>新建单井采油井场1座，2井式</w:t>
      </w:r>
      <w:r>
        <w:rPr>
          <w:rFonts w:ascii="宋体" w:hAnsi="宋体"/>
          <w:color w:val="000000" w:themeColor="text1"/>
          <w:sz w:val="24"/>
          <w:szCs w:val="24"/>
          <w14:textFill>
            <w14:solidFill>
              <w14:schemeClr w14:val="tx1"/>
            </w14:solidFill>
          </w14:textFill>
        </w:rPr>
        <w:t>平台井场</w:t>
      </w:r>
      <w:r>
        <w:rPr>
          <w:rFonts w:hint="eastAsia" w:ascii="宋体" w:hAnsi="宋体"/>
          <w:color w:val="000000" w:themeColor="text1"/>
          <w:sz w:val="24"/>
          <w:szCs w:val="24"/>
          <w14:textFill>
            <w14:solidFill>
              <w14:schemeClr w14:val="tx1"/>
            </w14:solidFill>
          </w14:textFill>
        </w:rPr>
        <w:t>3座（其中2井式采油平台井场2座，注水井、采油井合建2井式平台井场1座），注水井场1座，新建单井采油管线1.82km，单井掺热水管道1.82km，单井注水管线1.92km。配套建设给排水，供电、防腐、消防、油区道路等工程。</w:t>
      </w:r>
      <w:r>
        <w:rPr>
          <w:rFonts w:hint="eastAsia" w:ascii="宋体" w:hAnsi="宋体" w:cs="宋体"/>
          <w:color w:val="000000" w:themeColor="text1"/>
          <w:sz w:val="24"/>
          <w:szCs w:val="24"/>
          <w14:textFill>
            <w14:solidFill>
              <w14:schemeClr w14:val="tx1"/>
            </w14:solidFill>
          </w14:textFill>
        </w:rPr>
        <w:t>新建产能0.64×l0</w:t>
      </w:r>
      <w:r>
        <w:rPr>
          <w:rFonts w:hint="eastAsia" w:ascii="宋体" w:hAnsi="宋体" w:cs="宋体"/>
          <w:color w:val="000000" w:themeColor="text1"/>
          <w:sz w:val="24"/>
          <w:szCs w:val="24"/>
          <w:vertAlign w:val="superscript"/>
          <w14:textFill>
            <w14:solidFill>
              <w14:schemeClr w14:val="tx1"/>
            </w14:solidFill>
          </w14:textFill>
        </w:rPr>
        <w:t>4</w:t>
      </w:r>
      <w:r>
        <w:rPr>
          <w:rFonts w:hint="eastAsia" w:ascii="宋体" w:hAnsi="宋体" w:cs="宋体"/>
          <w:color w:val="000000" w:themeColor="text1"/>
          <w:sz w:val="24"/>
          <w:szCs w:val="24"/>
          <w14:textFill>
            <w14:solidFill>
              <w14:schemeClr w14:val="tx1"/>
            </w14:solidFill>
          </w14:textFill>
        </w:rPr>
        <w:t>t/a</w:t>
      </w:r>
      <w:r>
        <w:rPr>
          <w:rFonts w:hint="eastAsia" w:ascii="宋体" w:hAnsi="宋体"/>
          <w:color w:val="000000" w:themeColor="text1"/>
          <w:kern w:val="0"/>
          <w:sz w:val="24"/>
          <w:szCs w:val="24"/>
          <w14:textFill>
            <w14:solidFill>
              <w14:schemeClr w14:val="tx1"/>
            </w14:solidFill>
          </w14:textFill>
        </w:rPr>
        <w:t>。</w:t>
      </w:r>
    </w:p>
    <w:bookmarkEnd w:id="232"/>
    <w:p w14:paraId="50642EF6">
      <w:pPr>
        <w:pStyle w:val="120"/>
        <w:spacing w:line="240" w:lineRule="auto"/>
        <w:ind w:firstLine="0" w:firstLineChars="0"/>
        <w:rPr>
          <w:rFonts w:hint="eastAsia" w:ascii="黑体" w:hAnsi="黑体" w:eastAsia="黑体"/>
          <w:color w:val="000000" w:themeColor="text1"/>
          <w:kern w:val="0"/>
          <w:sz w:val="21"/>
          <w:szCs w:val="21"/>
          <w14:textFill>
            <w14:solidFill>
              <w14:schemeClr w14:val="tx1"/>
            </w14:solidFill>
          </w14:textFill>
        </w:rPr>
      </w:pPr>
      <w:r>
        <w:rPr>
          <w:rFonts w:hint="eastAsia" w:ascii="黑体" w:hAnsi="黑体" w:eastAsia="黑体"/>
          <w:color w:val="000000" w:themeColor="text1"/>
          <w:kern w:val="0"/>
          <w:sz w:val="21"/>
          <w:szCs w:val="21"/>
          <w14:textFill>
            <w14:solidFill>
              <w14:schemeClr w14:val="tx1"/>
            </w14:solidFill>
          </w14:textFill>
        </w:rPr>
        <w:drawing>
          <wp:inline distT="0" distB="0" distL="114300" distR="114300">
            <wp:extent cx="8768715" cy="4978400"/>
            <wp:effectExtent l="9525" t="9525" r="22860" b="22225"/>
            <wp:docPr id="92" name="图片 92" descr="周边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周边位置关系图"/>
                    <pic:cNvPicPr>
                      <a:picLocks noChangeAspect="1"/>
                    </pic:cNvPicPr>
                  </pic:nvPicPr>
                  <pic:blipFill>
                    <a:blip r:embed="rId34"/>
                    <a:stretch>
                      <a:fillRect/>
                    </a:stretch>
                  </pic:blipFill>
                  <pic:spPr>
                    <a:xfrm>
                      <a:off x="0" y="0"/>
                      <a:ext cx="8768715" cy="4978400"/>
                    </a:xfrm>
                    <a:prstGeom prst="rect">
                      <a:avLst/>
                    </a:prstGeom>
                    <a:ln>
                      <a:solidFill>
                        <a:schemeClr val="tx1"/>
                      </a:solidFill>
                    </a:ln>
                  </pic:spPr>
                </pic:pic>
              </a:graphicData>
            </a:graphic>
          </wp:inline>
        </w:drawing>
      </w:r>
    </w:p>
    <w:p w14:paraId="2E6A7F6A">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图3.2-1  区域位置及本次开发范围示意图</w:t>
      </w:r>
    </w:p>
    <w:p w14:paraId="46A6DC80">
      <w:pPr>
        <w:pStyle w:val="120"/>
        <w:rPr>
          <w:rFonts w:hint="eastAsia"/>
          <w:color w:val="000000" w:themeColor="text1"/>
          <w14:textFill>
            <w14:solidFill>
              <w14:schemeClr w14:val="tx1"/>
            </w14:solidFill>
          </w14:textFill>
        </w:rPr>
        <w:sectPr>
          <w:pgSz w:w="16838" w:h="11906" w:orient="landscape"/>
          <w:pgMar w:top="1588" w:right="1418" w:bottom="1588" w:left="1418" w:header="1020" w:footer="1020" w:gutter="0"/>
          <w:cols w:space="720" w:num="1"/>
          <w:docGrid w:type="lines" w:linePitch="317" w:charSpace="0"/>
        </w:sectPr>
      </w:pPr>
    </w:p>
    <w:p w14:paraId="0A65EFE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（6）产能规模</w:t>
      </w:r>
    </w:p>
    <w:p w14:paraId="03B1E6E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拟部署6口采油井，2口注水井，采用</w:t>
      </w:r>
      <w:r>
        <w:rPr>
          <w:rFonts w:hint="eastAsia"/>
          <w:color w:val="000000" w:themeColor="text1"/>
          <w:lang w:val="en-US"/>
          <w14:textFill>
            <w14:solidFill>
              <w14:schemeClr w14:val="tx1"/>
            </w14:solidFill>
          </w14:textFill>
        </w:rPr>
        <w:t>注水</w:t>
      </w:r>
      <w:r>
        <w:rPr>
          <w:rFonts w:hint="eastAsia"/>
          <w:color w:val="000000" w:themeColor="text1"/>
          <w14:textFill>
            <w14:solidFill>
              <w14:schemeClr w14:val="tx1"/>
            </w14:solidFill>
          </w14:textFill>
        </w:rPr>
        <w:t>开发。</w:t>
      </w:r>
      <w:r>
        <w:rPr>
          <w:rFonts w:hint="eastAsia"/>
          <w:color w:val="000000" w:themeColor="text1"/>
          <w:lang w:val="en-US"/>
          <w14:textFill>
            <w14:solidFill>
              <w14:schemeClr w14:val="tx1"/>
            </w14:solidFill>
          </w14:textFill>
        </w:rPr>
        <w:t>本项目6口井</w:t>
      </w:r>
      <w:r>
        <w:rPr>
          <w:rFonts w:hint="eastAsia"/>
          <w:color w:val="000000" w:themeColor="text1"/>
          <w14:textFill>
            <w14:solidFill>
              <w14:schemeClr w14:val="tx1"/>
            </w14:solidFill>
          </w14:textFill>
        </w:rPr>
        <w:t>合计</w:t>
      </w:r>
      <w:r>
        <w:rPr>
          <w:rFonts w:hint="eastAsia"/>
          <w:color w:val="000000" w:themeColor="text1"/>
          <w:lang w:val="en-US"/>
          <w14:textFill>
            <w14:solidFill>
              <w14:schemeClr w14:val="tx1"/>
            </w14:solidFill>
          </w14:textFill>
        </w:rPr>
        <w:t>新增</w:t>
      </w:r>
      <w:r>
        <w:rPr>
          <w:rFonts w:hint="eastAsia"/>
          <w:color w:val="000000" w:themeColor="text1"/>
          <w14:textFill>
            <w14:solidFill>
              <w14:schemeClr w14:val="tx1"/>
            </w14:solidFill>
          </w14:textFill>
        </w:rPr>
        <w:t>产能规模为</w:t>
      </w:r>
      <w:r>
        <w:rPr>
          <w:rFonts w:hint="eastAsia"/>
          <w:color w:val="000000" w:themeColor="text1"/>
          <w:lang w:val="en-US"/>
          <w14:textFill>
            <w14:solidFill>
              <w14:schemeClr w14:val="tx1"/>
            </w14:solidFill>
          </w14:textFill>
        </w:rPr>
        <w:t>0.64</w:t>
      </w:r>
      <w:r>
        <w:rPr>
          <w:rFonts w:hint="eastAsia"/>
          <w:color w:val="000000" w:themeColor="text1"/>
          <w14:textFill>
            <w14:solidFill>
              <w14:schemeClr w14:val="tx1"/>
            </w14:solidFill>
          </w14:textFill>
        </w:rPr>
        <w:t>×10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t/a。</w:t>
      </w:r>
    </w:p>
    <w:p w14:paraId="5AF438A2">
      <w:pPr>
        <w:pStyle w:val="12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其中</w:t>
      </w:r>
      <w:r>
        <w:rPr>
          <w:rFonts w:hint="eastAsia"/>
          <w:color w:val="000000" w:themeColor="text1"/>
          <w14:textFill>
            <w14:solidFill>
              <w14:schemeClr w14:val="tx1"/>
            </w14:solidFill>
          </w14:textFill>
        </w:rPr>
        <w:t>在吉006井断块P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bscript"/>
          <w14:textFill>
            <w14:solidFill>
              <w14:schemeClr w14:val="tx1"/>
            </w14:solidFill>
          </w14:textFill>
        </w:rPr>
        <w:t>2</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油藏边部有效厚度10m～15m区域部署4口采油井（JD6110、JD6089、JD6167、JD6186），单井设计产能3.5t/d，新建产能0.</w:t>
      </w:r>
      <w:r>
        <w:rPr>
          <w:rFonts w:hint="eastAsia"/>
          <w:color w:val="000000" w:themeColor="text1"/>
          <w:lang w:val="en-US"/>
          <w14:textFill>
            <w14:solidFill>
              <w14:schemeClr w14:val="tx1"/>
            </w14:solidFill>
          </w14:textFill>
        </w:rPr>
        <w:t>43</w:t>
      </w:r>
      <w:r>
        <w:rPr>
          <w:rFonts w:hint="eastAsia"/>
          <w:color w:val="000000" w:themeColor="text1"/>
          <w14:textFill>
            <w14:solidFill>
              <w14:schemeClr w14:val="tx1"/>
            </w14:solidFill>
          </w14:textFill>
        </w:rPr>
        <w:t>×10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t。在吉006井断块P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bscript"/>
          <w14:textFill>
            <w14:solidFill>
              <w14:schemeClr w14:val="tx1"/>
            </w14:solidFill>
          </w14:textFill>
        </w:rPr>
        <w:t>1</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层油藏中部部署1口</w:t>
      </w:r>
      <w:r>
        <w:rPr>
          <w:rFonts w:hint="eastAsia"/>
          <w:color w:val="000000" w:themeColor="text1"/>
          <w:lang w:val="en-US"/>
          <w14:textFill>
            <w14:solidFill>
              <w14:schemeClr w14:val="tx1"/>
            </w14:solidFill>
          </w14:textFill>
        </w:rPr>
        <w:t>采油井</w:t>
      </w:r>
      <w:r>
        <w:rPr>
          <w:rFonts w:hint="eastAsia"/>
          <w:color w:val="000000" w:themeColor="text1"/>
          <w14:textFill>
            <w14:solidFill>
              <w14:schemeClr w14:val="tx1"/>
            </w14:solidFill>
          </w14:textFill>
        </w:rPr>
        <w:t>（J6093A），J6093A井初期产能取3.5t/d，新建产能0.</w:t>
      </w:r>
      <w:r>
        <w:rPr>
          <w:rFonts w:hint="eastAsia"/>
          <w:color w:val="000000" w:themeColor="text1"/>
          <w:lang w:val="en-US"/>
          <w14:textFill>
            <w14:solidFill>
              <w14:schemeClr w14:val="tx1"/>
            </w14:solidFill>
          </w14:textFill>
        </w:rPr>
        <w:t>12</w:t>
      </w:r>
      <w:r>
        <w:rPr>
          <w:rFonts w:hint="eastAsia"/>
          <w:color w:val="000000" w:themeColor="text1"/>
          <w14:textFill>
            <w14:solidFill>
              <w14:schemeClr w14:val="tx1"/>
            </w14:solidFill>
          </w14:textFill>
        </w:rPr>
        <w:t>×10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t；在吉8井断块P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bscript"/>
          <w14:textFill>
            <w14:solidFill>
              <w14:schemeClr w14:val="tx1"/>
            </w14:solidFill>
          </w14:textFill>
        </w:rPr>
        <w:t>2</w:t>
      </w:r>
      <w:r>
        <w:rPr>
          <w:rFonts w:hint="eastAsia"/>
          <w:color w:val="000000" w:themeColor="text1"/>
          <w:vertAlign w:val="superscript"/>
          <w14:textFill>
            <w14:solidFill>
              <w14:schemeClr w14:val="tx1"/>
            </w14:solidFill>
          </w14:textFill>
        </w:rPr>
        <w:t>2-3</w:t>
      </w:r>
      <w:r>
        <w:rPr>
          <w:rFonts w:hint="eastAsia"/>
          <w:color w:val="000000" w:themeColor="text1"/>
          <w14:textFill>
            <w14:solidFill>
              <w14:schemeClr w14:val="tx1"/>
            </w14:solidFill>
          </w14:textFill>
        </w:rPr>
        <w:t>层油藏中部部署1口（J9100A），单井设计产能3.0t/d，新建产能0.09×10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w:t>
      </w:r>
    </w:p>
    <w:p w14:paraId="662D7D5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产能预测表见表3.2-1至表3.2-3。</w:t>
      </w:r>
    </w:p>
    <w:p w14:paraId="7A2E27F4">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 xml:space="preserve">表3.2-1  </w:t>
      </w:r>
      <w:r>
        <w:rPr>
          <w:rFonts w:ascii="黑体" w:hAnsi="黑体" w:eastAsia="黑体"/>
          <w:color w:val="000000" w:themeColor="text1"/>
          <w14:textFill>
            <w14:solidFill>
              <w14:schemeClr w14:val="tx1"/>
            </w14:solidFill>
          </w14:textFill>
        </w:rPr>
        <w:t>吉006井断块P</w:t>
      </w:r>
      <w:r>
        <w:rPr>
          <w:rFonts w:ascii="黑体" w:hAnsi="黑体" w:eastAsia="黑体"/>
          <w:color w:val="000000" w:themeColor="text1"/>
          <w:vertAlign w:val="subscript"/>
          <w14:textFill>
            <w14:solidFill>
              <w14:schemeClr w14:val="tx1"/>
            </w14:solidFill>
          </w14:textFill>
        </w:rPr>
        <w:t>3</w:t>
      </w:r>
      <w:r>
        <w:rPr>
          <w:rFonts w:ascii="黑体" w:hAnsi="黑体" w:eastAsia="黑体"/>
          <w:color w:val="000000" w:themeColor="text1"/>
          <w14:textFill>
            <w14:solidFill>
              <w14:schemeClr w14:val="tx1"/>
            </w14:solidFill>
          </w14:textFill>
        </w:rPr>
        <w:t>wt</w:t>
      </w:r>
      <w:r>
        <w:rPr>
          <w:rFonts w:ascii="黑体" w:hAnsi="黑体" w:eastAsia="黑体"/>
          <w:color w:val="000000" w:themeColor="text1"/>
          <w:vertAlign w:val="subscript"/>
          <w14:textFill>
            <w14:solidFill>
              <w14:schemeClr w14:val="tx1"/>
            </w14:solidFill>
          </w14:textFill>
        </w:rPr>
        <w:t>2</w:t>
      </w:r>
      <w:r>
        <w:rPr>
          <w:rFonts w:ascii="黑体" w:hAnsi="黑体" w:eastAsia="黑体"/>
          <w:color w:val="000000" w:themeColor="text1"/>
          <w:vertAlign w:val="superscript"/>
          <w14:textFill>
            <w14:solidFill>
              <w14:schemeClr w14:val="tx1"/>
            </w14:solidFill>
          </w14:textFill>
        </w:rPr>
        <w:t>2-3</w:t>
      </w:r>
      <w:r>
        <w:rPr>
          <w:rFonts w:hint="eastAsia" w:ascii="黑体" w:hAnsi="黑体" w:eastAsia="黑体"/>
          <w:color w:val="000000" w:themeColor="text1"/>
          <w14:textFill>
            <w14:solidFill>
              <w14:schemeClr w14:val="tx1"/>
            </w14:solidFill>
          </w14:textFill>
        </w:rPr>
        <w:t>4口采油井产能指标预测表</w:t>
      </w:r>
    </w:p>
    <w:tbl>
      <w:tblPr>
        <w:tblStyle w:val="5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19"/>
        <w:gridCol w:w="896"/>
        <w:gridCol w:w="896"/>
        <w:gridCol w:w="1003"/>
        <w:gridCol w:w="1058"/>
        <w:gridCol w:w="1003"/>
        <w:gridCol w:w="1036"/>
        <w:gridCol w:w="1058"/>
        <w:gridCol w:w="954"/>
      </w:tblGrid>
      <w:tr w14:paraId="72DBCD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1" w:hRule="atLeast"/>
          <w:jc w:val="center"/>
        </w:trPr>
        <w:tc>
          <w:tcPr>
            <w:tcW w:w="469" w:type="pct"/>
            <w:tcMar>
              <w:top w:w="12" w:type="dxa"/>
              <w:left w:w="12" w:type="dxa"/>
              <w:right w:w="12" w:type="dxa"/>
            </w:tcMar>
            <w:vAlign w:val="center"/>
          </w:tcPr>
          <w:p w14:paraId="57BFA21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年数</w:t>
            </w:r>
          </w:p>
        </w:tc>
        <w:tc>
          <w:tcPr>
            <w:tcW w:w="513" w:type="pct"/>
            <w:tcMar>
              <w:top w:w="12" w:type="dxa"/>
              <w:left w:w="12" w:type="dxa"/>
              <w:right w:w="12" w:type="dxa"/>
            </w:tcMar>
            <w:vAlign w:val="center"/>
          </w:tcPr>
          <w:p w14:paraId="6DB94BB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开井数（口）</w:t>
            </w:r>
          </w:p>
        </w:tc>
        <w:tc>
          <w:tcPr>
            <w:tcW w:w="513" w:type="pct"/>
            <w:tcMar>
              <w:top w:w="12" w:type="dxa"/>
              <w:left w:w="12" w:type="dxa"/>
              <w:right w:w="12" w:type="dxa"/>
            </w:tcMar>
            <w:vAlign w:val="center"/>
          </w:tcPr>
          <w:p w14:paraId="789A16F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年产油（10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tc>
        <w:tc>
          <w:tcPr>
            <w:tcW w:w="574" w:type="pct"/>
            <w:tcMar>
              <w:top w:w="12" w:type="dxa"/>
              <w:left w:w="12" w:type="dxa"/>
              <w:right w:w="12" w:type="dxa"/>
            </w:tcMar>
            <w:vAlign w:val="center"/>
          </w:tcPr>
          <w:p w14:paraId="4A6F4B1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年产液（10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tc>
        <w:tc>
          <w:tcPr>
            <w:tcW w:w="606" w:type="pct"/>
            <w:tcMar>
              <w:top w:w="12" w:type="dxa"/>
              <w:left w:w="12" w:type="dxa"/>
              <w:right w:w="12" w:type="dxa"/>
            </w:tcMar>
            <w:vAlign w:val="center"/>
          </w:tcPr>
          <w:p w14:paraId="2AA13B2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年产气</w:t>
            </w:r>
            <w:r>
              <w:rPr>
                <w:color w:val="000000" w:themeColor="text1"/>
                <w14:textFill>
                  <w14:solidFill>
                    <w14:schemeClr w14:val="tx1"/>
                  </w14:solidFill>
                </w14:textFill>
              </w:rPr>
              <w:br w:type="textWrapping"/>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m³）</w:t>
            </w:r>
          </w:p>
        </w:tc>
        <w:tc>
          <w:tcPr>
            <w:tcW w:w="574" w:type="pct"/>
            <w:tcMar>
              <w:top w:w="12" w:type="dxa"/>
              <w:left w:w="12" w:type="dxa"/>
              <w:right w:w="12" w:type="dxa"/>
            </w:tcMar>
            <w:vAlign w:val="center"/>
          </w:tcPr>
          <w:p w14:paraId="06661F2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累产油（10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tc>
        <w:tc>
          <w:tcPr>
            <w:tcW w:w="593" w:type="pct"/>
            <w:tcMar>
              <w:top w:w="12" w:type="dxa"/>
              <w:left w:w="12" w:type="dxa"/>
              <w:right w:w="12" w:type="dxa"/>
            </w:tcMar>
            <w:vAlign w:val="center"/>
          </w:tcPr>
          <w:p w14:paraId="16C6F86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累产液</w:t>
            </w:r>
          </w:p>
          <w:p w14:paraId="6A349FA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p>
        </w:tc>
        <w:tc>
          <w:tcPr>
            <w:tcW w:w="606" w:type="pct"/>
            <w:tcMar>
              <w:top w:w="12" w:type="dxa"/>
              <w:left w:w="12" w:type="dxa"/>
              <w:right w:w="12" w:type="dxa"/>
            </w:tcMar>
            <w:vAlign w:val="center"/>
          </w:tcPr>
          <w:p w14:paraId="7FDE66E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累产气</w:t>
            </w:r>
            <w:r>
              <w:rPr>
                <w:color w:val="000000" w:themeColor="text1"/>
                <w14:textFill>
                  <w14:solidFill>
                    <w14:schemeClr w14:val="tx1"/>
                  </w14:solidFill>
                </w14:textFill>
              </w:rPr>
              <w:br w:type="textWrapping"/>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m³）</w:t>
            </w:r>
          </w:p>
        </w:tc>
        <w:tc>
          <w:tcPr>
            <w:tcW w:w="546" w:type="pct"/>
            <w:tcMar>
              <w:top w:w="12" w:type="dxa"/>
              <w:left w:w="12" w:type="dxa"/>
              <w:right w:w="12" w:type="dxa"/>
            </w:tcMar>
            <w:vAlign w:val="center"/>
          </w:tcPr>
          <w:p w14:paraId="121F329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采出程度</w:t>
            </w:r>
          </w:p>
          <w:p w14:paraId="51E5AAF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0284E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756EFFF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2026</w:t>
            </w:r>
          </w:p>
        </w:tc>
        <w:tc>
          <w:tcPr>
            <w:tcW w:w="513" w:type="pct"/>
            <w:tcMar>
              <w:top w:w="12" w:type="dxa"/>
              <w:left w:w="12" w:type="dxa"/>
              <w:right w:w="12" w:type="dxa"/>
            </w:tcMar>
            <w:vAlign w:val="center"/>
          </w:tcPr>
          <w:p w14:paraId="3E5E08D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3885C17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0.06 </w:t>
            </w:r>
          </w:p>
        </w:tc>
        <w:tc>
          <w:tcPr>
            <w:tcW w:w="574" w:type="pct"/>
            <w:tcMar>
              <w:top w:w="12" w:type="dxa"/>
              <w:left w:w="12" w:type="dxa"/>
              <w:right w:w="12" w:type="dxa"/>
            </w:tcMar>
            <w:vAlign w:val="center"/>
          </w:tcPr>
          <w:p w14:paraId="7E5B2C1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0.12 </w:t>
            </w:r>
          </w:p>
        </w:tc>
        <w:tc>
          <w:tcPr>
            <w:tcW w:w="606" w:type="pct"/>
            <w:tcMar>
              <w:top w:w="12" w:type="dxa"/>
              <w:left w:w="12" w:type="dxa"/>
              <w:right w:w="12" w:type="dxa"/>
            </w:tcMar>
            <w:vAlign w:val="center"/>
          </w:tcPr>
          <w:p w14:paraId="0AB7945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2.04 </w:t>
            </w:r>
          </w:p>
        </w:tc>
        <w:tc>
          <w:tcPr>
            <w:tcW w:w="574" w:type="pct"/>
            <w:tcMar>
              <w:top w:w="12" w:type="dxa"/>
              <w:left w:w="12" w:type="dxa"/>
              <w:right w:w="12" w:type="dxa"/>
            </w:tcMar>
            <w:vAlign w:val="center"/>
          </w:tcPr>
          <w:p w14:paraId="3FC1F48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0.06 </w:t>
            </w:r>
          </w:p>
        </w:tc>
        <w:tc>
          <w:tcPr>
            <w:tcW w:w="593" w:type="pct"/>
            <w:tcMar>
              <w:top w:w="12" w:type="dxa"/>
              <w:left w:w="12" w:type="dxa"/>
              <w:right w:w="12" w:type="dxa"/>
            </w:tcMar>
            <w:vAlign w:val="center"/>
          </w:tcPr>
          <w:p w14:paraId="0ECE46E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0.12 </w:t>
            </w:r>
          </w:p>
        </w:tc>
        <w:tc>
          <w:tcPr>
            <w:tcW w:w="606" w:type="pct"/>
            <w:tcMar>
              <w:top w:w="12" w:type="dxa"/>
              <w:left w:w="12" w:type="dxa"/>
              <w:right w:w="12" w:type="dxa"/>
            </w:tcMar>
            <w:vAlign w:val="center"/>
          </w:tcPr>
          <w:p w14:paraId="1A836C7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2.04 </w:t>
            </w:r>
          </w:p>
        </w:tc>
        <w:tc>
          <w:tcPr>
            <w:tcW w:w="546" w:type="pct"/>
            <w:tcMar>
              <w:top w:w="12" w:type="dxa"/>
              <w:left w:w="12" w:type="dxa"/>
              <w:right w:w="12" w:type="dxa"/>
            </w:tcMar>
            <w:vAlign w:val="center"/>
          </w:tcPr>
          <w:p w14:paraId="3EE56C9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0.39 </w:t>
            </w:r>
          </w:p>
        </w:tc>
      </w:tr>
      <w:tr w14:paraId="1B27C7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3F1C94F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2027</w:t>
            </w:r>
          </w:p>
        </w:tc>
        <w:tc>
          <w:tcPr>
            <w:tcW w:w="513" w:type="pct"/>
            <w:tcMar>
              <w:top w:w="12" w:type="dxa"/>
              <w:left w:w="12" w:type="dxa"/>
              <w:right w:w="12" w:type="dxa"/>
            </w:tcMar>
            <w:vAlign w:val="center"/>
          </w:tcPr>
          <w:p w14:paraId="468B91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735B226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0.43 </w:t>
            </w:r>
          </w:p>
        </w:tc>
        <w:tc>
          <w:tcPr>
            <w:tcW w:w="574" w:type="pct"/>
            <w:tcMar>
              <w:top w:w="12" w:type="dxa"/>
              <w:left w:w="12" w:type="dxa"/>
              <w:right w:w="12" w:type="dxa"/>
            </w:tcMar>
            <w:vAlign w:val="center"/>
          </w:tcPr>
          <w:p w14:paraId="0A43263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0.91 </w:t>
            </w:r>
          </w:p>
        </w:tc>
        <w:tc>
          <w:tcPr>
            <w:tcW w:w="606" w:type="pct"/>
            <w:tcMar>
              <w:top w:w="12" w:type="dxa"/>
              <w:left w:w="12" w:type="dxa"/>
              <w:right w:w="12" w:type="dxa"/>
            </w:tcMar>
            <w:vAlign w:val="center"/>
          </w:tcPr>
          <w:p w14:paraId="4D1D64A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14.62 </w:t>
            </w:r>
          </w:p>
        </w:tc>
        <w:tc>
          <w:tcPr>
            <w:tcW w:w="574" w:type="pct"/>
            <w:tcMar>
              <w:top w:w="12" w:type="dxa"/>
              <w:left w:w="12" w:type="dxa"/>
              <w:right w:w="12" w:type="dxa"/>
            </w:tcMar>
            <w:vAlign w:val="center"/>
          </w:tcPr>
          <w:p w14:paraId="7BAAD9E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0.49 </w:t>
            </w:r>
          </w:p>
        </w:tc>
        <w:tc>
          <w:tcPr>
            <w:tcW w:w="593" w:type="pct"/>
            <w:tcMar>
              <w:top w:w="12" w:type="dxa"/>
              <w:left w:w="12" w:type="dxa"/>
              <w:right w:w="12" w:type="dxa"/>
            </w:tcMar>
            <w:vAlign w:val="center"/>
          </w:tcPr>
          <w:p w14:paraId="6476ED4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1.03 </w:t>
            </w:r>
          </w:p>
        </w:tc>
        <w:tc>
          <w:tcPr>
            <w:tcW w:w="606" w:type="pct"/>
            <w:tcMar>
              <w:top w:w="12" w:type="dxa"/>
              <w:left w:w="12" w:type="dxa"/>
              <w:right w:w="12" w:type="dxa"/>
            </w:tcMar>
            <w:vAlign w:val="center"/>
          </w:tcPr>
          <w:p w14:paraId="4178AB3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16.66 </w:t>
            </w:r>
          </w:p>
        </w:tc>
        <w:tc>
          <w:tcPr>
            <w:tcW w:w="546" w:type="pct"/>
            <w:tcMar>
              <w:top w:w="12" w:type="dxa"/>
              <w:left w:w="12" w:type="dxa"/>
              <w:right w:w="12" w:type="dxa"/>
            </w:tcMar>
            <w:vAlign w:val="center"/>
          </w:tcPr>
          <w:p w14:paraId="4D4CECD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3.21 </w:t>
            </w:r>
          </w:p>
        </w:tc>
      </w:tr>
      <w:tr w14:paraId="530CF1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60215FA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2028</w:t>
            </w:r>
          </w:p>
        </w:tc>
        <w:tc>
          <w:tcPr>
            <w:tcW w:w="899" w:type="dxa"/>
            <w:tcMar>
              <w:top w:w="12" w:type="dxa"/>
              <w:left w:w="12" w:type="dxa"/>
              <w:right w:w="12" w:type="dxa"/>
            </w:tcMar>
            <w:vAlign w:val="center"/>
          </w:tcPr>
          <w:p w14:paraId="7B60259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328E34F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0.34 </w:t>
            </w:r>
          </w:p>
        </w:tc>
        <w:tc>
          <w:tcPr>
            <w:tcW w:w="574" w:type="pct"/>
            <w:tcMar>
              <w:top w:w="12" w:type="dxa"/>
              <w:left w:w="12" w:type="dxa"/>
              <w:right w:w="12" w:type="dxa"/>
            </w:tcMar>
            <w:vAlign w:val="center"/>
          </w:tcPr>
          <w:p w14:paraId="1491F8C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0.77 </w:t>
            </w:r>
          </w:p>
        </w:tc>
        <w:tc>
          <w:tcPr>
            <w:tcW w:w="606" w:type="pct"/>
            <w:tcMar>
              <w:top w:w="12" w:type="dxa"/>
              <w:left w:w="12" w:type="dxa"/>
              <w:right w:w="12" w:type="dxa"/>
            </w:tcMar>
            <w:vAlign w:val="center"/>
          </w:tcPr>
          <w:p w14:paraId="3F012A4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11.56 </w:t>
            </w:r>
          </w:p>
        </w:tc>
        <w:tc>
          <w:tcPr>
            <w:tcW w:w="574" w:type="pct"/>
            <w:tcMar>
              <w:top w:w="12" w:type="dxa"/>
              <w:left w:w="12" w:type="dxa"/>
              <w:right w:w="12" w:type="dxa"/>
            </w:tcMar>
            <w:vAlign w:val="center"/>
          </w:tcPr>
          <w:p w14:paraId="2AC0C78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0.83 </w:t>
            </w:r>
          </w:p>
        </w:tc>
        <w:tc>
          <w:tcPr>
            <w:tcW w:w="593" w:type="pct"/>
            <w:tcMar>
              <w:top w:w="12" w:type="dxa"/>
              <w:left w:w="12" w:type="dxa"/>
              <w:right w:w="12" w:type="dxa"/>
            </w:tcMar>
            <w:vAlign w:val="center"/>
          </w:tcPr>
          <w:p w14:paraId="40B3740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1.80 </w:t>
            </w:r>
          </w:p>
        </w:tc>
        <w:tc>
          <w:tcPr>
            <w:tcW w:w="606" w:type="pct"/>
            <w:tcMar>
              <w:top w:w="12" w:type="dxa"/>
              <w:left w:w="12" w:type="dxa"/>
              <w:right w:w="12" w:type="dxa"/>
            </w:tcMar>
            <w:vAlign w:val="center"/>
          </w:tcPr>
          <w:p w14:paraId="3F776FF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28.22 </w:t>
            </w:r>
          </w:p>
        </w:tc>
        <w:tc>
          <w:tcPr>
            <w:tcW w:w="546" w:type="pct"/>
            <w:tcMar>
              <w:top w:w="12" w:type="dxa"/>
              <w:left w:w="12" w:type="dxa"/>
              <w:right w:w="12" w:type="dxa"/>
            </w:tcMar>
            <w:vAlign w:val="center"/>
          </w:tcPr>
          <w:p w14:paraId="640FF3E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5.47 </w:t>
            </w:r>
          </w:p>
        </w:tc>
      </w:tr>
      <w:tr w14:paraId="1183AB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329BD27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2029</w:t>
            </w:r>
          </w:p>
        </w:tc>
        <w:tc>
          <w:tcPr>
            <w:tcW w:w="899" w:type="dxa"/>
            <w:tcMar>
              <w:top w:w="12" w:type="dxa"/>
              <w:left w:w="12" w:type="dxa"/>
              <w:right w:w="12" w:type="dxa"/>
            </w:tcMar>
            <w:vAlign w:val="center"/>
          </w:tcPr>
          <w:p w14:paraId="1EE5FF1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7876EED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0.28 </w:t>
            </w:r>
          </w:p>
        </w:tc>
        <w:tc>
          <w:tcPr>
            <w:tcW w:w="574" w:type="pct"/>
            <w:tcMar>
              <w:top w:w="12" w:type="dxa"/>
              <w:left w:w="12" w:type="dxa"/>
              <w:right w:w="12" w:type="dxa"/>
            </w:tcMar>
            <w:vAlign w:val="center"/>
          </w:tcPr>
          <w:p w14:paraId="05B67D4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06" w:type="pct"/>
            <w:tcMar>
              <w:top w:w="12" w:type="dxa"/>
              <w:left w:w="12" w:type="dxa"/>
              <w:right w:w="12" w:type="dxa"/>
            </w:tcMar>
            <w:vAlign w:val="center"/>
          </w:tcPr>
          <w:p w14:paraId="44F0393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9.52 </w:t>
            </w:r>
          </w:p>
        </w:tc>
        <w:tc>
          <w:tcPr>
            <w:tcW w:w="574" w:type="pct"/>
            <w:tcMar>
              <w:top w:w="12" w:type="dxa"/>
              <w:left w:w="12" w:type="dxa"/>
              <w:right w:w="12" w:type="dxa"/>
            </w:tcMar>
            <w:vAlign w:val="center"/>
          </w:tcPr>
          <w:p w14:paraId="4ED111C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1.11 </w:t>
            </w:r>
          </w:p>
        </w:tc>
        <w:tc>
          <w:tcPr>
            <w:tcW w:w="593" w:type="pct"/>
            <w:tcMar>
              <w:top w:w="12" w:type="dxa"/>
              <w:left w:w="12" w:type="dxa"/>
              <w:right w:w="12" w:type="dxa"/>
            </w:tcMar>
            <w:vAlign w:val="center"/>
          </w:tcPr>
          <w:p w14:paraId="45A4151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2.48 </w:t>
            </w:r>
          </w:p>
        </w:tc>
        <w:tc>
          <w:tcPr>
            <w:tcW w:w="606" w:type="pct"/>
            <w:tcMar>
              <w:top w:w="12" w:type="dxa"/>
              <w:left w:w="12" w:type="dxa"/>
              <w:right w:w="12" w:type="dxa"/>
            </w:tcMar>
            <w:vAlign w:val="center"/>
          </w:tcPr>
          <w:p w14:paraId="42C9579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37.74 </w:t>
            </w:r>
          </w:p>
        </w:tc>
        <w:tc>
          <w:tcPr>
            <w:tcW w:w="546" w:type="pct"/>
            <w:tcMar>
              <w:top w:w="12" w:type="dxa"/>
              <w:left w:w="12" w:type="dxa"/>
              <w:right w:w="12" w:type="dxa"/>
            </w:tcMar>
            <w:vAlign w:val="center"/>
          </w:tcPr>
          <w:p w14:paraId="41310B1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7.29 </w:t>
            </w:r>
          </w:p>
        </w:tc>
      </w:tr>
      <w:tr w14:paraId="544B5D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035648A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2030</w:t>
            </w:r>
          </w:p>
        </w:tc>
        <w:tc>
          <w:tcPr>
            <w:tcW w:w="899" w:type="dxa"/>
            <w:tcMar>
              <w:top w:w="12" w:type="dxa"/>
              <w:left w:w="12" w:type="dxa"/>
              <w:right w:w="12" w:type="dxa"/>
            </w:tcMar>
            <w:vAlign w:val="center"/>
          </w:tcPr>
          <w:p w14:paraId="202E06A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20C1582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0.22 </w:t>
            </w:r>
          </w:p>
        </w:tc>
        <w:tc>
          <w:tcPr>
            <w:tcW w:w="574" w:type="pct"/>
            <w:tcMar>
              <w:top w:w="12" w:type="dxa"/>
              <w:left w:w="12" w:type="dxa"/>
              <w:right w:w="12" w:type="dxa"/>
            </w:tcMar>
            <w:vAlign w:val="center"/>
          </w:tcPr>
          <w:p w14:paraId="345EDDA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0.57 </w:t>
            </w:r>
          </w:p>
        </w:tc>
        <w:tc>
          <w:tcPr>
            <w:tcW w:w="606" w:type="pct"/>
            <w:tcMar>
              <w:top w:w="12" w:type="dxa"/>
              <w:left w:w="12" w:type="dxa"/>
              <w:right w:w="12" w:type="dxa"/>
            </w:tcMar>
            <w:vAlign w:val="center"/>
          </w:tcPr>
          <w:p w14:paraId="366B211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7.48 </w:t>
            </w:r>
          </w:p>
        </w:tc>
        <w:tc>
          <w:tcPr>
            <w:tcW w:w="574" w:type="pct"/>
            <w:tcMar>
              <w:top w:w="12" w:type="dxa"/>
              <w:left w:w="12" w:type="dxa"/>
              <w:right w:w="12" w:type="dxa"/>
            </w:tcMar>
            <w:vAlign w:val="center"/>
          </w:tcPr>
          <w:p w14:paraId="46E0869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1.33 </w:t>
            </w:r>
          </w:p>
        </w:tc>
        <w:tc>
          <w:tcPr>
            <w:tcW w:w="593" w:type="pct"/>
            <w:tcMar>
              <w:top w:w="12" w:type="dxa"/>
              <w:left w:w="12" w:type="dxa"/>
              <w:right w:w="12" w:type="dxa"/>
            </w:tcMar>
            <w:vAlign w:val="center"/>
          </w:tcPr>
          <w:p w14:paraId="2E98C4B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3.05 </w:t>
            </w:r>
          </w:p>
        </w:tc>
        <w:tc>
          <w:tcPr>
            <w:tcW w:w="606" w:type="pct"/>
            <w:tcMar>
              <w:top w:w="12" w:type="dxa"/>
              <w:left w:w="12" w:type="dxa"/>
              <w:right w:w="12" w:type="dxa"/>
            </w:tcMar>
            <w:vAlign w:val="center"/>
          </w:tcPr>
          <w:p w14:paraId="35BEB91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45.22 </w:t>
            </w:r>
          </w:p>
        </w:tc>
        <w:tc>
          <w:tcPr>
            <w:tcW w:w="546" w:type="pct"/>
            <w:tcMar>
              <w:top w:w="12" w:type="dxa"/>
              <w:left w:w="12" w:type="dxa"/>
              <w:right w:w="12" w:type="dxa"/>
            </w:tcMar>
            <w:vAlign w:val="center"/>
          </w:tcPr>
          <w:p w14:paraId="70CF1AF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8.75 </w:t>
            </w:r>
          </w:p>
        </w:tc>
      </w:tr>
      <w:tr w14:paraId="3CFF3D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6A44B46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2031</w:t>
            </w:r>
          </w:p>
        </w:tc>
        <w:tc>
          <w:tcPr>
            <w:tcW w:w="899" w:type="dxa"/>
            <w:tcMar>
              <w:top w:w="12" w:type="dxa"/>
              <w:left w:w="12" w:type="dxa"/>
              <w:right w:w="12" w:type="dxa"/>
            </w:tcMar>
            <w:vAlign w:val="center"/>
          </w:tcPr>
          <w:p w14:paraId="68CA3C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318936F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0.18 </w:t>
            </w:r>
          </w:p>
        </w:tc>
        <w:tc>
          <w:tcPr>
            <w:tcW w:w="574" w:type="pct"/>
            <w:tcMar>
              <w:top w:w="12" w:type="dxa"/>
              <w:left w:w="12" w:type="dxa"/>
              <w:right w:w="12" w:type="dxa"/>
            </w:tcMar>
            <w:vAlign w:val="center"/>
          </w:tcPr>
          <w:p w14:paraId="780F6C5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0.50 </w:t>
            </w:r>
          </w:p>
        </w:tc>
        <w:tc>
          <w:tcPr>
            <w:tcW w:w="606" w:type="pct"/>
            <w:tcMar>
              <w:top w:w="12" w:type="dxa"/>
              <w:left w:w="12" w:type="dxa"/>
              <w:right w:w="12" w:type="dxa"/>
            </w:tcMar>
            <w:vAlign w:val="center"/>
          </w:tcPr>
          <w:p w14:paraId="02BB223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6.12 </w:t>
            </w:r>
          </w:p>
        </w:tc>
        <w:tc>
          <w:tcPr>
            <w:tcW w:w="574" w:type="pct"/>
            <w:tcMar>
              <w:top w:w="12" w:type="dxa"/>
              <w:left w:w="12" w:type="dxa"/>
              <w:right w:w="12" w:type="dxa"/>
            </w:tcMar>
            <w:vAlign w:val="center"/>
          </w:tcPr>
          <w:p w14:paraId="601B5F4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1.51 </w:t>
            </w:r>
          </w:p>
        </w:tc>
        <w:tc>
          <w:tcPr>
            <w:tcW w:w="593" w:type="pct"/>
            <w:tcMar>
              <w:top w:w="12" w:type="dxa"/>
              <w:left w:w="12" w:type="dxa"/>
              <w:right w:w="12" w:type="dxa"/>
            </w:tcMar>
            <w:vAlign w:val="center"/>
          </w:tcPr>
          <w:p w14:paraId="152330D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3.55 </w:t>
            </w:r>
          </w:p>
        </w:tc>
        <w:tc>
          <w:tcPr>
            <w:tcW w:w="606" w:type="pct"/>
            <w:tcMar>
              <w:top w:w="12" w:type="dxa"/>
              <w:left w:w="12" w:type="dxa"/>
              <w:right w:w="12" w:type="dxa"/>
            </w:tcMar>
            <w:vAlign w:val="center"/>
          </w:tcPr>
          <w:p w14:paraId="02147C6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51.34 </w:t>
            </w:r>
          </w:p>
        </w:tc>
        <w:tc>
          <w:tcPr>
            <w:tcW w:w="546" w:type="pct"/>
            <w:tcMar>
              <w:top w:w="12" w:type="dxa"/>
              <w:left w:w="12" w:type="dxa"/>
              <w:right w:w="12" w:type="dxa"/>
            </w:tcMar>
            <w:vAlign w:val="center"/>
          </w:tcPr>
          <w:p w14:paraId="66F4160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9.92 </w:t>
            </w:r>
          </w:p>
        </w:tc>
      </w:tr>
      <w:tr w14:paraId="3F4C9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26EA387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2032</w:t>
            </w:r>
          </w:p>
        </w:tc>
        <w:tc>
          <w:tcPr>
            <w:tcW w:w="899" w:type="dxa"/>
            <w:tcMar>
              <w:top w:w="12" w:type="dxa"/>
              <w:left w:w="12" w:type="dxa"/>
              <w:right w:w="12" w:type="dxa"/>
            </w:tcMar>
            <w:vAlign w:val="center"/>
          </w:tcPr>
          <w:p w14:paraId="02854E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4F1D941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0.14 </w:t>
            </w:r>
          </w:p>
        </w:tc>
        <w:tc>
          <w:tcPr>
            <w:tcW w:w="574" w:type="pct"/>
            <w:tcMar>
              <w:top w:w="12" w:type="dxa"/>
              <w:left w:w="12" w:type="dxa"/>
              <w:right w:w="12" w:type="dxa"/>
            </w:tcMar>
            <w:vAlign w:val="center"/>
          </w:tcPr>
          <w:p w14:paraId="3CC72BE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0.43 </w:t>
            </w:r>
          </w:p>
        </w:tc>
        <w:tc>
          <w:tcPr>
            <w:tcW w:w="606" w:type="pct"/>
            <w:tcMar>
              <w:top w:w="12" w:type="dxa"/>
              <w:left w:w="12" w:type="dxa"/>
              <w:right w:w="12" w:type="dxa"/>
            </w:tcMar>
            <w:vAlign w:val="center"/>
          </w:tcPr>
          <w:p w14:paraId="3FECC6F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4.76 </w:t>
            </w:r>
          </w:p>
        </w:tc>
        <w:tc>
          <w:tcPr>
            <w:tcW w:w="574" w:type="pct"/>
            <w:tcMar>
              <w:top w:w="12" w:type="dxa"/>
              <w:left w:w="12" w:type="dxa"/>
              <w:right w:w="12" w:type="dxa"/>
            </w:tcMar>
            <w:vAlign w:val="center"/>
          </w:tcPr>
          <w:p w14:paraId="799AB1F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1.65 </w:t>
            </w:r>
          </w:p>
        </w:tc>
        <w:tc>
          <w:tcPr>
            <w:tcW w:w="593" w:type="pct"/>
            <w:tcMar>
              <w:top w:w="12" w:type="dxa"/>
              <w:left w:w="12" w:type="dxa"/>
              <w:right w:w="12" w:type="dxa"/>
            </w:tcMar>
            <w:vAlign w:val="center"/>
          </w:tcPr>
          <w:p w14:paraId="3EAA840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3.98 </w:t>
            </w:r>
          </w:p>
        </w:tc>
        <w:tc>
          <w:tcPr>
            <w:tcW w:w="606" w:type="pct"/>
            <w:tcMar>
              <w:top w:w="12" w:type="dxa"/>
              <w:left w:w="12" w:type="dxa"/>
              <w:right w:w="12" w:type="dxa"/>
            </w:tcMar>
            <w:vAlign w:val="center"/>
          </w:tcPr>
          <w:p w14:paraId="2E981A5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56.10 </w:t>
            </w:r>
          </w:p>
        </w:tc>
        <w:tc>
          <w:tcPr>
            <w:tcW w:w="546" w:type="pct"/>
            <w:tcMar>
              <w:top w:w="12" w:type="dxa"/>
              <w:left w:w="12" w:type="dxa"/>
              <w:right w:w="12" w:type="dxa"/>
            </w:tcMar>
            <w:vAlign w:val="center"/>
          </w:tcPr>
          <w:p w14:paraId="1C3884D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10.86 </w:t>
            </w:r>
          </w:p>
        </w:tc>
      </w:tr>
      <w:tr w14:paraId="147BFF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791A9CA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2033</w:t>
            </w:r>
          </w:p>
        </w:tc>
        <w:tc>
          <w:tcPr>
            <w:tcW w:w="899" w:type="dxa"/>
            <w:tcMar>
              <w:top w:w="12" w:type="dxa"/>
              <w:left w:w="12" w:type="dxa"/>
              <w:right w:w="12" w:type="dxa"/>
            </w:tcMar>
            <w:vAlign w:val="center"/>
          </w:tcPr>
          <w:p w14:paraId="0CF97B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5A104BE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0.11 </w:t>
            </w:r>
          </w:p>
        </w:tc>
        <w:tc>
          <w:tcPr>
            <w:tcW w:w="574" w:type="pct"/>
            <w:tcMar>
              <w:top w:w="12" w:type="dxa"/>
              <w:left w:w="12" w:type="dxa"/>
              <w:right w:w="12" w:type="dxa"/>
            </w:tcMar>
            <w:vAlign w:val="center"/>
          </w:tcPr>
          <w:p w14:paraId="3E3CDF9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0.37 </w:t>
            </w:r>
          </w:p>
        </w:tc>
        <w:tc>
          <w:tcPr>
            <w:tcW w:w="606" w:type="pct"/>
            <w:tcMar>
              <w:top w:w="12" w:type="dxa"/>
              <w:left w:w="12" w:type="dxa"/>
              <w:right w:w="12" w:type="dxa"/>
            </w:tcMar>
            <w:vAlign w:val="center"/>
          </w:tcPr>
          <w:p w14:paraId="405A9BA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3.74 </w:t>
            </w:r>
          </w:p>
        </w:tc>
        <w:tc>
          <w:tcPr>
            <w:tcW w:w="574" w:type="pct"/>
            <w:tcMar>
              <w:top w:w="12" w:type="dxa"/>
              <w:left w:w="12" w:type="dxa"/>
              <w:right w:w="12" w:type="dxa"/>
            </w:tcMar>
            <w:vAlign w:val="center"/>
          </w:tcPr>
          <w:p w14:paraId="6F12B39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1.77 </w:t>
            </w:r>
          </w:p>
        </w:tc>
        <w:tc>
          <w:tcPr>
            <w:tcW w:w="593" w:type="pct"/>
            <w:tcMar>
              <w:top w:w="12" w:type="dxa"/>
              <w:left w:w="12" w:type="dxa"/>
              <w:right w:w="12" w:type="dxa"/>
            </w:tcMar>
            <w:vAlign w:val="center"/>
          </w:tcPr>
          <w:p w14:paraId="3B811BE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4.34 </w:t>
            </w:r>
          </w:p>
        </w:tc>
        <w:tc>
          <w:tcPr>
            <w:tcW w:w="606" w:type="pct"/>
            <w:tcMar>
              <w:top w:w="12" w:type="dxa"/>
              <w:left w:w="12" w:type="dxa"/>
              <w:right w:w="12" w:type="dxa"/>
            </w:tcMar>
            <w:vAlign w:val="center"/>
          </w:tcPr>
          <w:p w14:paraId="6318114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59.84 </w:t>
            </w:r>
          </w:p>
        </w:tc>
        <w:tc>
          <w:tcPr>
            <w:tcW w:w="546" w:type="pct"/>
            <w:tcMar>
              <w:top w:w="12" w:type="dxa"/>
              <w:left w:w="12" w:type="dxa"/>
              <w:right w:w="12" w:type="dxa"/>
            </w:tcMar>
            <w:vAlign w:val="center"/>
          </w:tcPr>
          <w:p w14:paraId="2D5AEE7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11.61 </w:t>
            </w:r>
          </w:p>
        </w:tc>
      </w:tr>
      <w:tr w14:paraId="6FF91F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73FC7C9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2034</w:t>
            </w:r>
          </w:p>
        </w:tc>
        <w:tc>
          <w:tcPr>
            <w:tcW w:w="899" w:type="dxa"/>
            <w:tcMar>
              <w:top w:w="12" w:type="dxa"/>
              <w:left w:w="12" w:type="dxa"/>
              <w:right w:w="12" w:type="dxa"/>
            </w:tcMar>
            <w:vAlign w:val="center"/>
          </w:tcPr>
          <w:p w14:paraId="384573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5B71537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0.09 </w:t>
            </w:r>
          </w:p>
        </w:tc>
        <w:tc>
          <w:tcPr>
            <w:tcW w:w="574" w:type="pct"/>
            <w:tcMar>
              <w:top w:w="12" w:type="dxa"/>
              <w:left w:w="12" w:type="dxa"/>
              <w:right w:w="12" w:type="dxa"/>
            </w:tcMar>
            <w:vAlign w:val="center"/>
          </w:tcPr>
          <w:p w14:paraId="259C82C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0.33 </w:t>
            </w:r>
          </w:p>
        </w:tc>
        <w:tc>
          <w:tcPr>
            <w:tcW w:w="606" w:type="pct"/>
            <w:tcMar>
              <w:top w:w="12" w:type="dxa"/>
              <w:left w:w="12" w:type="dxa"/>
              <w:right w:w="12" w:type="dxa"/>
            </w:tcMar>
            <w:vAlign w:val="center"/>
          </w:tcPr>
          <w:p w14:paraId="0051F81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3.06 </w:t>
            </w:r>
          </w:p>
        </w:tc>
        <w:tc>
          <w:tcPr>
            <w:tcW w:w="574" w:type="pct"/>
            <w:tcMar>
              <w:top w:w="12" w:type="dxa"/>
              <w:left w:w="12" w:type="dxa"/>
              <w:right w:w="12" w:type="dxa"/>
            </w:tcMar>
            <w:vAlign w:val="center"/>
          </w:tcPr>
          <w:p w14:paraId="63A858F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1.86 </w:t>
            </w:r>
          </w:p>
        </w:tc>
        <w:tc>
          <w:tcPr>
            <w:tcW w:w="593" w:type="pct"/>
            <w:tcMar>
              <w:top w:w="12" w:type="dxa"/>
              <w:left w:w="12" w:type="dxa"/>
              <w:right w:w="12" w:type="dxa"/>
            </w:tcMar>
            <w:vAlign w:val="center"/>
          </w:tcPr>
          <w:p w14:paraId="4C6A9D5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4.67 </w:t>
            </w:r>
          </w:p>
        </w:tc>
        <w:tc>
          <w:tcPr>
            <w:tcW w:w="606" w:type="pct"/>
            <w:tcMar>
              <w:top w:w="12" w:type="dxa"/>
              <w:left w:w="12" w:type="dxa"/>
              <w:right w:w="12" w:type="dxa"/>
            </w:tcMar>
            <w:vAlign w:val="center"/>
          </w:tcPr>
          <w:p w14:paraId="3122895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62.90 </w:t>
            </w:r>
          </w:p>
        </w:tc>
        <w:tc>
          <w:tcPr>
            <w:tcW w:w="546" w:type="pct"/>
            <w:tcMar>
              <w:top w:w="12" w:type="dxa"/>
              <w:left w:w="12" w:type="dxa"/>
              <w:right w:w="12" w:type="dxa"/>
            </w:tcMar>
            <w:vAlign w:val="center"/>
          </w:tcPr>
          <w:p w14:paraId="14FAAE3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12.22 </w:t>
            </w:r>
          </w:p>
        </w:tc>
      </w:tr>
      <w:tr w14:paraId="47E16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43286D9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2035</w:t>
            </w:r>
          </w:p>
        </w:tc>
        <w:tc>
          <w:tcPr>
            <w:tcW w:w="899" w:type="dxa"/>
            <w:tcMar>
              <w:top w:w="12" w:type="dxa"/>
              <w:left w:w="12" w:type="dxa"/>
              <w:right w:w="12" w:type="dxa"/>
            </w:tcMar>
            <w:vAlign w:val="center"/>
          </w:tcPr>
          <w:p w14:paraId="010030A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7F57AD3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0.07 </w:t>
            </w:r>
          </w:p>
        </w:tc>
        <w:tc>
          <w:tcPr>
            <w:tcW w:w="574" w:type="pct"/>
            <w:tcMar>
              <w:top w:w="12" w:type="dxa"/>
              <w:left w:w="12" w:type="dxa"/>
              <w:right w:w="12" w:type="dxa"/>
            </w:tcMar>
            <w:vAlign w:val="center"/>
          </w:tcPr>
          <w:p w14:paraId="619C1CE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0.29 </w:t>
            </w:r>
          </w:p>
        </w:tc>
        <w:tc>
          <w:tcPr>
            <w:tcW w:w="606" w:type="pct"/>
            <w:tcMar>
              <w:top w:w="12" w:type="dxa"/>
              <w:left w:w="12" w:type="dxa"/>
              <w:right w:w="12" w:type="dxa"/>
            </w:tcMar>
            <w:vAlign w:val="center"/>
          </w:tcPr>
          <w:p w14:paraId="3D0E734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2.38 </w:t>
            </w:r>
          </w:p>
        </w:tc>
        <w:tc>
          <w:tcPr>
            <w:tcW w:w="574" w:type="pct"/>
            <w:tcMar>
              <w:top w:w="12" w:type="dxa"/>
              <w:left w:w="12" w:type="dxa"/>
              <w:right w:w="12" w:type="dxa"/>
            </w:tcMar>
            <w:vAlign w:val="center"/>
          </w:tcPr>
          <w:p w14:paraId="6E6A74E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1.93 </w:t>
            </w:r>
          </w:p>
        </w:tc>
        <w:tc>
          <w:tcPr>
            <w:tcW w:w="593" w:type="pct"/>
            <w:tcMar>
              <w:top w:w="12" w:type="dxa"/>
              <w:left w:w="12" w:type="dxa"/>
              <w:right w:w="12" w:type="dxa"/>
            </w:tcMar>
            <w:vAlign w:val="center"/>
          </w:tcPr>
          <w:p w14:paraId="05141F5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4.96 </w:t>
            </w:r>
          </w:p>
        </w:tc>
        <w:tc>
          <w:tcPr>
            <w:tcW w:w="606" w:type="pct"/>
            <w:tcMar>
              <w:top w:w="12" w:type="dxa"/>
              <w:left w:w="12" w:type="dxa"/>
              <w:right w:w="12" w:type="dxa"/>
            </w:tcMar>
            <w:vAlign w:val="center"/>
          </w:tcPr>
          <w:p w14:paraId="7002D02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65.28 </w:t>
            </w:r>
          </w:p>
        </w:tc>
        <w:tc>
          <w:tcPr>
            <w:tcW w:w="546" w:type="pct"/>
            <w:tcMar>
              <w:top w:w="12" w:type="dxa"/>
              <w:left w:w="12" w:type="dxa"/>
              <w:right w:w="12" w:type="dxa"/>
            </w:tcMar>
            <w:vAlign w:val="center"/>
          </w:tcPr>
          <w:p w14:paraId="36F74A1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12.71 </w:t>
            </w:r>
          </w:p>
        </w:tc>
      </w:tr>
      <w:tr w14:paraId="7DFDBE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2CD8E1F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2036</w:t>
            </w:r>
          </w:p>
        </w:tc>
        <w:tc>
          <w:tcPr>
            <w:tcW w:w="899" w:type="dxa"/>
            <w:tcMar>
              <w:top w:w="12" w:type="dxa"/>
              <w:left w:w="12" w:type="dxa"/>
              <w:right w:w="12" w:type="dxa"/>
            </w:tcMar>
            <w:vAlign w:val="center"/>
          </w:tcPr>
          <w:p w14:paraId="17623A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2E69D0B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0.06 </w:t>
            </w:r>
          </w:p>
        </w:tc>
        <w:tc>
          <w:tcPr>
            <w:tcW w:w="574" w:type="pct"/>
            <w:tcMar>
              <w:top w:w="12" w:type="dxa"/>
              <w:left w:w="12" w:type="dxa"/>
              <w:right w:w="12" w:type="dxa"/>
            </w:tcMar>
            <w:vAlign w:val="center"/>
          </w:tcPr>
          <w:p w14:paraId="2C79662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0.28 </w:t>
            </w:r>
          </w:p>
        </w:tc>
        <w:tc>
          <w:tcPr>
            <w:tcW w:w="606" w:type="pct"/>
            <w:tcMar>
              <w:top w:w="12" w:type="dxa"/>
              <w:left w:w="12" w:type="dxa"/>
              <w:right w:w="12" w:type="dxa"/>
            </w:tcMar>
            <w:vAlign w:val="center"/>
          </w:tcPr>
          <w:p w14:paraId="4851E12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2.04 </w:t>
            </w:r>
          </w:p>
        </w:tc>
        <w:tc>
          <w:tcPr>
            <w:tcW w:w="574" w:type="pct"/>
            <w:tcMar>
              <w:top w:w="12" w:type="dxa"/>
              <w:left w:w="12" w:type="dxa"/>
              <w:right w:w="12" w:type="dxa"/>
            </w:tcMar>
            <w:vAlign w:val="center"/>
          </w:tcPr>
          <w:p w14:paraId="08378B5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1.99 </w:t>
            </w:r>
          </w:p>
        </w:tc>
        <w:tc>
          <w:tcPr>
            <w:tcW w:w="593" w:type="pct"/>
            <w:tcMar>
              <w:top w:w="12" w:type="dxa"/>
              <w:left w:w="12" w:type="dxa"/>
              <w:right w:w="12" w:type="dxa"/>
            </w:tcMar>
            <w:vAlign w:val="center"/>
          </w:tcPr>
          <w:p w14:paraId="55E9008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5.24 </w:t>
            </w:r>
          </w:p>
        </w:tc>
        <w:tc>
          <w:tcPr>
            <w:tcW w:w="606" w:type="pct"/>
            <w:tcMar>
              <w:top w:w="12" w:type="dxa"/>
              <w:left w:w="12" w:type="dxa"/>
              <w:right w:w="12" w:type="dxa"/>
            </w:tcMar>
            <w:vAlign w:val="center"/>
          </w:tcPr>
          <w:p w14:paraId="66C58A1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67.32 </w:t>
            </w:r>
          </w:p>
        </w:tc>
        <w:tc>
          <w:tcPr>
            <w:tcW w:w="546" w:type="pct"/>
            <w:tcMar>
              <w:top w:w="12" w:type="dxa"/>
              <w:left w:w="12" w:type="dxa"/>
              <w:right w:w="12" w:type="dxa"/>
            </w:tcMar>
            <w:vAlign w:val="center"/>
          </w:tcPr>
          <w:p w14:paraId="4350634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13.10 </w:t>
            </w:r>
          </w:p>
        </w:tc>
      </w:tr>
      <w:tr w14:paraId="4612F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0A8DFC7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2037</w:t>
            </w:r>
          </w:p>
        </w:tc>
        <w:tc>
          <w:tcPr>
            <w:tcW w:w="899" w:type="dxa"/>
            <w:tcMar>
              <w:top w:w="12" w:type="dxa"/>
              <w:left w:w="12" w:type="dxa"/>
              <w:right w:w="12" w:type="dxa"/>
            </w:tcMar>
            <w:vAlign w:val="center"/>
          </w:tcPr>
          <w:p w14:paraId="041C39D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49E33B8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0.05 </w:t>
            </w:r>
          </w:p>
        </w:tc>
        <w:tc>
          <w:tcPr>
            <w:tcW w:w="574" w:type="pct"/>
            <w:tcMar>
              <w:top w:w="12" w:type="dxa"/>
              <w:left w:w="12" w:type="dxa"/>
              <w:right w:w="12" w:type="dxa"/>
            </w:tcMar>
            <w:vAlign w:val="center"/>
          </w:tcPr>
          <w:p w14:paraId="2D6E944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0.27 </w:t>
            </w:r>
          </w:p>
        </w:tc>
        <w:tc>
          <w:tcPr>
            <w:tcW w:w="606" w:type="pct"/>
            <w:tcMar>
              <w:top w:w="12" w:type="dxa"/>
              <w:left w:w="12" w:type="dxa"/>
              <w:right w:w="12" w:type="dxa"/>
            </w:tcMar>
            <w:vAlign w:val="center"/>
          </w:tcPr>
          <w:p w14:paraId="063AA45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1.70 </w:t>
            </w:r>
          </w:p>
        </w:tc>
        <w:tc>
          <w:tcPr>
            <w:tcW w:w="574" w:type="pct"/>
            <w:tcMar>
              <w:top w:w="12" w:type="dxa"/>
              <w:left w:w="12" w:type="dxa"/>
              <w:right w:w="12" w:type="dxa"/>
            </w:tcMar>
            <w:vAlign w:val="center"/>
          </w:tcPr>
          <w:p w14:paraId="12C024F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2.04 </w:t>
            </w:r>
          </w:p>
        </w:tc>
        <w:tc>
          <w:tcPr>
            <w:tcW w:w="593" w:type="pct"/>
            <w:tcMar>
              <w:top w:w="12" w:type="dxa"/>
              <w:left w:w="12" w:type="dxa"/>
              <w:right w:w="12" w:type="dxa"/>
            </w:tcMar>
            <w:vAlign w:val="center"/>
          </w:tcPr>
          <w:p w14:paraId="7057769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5.51 </w:t>
            </w:r>
          </w:p>
        </w:tc>
        <w:tc>
          <w:tcPr>
            <w:tcW w:w="606" w:type="pct"/>
            <w:tcMar>
              <w:top w:w="12" w:type="dxa"/>
              <w:left w:w="12" w:type="dxa"/>
              <w:right w:w="12" w:type="dxa"/>
            </w:tcMar>
            <w:vAlign w:val="center"/>
          </w:tcPr>
          <w:p w14:paraId="666C7A2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69.02 </w:t>
            </w:r>
          </w:p>
        </w:tc>
        <w:tc>
          <w:tcPr>
            <w:tcW w:w="546" w:type="pct"/>
            <w:tcMar>
              <w:top w:w="12" w:type="dxa"/>
              <w:left w:w="12" w:type="dxa"/>
              <w:right w:w="12" w:type="dxa"/>
            </w:tcMar>
            <w:vAlign w:val="center"/>
          </w:tcPr>
          <w:p w14:paraId="6A97368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13.41 </w:t>
            </w:r>
          </w:p>
        </w:tc>
      </w:tr>
      <w:tr w14:paraId="5B6443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613CF6C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2038</w:t>
            </w:r>
          </w:p>
        </w:tc>
        <w:tc>
          <w:tcPr>
            <w:tcW w:w="899" w:type="dxa"/>
            <w:tcMar>
              <w:top w:w="12" w:type="dxa"/>
              <w:left w:w="12" w:type="dxa"/>
              <w:right w:w="12" w:type="dxa"/>
            </w:tcMar>
            <w:vAlign w:val="center"/>
          </w:tcPr>
          <w:p w14:paraId="7AD308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0CF2690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0.04 </w:t>
            </w:r>
          </w:p>
        </w:tc>
        <w:tc>
          <w:tcPr>
            <w:tcW w:w="574" w:type="pct"/>
            <w:tcMar>
              <w:top w:w="12" w:type="dxa"/>
              <w:left w:w="12" w:type="dxa"/>
              <w:right w:w="12" w:type="dxa"/>
            </w:tcMar>
            <w:vAlign w:val="center"/>
          </w:tcPr>
          <w:p w14:paraId="4AB449D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0.25 </w:t>
            </w:r>
          </w:p>
        </w:tc>
        <w:tc>
          <w:tcPr>
            <w:tcW w:w="606" w:type="pct"/>
            <w:tcMar>
              <w:top w:w="12" w:type="dxa"/>
              <w:left w:w="12" w:type="dxa"/>
              <w:right w:w="12" w:type="dxa"/>
            </w:tcMar>
            <w:vAlign w:val="center"/>
          </w:tcPr>
          <w:p w14:paraId="0182D46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1.36 </w:t>
            </w:r>
          </w:p>
        </w:tc>
        <w:tc>
          <w:tcPr>
            <w:tcW w:w="574" w:type="pct"/>
            <w:tcMar>
              <w:top w:w="12" w:type="dxa"/>
              <w:left w:w="12" w:type="dxa"/>
              <w:right w:w="12" w:type="dxa"/>
            </w:tcMar>
            <w:vAlign w:val="center"/>
          </w:tcPr>
          <w:p w14:paraId="131BCFA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2.08 </w:t>
            </w:r>
          </w:p>
        </w:tc>
        <w:tc>
          <w:tcPr>
            <w:tcW w:w="593" w:type="pct"/>
            <w:tcMar>
              <w:top w:w="12" w:type="dxa"/>
              <w:left w:w="12" w:type="dxa"/>
              <w:right w:w="12" w:type="dxa"/>
            </w:tcMar>
            <w:vAlign w:val="center"/>
          </w:tcPr>
          <w:p w14:paraId="2CF94DA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5.77 </w:t>
            </w:r>
          </w:p>
        </w:tc>
        <w:tc>
          <w:tcPr>
            <w:tcW w:w="606" w:type="pct"/>
            <w:tcMar>
              <w:top w:w="12" w:type="dxa"/>
              <w:left w:w="12" w:type="dxa"/>
              <w:right w:w="12" w:type="dxa"/>
            </w:tcMar>
            <w:vAlign w:val="center"/>
          </w:tcPr>
          <w:p w14:paraId="7323B4F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70.38 </w:t>
            </w:r>
          </w:p>
        </w:tc>
        <w:tc>
          <w:tcPr>
            <w:tcW w:w="546" w:type="pct"/>
            <w:tcMar>
              <w:top w:w="12" w:type="dxa"/>
              <w:left w:w="12" w:type="dxa"/>
              <w:right w:w="12" w:type="dxa"/>
            </w:tcMar>
            <w:vAlign w:val="center"/>
          </w:tcPr>
          <w:p w14:paraId="3BE1AAD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13.67 </w:t>
            </w:r>
          </w:p>
        </w:tc>
      </w:tr>
      <w:tr w14:paraId="12AD11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308D3B6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2039</w:t>
            </w:r>
          </w:p>
        </w:tc>
        <w:tc>
          <w:tcPr>
            <w:tcW w:w="899" w:type="dxa"/>
            <w:tcMar>
              <w:top w:w="12" w:type="dxa"/>
              <w:left w:w="12" w:type="dxa"/>
              <w:right w:w="12" w:type="dxa"/>
            </w:tcMar>
            <w:vAlign w:val="center"/>
          </w:tcPr>
          <w:p w14:paraId="352B98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3" w:type="pct"/>
            <w:tcMar>
              <w:top w:w="12" w:type="dxa"/>
              <w:left w:w="12" w:type="dxa"/>
              <w:right w:w="12" w:type="dxa"/>
            </w:tcMar>
            <w:vAlign w:val="center"/>
          </w:tcPr>
          <w:p w14:paraId="64877E4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0.03 </w:t>
            </w:r>
          </w:p>
        </w:tc>
        <w:tc>
          <w:tcPr>
            <w:tcW w:w="574" w:type="pct"/>
            <w:tcMar>
              <w:top w:w="12" w:type="dxa"/>
              <w:left w:w="12" w:type="dxa"/>
              <w:right w:w="12" w:type="dxa"/>
            </w:tcMar>
            <w:vAlign w:val="center"/>
          </w:tcPr>
          <w:p w14:paraId="3D03968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0.23 </w:t>
            </w:r>
          </w:p>
        </w:tc>
        <w:tc>
          <w:tcPr>
            <w:tcW w:w="606" w:type="pct"/>
            <w:tcMar>
              <w:top w:w="12" w:type="dxa"/>
              <w:left w:w="12" w:type="dxa"/>
              <w:right w:w="12" w:type="dxa"/>
            </w:tcMar>
            <w:vAlign w:val="center"/>
          </w:tcPr>
          <w:p w14:paraId="4DB35A4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1.02 </w:t>
            </w:r>
          </w:p>
        </w:tc>
        <w:tc>
          <w:tcPr>
            <w:tcW w:w="574" w:type="pct"/>
            <w:tcMar>
              <w:top w:w="12" w:type="dxa"/>
              <w:left w:w="12" w:type="dxa"/>
              <w:right w:w="12" w:type="dxa"/>
            </w:tcMar>
            <w:vAlign w:val="center"/>
          </w:tcPr>
          <w:p w14:paraId="749AC1A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2.11 </w:t>
            </w:r>
          </w:p>
        </w:tc>
        <w:tc>
          <w:tcPr>
            <w:tcW w:w="593" w:type="pct"/>
            <w:tcMar>
              <w:top w:w="12" w:type="dxa"/>
              <w:left w:w="12" w:type="dxa"/>
              <w:right w:w="12" w:type="dxa"/>
            </w:tcMar>
            <w:vAlign w:val="center"/>
          </w:tcPr>
          <w:p w14:paraId="7003695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6.00 </w:t>
            </w:r>
          </w:p>
        </w:tc>
        <w:tc>
          <w:tcPr>
            <w:tcW w:w="606" w:type="pct"/>
            <w:tcMar>
              <w:top w:w="12" w:type="dxa"/>
              <w:left w:w="12" w:type="dxa"/>
              <w:right w:w="12" w:type="dxa"/>
            </w:tcMar>
            <w:vAlign w:val="center"/>
          </w:tcPr>
          <w:p w14:paraId="4DEE55B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71.40 </w:t>
            </w:r>
          </w:p>
        </w:tc>
        <w:tc>
          <w:tcPr>
            <w:tcW w:w="546" w:type="pct"/>
            <w:tcMar>
              <w:top w:w="12" w:type="dxa"/>
              <w:left w:w="12" w:type="dxa"/>
              <w:right w:w="12" w:type="dxa"/>
            </w:tcMar>
            <w:vAlign w:val="center"/>
          </w:tcPr>
          <w:p w14:paraId="4B5B8FE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13.87 </w:t>
            </w:r>
          </w:p>
        </w:tc>
      </w:tr>
      <w:tr w14:paraId="66FEB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69" w:type="pct"/>
            <w:tcMar>
              <w:top w:w="12" w:type="dxa"/>
              <w:left w:w="12" w:type="dxa"/>
              <w:right w:w="12" w:type="dxa"/>
            </w:tcMar>
            <w:vAlign w:val="center"/>
          </w:tcPr>
          <w:p w14:paraId="149565A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2040</w:t>
            </w:r>
          </w:p>
        </w:tc>
        <w:tc>
          <w:tcPr>
            <w:tcW w:w="899" w:type="dxa"/>
            <w:tcMar>
              <w:top w:w="12" w:type="dxa"/>
              <w:left w:w="12" w:type="dxa"/>
              <w:right w:w="12" w:type="dxa"/>
            </w:tcMar>
            <w:vAlign w:val="center"/>
          </w:tcPr>
          <w:p w14:paraId="42686B4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4</w:t>
            </w:r>
          </w:p>
        </w:tc>
        <w:tc>
          <w:tcPr>
            <w:tcW w:w="513" w:type="pct"/>
            <w:tcMar>
              <w:top w:w="12" w:type="dxa"/>
              <w:left w:w="12" w:type="dxa"/>
              <w:right w:w="12" w:type="dxa"/>
            </w:tcMar>
            <w:vAlign w:val="center"/>
          </w:tcPr>
          <w:p w14:paraId="3AE7D5C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574" w:type="pct"/>
            <w:tcMar>
              <w:top w:w="12" w:type="dxa"/>
              <w:left w:w="12" w:type="dxa"/>
              <w:right w:w="12" w:type="dxa"/>
            </w:tcMar>
            <w:vAlign w:val="center"/>
          </w:tcPr>
          <w:p w14:paraId="6B006D4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0.20 </w:t>
            </w:r>
          </w:p>
        </w:tc>
        <w:tc>
          <w:tcPr>
            <w:tcW w:w="606" w:type="pct"/>
            <w:tcMar>
              <w:top w:w="12" w:type="dxa"/>
              <w:left w:w="12" w:type="dxa"/>
              <w:right w:w="12" w:type="dxa"/>
            </w:tcMar>
            <w:vAlign w:val="center"/>
          </w:tcPr>
          <w:p w14:paraId="0A6E56E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574" w:type="pct"/>
            <w:tcMar>
              <w:top w:w="12" w:type="dxa"/>
              <w:left w:w="12" w:type="dxa"/>
              <w:right w:w="12" w:type="dxa"/>
            </w:tcMar>
            <w:vAlign w:val="center"/>
          </w:tcPr>
          <w:p w14:paraId="4607ADD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2.13 </w:t>
            </w:r>
          </w:p>
        </w:tc>
        <w:tc>
          <w:tcPr>
            <w:tcW w:w="593" w:type="pct"/>
            <w:tcMar>
              <w:top w:w="12" w:type="dxa"/>
              <w:left w:w="12" w:type="dxa"/>
              <w:right w:w="12" w:type="dxa"/>
            </w:tcMar>
            <w:vAlign w:val="center"/>
          </w:tcPr>
          <w:p w14:paraId="2FA5ACA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6.20 </w:t>
            </w:r>
          </w:p>
        </w:tc>
        <w:tc>
          <w:tcPr>
            <w:tcW w:w="606" w:type="pct"/>
            <w:tcMar>
              <w:top w:w="12" w:type="dxa"/>
              <w:left w:w="12" w:type="dxa"/>
              <w:right w:w="12" w:type="dxa"/>
            </w:tcMar>
            <w:vAlign w:val="center"/>
          </w:tcPr>
          <w:p w14:paraId="01DCA94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72.08 </w:t>
            </w:r>
          </w:p>
        </w:tc>
        <w:tc>
          <w:tcPr>
            <w:tcW w:w="546" w:type="pct"/>
            <w:tcMar>
              <w:top w:w="12" w:type="dxa"/>
              <w:left w:w="12" w:type="dxa"/>
              <w:right w:w="12" w:type="dxa"/>
            </w:tcMar>
            <w:vAlign w:val="center"/>
          </w:tcPr>
          <w:p w14:paraId="0956EE4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14.03 </w:t>
            </w:r>
          </w:p>
        </w:tc>
      </w:tr>
    </w:tbl>
    <w:p w14:paraId="55DE4C1D">
      <w:pPr>
        <w:jc w:val="center"/>
        <w:rPr>
          <w:rFonts w:ascii="Times New Roman" w:hAnsi="Times New Roman"/>
          <w:color w:val="000000" w:themeColor="text1"/>
          <w:szCs w:val="21"/>
          <w14:textFill>
            <w14:solidFill>
              <w14:schemeClr w14:val="tx1"/>
            </w14:solidFill>
          </w14:textFill>
        </w:rPr>
      </w:pPr>
    </w:p>
    <w:p w14:paraId="4C1AE47A">
      <w:pPr>
        <w:jc w:val="center"/>
        <w:rPr>
          <w:rFonts w:ascii="Times New Roman" w:hAnsi="Times New Roman"/>
          <w:color w:val="000000" w:themeColor="text1"/>
          <w:szCs w:val="21"/>
          <w14:textFill>
            <w14:solidFill>
              <w14:schemeClr w14:val="tx1"/>
            </w14:solidFill>
          </w14:textFill>
        </w:rPr>
      </w:pPr>
    </w:p>
    <w:p w14:paraId="3EBC0465">
      <w:pPr>
        <w:jc w:val="center"/>
        <w:rPr>
          <w:rFonts w:ascii="Times New Roman" w:hAnsi="Times New Roman"/>
          <w:color w:val="000000" w:themeColor="text1"/>
          <w:szCs w:val="21"/>
          <w14:textFill>
            <w14:solidFill>
              <w14:schemeClr w14:val="tx1"/>
            </w14:solidFill>
          </w14:textFill>
        </w:rPr>
      </w:pPr>
    </w:p>
    <w:p w14:paraId="4E017BFE">
      <w:pPr>
        <w:jc w:val="center"/>
        <w:rPr>
          <w:rFonts w:ascii="Times New Roman" w:hAnsi="Times New Roman"/>
          <w:color w:val="000000" w:themeColor="text1"/>
          <w:szCs w:val="21"/>
          <w14:textFill>
            <w14:solidFill>
              <w14:schemeClr w14:val="tx1"/>
            </w14:solidFill>
          </w14:textFill>
        </w:rPr>
      </w:pPr>
    </w:p>
    <w:p w14:paraId="29FEAF4B">
      <w:pPr>
        <w:jc w:val="center"/>
        <w:rPr>
          <w:rFonts w:ascii="Times New Roman" w:hAnsi="Times New Roman"/>
          <w:color w:val="000000" w:themeColor="text1"/>
          <w:szCs w:val="21"/>
          <w14:textFill>
            <w14:solidFill>
              <w14:schemeClr w14:val="tx1"/>
            </w14:solidFill>
          </w14:textFill>
        </w:rPr>
      </w:pPr>
    </w:p>
    <w:p w14:paraId="2A9798EE">
      <w:pPr>
        <w:jc w:val="center"/>
        <w:rPr>
          <w:rFonts w:ascii="Times New Roman" w:hAnsi="Times New Roman"/>
          <w:color w:val="000000" w:themeColor="text1"/>
          <w:szCs w:val="21"/>
          <w14:textFill>
            <w14:solidFill>
              <w14:schemeClr w14:val="tx1"/>
            </w14:solidFill>
          </w14:textFill>
        </w:rPr>
      </w:pPr>
    </w:p>
    <w:p w14:paraId="14D29D48">
      <w:pPr>
        <w:jc w:val="center"/>
        <w:rPr>
          <w:rFonts w:ascii="Times New Roman" w:hAnsi="Times New Roman"/>
          <w:color w:val="000000" w:themeColor="text1"/>
          <w:szCs w:val="21"/>
          <w14:textFill>
            <w14:solidFill>
              <w14:schemeClr w14:val="tx1"/>
            </w14:solidFill>
          </w14:textFill>
        </w:rPr>
      </w:pPr>
    </w:p>
    <w:p w14:paraId="6EE89D2F">
      <w:pPr>
        <w:jc w:val="center"/>
        <w:rPr>
          <w:rFonts w:ascii="Times New Roman" w:hAnsi="Times New Roman"/>
          <w:color w:val="000000" w:themeColor="text1"/>
          <w:szCs w:val="21"/>
          <w14:textFill>
            <w14:solidFill>
              <w14:schemeClr w14:val="tx1"/>
            </w14:solidFill>
          </w14:textFill>
        </w:rPr>
      </w:pPr>
    </w:p>
    <w:p w14:paraId="6CE2FF98">
      <w:pPr>
        <w:jc w:val="center"/>
        <w:rPr>
          <w:rFonts w:ascii="Times New Roman" w:hAnsi="Times New Roman"/>
          <w:color w:val="000000" w:themeColor="text1"/>
          <w:szCs w:val="21"/>
          <w14:textFill>
            <w14:solidFill>
              <w14:schemeClr w14:val="tx1"/>
            </w14:solidFill>
          </w14:textFill>
        </w:rPr>
      </w:pPr>
    </w:p>
    <w:p w14:paraId="5B745D3B">
      <w:pPr>
        <w:jc w:val="center"/>
        <w:rPr>
          <w:rFonts w:ascii="Times New Roman" w:hAnsi="Times New Roman"/>
          <w:color w:val="000000" w:themeColor="text1"/>
          <w:szCs w:val="21"/>
          <w14:textFill>
            <w14:solidFill>
              <w14:schemeClr w14:val="tx1"/>
            </w14:solidFill>
          </w14:textFill>
        </w:rPr>
      </w:pPr>
    </w:p>
    <w:p w14:paraId="1A2999BF">
      <w:pPr>
        <w:jc w:val="center"/>
        <w:rPr>
          <w:rFonts w:ascii="Times New Roman" w:hAnsi="Times New Roman"/>
          <w:color w:val="000000" w:themeColor="text1"/>
          <w:szCs w:val="21"/>
          <w14:textFill>
            <w14:solidFill>
              <w14:schemeClr w14:val="tx1"/>
            </w14:solidFill>
          </w14:textFill>
        </w:rPr>
      </w:pPr>
      <w:r>
        <w:rPr>
          <w:rFonts w:hint="eastAsia" w:ascii="黑体" w:hAnsi="黑体" w:eastAsia="黑体"/>
          <w:color w:val="000000" w:themeColor="text1"/>
          <w14:textFill>
            <w14:solidFill>
              <w14:schemeClr w14:val="tx1"/>
            </w14:solidFill>
          </w14:textFill>
        </w:rPr>
        <w:t>表3.2-2</w:t>
      </w:r>
      <w:r>
        <w:rPr>
          <w:rFonts w:ascii="黑体" w:hAnsi="黑体" w:eastAsia="黑体"/>
          <w:color w:val="000000" w:themeColor="text1"/>
          <w14:textFill>
            <w14:solidFill>
              <w14:schemeClr w14:val="tx1"/>
            </w14:solidFill>
          </w14:textFill>
        </w:rPr>
        <w:t xml:space="preserve">  J6093A井指标预测表</w:t>
      </w:r>
    </w:p>
    <w:tbl>
      <w:tblPr>
        <w:tblStyle w:val="51"/>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10"/>
        <w:gridCol w:w="1000"/>
        <w:gridCol w:w="1117"/>
        <w:gridCol w:w="1178"/>
        <w:gridCol w:w="1117"/>
        <w:gridCol w:w="1151"/>
        <w:gridCol w:w="1178"/>
        <w:gridCol w:w="1062"/>
      </w:tblGrid>
      <w:tr w14:paraId="0816BA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2" w:type="pct"/>
            <w:tcMar>
              <w:top w:w="12" w:type="dxa"/>
              <w:left w:w="12" w:type="dxa"/>
              <w:right w:w="12" w:type="dxa"/>
            </w:tcMar>
            <w:vAlign w:val="center"/>
          </w:tcPr>
          <w:p w14:paraId="48FBEAC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年数</w:t>
            </w:r>
          </w:p>
        </w:tc>
        <w:tc>
          <w:tcPr>
            <w:tcW w:w="573" w:type="pct"/>
            <w:tcMar>
              <w:top w:w="12" w:type="dxa"/>
              <w:left w:w="12" w:type="dxa"/>
              <w:right w:w="12" w:type="dxa"/>
            </w:tcMar>
            <w:vAlign w:val="center"/>
          </w:tcPr>
          <w:p w14:paraId="036AF5E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年产油（10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tc>
        <w:tc>
          <w:tcPr>
            <w:tcW w:w="640" w:type="pct"/>
            <w:tcMar>
              <w:top w:w="12" w:type="dxa"/>
              <w:left w:w="12" w:type="dxa"/>
              <w:right w:w="12" w:type="dxa"/>
            </w:tcMar>
            <w:vAlign w:val="center"/>
          </w:tcPr>
          <w:p w14:paraId="3968E42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年产液（10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tc>
        <w:tc>
          <w:tcPr>
            <w:tcW w:w="675" w:type="pct"/>
            <w:tcMar>
              <w:top w:w="12" w:type="dxa"/>
              <w:left w:w="12" w:type="dxa"/>
              <w:right w:w="12" w:type="dxa"/>
            </w:tcMar>
            <w:vAlign w:val="center"/>
          </w:tcPr>
          <w:p w14:paraId="0804A2D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年产气</w:t>
            </w:r>
            <w:r>
              <w:rPr>
                <w:color w:val="000000" w:themeColor="text1"/>
                <w14:textFill>
                  <w14:solidFill>
                    <w14:schemeClr w14:val="tx1"/>
                  </w14:solidFill>
                </w14:textFill>
              </w:rPr>
              <w:br w:type="textWrapping"/>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m³）</w:t>
            </w:r>
          </w:p>
        </w:tc>
        <w:tc>
          <w:tcPr>
            <w:tcW w:w="640" w:type="pct"/>
            <w:tcMar>
              <w:top w:w="12" w:type="dxa"/>
              <w:left w:w="12" w:type="dxa"/>
              <w:right w:w="12" w:type="dxa"/>
            </w:tcMar>
            <w:vAlign w:val="center"/>
          </w:tcPr>
          <w:p w14:paraId="34E7548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累产油（10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tc>
        <w:tc>
          <w:tcPr>
            <w:tcW w:w="660" w:type="pct"/>
            <w:tcMar>
              <w:top w:w="12" w:type="dxa"/>
              <w:left w:w="12" w:type="dxa"/>
              <w:right w:w="12" w:type="dxa"/>
            </w:tcMar>
            <w:vAlign w:val="center"/>
          </w:tcPr>
          <w:p w14:paraId="29A219F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累产液</w:t>
            </w:r>
          </w:p>
          <w:p w14:paraId="4ACA82D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p>
        </w:tc>
        <w:tc>
          <w:tcPr>
            <w:tcW w:w="675" w:type="pct"/>
            <w:tcMar>
              <w:top w:w="12" w:type="dxa"/>
              <w:left w:w="12" w:type="dxa"/>
              <w:right w:w="12" w:type="dxa"/>
            </w:tcMar>
            <w:vAlign w:val="center"/>
          </w:tcPr>
          <w:p w14:paraId="560ABD8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累产气</w:t>
            </w:r>
            <w:r>
              <w:rPr>
                <w:color w:val="000000" w:themeColor="text1"/>
                <w14:textFill>
                  <w14:solidFill>
                    <w14:schemeClr w14:val="tx1"/>
                  </w14:solidFill>
                </w14:textFill>
              </w:rPr>
              <w:br w:type="textWrapping"/>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m³）</w:t>
            </w:r>
          </w:p>
        </w:tc>
        <w:tc>
          <w:tcPr>
            <w:tcW w:w="609" w:type="pct"/>
            <w:tcMar>
              <w:top w:w="12" w:type="dxa"/>
              <w:left w:w="12" w:type="dxa"/>
              <w:right w:w="12" w:type="dxa"/>
            </w:tcMar>
            <w:vAlign w:val="center"/>
          </w:tcPr>
          <w:p w14:paraId="7516108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采出程度</w:t>
            </w:r>
          </w:p>
          <w:p w14:paraId="6A84EA2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7D929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2" w:hRule="atLeast"/>
          <w:jc w:val="center"/>
        </w:trPr>
        <w:tc>
          <w:tcPr>
            <w:tcW w:w="868" w:type="dxa"/>
            <w:tcMar>
              <w:top w:w="12" w:type="dxa"/>
              <w:left w:w="12" w:type="dxa"/>
              <w:right w:w="12" w:type="dxa"/>
            </w:tcMar>
            <w:vAlign w:val="center"/>
          </w:tcPr>
          <w:p w14:paraId="6B08F08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2026</w:t>
            </w:r>
          </w:p>
        </w:tc>
        <w:tc>
          <w:tcPr>
            <w:tcW w:w="573" w:type="pct"/>
            <w:tcMar>
              <w:top w:w="12" w:type="dxa"/>
              <w:left w:w="12" w:type="dxa"/>
              <w:right w:w="12" w:type="dxa"/>
            </w:tcMar>
            <w:vAlign w:val="center"/>
          </w:tcPr>
          <w:p w14:paraId="51009C1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640" w:type="pct"/>
            <w:tcMar>
              <w:top w:w="12" w:type="dxa"/>
              <w:left w:w="12" w:type="dxa"/>
              <w:right w:w="12" w:type="dxa"/>
            </w:tcMar>
            <w:vAlign w:val="center"/>
          </w:tcPr>
          <w:p w14:paraId="1F714D5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0.04 </w:t>
            </w:r>
          </w:p>
        </w:tc>
        <w:tc>
          <w:tcPr>
            <w:tcW w:w="675" w:type="pct"/>
            <w:tcMar>
              <w:top w:w="12" w:type="dxa"/>
              <w:left w:w="12" w:type="dxa"/>
              <w:right w:w="12" w:type="dxa"/>
            </w:tcMar>
            <w:vAlign w:val="center"/>
          </w:tcPr>
          <w:p w14:paraId="58AFD4E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40" w:type="pct"/>
            <w:tcMar>
              <w:top w:w="12" w:type="dxa"/>
              <w:left w:w="12" w:type="dxa"/>
              <w:right w:w="12" w:type="dxa"/>
            </w:tcMar>
            <w:vAlign w:val="center"/>
          </w:tcPr>
          <w:p w14:paraId="6C8839E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0.06 </w:t>
            </w:r>
          </w:p>
        </w:tc>
        <w:tc>
          <w:tcPr>
            <w:tcW w:w="660" w:type="pct"/>
            <w:tcMar>
              <w:top w:w="12" w:type="dxa"/>
              <w:left w:w="12" w:type="dxa"/>
              <w:right w:w="12" w:type="dxa"/>
            </w:tcMar>
            <w:vAlign w:val="center"/>
          </w:tcPr>
          <w:p w14:paraId="41230AE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0.04 </w:t>
            </w:r>
          </w:p>
        </w:tc>
        <w:tc>
          <w:tcPr>
            <w:tcW w:w="675" w:type="pct"/>
            <w:tcMar>
              <w:top w:w="12" w:type="dxa"/>
              <w:left w:w="12" w:type="dxa"/>
              <w:right w:w="12" w:type="dxa"/>
            </w:tcMar>
            <w:vAlign w:val="center"/>
          </w:tcPr>
          <w:p w14:paraId="7866C0B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09" w:type="pct"/>
            <w:tcMar>
              <w:top w:w="12" w:type="dxa"/>
              <w:left w:w="12" w:type="dxa"/>
              <w:right w:w="12" w:type="dxa"/>
            </w:tcMar>
            <w:vAlign w:val="center"/>
          </w:tcPr>
          <w:p w14:paraId="18FB590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0.56 </w:t>
            </w:r>
          </w:p>
        </w:tc>
      </w:tr>
      <w:tr w14:paraId="5040F6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7B610FE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2027</w:t>
            </w:r>
          </w:p>
        </w:tc>
        <w:tc>
          <w:tcPr>
            <w:tcW w:w="573" w:type="pct"/>
            <w:tcMar>
              <w:top w:w="12" w:type="dxa"/>
              <w:left w:w="12" w:type="dxa"/>
              <w:right w:w="12" w:type="dxa"/>
            </w:tcMar>
            <w:vAlign w:val="center"/>
          </w:tcPr>
          <w:p w14:paraId="55AB9A2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0.12 </w:t>
            </w:r>
          </w:p>
        </w:tc>
        <w:tc>
          <w:tcPr>
            <w:tcW w:w="640" w:type="pct"/>
            <w:tcMar>
              <w:top w:w="12" w:type="dxa"/>
              <w:left w:w="12" w:type="dxa"/>
              <w:right w:w="12" w:type="dxa"/>
            </w:tcMar>
            <w:vAlign w:val="center"/>
          </w:tcPr>
          <w:p w14:paraId="3344F16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0.25 </w:t>
            </w:r>
          </w:p>
        </w:tc>
        <w:tc>
          <w:tcPr>
            <w:tcW w:w="675" w:type="pct"/>
            <w:tcMar>
              <w:top w:w="12" w:type="dxa"/>
              <w:left w:w="12" w:type="dxa"/>
              <w:right w:w="12" w:type="dxa"/>
            </w:tcMar>
            <w:vAlign w:val="center"/>
          </w:tcPr>
          <w:p w14:paraId="76ECE6B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4.08 </w:t>
            </w:r>
          </w:p>
        </w:tc>
        <w:tc>
          <w:tcPr>
            <w:tcW w:w="640" w:type="pct"/>
            <w:tcMar>
              <w:top w:w="12" w:type="dxa"/>
              <w:left w:w="12" w:type="dxa"/>
              <w:right w:w="12" w:type="dxa"/>
            </w:tcMar>
            <w:vAlign w:val="center"/>
          </w:tcPr>
          <w:p w14:paraId="795BB11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0.49 </w:t>
            </w:r>
          </w:p>
        </w:tc>
        <w:tc>
          <w:tcPr>
            <w:tcW w:w="660" w:type="pct"/>
            <w:tcMar>
              <w:top w:w="12" w:type="dxa"/>
              <w:left w:w="12" w:type="dxa"/>
              <w:right w:w="12" w:type="dxa"/>
            </w:tcMar>
            <w:vAlign w:val="center"/>
          </w:tcPr>
          <w:p w14:paraId="4DA61C5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0.29 </w:t>
            </w:r>
          </w:p>
        </w:tc>
        <w:tc>
          <w:tcPr>
            <w:tcW w:w="675" w:type="pct"/>
            <w:tcMar>
              <w:top w:w="12" w:type="dxa"/>
              <w:left w:w="12" w:type="dxa"/>
              <w:right w:w="12" w:type="dxa"/>
            </w:tcMar>
            <w:vAlign w:val="center"/>
          </w:tcPr>
          <w:p w14:paraId="7899429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4.76 </w:t>
            </w:r>
          </w:p>
        </w:tc>
        <w:tc>
          <w:tcPr>
            <w:tcW w:w="609" w:type="pct"/>
            <w:tcMar>
              <w:top w:w="12" w:type="dxa"/>
              <w:left w:w="12" w:type="dxa"/>
              <w:right w:w="12" w:type="dxa"/>
            </w:tcMar>
            <w:vAlign w:val="center"/>
          </w:tcPr>
          <w:p w14:paraId="2A9C7BA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3.69 </w:t>
            </w:r>
          </w:p>
        </w:tc>
      </w:tr>
      <w:tr w14:paraId="1EEB7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67360E7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2028</w:t>
            </w:r>
          </w:p>
        </w:tc>
        <w:tc>
          <w:tcPr>
            <w:tcW w:w="573" w:type="pct"/>
            <w:tcMar>
              <w:top w:w="12" w:type="dxa"/>
              <w:left w:w="12" w:type="dxa"/>
              <w:right w:w="12" w:type="dxa"/>
            </w:tcMar>
            <w:vAlign w:val="center"/>
          </w:tcPr>
          <w:p w14:paraId="1FD5B5F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0.10 </w:t>
            </w:r>
          </w:p>
        </w:tc>
        <w:tc>
          <w:tcPr>
            <w:tcW w:w="640" w:type="pct"/>
            <w:tcMar>
              <w:top w:w="12" w:type="dxa"/>
              <w:left w:w="12" w:type="dxa"/>
              <w:right w:w="12" w:type="dxa"/>
            </w:tcMar>
            <w:vAlign w:val="center"/>
          </w:tcPr>
          <w:p w14:paraId="64B16F5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0.23 </w:t>
            </w:r>
          </w:p>
        </w:tc>
        <w:tc>
          <w:tcPr>
            <w:tcW w:w="675" w:type="pct"/>
            <w:tcMar>
              <w:top w:w="12" w:type="dxa"/>
              <w:left w:w="12" w:type="dxa"/>
              <w:right w:w="12" w:type="dxa"/>
            </w:tcMar>
            <w:vAlign w:val="center"/>
          </w:tcPr>
          <w:p w14:paraId="0609041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3.40 </w:t>
            </w:r>
          </w:p>
        </w:tc>
        <w:tc>
          <w:tcPr>
            <w:tcW w:w="640" w:type="pct"/>
            <w:tcMar>
              <w:top w:w="12" w:type="dxa"/>
              <w:left w:w="12" w:type="dxa"/>
              <w:right w:w="12" w:type="dxa"/>
            </w:tcMar>
            <w:vAlign w:val="center"/>
          </w:tcPr>
          <w:p w14:paraId="22EEDBF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0.83 </w:t>
            </w:r>
          </w:p>
        </w:tc>
        <w:tc>
          <w:tcPr>
            <w:tcW w:w="660" w:type="pct"/>
            <w:tcMar>
              <w:top w:w="12" w:type="dxa"/>
              <w:left w:w="12" w:type="dxa"/>
              <w:right w:w="12" w:type="dxa"/>
            </w:tcMar>
            <w:vAlign w:val="center"/>
          </w:tcPr>
          <w:p w14:paraId="407A7FD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0.52 </w:t>
            </w:r>
          </w:p>
        </w:tc>
        <w:tc>
          <w:tcPr>
            <w:tcW w:w="675" w:type="pct"/>
            <w:tcMar>
              <w:top w:w="12" w:type="dxa"/>
              <w:left w:w="12" w:type="dxa"/>
              <w:right w:w="12" w:type="dxa"/>
            </w:tcMar>
            <w:vAlign w:val="center"/>
          </w:tcPr>
          <w:p w14:paraId="3687D39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8.16 </w:t>
            </w:r>
          </w:p>
        </w:tc>
        <w:tc>
          <w:tcPr>
            <w:tcW w:w="609" w:type="pct"/>
            <w:tcMar>
              <w:top w:w="12" w:type="dxa"/>
              <w:left w:w="12" w:type="dxa"/>
              <w:right w:w="12" w:type="dxa"/>
            </w:tcMar>
            <w:vAlign w:val="center"/>
          </w:tcPr>
          <w:p w14:paraId="13CC47C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6.19 </w:t>
            </w:r>
          </w:p>
        </w:tc>
      </w:tr>
      <w:tr w14:paraId="272DE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49B7919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2029</w:t>
            </w:r>
          </w:p>
        </w:tc>
        <w:tc>
          <w:tcPr>
            <w:tcW w:w="573" w:type="pct"/>
            <w:tcMar>
              <w:top w:w="12" w:type="dxa"/>
              <w:left w:w="12" w:type="dxa"/>
              <w:right w:w="12" w:type="dxa"/>
            </w:tcMar>
            <w:vAlign w:val="center"/>
          </w:tcPr>
          <w:p w14:paraId="2258E66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0.08 </w:t>
            </w:r>
          </w:p>
        </w:tc>
        <w:tc>
          <w:tcPr>
            <w:tcW w:w="640" w:type="pct"/>
            <w:tcMar>
              <w:top w:w="12" w:type="dxa"/>
              <w:left w:w="12" w:type="dxa"/>
              <w:right w:w="12" w:type="dxa"/>
            </w:tcMar>
            <w:vAlign w:val="center"/>
          </w:tcPr>
          <w:p w14:paraId="478CF9F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0.19 </w:t>
            </w:r>
          </w:p>
        </w:tc>
        <w:tc>
          <w:tcPr>
            <w:tcW w:w="675" w:type="pct"/>
            <w:tcMar>
              <w:top w:w="12" w:type="dxa"/>
              <w:left w:w="12" w:type="dxa"/>
              <w:right w:w="12" w:type="dxa"/>
            </w:tcMar>
            <w:vAlign w:val="center"/>
          </w:tcPr>
          <w:p w14:paraId="065EDAD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2.72 </w:t>
            </w:r>
          </w:p>
        </w:tc>
        <w:tc>
          <w:tcPr>
            <w:tcW w:w="640" w:type="pct"/>
            <w:tcMar>
              <w:top w:w="12" w:type="dxa"/>
              <w:left w:w="12" w:type="dxa"/>
              <w:right w:w="12" w:type="dxa"/>
            </w:tcMar>
            <w:vAlign w:val="center"/>
          </w:tcPr>
          <w:p w14:paraId="7FFF317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1.11 </w:t>
            </w:r>
          </w:p>
        </w:tc>
        <w:tc>
          <w:tcPr>
            <w:tcW w:w="660" w:type="pct"/>
            <w:tcMar>
              <w:top w:w="12" w:type="dxa"/>
              <w:left w:w="12" w:type="dxa"/>
              <w:right w:w="12" w:type="dxa"/>
            </w:tcMar>
            <w:vAlign w:val="center"/>
          </w:tcPr>
          <w:p w14:paraId="7C19929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0.71 </w:t>
            </w:r>
          </w:p>
        </w:tc>
        <w:tc>
          <w:tcPr>
            <w:tcW w:w="675" w:type="pct"/>
            <w:tcMar>
              <w:top w:w="12" w:type="dxa"/>
              <w:left w:w="12" w:type="dxa"/>
              <w:right w:w="12" w:type="dxa"/>
            </w:tcMar>
            <w:vAlign w:val="center"/>
          </w:tcPr>
          <w:p w14:paraId="7C1AC94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10.88 </w:t>
            </w:r>
          </w:p>
        </w:tc>
        <w:tc>
          <w:tcPr>
            <w:tcW w:w="609" w:type="pct"/>
            <w:tcMar>
              <w:top w:w="12" w:type="dxa"/>
              <w:left w:w="12" w:type="dxa"/>
              <w:right w:w="12" w:type="dxa"/>
            </w:tcMar>
            <w:vAlign w:val="center"/>
          </w:tcPr>
          <w:p w14:paraId="2AA8C22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8.19 </w:t>
            </w:r>
          </w:p>
        </w:tc>
      </w:tr>
      <w:tr w14:paraId="2BE347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26B45B3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2030</w:t>
            </w:r>
          </w:p>
        </w:tc>
        <w:tc>
          <w:tcPr>
            <w:tcW w:w="573" w:type="pct"/>
            <w:tcMar>
              <w:top w:w="12" w:type="dxa"/>
              <w:left w:w="12" w:type="dxa"/>
              <w:right w:w="12" w:type="dxa"/>
            </w:tcMar>
            <w:vAlign w:val="center"/>
          </w:tcPr>
          <w:p w14:paraId="701C6E9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0.06 </w:t>
            </w:r>
          </w:p>
        </w:tc>
        <w:tc>
          <w:tcPr>
            <w:tcW w:w="640" w:type="pct"/>
            <w:tcMar>
              <w:top w:w="12" w:type="dxa"/>
              <w:left w:w="12" w:type="dxa"/>
              <w:right w:w="12" w:type="dxa"/>
            </w:tcMar>
            <w:vAlign w:val="center"/>
          </w:tcPr>
          <w:p w14:paraId="0DCBDC1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0.16 </w:t>
            </w:r>
          </w:p>
        </w:tc>
        <w:tc>
          <w:tcPr>
            <w:tcW w:w="675" w:type="pct"/>
            <w:tcMar>
              <w:top w:w="12" w:type="dxa"/>
              <w:left w:w="12" w:type="dxa"/>
              <w:right w:w="12" w:type="dxa"/>
            </w:tcMar>
            <w:vAlign w:val="center"/>
          </w:tcPr>
          <w:p w14:paraId="60C6550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2.04 </w:t>
            </w:r>
          </w:p>
        </w:tc>
        <w:tc>
          <w:tcPr>
            <w:tcW w:w="640" w:type="pct"/>
            <w:tcMar>
              <w:top w:w="12" w:type="dxa"/>
              <w:left w:w="12" w:type="dxa"/>
              <w:right w:w="12" w:type="dxa"/>
            </w:tcMar>
            <w:vAlign w:val="center"/>
          </w:tcPr>
          <w:p w14:paraId="33B82FF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1.33 </w:t>
            </w:r>
          </w:p>
        </w:tc>
        <w:tc>
          <w:tcPr>
            <w:tcW w:w="660" w:type="pct"/>
            <w:tcMar>
              <w:top w:w="12" w:type="dxa"/>
              <w:left w:w="12" w:type="dxa"/>
              <w:right w:w="12" w:type="dxa"/>
            </w:tcMar>
            <w:vAlign w:val="center"/>
          </w:tcPr>
          <w:p w14:paraId="3C1471A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0.87 </w:t>
            </w:r>
          </w:p>
        </w:tc>
        <w:tc>
          <w:tcPr>
            <w:tcW w:w="675" w:type="pct"/>
            <w:tcMar>
              <w:top w:w="12" w:type="dxa"/>
              <w:left w:w="12" w:type="dxa"/>
              <w:right w:w="12" w:type="dxa"/>
            </w:tcMar>
            <w:vAlign w:val="center"/>
          </w:tcPr>
          <w:p w14:paraId="77587DC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12.92 </w:t>
            </w:r>
          </w:p>
        </w:tc>
        <w:tc>
          <w:tcPr>
            <w:tcW w:w="609" w:type="pct"/>
            <w:tcMar>
              <w:top w:w="12" w:type="dxa"/>
              <w:left w:w="12" w:type="dxa"/>
              <w:right w:w="12" w:type="dxa"/>
            </w:tcMar>
            <w:vAlign w:val="center"/>
          </w:tcPr>
          <w:p w14:paraId="18DE86B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9.79 </w:t>
            </w:r>
          </w:p>
        </w:tc>
      </w:tr>
      <w:tr w14:paraId="068BD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492930A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2031</w:t>
            </w:r>
          </w:p>
        </w:tc>
        <w:tc>
          <w:tcPr>
            <w:tcW w:w="573" w:type="pct"/>
            <w:tcMar>
              <w:top w:w="12" w:type="dxa"/>
              <w:left w:w="12" w:type="dxa"/>
              <w:right w:w="12" w:type="dxa"/>
            </w:tcMar>
            <w:vAlign w:val="center"/>
          </w:tcPr>
          <w:p w14:paraId="4C3D928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0.05 </w:t>
            </w:r>
          </w:p>
        </w:tc>
        <w:tc>
          <w:tcPr>
            <w:tcW w:w="640" w:type="pct"/>
            <w:tcMar>
              <w:top w:w="12" w:type="dxa"/>
              <w:left w:w="12" w:type="dxa"/>
              <w:right w:w="12" w:type="dxa"/>
            </w:tcMar>
            <w:vAlign w:val="center"/>
          </w:tcPr>
          <w:p w14:paraId="712BF10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0.14 </w:t>
            </w:r>
          </w:p>
        </w:tc>
        <w:tc>
          <w:tcPr>
            <w:tcW w:w="675" w:type="pct"/>
            <w:tcMar>
              <w:top w:w="12" w:type="dxa"/>
              <w:left w:w="12" w:type="dxa"/>
              <w:right w:w="12" w:type="dxa"/>
            </w:tcMar>
            <w:vAlign w:val="center"/>
          </w:tcPr>
          <w:p w14:paraId="3DCB8B0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1.70 </w:t>
            </w:r>
          </w:p>
        </w:tc>
        <w:tc>
          <w:tcPr>
            <w:tcW w:w="640" w:type="pct"/>
            <w:tcMar>
              <w:top w:w="12" w:type="dxa"/>
              <w:left w:w="12" w:type="dxa"/>
              <w:right w:w="12" w:type="dxa"/>
            </w:tcMar>
            <w:vAlign w:val="center"/>
          </w:tcPr>
          <w:p w14:paraId="44A0E5B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1.51 </w:t>
            </w:r>
          </w:p>
        </w:tc>
        <w:tc>
          <w:tcPr>
            <w:tcW w:w="660" w:type="pct"/>
            <w:tcMar>
              <w:top w:w="12" w:type="dxa"/>
              <w:left w:w="12" w:type="dxa"/>
              <w:right w:w="12" w:type="dxa"/>
            </w:tcMar>
            <w:vAlign w:val="center"/>
          </w:tcPr>
          <w:p w14:paraId="6B990EA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1.01 </w:t>
            </w:r>
          </w:p>
        </w:tc>
        <w:tc>
          <w:tcPr>
            <w:tcW w:w="675" w:type="pct"/>
            <w:tcMar>
              <w:top w:w="12" w:type="dxa"/>
              <w:left w:w="12" w:type="dxa"/>
              <w:right w:w="12" w:type="dxa"/>
            </w:tcMar>
            <w:vAlign w:val="center"/>
          </w:tcPr>
          <w:p w14:paraId="69D3AB2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14.62 </w:t>
            </w:r>
          </w:p>
        </w:tc>
        <w:tc>
          <w:tcPr>
            <w:tcW w:w="609" w:type="pct"/>
            <w:tcMar>
              <w:top w:w="12" w:type="dxa"/>
              <w:left w:w="12" w:type="dxa"/>
              <w:right w:w="12" w:type="dxa"/>
            </w:tcMar>
            <w:vAlign w:val="center"/>
          </w:tcPr>
          <w:p w14:paraId="7858ED1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11.07 </w:t>
            </w:r>
          </w:p>
        </w:tc>
      </w:tr>
      <w:tr w14:paraId="58ECCF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3D6FDA0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2032</w:t>
            </w:r>
          </w:p>
        </w:tc>
        <w:tc>
          <w:tcPr>
            <w:tcW w:w="573" w:type="pct"/>
            <w:tcMar>
              <w:top w:w="12" w:type="dxa"/>
              <w:left w:w="12" w:type="dxa"/>
              <w:right w:w="12" w:type="dxa"/>
            </w:tcMar>
            <w:vAlign w:val="center"/>
          </w:tcPr>
          <w:p w14:paraId="070CD7D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0.04 </w:t>
            </w:r>
          </w:p>
        </w:tc>
        <w:tc>
          <w:tcPr>
            <w:tcW w:w="640" w:type="pct"/>
            <w:tcMar>
              <w:top w:w="12" w:type="dxa"/>
              <w:left w:w="12" w:type="dxa"/>
              <w:right w:w="12" w:type="dxa"/>
            </w:tcMar>
            <w:vAlign w:val="center"/>
          </w:tcPr>
          <w:p w14:paraId="12C08ED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0.12 </w:t>
            </w:r>
          </w:p>
        </w:tc>
        <w:tc>
          <w:tcPr>
            <w:tcW w:w="675" w:type="pct"/>
            <w:tcMar>
              <w:top w:w="12" w:type="dxa"/>
              <w:left w:w="12" w:type="dxa"/>
              <w:right w:w="12" w:type="dxa"/>
            </w:tcMar>
            <w:vAlign w:val="center"/>
          </w:tcPr>
          <w:p w14:paraId="0034E27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1.36 </w:t>
            </w:r>
          </w:p>
        </w:tc>
        <w:tc>
          <w:tcPr>
            <w:tcW w:w="640" w:type="pct"/>
            <w:tcMar>
              <w:top w:w="12" w:type="dxa"/>
              <w:left w:w="12" w:type="dxa"/>
              <w:right w:w="12" w:type="dxa"/>
            </w:tcMar>
            <w:vAlign w:val="center"/>
          </w:tcPr>
          <w:p w14:paraId="07E0BB9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1.65 </w:t>
            </w:r>
          </w:p>
        </w:tc>
        <w:tc>
          <w:tcPr>
            <w:tcW w:w="660" w:type="pct"/>
            <w:tcMar>
              <w:top w:w="12" w:type="dxa"/>
              <w:left w:w="12" w:type="dxa"/>
              <w:right w:w="12" w:type="dxa"/>
            </w:tcMar>
            <w:vAlign w:val="center"/>
          </w:tcPr>
          <w:p w14:paraId="5389207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1.13 </w:t>
            </w:r>
          </w:p>
        </w:tc>
        <w:tc>
          <w:tcPr>
            <w:tcW w:w="675" w:type="pct"/>
            <w:tcMar>
              <w:top w:w="12" w:type="dxa"/>
              <w:left w:w="12" w:type="dxa"/>
              <w:right w:w="12" w:type="dxa"/>
            </w:tcMar>
            <w:vAlign w:val="center"/>
          </w:tcPr>
          <w:p w14:paraId="4EB0501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15.98 </w:t>
            </w:r>
          </w:p>
        </w:tc>
        <w:tc>
          <w:tcPr>
            <w:tcW w:w="609" w:type="pct"/>
            <w:tcMar>
              <w:top w:w="12" w:type="dxa"/>
              <w:left w:w="12" w:type="dxa"/>
              <w:right w:w="12" w:type="dxa"/>
            </w:tcMar>
            <w:vAlign w:val="center"/>
          </w:tcPr>
          <w:p w14:paraId="5CFC5F9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12.09 </w:t>
            </w:r>
          </w:p>
        </w:tc>
      </w:tr>
      <w:tr w14:paraId="7B7E8B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0FEC7CB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2033</w:t>
            </w:r>
          </w:p>
        </w:tc>
        <w:tc>
          <w:tcPr>
            <w:tcW w:w="573" w:type="pct"/>
            <w:tcMar>
              <w:top w:w="12" w:type="dxa"/>
              <w:left w:w="12" w:type="dxa"/>
              <w:right w:w="12" w:type="dxa"/>
            </w:tcMar>
            <w:vAlign w:val="center"/>
          </w:tcPr>
          <w:p w14:paraId="7E78FD0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0.03 </w:t>
            </w:r>
          </w:p>
        </w:tc>
        <w:tc>
          <w:tcPr>
            <w:tcW w:w="640" w:type="pct"/>
            <w:tcMar>
              <w:top w:w="12" w:type="dxa"/>
              <w:left w:w="12" w:type="dxa"/>
              <w:right w:w="12" w:type="dxa"/>
            </w:tcMar>
            <w:vAlign w:val="center"/>
          </w:tcPr>
          <w:p w14:paraId="0290B8A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0.10 </w:t>
            </w:r>
          </w:p>
        </w:tc>
        <w:tc>
          <w:tcPr>
            <w:tcW w:w="675" w:type="pct"/>
            <w:tcMar>
              <w:top w:w="12" w:type="dxa"/>
              <w:left w:w="12" w:type="dxa"/>
              <w:right w:w="12" w:type="dxa"/>
            </w:tcMar>
            <w:vAlign w:val="center"/>
          </w:tcPr>
          <w:p w14:paraId="050801B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1.02 </w:t>
            </w:r>
          </w:p>
        </w:tc>
        <w:tc>
          <w:tcPr>
            <w:tcW w:w="640" w:type="pct"/>
            <w:tcMar>
              <w:top w:w="12" w:type="dxa"/>
              <w:left w:w="12" w:type="dxa"/>
              <w:right w:w="12" w:type="dxa"/>
            </w:tcMar>
            <w:vAlign w:val="center"/>
          </w:tcPr>
          <w:p w14:paraId="1F35607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1.77 </w:t>
            </w:r>
          </w:p>
        </w:tc>
        <w:tc>
          <w:tcPr>
            <w:tcW w:w="660" w:type="pct"/>
            <w:tcMar>
              <w:top w:w="12" w:type="dxa"/>
              <w:left w:w="12" w:type="dxa"/>
              <w:right w:w="12" w:type="dxa"/>
            </w:tcMar>
            <w:vAlign w:val="center"/>
          </w:tcPr>
          <w:p w14:paraId="5DC236B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1.23 </w:t>
            </w:r>
          </w:p>
        </w:tc>
        <w:tc>
          <w:tcPr>
            <w:tcW w:w="675" w:type="pct"/>
            <w:tcMar>
              <w:top w:w="12" w:type="dxa"/>
              <w:left w:w="12" w:type="dxa"/>
              <w:right w:w="12" w:type="dxa"/>
            </w:tcMar>
            <w:vAlign w:val="center"/>
          </w:tcPr>
          <w:p w14:paraId="7EBA13B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17.00 </w:t>
            </w:r>
          </w:p>
        </w:tc>
        <w:tc>
          <w:tcPr>
            <w:tcW w:w="609" w:type="pct"/>
            <w:tcMar>
              <w:top w:w="12" w:type="dxa"/>
              <w:left w:w="12" w:type="dxa"/>
              <w:right w:w="12" w:type="dxa"/>
            </w:tcMar>
            <w:vAlign w:val="center"/>
          </w:tcPr>
          <w:p w14:paraId="43930DA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12.91 </w:t>
            </w:r>
          </w:p>
        </w:tc>
      </w:tr>
      <w:tr w14:paraId="1EFCF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40ADB48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2034</w:t>
            </w:r>
          </w:p>
        </w:tc>
        <w:tc>
          <w:tcPr>
            <w:tcW w:w="573" w:type="pct"/>
            <w:tcMar>
              <w:top w:w="12" w:type="dxa"/>
              <w:left w:w="12" w:type="dxa"/>
              <w:right w:w="12" w:type="dxa"/>
            </w:tcMar>
            <w:vAlign w:val="center"/>
          </w:tcPr>
          <w:p w14:paraId="62F2A89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0.03 </w:t>
            </w:r>
          </w:p>
        </w:tc>
        <w:tc>
          <w:tcPr>
            <w:tcW w:w="640" w:type="pct"/>
            <w:tcMar>
              <w:top w:w="12" w:type="dxa"/>
              <w:left w:w="12" w:type="dxa"/>
              <w:right w:w="12" w:type="dxa"/>
            </w:tcMar>
            <w:vAlign w:val="center"/>
          </w:tcPr>
          <w:p w14:paraId="123A2F4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0.11 </w:t>
            </w:r>
          </w:p>
        </w:tc>
        <w:tc>
          <w:tcPr>
            <w:tcW w:w="675" w:type="pct"/>
            <w:tcMar>
              <w:top w:w="12" w:type="dxa"/>
              <w:left w:w="12" w:type="dxa"/>
              <w:right w:w="12" w:type="dxa"/>
            </w:tcMar>
            <w:vAlign w:val="center"/>
          </w:tcPr>
          <w:p w14:paraId="5D35684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1.02 </w:t>
            </w:r>
          </w:p>
        </w:tc>
        <w:tc>
          <w:tcPr>
            <w:tcW w:w="640" w:type="pct"/>
            <w:tcMar>
              <w:top w:w="12" w:type="dxa"/>
              <w:left w:w="12" w:type="dxa"/>
              <w:right w:w="12" w:type="dxa"/>
            </w:tcMar>
            <w:vAlign w:val="center"/>
          </w:tcPr>
          <w:p w14:paraId="64EE345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1.86 </w:t>
            </w:r>
          </w:p>
        </w:tc>
        <w:tc>
          <w:tcPr>
            <w:tcW w:w="660" w:type="pct"/>
            <w:tcMar>
              <w:top w:w="12" w:type="dxa"/>
              <w:left w:w="12" w:type="dxa"/>
              <w:right w:w="12" w:type="dxa"/>
            </w:tcMar>
            <w:vAlign w:val="center"/>
          </w:tcPr>
          <w:p w14:paraId="215A276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1.34 </w:t>
            </w:r>
          </w:p>
        </w:tc>
        <w:tc>
          <w:tcPr>
            <w:tcW w:w="675" w:type="pct"/>
            <w:tcMar>
              <w:top w:w="12" w:type="dxa"/>
              <w:left w:w="12" w:type="dxa"/>
              <w:right w:w="12" w:type="dxa"/>
            </w:tcMar>
            <w:vAlign w:val="center"/>
          </w:tcPr>
          <w:p w14:paraId="1AA6465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18.02 </w:t>
            </w:r>
          </w:p>
        </w:tc>
        <w:tc>
          <w:tcPr>
            <w:tcW w:w="609" w:type="pct"/>
            <w:tcMar>
              <w:top w:w="12" w:type="dxa"/>
              <w:left w:w="12" w:type="dxa"/>
              <w:right w:w="12" w:type="dxa"/>
            </w:tcMar>
            <w:vAlign w:val="center"/>
          </w:tcPr>
          <w:p w14:paraId="77E4C8E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13.57 </w:t>
            </w:r>
          </w:p>
        </w:tc>
      </w:tr>
      <w:tr w14:paraId="0666E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6AEB049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2035</w:t>
            </w:r>
          </w:p>
        </w:tc>
        <w:tc>
          <w:tcPr>
            <w:tcW w:w="573" w:type="pct"/>
            <w:tcMar>
              <w:top w:w="12" w:type="dxa"/>
              <w:left w:w="12" w:type="dxa"/>
              <w:right w:w="12" w:type="dxa"/>
            </w:tcMar>
            <w:vAlign w:val="center"/>
          </w:tcPr>
          <w:p w14:paraId="551C116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640" w:type="pct"/>
            <w:tcMar>
              <w:top w:w="12" w:type="dxa"/>
              <w:left w:w="12" w:type="dxa"/>
              <w:right w:w="12" w:type="dxa"/>
            </w:tcMar>
            <w:vAlign w:val="center"/>
          </w:tcPr>
          <w:p w14:paraId="30D3D89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0.08 </w:t>
            </w:r>
          </w:p>
        </w:tc>
        <w:tc>
          <w:tcPr>
            <w:tcW w:w="675" w:type="pct"/>
            <w:tcMar>
              <w:top w:w="12" w:type="dxa"/>
              <w:left w:w="12" w:type="dxa"/>
              <w:right w:w="12" w:type="dxa"/>
            </w:tcMar>
            <w:vAlign w:val="center"/>
          </w:tcPr>
          <w:p w14:paraId="4A29A3C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40" w:type="pct"/>
            <w:tcMar>
              <w:top w:w="12" w:type="dxa"/>
              <w:left w:w="12" w:type="dxa"/>
              <w:right w:w="12" w:type="dxa"/>
            </w:tcMar>
            <w:vAlign w:val="center"/>
          </w:tcPr>
          <w:p w14:paraId="3A7BD6B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1.93 </w:t>
            </w:r>
          </w:p>
        </w:tc>
        <w:tc>
          <w:tcPr>
            <w:tcW w:w="660" w:type="pct"/>
            <w:tcMar>
              <w:top w:w="12" w:type="dxa"/>
              <w:left w:w="12" w:type="dxa"/>
              <w:right w:w="12" w:type="dxa"/>
            </w:tcMar>
            <w:vAlign w:val="center"/>
          </w:tcPr>
          <w:p w14:paraId="3BE9F04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1.42 </w:t>
            </w:r>
          </w:p>
        </w:tc>
        <w:tc>
          <w:tcPr>
            <w:tcW w:w="675" w:type="pct"/>
            <w:tcMar>
              <w:top w:w="12" w:type="dxa"/>
              <w:left w:w="12" w:type="dxa"/>
              <w:right w:w="12" w:type="dxa"/>
            </w:tcMar>
            <w:vAlign w:val="center"/>
          </w:tcPr>
          <w:p w14:paraId="18B3583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18.70 </w:t>
            </w:r>
          </w:p>
        </w:tc>
        <w:tc>
          <w:tcPr>
            <w:tcW w:w="609" w:type="pct"/>
            <w:tcMar>
              <w:top w:w="12" w:type="dxa"/>
              <w:left w:w="12" w:type="dxa"/>
              <w:right w:w="12" w:type="dxa"/>
            </w:tcMar>
            <w:vAlign w:val="center"/>
          </w:tcPr>
          <w:p w14:paraId="334C04F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14.09 </w:t>
            </w:r>
          </w:p>
        </w:tc>
      </w:tr>
      <w:tr w14:paraId="6F158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3607089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2036</w:t>
            </w:r>
          </w:p>
        </w:tc>
        <w:tc>
          <w:tcPr>
            <w:tcW w:w="573" w:type="pct"/>
            <w:tcMar>
              <w:top w:w="12" w:type="dxa"/>
              <w:left w:w="12" w:type="dxa"/>
              <w:right w:w="12" w:type="dxa"/>
            </w:tcMar>
            <w:vAlign w:val="center"/>
          </w:tcPr>
          <w:p w14:paraId="46E22D4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640" w:type="pct"/>
            <w:tcMar>
              <w:top w:w="12" w:type="dxa"/>
              <w:left w:w="12" w:type="dxa"/>
              <w:right w:w="12" w:type="dxa"/>
            </w:tcMar>
            <w:vAlign w:val="center"/>
          </w:tcPr>
          <w:p w14:paraId="6DF0BAA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0.09 </w:t>
            </w:r>
          </w:p>
        </w:tc>
        <w:tc>
          <w:tcPr>
            <w:tcW w:w="675" w:type="pct"/>
            <w:tcMar>
              <w:top w:w="12" w:type="dxa"/>
              <w:left w:w="12" w:type="dxa"/>
              <w:right w:w="12" w:type="dxa"/>
            </w:tcMar>
            <w:vAlign w:val="center"/>
          </w:tcPr>
          <w:p w14:paraId="4734ECF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40" w:type="pct"/>
            <w:tcMar>
              <w:top w:w="12" w:type="dxa"/>
              <w:left w:w="12" w:type="dxa"/>
              <w:right w:w="12" w:type="dxa"/>
            </w:tcMar>
            <w:vAlign w:val="center"/>
          </w:tcPr>
          <w:p w14:paraId="54745D6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1.99 </w:t>
            </w:r>
          </w:p>
        </w:tc>
        <w:tc>
          <w:tcPr>
            <w:tcW w:w="660" w:type="pct"/>
            <w:tcMar>
              <w:top w:w="12" w:type="dxa"/>
              <w:left w:w="12" w:type="dxa"/>
              <w:right w:w="12" w:type="dxa"/>
            </w:tcMar>
            <w:vAlign w:val="center"/>
          </w:tcPr>
          <w:p w14:paraId="0F3135A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1.52 </w:t>
            </w:r>
          </w:p>
        </w:tc>
        <w:tc>
          <w:tcPr>
            <w:tcW w:w="675" w:type="pct"/>
            <w:tcMar>
              <w:top w:w="12" w:type="dxa"/>
              <w:left w:w="12" w:type="dxa"/>
              <w:right w:w="12" w:type="dxa"/>
            </w:tcMar>
            <w:vAlign w:val="center"/>
          </w:tcPr>
          <w:p w14:paraId="6DE428B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19.38 </w:t>
            </w:r>
          </w:p>
        </w:tc>
        <w:tc>
          <w:tcPr>
            <w:tcW w:w="609" w:type="pct"/>
            <w:tcMar>
              <w:top w:w="12" w:type="dxa"/>
              <w:left w:w="12" w:type="dxa"/>
              <w:right w:w="12" w:type="dxa"/>
            </w:tcMar>
            <w:vAlign w:val="center"/>
          </w:tcPr>
          <w:p w14:paraId="64FA3D7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14.51 </w:t>
            </w:r>
          </w:p>
        </w:tc>
      </w:tr>
      <w:tr w14:paraId="5729A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2899465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2037</w:t>
            </w:r>
          </w:p>
        </w:tc>
        <w:tc>
          <w:tcPr>
            <w:tcW w:w="573" w:type="pct"/>
            <w:tcMar>
              <w:top w:w="12" w:type="dxa"/>
              <w:left w:w="12" w:type="dxa"/>
              <w:right w:w="12" w:type="dxa"/>
            </w:tcMar>
            <w:vAlign w:val="center"/>
          </w:tcPr>
          <w:p w14:paraId="1B2C8F3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0.01 </w:t>
            </w:r>
          </w:p>
        </w:tc>
        <w:tc>
          <w:tcPr>
            <w:tcW w:w="640" w:type="pct"/>
            <w:tcMar>
              <w:top w:w="12" w:type="dxa"/>
              <w:left w:w="12" w:type="dxa"/>
              <w:right w:w="12" w:type="dxa"/>
            </w:tcMar>
            <w:vAlign w:val="center"/>
          </w:tcPr>
          <w:p w14:paraId="177DE98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0.05 </w:t>
            </w:r>
          </w:p>
        </w:tc>
        <w:tc>
          <w:tcPr>
            <w:tcW w:w="675" w:type="pct"/>
            <w:tcMar>
              <w:top w:w="12" w:type="dxa"/>
              <w:left w:w="12" w:type="dxa"/>
              <w:right w:w="12" w:type="dxa"/>
            </w:tcMar>
            <w:vAlign w:val="center"/>
          </w:tcPr>
          <w:p w14:paraId="54747F4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0.34 </w:t>
            </w:r>
          </w:p>
        </w:tc>
        <w:tc>
          <w:tcPr>
            <w:tcW w:w="640" w:type="pct"/>
            <w:tcMar>
              <w:top w:w="12" w:type="dxa"/>
              <w:left w:w="12" w:type="dxa"/>
              <w:right w:w="12" w:type="dxa"/>
            </w:tcMar>
            <w:vAlign w:val="center"/>
          </w:tcPr>
          <w:p w14:paraId="144409E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2.04 </w:t>
            </w:r>
          </w:p>
        </w:tc>
        <w:tc>
          <w:tcPr>
            <w:tcW w:w="660" w:type="pct"/>
            <w:tcMar>
              <w:top w:w="12" w:type="dxa"/>
              <w:left w:w="12" w:type="dxa"/>
              <w:right w:w="12" w:type="dxa"/>
            </w:tcMar>
            <w:vAlign w:val="center"/>
          </w:tcPr>
          <w:p w14:paraId="113CE2D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1.57 </w:t>
            </w:r>
          </w:p>
        </w:tc>
        <w:tc>
          <w:tcPr>
            <w:tcW w:w="675" w:type="pct"/>
            <w:tcMar>
              <w:top w:w="12" w:type="dxa"/>
              <w:left w:w="12" w:type="dxa"/>
              <w:right w:w="12" w:type="dxa"/>
            </w:tcMar>
            <w:vAlign w:val="center"/>
          </w:tcPr>
          <w:p w14:paraId="67D66E7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19.72 </w:t>
            </w:r>
          </w:p>
        </w:tc>
        <w:tc>
          <w:tcPr>
            <w:tcW w:w="609" w:type="pct"/>
            <w:tcMar>
              <w:top w:w="12" w:type="dxa"/>
              <w:left w:w="12" w:type="dxa"/>
              <w:right w:w="12" w:type="dxa"/>
            </w:tcMar>
            <w:vAlign w:val="center"/>
          </w:tcPr>
          <w:p w14:paraId="28581BA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14.85 </w:t>
            </w:r>
          </w:p>
        </w:tc>
      </w:tr>
      <w:tr w14:paraId="0EACF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7347D68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2038</w:t>
            </w:r>
          </w:p>
        </w:tc>
        <w:tc>
          <w:tcPr>
            <w:tcW w:w="573" w:type="pct"/>
            <w:tcMar>
              <w:top w:w="12" w:type="dxa"/>
              <w:left w:w="12" w:type="dxa"/>
              <w:right w:w="12" w:type="dxa"/>
            </w:tcMar>
            <w:vAlign w:val="center"/>
          </w:tcPr>
          <w:p w14:paraId="25FDF11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0.01 </w:t>
            </w:r>
          </w:p>
        </w:tc>
        <w:tc>
          <w:tcPr>
            <w:tcW w:w="640" w:type="pct"/>
            <w:tcMar>
              <w:top w:w="12" w:type="dxa"/>
              <w:left w:w="12" w:type="dxa"/>
              <w:right w:w="12" w:type="dxa"/>
            </w:tcMar>
            <w:vAlign w:val="center"/>
          </w:tcPr>
          <w:p w14:paraId="1A1665C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0.06 </w:t>
            </w:r>
          </w:p>
        </w:tc>
        <w:tc>
          <w:tcPr>
            <w:tcW w:w="675" w:type="pct"/>
            <w:tcMar>
              <w:top w:w="12" w:type="dxa"/>
              <w:left w:w="12" w:type="dxa"/>
              <w:right w:w="12" w:type="dxa"/>
            </w:tcMar>
            <w:vAlign w:val="center"/>
          </w:tcPr>
          <w:p w14:paraId="684C6BF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0.34 </w:t>
            </w:r>
          </w:p>
        </w:tc>
        <w:tc>
          <w:tcPr>
            <w:tcW w:w="640" w:type="pct"/>
            <w:tcMar>
              <w:top w:w="12" w:type="dxa"/>
              <w:left w:w="12" w:type="dxa"/>
              <w:right w:w="12" w:type="dxa"/>
            </w:tcMar>
            <w:vAlign w:val="center"/>
          </w:tcPr>
          <w:p w14:paraId="56D7FF8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2.08 </w:t>
            </w:r>
          </w:p>
        </w:tc>
        <w:tc>
          <w:tcPr>
            <w:tcW w:w="660" w:type="pct"/>
            <w:tcMar>
              <w:top w:w="12" w:type="dxa"/>
              <w:left w:w="12" w:type="dxa"/>
              <w:right w:w="12" w:type="dxa"/>
            </w:tcMar>
            <w:vAlign w:val="center"/>
          </w:tcPr>
          <w:p w14:paraId="3772115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1.63 </w:t>
            </w:r>
          </w:p>
        </w:tc>
        <w:tc>
          <w:tcPr>
            <w:tcW w:w="675" w:type="pct"/>
            <w:tcMar>
              <w:top w:w="12" w:type="dxa"/>
              <w:left w:w="12" w:type="dxa"/>
              <w:right w:w="12" w:type="dxa"/>
            </w:tcMar>
            <w:vAlign w:val="center"/>
          </w:tcPr>
          <w:p w14:paraId="2E0F2A4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20.06 </w:t>
            </w:r>
          </w:p>
        </w:tc>
        <w:tc>
          <w:tcPr>
            <w:tcW w:w="609" w:type="pct"/>
            <w:tcMar>
              <w:top w:w="12" w:type="dxa"/>
              <w:left w:w="12" w:type="dxa"/>
              <w:right w:w="12" w:type="dxa"/>
            </w:tcMar>
            <w:vAlign w:val="center"/>
          </w:tcPr>
          <w:p w14:paraId="16D5446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15.12 </w:t>
            </w:r>
          </w:p>
        </w:tc>
      </w:tr>
      <w:tr w14:paraId="5072B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1B8A2EE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2039</w:t>
            </w:r>
          </w:p>
        </w:tc>
        <w:tc>
          <w:tcPr>
            <w:tcW w:w="573" w:type="pct"/>
            <w:tcMar>
              <w:top w:w="12" w:type="dxa"/>
              <w:left w:w="12" w:type="dxa"/>
              <w:right w:w="12" w:type="dxa"/>
            </w:tcMar>
            <w:vAlign w:val="center"/>
          </w:tcPr>
          <w:p w14:paraId="1F372C3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0.01 </w:t>
            </w:r>
          </w:p>
        </w:tc>
        <w:tc>
          <w:tcPr>
            <w:tcW w:w="640" w:type="pct"/>
            <w:tcMar>
              <w:top w:w="12" w:type="dxa"/>
              <w:left w:w="12" w:type="dxa"/>
              <w:right w:w="12" w:type="dxa"/>
            </w:tcMar>
            <w:vAlign w:val="center"/>
          </w:tcPr>
          <w:p w14:paraId="22A805F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0.08 </w:t>
            </w:r>
          </w:p>
        </w:tc>
        <w:tc>
          <w:tcPr>
            <w:tcW w:w="675" w:type="pct"/>
            <w:tcMar>
              <w:top w:w="12" w:type="dxa"/>
              <w:left w:w="12" w:type="dxa"/>
              <w:right w:w="12" w:type="dxa"/>
            </w:tcMar>
            <w:vAlign w:val="center"/>
          </w:tcPr>
          <w:p w14:paraId="22F968E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0.34 </w:t>
            </w:r>
          </w:p>
        </w:tc>
        <w:tc>
          <w:tcPr>
            <w:tcW w:w="640" w:type="pct"/>
            <w:tcMar>
              <w:top w:w="12" w:type="dxa"/>
              <w:left w:w="12" w:type="dxa"/>
              <w:right w:w="12" w:type="dxa"/>
            </w:tcMar>
            <w:vAlign w:val="center"/>
          </w:tcPr>
          <w:p w14:paraId="5539A0F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2.11 </w:t>
            </w:r>
          </w:p>
        </w:tc>
        <w:tc>
          <w:tcPr>
            <w:tcW w:w="660" w:type="pct"/>
            <w:tcMar>
              <w:top w:w="12" w:type="dxa"/>
              <w:left w:w="12" w:type="dxa"/>
              <w:right w:w="12" w:type="dxa"/>
            </w:tcMar>
            <w:vAlign w:val="center"/>
          </w:tcPr>
          <w:p w14:paraId="1EE1B93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1.71 </w:t>
            </w:r>
          </w:p>
        </w:tc>
        <w:tc>
          <w:tcPr>
            <w:tcW w:w="675" w:type="pct"/>
            <w:tcMar>
              <w:top w:w="12" w:type="dxa"/>
              <w:left w:w="12" w:type="dxa"/>
              <w:right w:w="12" w:type="dxa"/>
            </w:tcMar>
            <w:vAlign w:val="center"/>
          </w:tcPr>
          <w:p w14:paraId="548A57E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20.40 </w:t>
            </w:r>
          </w:p>
        </w:tc>
        <w:tc>
          <w:tcPr>
            <w:tcW w:w="609" w:type="pct"/>
            <w:tcMar>
              <w:top w:w="12" w:type="dxa"/>
              <w:left w:w="12" w:type="dxa"/>
              <w:right w:w="12" w:type="dxa"/>
            </w:tcMar>
            <w:vAlign w:val="center"/>
          </w:tcPr>
          <w:p w14:paraId="5A5A2CB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15.33 </w:t>
            </w:r>
          </w:p>
        </w:tc>
      </w:tr>
      <w:tr w14:paraId="1636C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tcMar>
              <w:top w:w="12" w:type="dxa"/>
              <w:left w:w="12" w:type="dxa"/>
              <w:right w:w="12" w:type="dxa"/>
            </w:tcMar>
            <w:vAlign w:val="center"/>
          </w:tcPr>
          <w:p w14:paraId="5C83A4D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2040</w:t>
            </w:r>
          </w:p>
        </w:tc>
        <w:tc>
          <w:tcPr>
            <w:tcW w:w="573" w:type="pct"/>
            <w:tcMar>
              <w:top w:w="12" w:type="dxa"/>
              <w:left w:w="12" w:type="dxa"/>
              <w:right w:w="12" w:type="dxa"/>
            </w:tcMar>
            <w:vAlign w:val="center"/>
          </w:tcPr>
          <w:p w14:paraId="41585AE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0.01 </w:t>
            </w:r>
          </w:p>
        </w:tc>
        <w:tc>
          <w:tcPr>
            <w:tcW w:w="640" w:type="pct"/>
            <w:tcMar>
              <w:top w:w="12" w:type="dxa"/>
              <w:left w:w="12" w:type="dxa"/>
              <w:right w:w="12" w:type="dxa"/>
            </w:tcMar>
            <w:vAlign w:val="center"/>
          </w:tcPr>
          <w:p w14:paraId="75A3EE4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0.10 </w:t>
            </w:r>
          </w:p>
        </w:tc>
        <w:tc>
          <w:tcPr>
            <w:tcW w:w="675" w:type="pct"/>
            <w:tcMar>
              <w:top w:w="12" w:type="dxa"/>
              <w:left w:w="12" w:type="dxa"/>
              <w:right w:w="12" w:type="dxa"/>
            </w:tcMar>
            <w:vAlign w:val="center"/>
          </w:tcPr>
          <w:p w14:paraId="2CF86FD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0.34 </w:t>
            </w:r>
          </w:p>
        </w:tc>
        <w:tc>
          <w:tcPr>
            <w:tcW w:w="640" w:type="pct"/>
            <w:tcMar>
              <w:top w:w="12" w:type="dxa"/>
              <w:left w:w="12" w:type="dxa"/>
              <w:right w:w="12" w:type="dxa"/>
            </w:tcMar>
            <w:vAlign w:val="center"/>
          </w:tcPr>
          <w:p w14:paraId="51E7230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2.13 </w:t>
            </w:r>
          </w:p>
        </w:tc>
        <w:tc>
          <w:tcPr>
            <w:tcW w:w="660" w:type="pct"/>
            <w:tcMar>
              <w:top w:w="12" w:type="dxa"/>
              <w:left w:w="12" w:type="dxa"/>
              <w:right w:w="12" w:type="dxa"/>
            </w:tcMar>
            <w:vAlign w:val="center"/>
          </w:tcPr>
          <w:p w14:paraId="2B36DB6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1.81 </w:t>
            </w:r>
          </w:p>
        </w:tc>
        <w:tc>
          <w:tcPr>
            <w:tcW w:w="675" w:type="pct"/>
            <w:tcMar>
              <w:top w:w="12" w:type="dxa"/>
              <w:left w:w="12" w:type="dxa"/>
              <w:right w:w="12" w:type="dxa"/>
            </w:tcMar>
            <w:vAlign w:val="center"/>
          </w:tcPr>
          <w:p w14:paraId="728B791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20.74 </w:t>
            </w:r>
          </w:p>
        </w:tc>
        <w:tc>
          <w:tcPr>
            <w:tcW w:w="609" w:type="pct"/>
            <w:tcMar>
              <w:top w:w="12" w:type="dxa"/>
              <w:left w:w="12" w:type="dxa"/>
              <w:right w:w="12" w:type="dxa"/>
            </w:tcMar>
            <w:vAlign w:val="center"/>
          </w:tcPr>
          <w:p w14:paraId="6BB191E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15.50 </w:t>
            </w:r>
          </w:p>
        </w:tc>
      </w:tr>
    </w:tbl>
    <w:p w14:paraId="4DAC2373">
      <w:pPr>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表3.2-3</w:t>
      </w:r>
      <w:r>
        <w:rPr>
          <w:rFonts w:ascii="黑体" w:hAnsi="黑体" w:eastAsia="黑体"/>
          <w:color w:val="000000" w:themeColor="text1"/>
          <w14:textFill>
            <w14:solidFill>
              <w14:schemeClr w14:val="tx1"/>
            </w14:solidFill>
          </w14:textFill>
        </w:rPr>
        <w:t xml:space="preserve">  J9100A单井指标预测表</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06"/>
        <w:gridCol w:w="999"/>
        <w:gridCol w:w="1119"/>
        <w:gridCol w:w="1182"/>
        <w:gridCol w:w="1119"/>
        <w:gridCol w:w="1153"/>
        <w:gridCol w:w="1183"/>
        <w:gridCol w:w="1066"/>
      </w:tblGrid>
      <w:tr w14:paraId="6A972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9" w:type="pct"/>
            <w:tcMar>
              <w:top w:w="12" w:type="dxa"/>
              <w:left w:w="12" w:type="dxa"/>
              <w:right w:w="12" w:type="dxa"/>
            </w:tcMar>
            <w:vAlign w:val="center"/>
          </w:tcPr>
          <w:p w14:paraId="5FD8DBD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年数</w:t>
            </w:r>
          </w:p>
        </w:tc>
        <w:tc>
          <w:tcPr>
            <w:tcW w:w="572" w:type="pct"/>
            <w:tcMar>
              <w:top w:w="12" w:type="dxa"/>
              <w:left w:w="12" w:type="dxa"/>
              <w:right w:w="12" w:type="dxa"/>
            </w:tcMar>
            <w:vAlign w:val="center"/>
          </w:tcPr>
          <w:p w14:paraId="1D7620D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年产油（10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tc>
        <w:tc>
          <w:tcPr>
            <w:tcW w:w="641" w:type="pct"/>
            <w:tcMar>
              <w:top w:w="12" w:type="dxa"/>
              <w:left w:w="12" w:type="dxa"/>
              <w:right w:w="12" w:type="dxa"/>
            </w:tcMar>
            <w:vAlign w:val="center"/>
          </w:tcPr>
          <w:p w14:paraId="57D5D2B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年产液（10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tc>
        <w:tc>
          <w:tcPr>
            <w:tcW w:w="677" w:type="pct"/>
            <w:tcMar>
              <w:top w:w="12" w:type="dxa"/>
              <w:left w:w="12" w:type="dxa"/>
              <w:right w:w="12" w:type="dxa"/>
            </w:tcMar>
            <w:vAlign w:val="center"/>
          </w:tcPr>
          <w:p w14:paraId="410243D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年产气</w:t>
            </w:r>
            <w:r>
              <w:rPr>
                <w:color w:val="000000" w:themeColor="text1"/>
                <w14:textFill>
                  <w14:solidFill>
                    <w14:schemeClr w14:val="tx1"/>
                  </w14:solidFill>
                </w14:textFill>
              </w:rPr>
              <w:br w:type="textWrapping"/>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m³）</w:t>
            </w:r>
          </w:p>
        </w:tc>
        <w:tc>
          <w:tcPr>
            <w:tcW w:w="641" w:type="pct"/>
            <w:tcMar>
              <w:top w:w="12" w:type="dxa"/>
              <w:left w:w="12" w:type="dxa"/>
              <w:right w:w="12" w:type="dxa"/>
            </w:tcMar>
            <w:vAlign w:val="center"/>
          </w:tcPr>
          <w:p w14:paraId="0EF1B59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累产油（104t）</w:t>
            </w:r>
          </w:p>
        </w:tc>
        <w:tc>
          <w:tcPr>
            <w:tcW w:w="660" w:type="pct"/>
            <w:tcMar>
              <w:top w:w="12" w:type="dxa"/>
              <w:left w:w="12" w:type="dxa"/>
              <w:right w:w="12" w:type="dxa"/>
            </w:tcMar>
            <w:vAlign w:val="center"/>
          </w:tcPr>
          <w:p w14:paraId="69D0794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累产液</w:t>
            </w:r>
          </w:p>
          <w:p w14:paraId="7DC9C3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p>
        </w:tc>
        <w:tc>
          <w:tcPr>
            <w:tcW w:w="677" w:type="pct"/>
            <w:tcMar>
              <w:top w:w="12" w:type="dxa"/>
              <w:left w:w="12" w:type="dxa"/>
              <w:right w:w="12" w:type="dxa"/>
            </w:tcMar>
            <w:vAlign w:val="center"/>
          </w:tcPr>
          <w:p w14:paraId="404BD7C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累产气</w:t>
            </w:r>
            <w:r>
              <w:rPr>
                <w:color w:val="000000" w:themeColor="text1"/>
                <w14:textFill>
                  <w14:solidFill>
                    <w14:schemeClr w14:val="tx1"/>
                  </w14:solidFill>
                </w14:textFill>
              </w:rPr>
              <w:br w:type="textWrapping"/>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m³）</w:t>
            </w:r>
          </w:p>
        </w:tc>
        <w:tc>
          <w:tcPr>
            <w:tcW w:w="610" w:type="pct"/>
            <w:tcMar>
              <w:top w:w="12" w:type="dxa"/>
              <w:left w:w="12" w:type="dxa"/>
              <w:right w:w="12" w:type="dxa"/>
            </w:tcMar>
            <w:vAlign w:val="center"/>
          </w:tcPr>
          <w:p w14:paraId="38A0FCD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采出程度</w:t>
            </w:r>
          </w:p>
          <w:p w14:paraId="1310123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2BA11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4510CBC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2026</w:t>
            </w:r>
          </w:p>
        </w:tc>
        <w:tc>
          <w:tcPr>
            <w:tcW w:w="572" w:type="pct"/>
            <w:tcMar>
              <w:top w:w="12" w:type="dxa"/>
              <w:left w:w="12" w:type="dxa"/>
              <w:right w:w="12" w:type="dxa"/>
            </w:tcMar>
            <w:vAlign w:val="center"/>
          </w:tcPr>
          <w:p w14:paraId="3067172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641" w:type="pct"/>
            <w:tcMar>
              <w:top w:w="12" w:type="dxa"/>
              <w:left w:w="12" w:type="dxa"/>
              <w:right w:w="12" w:type="dxa"/>
            </w:tcMar>
            <w:vAlign w:val="center"/>
          </w:tcPr>
          <w:p w14:paraId="7DF0A01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0.06 </w:t>
            </w:r>
          </w:p>
        </w:tc>
        <w:tc>
          <w:tcPr>
            <w:tcW w:w="677" w:type="pct"/>
            <w:tcMar>
              <w:top w:w="12" w:type="dxa"/>
              <w:left w:w="12" w:type="dxa"/>
              <w:right w:w="12" w:type="dxa"/>
            </w:tcMar>
            <w:vAlign w:val="center"/>
          </w:tcPr>
          <w:p w14:paraId="133A798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41" w:type="pct"/>
            <w:tcMar>
              <w:top w:w="12" w:type="dxa"/>
              <w:left w:w="12" w:type="dxa"/>
              <w:right w:w="12" w:type="dxa"/>
            </w:tcMar>
            <w:vAlign w:val="center"/>
          </w:tcPr>
          <w:p w14:paraId="455534E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660" w:type="pct"/>
            <w:tcMar>
              <w:top w:w="12" w:type="dxa"/>
              <w:left w:w="12" w:type="dxa"/>
              <w:right w:w="12" w:type="dxa"/>
            </w:tcMar>
            <w:vAlign w:val="center"/>
          </w:tcPr>
          <w:p w14:paraId="70DAEA8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0.06 </w:t>
            </w:r>
          </w:p>
        </w:tc>
        <w:tc>
          <w:tcPr>
            <w:tcW w:w="677" w:type="pct"/>
            <w:tcMar>
              <w:top w:w="12" w:type="dxa"/>
              <w:left w:w="12" w:type="dxa"/>
              <w:right w:w="12" w:type="dxa"/>
            </w:tcMar>
            <w:vAlign w:val="center"/>
          </w:tcPr>
          <w:p w14:paraId="1964969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0.68</w:t>
            </w:r>
          </w:p>
        </w:tc>
        <w:tc>
          <w:tcPr>
            <w:tcW w:w="610" w:type="pct"/>
            <w:tcMar>
              <w:top w:w="12" w:type="dxa"/>
              <w:left w:w="12" w:type="dxa"/>
              <w:right w:w="12" w:type="dxa"/>
            </w:tcMar>
            <w:vAlign w:val="center"/>
          </w:tcPr>
          <w:p w14:paraId="42F0D17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0.72 </w:t>
            </w:r>
          </w:p>
        </w:tc>
      </w:tr>
      <w:tr w14:paraId="19A9B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5D84816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2027</w:t>
            </w:r>
          </w:p>
        </w:tc>
        <w:tc>
          <w:tcPr>
            <w:tcW w:w="572" w:type="pct"/>
            <w:tcMar>
              <w:top w:w="12" w:type="dxa"/>
              <w:left w:w="12" w:type="dxa"/>
              <w:right w:w="12" w:type="dxa"/>
            </w:tcMar>
            <w:vAlign w:val="center"/>
          </w:tcPr>
          <w:p w14:paraId="3F65C82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0.09 </w:t>
            </w:r>
          </w:p>
        </w:tc>
        <w:tc>
          <w:tcPr>
            <w:tcW w:w="641" w:type="pct"/>
            <w:tcMar>
              <w:top w:w="12" w:type="dxa"/>
              <w:left w:w="12" w:type="dxa"/>
              <w:right w:w="12" w:type="dxa"/>
            </w:tcMar>
            <w:vAlign w:val="center"/>
          </w:tcPr>
          <w:p w14:paraId="3EBD4C2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0.41 </w:t>
            </w:r>
          </w:p>
        </w:tc>
        <w:tc>
          <w:tcPr>
            <w:tcW w:w="677" w:type="pct"/>
            <w:tcMar>
              <w:top w:w="12" w:type="dxa"/>
              <w:left w:w="12" w:type="dxa"/>
              <w:right w:w="12" w:type="dxa"/>
            </w:tcMar>
            <w:vAlign w:val="center"/>
          </w:tcPr>
          <w:p w14:paraId="7F202E6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3.06 </w:t>
            </w:r>
          </w:p>
        </w:tc>
        <w:tc>
          <w:tcPr>
            <w:tcW w:w="641" w:type="pct"/>
            <w:tcMar>
              <w:top w:w="12" w:type="dxa"/>
              <w:left w:w="12" w:type="dxa"/>
              <w:right w:w="12" w:type="dxa"/>
            </w:tcMar>
            <w:vAlign w:val="center"/>
          </w:tcPr>
          <w:p w14:paraId="10A1911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0.11 </w:t>
            </w:r>
          </w:p>
        </w:tc>
        <w:tc>
          <w:tcPr>
            <w:tcW w:w="660" w:type="pct"/>
            <w:tcMar>
              <w:top w:w="12" w:type="dxa"/>
              <w:left w:w="12" w:type="dxa"/>
              <w:right w:w="12" w:type="dxa"/>
            </w:tcMar>
            <w:vAlign w:val="center"/>
          </w:tcPr>
          <w:p w14:paraId="21471D0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0.46 </w:t>
            </w:r>
          </w:p>
        </w:tc>
        <w:tc>
          <w:tcPr>
            <w:tcW w:w="677" w:type="pct"/>
            <w:tcMar>
              <w:top w:w="12" w:type="dxa"/>
              <w:left w:w="12" w:type="dxa"/>
              <w:right w:w="12" w:type="dxa"/>
            </w:tcMar>
            <w:vAlign w:val="center"/>
          </w:tcPr>
          <w:p w14:paraId="403280C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3.74 </w:t>
            </w:r>
          </w:p>
        </w:tc>
        <w:tc>
          <w:tcPr>
            <w:tcW w:w="610" w:type="pct"/>
            <w:tcMar>
              <w:top w:w="12" w:type="dxa"/>
              <w:left w:w="12" w:type="dxa"/>
              <w:right w:w="12" w:type="dxa"/>
            </w:tcMar>
            <w:vAlign w:val="center"/>
          </w:tcPr>
          <w:p w14:paraId="6C83DC5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3.51 </w:t>
            </w:r>
          </w:p>
        </w:tc>
      </w:tr>
      <w:tr w14:paraId="3F524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1EB22C9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2028</w:t>
            </w:r>
          </w:p>
        </w:tc>
        <w:tc>
          <w:tcPr>
            <w:tcW w:w="572" w:type="pct"/>
            <w:tcMar>
              <w:top w:w="12" w:type="dxa"/>
              <w:left w:w="12" w:type="dxa"/>
              <w:right w:w="12" w:type="dxa"/>
            </w:tcMar>
            <w:vAlign w:val="center"/>
          </w:tcPr>
          <w:p w14:paraId="346444E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0.08 </w:t>
            </w:r>
          </w:p>
        </w:tc>
        <w:tc>
          <w:tcPr>
            <w:tcW w:w="641" w:type="pct"/>
            <w:tcMar>
              <w:top w:w="12" w:type="dxa"/>
              <w:left w:w="12" w:type="dxa"/>
              <w:right w:w="12" w:type="dxa"/>
            </w:tcMar>
            <w:vAlign w:val="center"/>
          </w:tcPr>
          <w:p w14:paraId="05B48C1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77" w:type="pct"/>
            <w:tcMar>
              <w:top w:w="12" w:type="dxa"/>
              <w:left w:w="12" w:type="dxa"/>
              <w:right w:w="12" w:type="dxa"/>
            </w:tcMar>
            <w:vAlign w:val="center"/>
          </w:tcPr>
          <w:p w14:paraId="7A701CD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2.72 </w:t>
            </w:r>
          </w:p>
        </w:tc>
        <w:tc>
          <w:tcPr>
            <w:tcW w:w="641" w:type="pct"/>
            <w:tcMar>
              <w:top w:w="12" w:type="dxa"/>
              <w:left w:w="12" w:type="dxa"/>
              <w:right w:w="12" w:type="dxa"/>
            </w:tcMar>
            <w:vAlign w:val="center"/>
          </w:tcPr>
          <w:p w14:paraId="3A0F119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0.19 </w:t>
            </w:r>
          </w:p>
        </w:tc>
        <w:tc>
          <w:tcPr>
            <w:tcW w:w="660" w:type="pct"/>
            <w:tcMar>
              <w:top w:w="12" w:type="dxa"/>
              <w:left w:w="12" w:type="dxa"/>
              <w:right w:w="12" w:type="dxa"/>
            </w:tcMar>
            <w:vAlign w:val="center"/>
          </w:tcPr>
          <w:p w14:paraId="6F228B3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1.14 </w:t>
            </w:r>
          </w:p>
        </w:tc>
        <w:tc>
          <w:tcPr>
            <w:tcW w:w="677" w:type="pct"/>
            <w:tcMar>
              <w:top w:w="12" w:type="dxa"/>
              <w:left w:w="12" w:type="dxa"/>
              <w:right w:w="12" w:type="dxa"/>
            </w:tcMar>
            <w:vAlign w:val="center"/>
          </w:tcPr>
          <w:p w14:paraId="1B43DA7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6.46 </w:t>
            </w:r>
          </w:p>
        </w:tc>
        <w:tc>
          <w:tcPr>
            <w:tcW w:w="610" w:type="pct"/>
            <w:tcMar>
              <w:top w:w="12" w:type="dxa"/>
              <w:left w:w="12" w:type="dxa"/>
              <w:right w:w="12" w:type="dxa"/>
            </w:tcMar>
            <w:vAlign w:val="center"/>
          </w:tcPr>
          <w:p w14:paraId="1521735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5.88 </w:t>
            </w:r>
          </w:p>
        </w:tc>
      </w:tr>
      <w:tr w14:paraId="669CC7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5224F89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2029</w:t>
            </w:r>
          </w:p>
        </w:tc>
        <w:tc>
          <w:tcPr>
            <w:tcW w:w="572" w:type="pct"/>
            <w:tcMar>
              <w:top w:w="12" w:type="dxa"/>
              <w:left w:w="12" w:type="dxa"/>
              <w:right w:w="12" w:type="dxa"/>
            </w:tcMar>
            <w:vAlign w:val="center"/>
          </w:tcPr>
          <w:p w14:paraId="6F613CC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0.07 </w:t>
            </w:r>
          </w:p>
        </w:tc>
        <w:tc>
          <w:tcPr>
            <w:tcW w:w="641" w:type="pct"/>
            <w:tcMar>
              <w:top w:w="12" w:type="dxa"/>
              <w:left w:w="12" w:type="dxa"/>
              <w:right w:w="12" w:type="dxa"/>
            </w:tcMar>
            <w:vAlign w:val="center"/>
          </w:tcPr>
          <w:p w14:paraId="00647CA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0.65 </w:t>
            </w:r>
          </w:p>
        </w:tc>
        <w:tc>
          <w:tcPr>
            <w:tcW w:w="677" w:type="pct"/>
            <w:tcMar>
              <w:top w:w="12" w:type="dxa"/>
              <w:left w:w="12" w:type="dxa"/>
              <w:right w:w="12" w:type="dxa"/>
            </w:tcMar>
            <w:vAlign w:val="center"/>
          </w:tcPr>
          <w:p w14:paraId="2A0FB41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2.38 </w:t>
            </w:r>
          </w:p>
        </w:tc>
        <w:tc>
          <w:tcPr>
            <w:tcW w:w="641" w:type="pct"/>
            <w:tcMar>
              <w:top w:w="12" w:type="dxa"/>
              <w:left w:w="12" w:type="dxa"/>
              <w:right w:w="12" w:type="dxa"/>
            </w:tcMar>
            <w:vAlign w:val="center"/>
          </w:tcPr>
          <w:p w14:paraId="377DB06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0.25 </w:t>
            </w:r>
          </w:p>
        </w:tc>
        <w:tc>
          <w:tcPr>
            <w:tcW w:w="660" w:type="pct"/>
            <w:tcMar>
              <w:top w:w="12" w:type="dxa"/>
              <w:left w:w="12" w:type="dxa"/>
              <w:right w:w="12" w:type="dxa"/>
            </w:tcMar>
            <w:vAlign w:val="center"/>
          </w:tcPr>
          <w:p w14:paraId="6BE4340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1.79 </w:t>
            </w:r>
          </w:p>
        </w:tc>
        <w:tc>
          <w:tcPr>
            <w:tcW w:w="677" w:type="pct"/>
            <w:tcMar>
              <w:top w:w="12" w:type="dxa"/>
              <w:left w:w="12" w:type="dxa"/>
              <w:right w:w="12" w:type="dxa"/>
            </w:tcMar>
            <w:vAlign w:val="center"/>
          </w:tcPr>
          <w:p w14:paraId="2CADED7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8.84 </w:t>
            </w:r>
          </w:p>
        </w:tc>
        <w:tc>
          <w:tcPr>
            <w:tcW w:w="610" w:type="pct"/>
            <w:tcMar>
              <w:top w:w="12" w:type="dxa"/>
              <w:left w:w="12" w:type="dxa"/>
              <w:right w:w="12" w:type="dxa"/>
            </w:tcMar>
            <w:vAlign w:val="center"/>
          </w:tcPr>
          <w:p w14:paraId="277C4CD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7.89 </w:t>
            </w:r>
          </w:p>
        </w:tc>
      </w:tr>
      <w:tr w14:paraId="0D6D8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278CE34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2030</w:t>
            </w:r>
          </w:p>
        </w:tc>
        <w:tc>
          <w:tcPr>
            <w:tcW w:w="572" w:type="pct"/>
            <w:tcMar>
              <w:top w:w="12" w:type="dxa"/>
              <w:left w:w="12" w:type="dxa"/>
              <w:right w:w="12" w:type="dxa"/>
            </w:tcMar>
            <w:vAlign w:val="center"/>
          </w:tcPr>
          <w:p w14:paraId="62F75B4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0.06 </w:t>
            </w:r>
          </w:p>
        </w:tc>
        <w:tc>
          <w:tcPr>
            <w:tcW w:w="641" w:type="pct"/>
            <w:tcMar>
              <w:top w:w="12" w:type="dxa"/>
              <w:left w:w="12" w:type="dxa"/>
              <w:right w:w="12" w:type="dxa"/>
            </w:tcMar>
            <w:vAlign w:val="center"/>
          </w:tcPr>
          <w:p w14:paraId="4674A54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0.62 </w:t>
            </w:r>
          </w:p>
        </w:tc>
        <w:tc>
          <w:tcPr>
            <w:tcW w:w="677" w:type="pct"/>
            <w:tcMar>
              <w:top w:w="12" w:type="dxa"/>
              <w:left w:w="12" w:type="dxa"/>
              <w:right w:w="12" w:type="dxa"/>
            </w:tcMar>
            <w:vAlign w:val="center"/>
          </w:tcPr>
          <w:p w14:paraId="03F483E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2.04 </w:t>
            </w:r>
          </w:p>
        </w:tc>
        <w:tc>
          <w:tcPr>
            <w:tcW w:w="641" w:type="pct"/>
            <w:tcMar>
              <w:top w:w="12" w:type="dxa"/>
              <w:left w:w="12" w:type="dxa"/>
              <w:right w:w="12" w:type="dxa"/>
            </w:tcMar>
            <w:vAlign w:val="center"/>
          </w:tcPr>
          <w:p w14:paraId="567443B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0.31 </w:t>
            </w:r>
          </w:p>
        </w:tc>
        <w:tc>
          <w:tcPr>
            <w:tcW w:w="660" w:type="pct"/>
            <w:tcMar>
              <w:top w:w="12" w:type="dxa"/>
              <w:left w:w="12" w:type="dxa"/>
              <w:right w:w="12" w:type="dxa"/>
            </w:tcMar>
            <w:vAlign w:val="center"/>
          </w:tcPr>
          <w:p w14:paraId="4556189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2.41 </w:t>
            </w:r>
          </w:p>
        </w:tc>
        <w:tc>
          <w:tcPr>
            <w:tcW w:w="677" w:type="pct"/>
            <w:tcMar>
              <w:top w:w="12" w:type="dxa"/>
              <w:left w:w="12" w:type="dxa"/>
              <w:right w:w="12" w:type="dxa"/>
            </w:tcMar>
            <w:vAlign w:val="center"/>
          </w:tcPr>
          <w:p w14:paraId="12FB698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10.88 </w:t>
            </w:r>
          </w:p>
        </w:tc>
        <w:tc>
          <w:tcPr>
            <w:tcW w:w="610" w:type="pct"/>
            <w:tcMar>
              <w:top w:w="12" w:type="dxa"/>
              <w:left w:w="12" w:type="dxa"/>
              <w:right w:w="12" w:type="dxa"/>
            </w:tcMar>
            <w:vAlign w:val="center"/>
          </w:tcPr>
          <w:p w14:paraId="520B0FE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9.60 </w:t>
            </w:r>
          </w:p>
        </w:tc>
      </w:tr>
      <w:tr w14:paraId="14B7A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3DE4D22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2031</w:t>
            </w:r>
          </w:p>
        </w:tc>
        <w:tc>
          <w:tcPr>
            <w:tcW w:w="572" w:type="pct"/>
            <w:tcMar>
              <w:top w:w="12" w:type="dxa"/>
              <w:left w:w="12" w:type="dxa"/>
              <w:right w:w="12" w:type="dxa"/>
            </w:tcMar>
            <w:vAlign w:val="center"/>
          </w:tcPr>
          <w:p w14:paraId="0E5EF69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0.05 </w:t>
            </w:r>
          </w:p>
        </w:tc>
        <w:tc>
          <w:tcPr>
            <w:tcW w:w="641" w:type="pct"/>
            <w:tcMar>
              <w:top w:w="12" w:type="dxa"/>
              <w:left w:w="12" w:type="dxa"/>
              <w:right w:w="12" w:type="dxa"/>
            </w:tcMar>
            <w:vAlign w:val="center"/>
          </w:tcPr>
          <w:p w14:paraId="6C27B3B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0.64 </w:t>
            </w:r>
          </w:p>
        </w:tc>
        <w:tc>
          <w:tcPr>
            <w:tcW w:w="677" w:type="pct"/>
            <w:tcMar>
              <w:top w:w="12" w:type="dxa"/>
              <w:left w:w="12" w:type="dxa"/>
              <w:right w:w="12" w:type="dxa"/>
            </w:tcMar>
            <w:vAlign w:val="center"/>
          </w:tcPr>
          <w:p w14:paraId="4A261C5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1.70 </w:t>
            </w:r>
          </w:p>
        </w:tc>
        <w:tc>
          <w:tcPr>
            <w:tcW w:w="641" w:type="pct"/>
            <w:tcMar>
              <w:top w:w="12" w:type="dxa"/>
              <w:left w:w="12" w:type="dxa"/>
              <w:right w:w="12" w:type="dxa"/>
            </w:tcMar>
            <w:vAlign w:val="center"/>
          </w:tcPr>
          <w:p w14:paraId="3319291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0.36 </w:t>
            </w:r>
          </w:p>
        </w:tc>
        <w:tc>
          <w:tcPr>
            <w:tcW w:w="660" w:type="pct"/>
            <w:tcMar>
              <w:top w:w="12" w:type="dxa"/>
              <w:left w:w="12" w:type="dxa"/>
              <w:right w:w="12" w:type="dxa"/>
            </w:tcMar>
            <w:vAlign w:val="center"/>
          </w:tcPr>
          <w:p w14:paraId="674B27A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3.05 </w:t>
            </w:r>
          </w:p>
        </w:tc>
        <w:tc>
          <w:tcPr>
            <w:tcW w:w="677" w:type="pct"/>
            <w:tcMar>
              <w:top w:w="12" w:type="dxa"/>
              <w:left w:w="12" w:type="dxa"/>
              <w:right w:w="12" w:type="dxa"/>
            </w:tcMar>
            <w:vAlign w:val="center"/>
          </w:tcPr>
          <w:p w14:paraId="493C537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12.58 </w:t>
            </w:r>
          </w:p>
        </w:tc>
        <w:tc>
          <w:tcPr>
            <w:tcW w:w="610" w:type="pct"/>
            <w:tcMar>
              <w:top w:w="12" w:type="dxa"/>
              <w:left w:w="12" w:type="dxa"/>
              <w:right w:w="12" w:type="dxa"/>
            </w:tcMar>
            <w:vAlign w:val="center"/>
          </w:tcPr>
          <w:p w14:paraId="2A5B898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11.06 </w:t>
            </w:r>
          </w:p>
        </w:tc>
      </w:tr>
      <w:tr w14:paraId="2B29F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6560932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2032</w:t>
            </w:r>
          </w:p>
        </w:tc>
        <w:tc>
          <w:tcPr>
            <w:tcW w:w="572" w:type="pct"/>
            <w:tcMar>
              <w:top w:w="12" w:type="dxa"/>
              <w:left w:w="12" w:type="dxa"/>
              <w:right w:w="12" w:type="dxa"/>
            </w:tcMar>
            <w:vAlign w:val="center"/>
          </w:tcPr>
          <w:p w14:paraId="44F9CF9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0.04 </w:t>
            </w:r>
          </w:p>
        </w:tc>
        <w:tc>
          <w:tcPr>
            <w:tcW w:w="641" w:type="pct"/>
            <w:tcMar>
              <w:top w:w="12" w:type="dxa"/>
              <w:left w:w="12" w:type="dxa"/>
              <w:right w:w="12" w:type="dxa"/>
            </w:tcMar>
            <w:vAlign w:val="center"/>
          </w:tcPr>
          <w:p w14:paraId="3E9D322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0.62 </w:t>
            </w:r>
          </w:p>
        </w:tc>
        <w:tc>
          <w:tcPr>
            <w:tcW w:w="677" w:type="pct"/>
            <w:tcMar>
              <w:top w:w="12" w:type="dxa"/>
              <w:left w:w="12" w:type="dxa"/>
              <w:right w:w="12" w:type="dxa"/>
            </w:tcMar>
            <w:vAlign w:val="center"/>
          </w:tcPr>
          <w:p w14:paraId="2F994C9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1.36 </w:t>
            </w:r>
          </w:p>
        </w:tc>
        <w:tc>
          <w:tcPr>
            <w:tcW w:w="641" w:type="pct"/>
            <w:tcMar>
              <w:top w:w="12" w:type="dxa"/>
              <w:left w:w="12" w:type="dxa"/>
              <w:right w:w="12" w:type="dxa"/>
            </w:tcMar>
            <w:vAlign w:val="center"/>
          </w:tcPr>
          <w:p w14:paraId="271C41E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0.40 </w:t>
            </w:r>
          </w:p>
        </w:tc>
        <w:tc>
          <w:tcPr>
            <w:tcW w:w="660" w:type="pct"/>
            <w:tcMar>
              <w:top w:w="12" w:type="dxa"/>
              <w:left w:w="12" w:type="dxa"/>
              <w:right w:w="12" w:type="dxa"/>
            </w:tcMar>
            <w:vAlign w:val="center"/>
          </w:tcPr>
          <w:p w14:paraId="021A11B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3.67 </w:t>
            </w:r>
          </w:p>
        </w:tc>
        <w:tc>
          <w:tcPr>
            <w:tcW w:w="677" w:type="pct"/>
            <w:tcMar>
              <w:top w:w="12" w:type="dxa"/>
              <w:left w:w="12" w:type="dxa"/>
              <w:right w:w="12" w:type="dxa"/>
            </w:tcMar>
            <w:vAlign w:val="center"/>
          </w:tcPr>
          <w:p w14:paraId="3D26738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13.94 </w:t>
            </w:r>
          </w:p>
        </w:tc>
        <w:tc>
          <w:tcPr>
            <w:tcW w:w="610" w:type="pct"/>
            <w:tcMar>
              <w:top w:w="12" w:type="dxa"/>
              <w:left w:w="12" w:type="dxa"/>
              <w:right w:w="12" w:type="dxa"/>
            </w:tcMar>
            <w:vAlign w:val="center"/>
          </w:tcPr>
          <w:p w14:paraId="072B821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12.29 </w:t>
            </w:r>
          </w:p>
        </w:tc>
      </w:tr>
      <w:tr w14:paraId="3B965E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03F2F51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2033</w:t>
            </w:r>
          </w:p>
        </w:tc>
        <w:tc>
          <w:tcPr>
            <w:tcW w:w="572" w:type="pct"/>
            <w:tcMar>
              <w:top w:w="12" w:type="dxa"/>
              <w:left w:w="12" w:type="dxa"/>
              <w:right w:w="12" w:type="dxa"/>
            </w:tcMar>
            <w:vAlign w:val="center"/>
          </w:tcPr>
          <w:p w14:paraId="1AB1F53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0.03 </w:t>
            </w:r>
          </w:p>
        </w:tc>
        <w:tc>
          <w:tcPr>
            <w:tcW w:w="641" w:type="pct"/>
            <w:tcMar>
              <w:top w:w="12" w:type="dxa"/>
              <w:left w:w="12" w:type="dxa"/>
              <w:right w:w="12" w:type="dxa"/>
            </w:tcMar>
            <w:vAlign w:val="center"/>
          </w:tcPr>
          <w:p w14:paraId="3817E6E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0.63 </w:t>
            </w:r>
          </w:p>
        </w:tc>
        <w:tc>
          <w:tcPr>
            <w:tcW w:w="677" w:type="pct"/>
            <w:tcMar>
              <w:top w:w="12" w:type="dxa"/>
              <w:left w:w="12" w:type="dxa"/>
              <w:right w:w="12" w:type="dxa"/>
            </w:tcMar>
            <w:vAlign w:val="center"/>
          </w:tcPr>
          <w:p w14:paraId="0801720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1.02 </w:t>
            </w:r>
          </w:p>
        </w:tc>
        <w:tc>
          <w:tcPr>
            <w:tcW w:w="641" w:type="pct"/>
            <w:tcMar>
              <w:top w:w="12" w:type="dxa"/>
              <w:left w:w="12" w:type="dxa"/>
              <w:right w:w="12" w:type="dxa"/>
            </w:tcMar>
            <w:vAlign w:val="center"/>
          </w:tcPr>
          <w:p w14:paraId="3A7F342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0.43 </w:t>
            </w:r>
          </w:p>
        </w:tc>
        <w:tc>
          <w:tcPr>
            <w:tcW w:w="660" w:type="pct"/>
            <w:tcMar>
              <w:top w:w="12" w:type="dxa"/>
              <w:left w:w="12" w:type="dxa"/>
              <w:right w:w="12" w:type="dxa"/>
            </w:tcMar>
            <w:vAlign w:val="center"/>
          </w:tcPr>
          <w:p w14:paraId="3D019BC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4.31 </w:t>
            </w:r>
          </w:p>
        </w:tc>
        <w:tc>
          <w:tcPr>
            <w:tcW w:w="677" w:type="pct"/>
            <w:tcMar>
              <w:top w:w="12" w:type="dxa"/>
              <w:left w:w="12" w:type="dxa"/>
              <w:right w:w="12" w:type="dxa"/>
            </w:tcMar>
            <w:vAlign w:val="center"/>
          </w:tcPr>
          <w:p w14:paraId="01C3188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14.96 </w:t>
            </w:r>
          </w:p>
        </w:tc>
        <w:tc>
          <w:tcPr>
            <w:tcW w:w="610" w:type="pct"/>
            <w:tcMar>
              <w:top w:w="12" w:type="dxa"/>
              <w:left w:w="12" w:type="dxa"/>
              <w:right w:w="12" w:type="dxa"/>
            </w:tcMar>
            <w:vAlign w:val="center"/>
          </w:tcPr>
          <w:p w14:paraId="34910C6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13.35 </w:t>
            </w:r>
          </w:p>
        </w:tc>
      </w:tr>
      <w:tr w14:paraId="24360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12A51E9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2034</w:t>
            </w:r>
          </w:p>
        </w:tc>
        <w:tc>
          <w:tcPr>
            <w:tcW w:w="572" w:type="pct"/>
            <w:tcMar>
              <w:top w:w="12" w:type="dxa"/>
              <w:left w:w="12" w:type="dxa"/>
              <w:right w:w="12" w:type="dxa"/>
            </w:tcMar>
            <w:vAlign w:val="center"/>
          </w:tcPr>
          <w:p w14:paraId="6393F04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0.03 </w:t>
            </w:r>
          </w:p>
        </w:tc>
        <w:tc>
          <w:tcPr>
            <w:tcW w:w="641" w:type="pct"/>
            <w:tcMar>
              <w:top w:w="12" w:type="dxa"/>
              <w:left w:w="12" w:type="dxa"/>
              <w:right w:w="12" w:type="dxa"/>
            </w:tcMar>
            <w:vAlign w:val="center"/>
          </w:tcPr>
          <w:p w14:paraId="3D74E68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0.67 </w:t>
            </w:r>
          </w:p>
        </w:tc>
        <w:tc>
          <w:tcPr>
            <w:tcW w:w="677" w:type="pct"/>
            <w:tcMar>
              <w:top w:w="12" w:type="dxa"/>
              <w:left w:w="12" w:type="dxa"/>
              <w:right w:w="12" w:type="dxa"/>
            </w:tcMar>
            <w:vAlign w:val="center"/>
          </w:tcPr>
          <w:p w14:paraId="48BD692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1.02 </w:t>
            </w:r>
          </w:p>
        </w:tc>
        <w:tc>
          <w:tcPr>
            <w:tcW w:w="641" w:type="pct"/>
            <w:tcMar>
              <w:top w:w="12" w:type="dxa"/>
              <w:left w:w="12" w:type="dxa"/>
              <w:right w:w="12" w:type="dxa"/>
            </w:tcMar>
            <w:vAlign w:val="center"/>
          </w:tcPr>
          <w:p w14:paraId="2577739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0.46 </w:t>
            </w:r>
          </w:p>
        </w:tc>
        <w:tc>
          <w:tcPr>
            <w:tcW w:w="660" w:type="pct"/>
            <w:tcMar>
              <w:top w:w="12" w:type="dxa"/>
              <w:left w:w="12" w:type="dxa"/>
              <w:right w:w="12" w:type="dxa"/>
            </w:tcMar>
            <w:vAlign w:val="center"/>
          </w:tcPr>
          <w:p w14:paraId="7299C50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4.98 </w:t>
            </w:r>
          </w:p>
        </w:tc>
        <w:tc>
          <w:tcPr>
            <w:tcW w:w="677" w:type="pct"/>
            <w:tcMar>
              <w:top w:w="12" w:type="dxa"/>
              <w:left w:w="12" w:type="dxa"/>
              <w:right w:w="12" w:type="dxa"/>
            </w:tcMar>
            <w:vAlign w:val="center"/>
          </w:tcPr>
          <w:p w14:paraId="1027F28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15.98 </w:t>
            </w:r>
          </w:p>
        </w:tc>
        <w:tc>
          <w:tcPr>
            <w:tcW w:w="610" w:type="pct"/>
            <w:tcMar>
              <w:top w:w="12" w:type="dxa"/>
              <w:left w:w="12" w:type="dxa"/>
              <w:right w:w="12" w:type="dxa"/>
            </w:tcMar>
            <w:vAlign w:val="center"/>
          </w:tcPr>
          <w:p w14:paraId="679041B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14.24 </w:t>
            </w:r>
          </w:p>
        </w:tc>
      </w:tr>
      <w:tr w14:paraId="00C05C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47077CC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2035</w:t>
            </w:r>
          </w:p>
        </w:tc>
        <w:tc>
          <w:tcPr>
            <w:tcW w:w="572" w:type="pct"/>
            <w:tcMar>
              <w:top w:w="12" w:type="dxa"/>
              <w:left w:w="12" w:type="dxa"/>
              <w:right w:w="12" w:type="dxa"/>
            </w:tcMar>
            <w:vAlign w:val="center"/>
          </w:tcPr>
          <w:p w14:paraId="054B3AE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641" w:type="pct"/>
            <w:tcMar>
              <w:top w:w="12" w:type="dxa"/>
              <w:left w:w="12" w:type="dxa"/>
              <w:right w:w="12" w:type="dxa"/>
            </w:tcMar>
            <w:vAlign w:val="center"/>
          </w:tcPr>
          <w:p w14:paraId="321EC05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0.72 </w:t>
            </w:r>
          </w:p>
        </w:tc>
        <w:tc>
          <w:tcPr>
            <w:tcW w:w="677" w:type="pct"/>
            <w:tcMar>
              <w:top w:w="12" w:type="dxa"/>
              <w:left w:w="12" w:type="dxa"/>
              <w:right w:w="12" w:type="dxa"/>
            </w:tcMar>
            <w:vAlign w:val="center"/>
          </w:tcPr>
          <w:p w14:paraId="60C604C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41" w:type="pct"/>
            <w:tcMar>
              <w:top w:w="12" w:type="dxa"/>
              <w:left w:w="12" w:type="dxa"/>
              <w:right w:w="12" w:type="dxa"/>
            </w:tcMar>
            <w:vAlign w:val="center"/>
          </w:tcPr>
          <w:p w14:paraId="27B2161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0.48 </w:t>
            </w:r>
          </w:p>
        </w:tc>
        <w:tc>
          <w:tcPr>
            <w:tcW w:w="660" w:type="pct"/>
            <w:tcMar>
              <w:top w:w="12" w:type="dxa"/>
              <w:left w:w="12" w:type="dxa"/>
              <w:right w:w="12" w:type="dxa"/>
            </w:tcMar>
            <w:vAlign w:val="center"/>
          </w:tcPr>
          <w:p w14:paraId="76065B5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5.70 </w:t>
            </w:r>
          </w:p>
        </w:tc>
        <w:tc>
          <w:tcPr>
            <w:tcW w:w="677" w:type="pct"/>
            <w:tcMar>
              <w:top w:w="12" w:type="dxa"/>
              <w:left w:w="12" w:type="dxa"/>
              <w:right w:w="12" w:type="dxa"/>
            </w:tcMar>
            <w:vAlign w:val="center"/>
          </w:tcPr>
          <w:p w14:paraId="6CEB743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16.66 </w:t>
            </w:r>
          </w:p>
        </w:tc>
        <w:tc>
          <w:tcPr>
            <w:tcW w:w="610" w:type="pct"/>
            <w:tcMar>
              <w:top w:w="12" w:type="dxa"/>
              <w:left w:w="12" w:type="dxa"/>
              <w:right w:w="12" w:type="dxa"/>
            </w:tcMar>
            <w:vAlign w:val="center"/>
          </w:tcPr>
          <w:p w14:paraId="1FD6712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15.00 </w:t>
            </w:r>
          </w:p>
        </w:tc>
      </w:tr>
      <w:tr w14:paraId="1935DA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6EBAF0C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2036</w:t>
            </w:r>
          </w:p>
        </w:tc>
        <w:tc>
          <w:tcPr>
            <w:tcW w:w="572" w:type="pct"/>
            <w:tcMar>
              <w:top w:w="12" w:type="dxa"/>
              <w:left w:w="12" w:type="dxa"/>
              <w:right w:w="12" w:type="dxa"/>
            </w:tcMar>
            <w:vAlign w:val="center"/>
          </w:tcPr>
          <w:p w14:paraId="14B3F0F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641" w:type="pct"/>
            <w:tcMar>
              <w:top w:w="12" w:type="dxa"/>
              <w:left w:w="12" w:type="dxa"/>
              <w:right w:w="12" w:type="dxa"/>
            </w:tcMar>
            <w:vAlign w:val="center"/>
          </w:tcPr>
          <w:p w14:paraId="562FFDA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0.80 </w:t>
            </w:r>
          </w:p>
        </w:tc>
        <w:tc>
          <w:tcPr>
            <w:tcW w:w="677" w:type="pct"/>
            <w:tcMar>
              <w:top w:w="12" w:type="dxa"/>
              <w:left w:w="12" w:type="dxa"/>
              <w:right w:w="12" w:type="dxa"/>
            </w:tcMar>
            <w:vAlign w:val="center"/>
          </w:tcPr>
          <w:p w14:paraId="0A24072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41" w:type="pct"/>
            <w:tcMar>
              <w:top w:w="12" w:type="dxa"/>
              <w:left w:w="12" w:type="dxa"/>
              <w:right w:w="12" w:type="dxa"/>
            </w:tcMar>
            <w:vAlign w:val="center"/>
          </w:tcPr>
          <w:p w14:paraId="23324DB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0.51 </w:t>
            </w:r>
          </w:p>
        </w:tc>
        <w:tc>
          <w:tcPr>
            <w:tcW w:w="660" w:type="pct"/>
            <w:tcMar>
              <w:top w:w="12" w:type="dxa"/>
              <w:left w:w="12" w:type="dxa"/>
              <w:right w:w="12" w:type="dxa"/>
            </w:tcMar>
            <w:vAlign w:val="center"/>
          </w:tcPr>
          <w:p w14:paraId="5BDB247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6.50 </w:t>
            </w:r>
          </w:p>
        </w:tc>
        <w:tc>
          <w:tcPr>
            <w:tcW w:w="677" w:type="pct"/>
            <w:tcMar>
              <w:top w:w="12" w:type="dxa"/>
              <w:left w:w="12" w:type="dxa"/>
              <w:right w:w="12" w:type="dxa"/>
            </w:tcMar>
            <w:vAlign w:val="center"/>
          </w:tcPr>
          <w:p w14:paraId="0112C6A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17.34 </w:t>
            </w:r>
          </w:p>
        </w:tc>
        <w:tc>
          <w:tcPr>
            <w:tcW w:w="610" w:type="pct"/>
            <w:tcMar>
              <w:top w:w="12" w:type="dxa"/>
              <w:left w:w="12" w:type="dxa"/>
              <w:right w:w="12" w:type="dxa"/>
            </w:tcMar>
            <w:vAlign w:val="center"/>
          </w:tcPr>
          <w:p w14:paraId="485C550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15.64 </w:t>
            </w:r>
          </w:p>
        </w:tc>
      </w:tr>
      <w:tr w14:paraId="270ED1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4216302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2037</w:t>
            </w:r>
          </w:p>
        </w:tc>
        <w:tc>
          <w:tcPr>
            <w:tcW w:w="572" w:type="pct"/>
            <w:tcMar>
              <w:top w:w="12" w:type="dxa"/>
              <w:left w:w="12" w:type="dxa"/>
              <w:right w:w="12" w:type="dxa"/>
            </w:tcMar>
            <w:vAlign w:val="center"/>
          </w:tcPr>
          <w:p w14:paraId="6841FC5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641" w:type="pct"/>
            <w:tcMar>
              <w:top w:w="12" w:type="dxa"/>
              <w:left w:w="12" w:type="dxa"/>
              <w:right w:w="12" w:type="dxa"/>
            </w:tcMar>
            <w:vAlign w:val="center"/>
          </w:tcPr>
          <w:p w14:paraId="4679997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0.85 </w:t>
            </w:r>
          </w:p>
        </w:tc>
        <w:tc>
          <w:tcPr>
            <w:tcW w:w="677" w:type="pct"/>
            <w:tcMar>
              <w:top w:w="12" w:type="dxa"/>
              <w:left w:w="12" w:type="dxa"/>
              <w:right w:w="12" w:type="dxa"/>
            </w:tcMar>
            <w:vAlign w:val="center"/>
          </w:tcPr>
          <w:p w14:paraId="4200AB7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41" w:type="pct"/>
            <w:tcMar>
              <w:top w:w="12" w:type="dxa"/>
              <w:left w:w="12" w:type="dxa"/>
              <w:right w:w="12" w:type="dxa"/>
            </w:tcMar>
            <w:vAlign w:val="center"/>
          </w:tcPr>
          <w:p w14:paraId="2EBDDFA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0.52 </w:t>
            </w:r>
          </w:p>
        </w:tc>
        <w:tc>
          <w:tcPr>
            <w:tcW w:w="660" w:type="pct"/>
            <w:tcMar>
              <w:top w:w="12" w:type="dxa"/>
              <w:left w:w="12" w:type="dxa"/>
              <w:right w:w="12" w:type="dxa"/>
            </w:tcMar>
            <w:vAlign w:val="center"/>
          </w:tcPr>
          <w:p w14:paraId="4539B5B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7.35 </w:t>
            </w:r>
          </w:p>
        </w:tc>
        <w:tc>
          <w:tcPr>
            <w:tcW w:w="677" w:type="pct"/>
            <w:tcMar>
              <w:top w:w="12" w:type="dxa"/>
              <w:left w:w="12" w:type="dxa"/>
              <w:right w:w="12" w:type="dxa"/>
            </w:tcMar>
            <w:vAlign w:val="center"/>
          </w:tcPr>
          <w:p w14:paraId="51FD72E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18.02 </w:t>
            </w:r>
          </w:p>
        </w:tc>
        <w:tc>
          <w:tcPr>
            <w:tcW w:w="610" w:type="pct"/>
            <w:tcMar>
              <w:top w:w="12" w:type="dxa"/>
              <w:left w:w="12" w:type="dxa"/>
              <w:right w:w="12" w:type="dxa"/>
            </w:tcMar>
            <w:vAlign w:val="center"/>
          </w:tcPr>
          <w:p w14:paraId="032E6CC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16.19 </w:t>
            </w:r>
          </w:p>
        </w:tc>
      </w:tr>
      <w:tr w14:paraId="6C7C0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7E7E536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2038</w:t>
            </w:r>
          </w:p>
        </w:tc>
        <w:tc>
          <w:tcPr>
            <w:tcW w:w="572" w:type="pct"/>
            <w:tcMar>
              <w:top w:w="12" w:type="dxa"/>
              <w:left w:w="12" w:type="dxa"/>
              <w:right w:w="12" w:type="dxa"/>
            </w:tcMar>
            <w:vAlign w:val="center"/>
          </w:tcPr>
          <w:p w14:paraId="4F51738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0.02 </w:t>
            </w:r>
          </w:p>
        </w:tc>
        <w:tc>
          <w:tcPr>
            <w:tcW w:w="641" w:type="pct"/>
            <w:tcMar>
              <w:top w:w="12" w:type="dxa"/>
              <w:left w:w="12" w:type="dxa"/>
              <w:right w:w="12" w:type="dxa"/>
            </w:tcMar>
            <w:vAlign w:val="center"/>
          </w:tcPr>
          <w:p w14:paraId="02C9BA0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0.92 </w:t>
            </w:r>
          </w:p>
        </w:tc>
        <w:tc>
          <w:tcPr>
            <w:tcW w:w="677" w:type="pct"/>
            <w:tcMar>
              <w:top w:w="12" w:type="dxa"/>
              <w:left w:w="12" w:type="dxa"/>
              <w:right w:w="12" w:type="dxa"/>
            </w:tcMar>
            <w:vAlign w:val="center"/>
          </w:tcPr>
          <w:p w14:paraId="0FF1F93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0.68 </w:t>
            </w:r>
          </w:p>
        </w:tc>
        <w:tc>
          <w:tcPr>
            <w:tcW w:w="641" w:type="pct"/>
            <w:tcMar>
              <w:top w:w="12" w:type="dxa"/>
              <w:left w:w="12" w:type="dxa"/>
              <w:right w:w="12" w:type="dxa"/>
            </w:tcMar>
            <w:vAlign w:val="center"/>
          </w:tcPr>
          <w:p w14:paraId="50F314B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0.54 </w:t>
            </w:r>
          </w:p>
        </w:tc>
        <w:tc>
          <w:tcPr>
            <w:tcW w:w="660" w:type="pct"/>
            <w:tcMar>
              <w:top w:w="12" w:type="dxa"/>
              <w:left w:w="12" w:type="dxa"/>
              <w:right w:w="12" w:type="dxa"/>
            </w:tcMar>
            <w:vAlign w:val="center"/>
          </w:tcPr>
          <w:p w14:paraId="186F925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8.27 </w:t>
            </w:r>
          </w:p>
        </w:tc>
        <w:tc>
          <w:tcPr>
            <w:tcW w:w="677" w:type="pct"/>
            <w:tcMar>
              <w:top w:w="12" w:type="dxa"/>
              <w:left w:w="12" w:type="dxa"/>
              <w:right w:w="12" w:type="dxa"/>
            </w:tcMar>
            <w:vAlign w:val="center"/>
          </w:tcPr>
          <w:p w14:paraId="0B4EF5B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18.70 </w:t>
            </w:r>
          </w:p>
        </w:tc>
        <w:tc>
          <w:tcPr>
            <w:tcW w:w="610" w:type="pct"/>
            <w:tcMar>
              <w:top w:w="12" w:type="dxa"/>
              <w:left w:w="12" w:type="dxa"/>
              <w:right w:w="12" w:type="dxa"/>
            </w:tcMar>
            <w:vAlign w:val="center"/>
          </w:tcPr>
          <w:p w14:paraId="6F3557F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16.66 </w:t>
            </w:r>
          </w:p>
        </w:tc>
      </w:tr>
      <w:tr w14:paraId="4AD84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6D8EE9F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2039</w:t>
            </w:r>
          </w:p>
        </w:tc>
        <w:tc>
          <w:tcPr>
            <w:tcW w:w="572" w:type="pct"/>
            <w:tcMar>
              <w:top w:w="12" w:type="dxa"/>
              <w:left w:w="12" w:type="dxa"/>
              <w:right w:w="12" w:type="dxa"/>
            </w:tcMar>
            <w:vAlign w:val="center"/>
          </w:tcPr>
          <w:p w14:paraId="1EB33D4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0.01 </w:t>
            </w:r>
          </w:p>
        </w:tc>
        <w:tc>
          <w:tcPr>
            <w:tcW w:w="641" w:type="pct"/>
            <w:tcMar>
              <w:top w:w="12" w:type="dxa"/>
              <w:left w:w="12" w:type="dxa"/>
              <w:right w:w="12" w:type="dxa"/>
            </w:tcMar>
            <w:vAlign w:val="center"/>
          </w:tcPr>
          <w:p w14:paraId="5D432A8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0.94 </w:t>
            </w:r>
          </w:p>
        </w:tc>
        <w:tc>
          <w:tcPr>
            <w:tcW w:w="677" w:type="pct"/>
            <w:tcMar>
              <w:top w:w="12" w:type="dxa"/>
              <w:left w:w="12" w:type="dxa"/>
              <w:right w:w="12" w:type="dxa"/>
            </w:tcMar>
            <w:vAlign w:val="center"/>
          </w:tcPr>
          <w:p w14:paraId="74C282E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0.34 </w:t>
            </w:r>
          </w:p>
        </w:tc>
        <w:tc>
          <w:tcPr>
            <w:tcW w:w="641" w:type="pct"/>
            <w:tcMar>
              <w:top w:w="12" w:type="dxa"/>
              <w:left w:w="12" w:type="dxa"/>
              <w:right w:w="12" w:type="dxa"/>
            </w:tcMar>
            <w:vAlign w:val="center"/>
          </w:tcPr>
          <w:p w14:paraId="6524FBA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0.55 </w:t>
            </w:r>
          </w:p>
        </w:tc>
        <w:tc>
          <w:tcPr>
            <w:tcW w:w="660" w:type="pct"/>
            <w:tcMar>
              <w:top w:w="12" w:type="dxa"/>
              <w:left w:w="12" w:type="dxa"/>
              <w:right w:w="12" w:type="dxa"/>
            </w:tcMar>
            <w:vAlign w:val="center"/>
          </w:tcPr>
          <w:p w14:paraId="56D671B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9.21 </w:t>
            </w:r>
          </w:p>
        </w:tc>
        <w:tc>
          <w:tcPr>
            <w:tcW w:w="677" w:type="pct"/>
            <w:tcMar>
              <w:top w:w="12" w:type="dxa"/>
              <w:left w:w="12" w:type="dxa"/>
              <w:right w:w="12" w:type="dxa"/>
            </w:tcMar>
            <w:vAlign w:val="center"/>
          </w:tcPr>
          <w:p w14:paraId="7BD5104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19.04 </w:t>
            </w:r>
          </w:p>
        </w:tc>
        <w:tc>
          <w:tcPr>
            <w:tcW w:w="610" w:type="pct"/>
            <w:tcMar>
              <w:top w:w="12" w:type="dxa"/>
              <w:left w:w="12" w:type="dxa"/>
              <w:right w:w="12" w:type="dxa"/>
            </w:tcMar>
            <w:vAlign w:val="center"/>
          </w:tcPr>
          <w:p w14:paraId="37DD963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17.05 </w:t>
            </w:r>
          </w:p>
        </w:tc>
      </w:tr>
      <w:tr w14:paraId="6E69AB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5" w:type="dxa"/>
            <w:tcMar>
              <w:top w:w="12" w:type="dxa"/>
              <w:left w:w="12" w:type="dxa"/>
              <w:right w:w="12" w:type="dxa"/>
            </w:tcMar>
            <w:vAlign w:val="center"/>
          </w:tcPr>
          <w:p w14:paraId="673C669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2040</w:t>
            </w:r>
          </w:p>
        </w:tc>
        <w:tc>
          <w:tcPr>
            <w:tcW w:w="572" w:type="pct"/>
            <w:tcMar>
              <w:top w:w="12" w:type="dxa"/>
              <w:left w:w="12" w:type="dxa"/>
              <w:right w:w="12" w:type="dxa"/>
            </w:tcMar>
            <w:vAlign w:val="center"/>
          </w:tcPr>
          <w:p w14:paraId="1338C94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0.01 </w:t>
            </w:r>
          </w:p>
        </w:tc>
        <w:tc>
          <w:tcPr>
            <w:tcW w:w="641" w:type="pct"/>
            <w:tcMar>
              <w:top w:w="12" w:type="dxa"/>
              <w:left w:w="12" w:type="dxa"/>
              <w:right w:w="12" w:type="dxa"/>
            </w:tcMar>
            <w:vAlign w:val="center"/>
          </w:tcPr>
          <w:p w14:paraId="048EB6D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1.04 </w:t>
            </w:r>
          </w:p>
        </w:tc>
        <w:tc>
          <w:tcPr>
            <w:tcW w:w="677" w:type="pct"/>
            <w:tcMar>
              <w:top w:w="12" w:type="dxa"/>
              <w:left w:w="12" w:type="dxa"/>
              <w:right w:w="12" w:type="dxa"/>
            </w:tcMar>
            <w:vAlign w:val="center"/>
          </w:tcPr>
          <w:p w14:paraId="7209D86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0.34 </w:t>
            </w:r>
          </w:p>
        </w:tc>
        <w:tc>
          <w:tcPr>
            <w:tcW w:w="641" w:type="pct"/>
            <w:tcMar>
              <w:top w:w="12" w:type="dxa"/>
              <w:left w:w="12" w:type="dxa"/>
              <w:right w:w="12" w:type="dxa"/>
            </w:tcMar>
            <w:vAlign w:val="center"/>
          </w:tcPr>
          <w:p w14:paraId="7EBF05D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0.56 </w:t>
            </w:r>
          </w:p>
        </w:tc>
        <w:tc>
          <w:tcPr>
            <w:tcW w:w="660" w:type="pct"/>
            <w:tcMar>
              <w:top w:w="12" w:type="dxa"/>
              <w:left w:w="12" w:type="dxa"/>
              <w:right w:w="12" w:type="dxa"/>
            </w:tcMar>
            <w:vAlign w:val="center"/>
          </w:tcPr>
          <w:p w14:paraId="0150B63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10.26 </w:t>
            </w:r>
          </w:p>
        </w:tc>
        <w:tc>
          <w:tcPr>
            <w:tcW w:w="677" w:type="pct"/>
            <w:tcMar>
              <w:top w:w="12" w:type="dxa"/>
              <w:left w:w="12" w:type="dxa"/>
              <w:right w:w="12" w:type="dxa"/>
            </w:tcMar>
            <w:vAlign w:val="center"/>
          </w:tcPr>
          <w:p w14:paraId="106C42F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19.38 </w:t>
            </w:r>
          </w:p>
        </w:tc>
        <w:tc>
          <w:tcPr>
            <w:tcW w:w="610" w:type="pct"/>
            <w:tcMar>
              <w:top w:w="12" w:type="dxa"/>
              <w:left w:w="12" w:type="dxa"/>
              <w:right w:w="12" w:type="dxa"/>
            </w:tcMar>
            <w:vAlign w:val="center"/>
          </w:tcPr>
          <w:p w14:paraId="2451BA6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17.39 </w:t>
            </w:r>
          </w:p>
        </w:tc>
      </w:tr>
    </w:tbl>
    <w:p w14:paraId="66E5ED2F">
      <w:pPr>
        <w:pStyle w:val="120"/>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（7）注水井设计注水量</w:t>
      </w:r>
    </w:p>
    <w:p w14:paraId="1DC920D5">
      <w:pPr>
        <w:pStyle w:val="120"/>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2口注水井设计注水量为每口井15m</w:t>
      </w:r>
      <w:r>
        <w:rPr>
          <w:rFonts w:hint="eastAsia"/>
          <w:color w:val="000000" w:themeColor="text1"/>
          <w:vertAlign w:val="superscript"/>
          <w:lang w:val="en-US"/>
          <w14:textFill>
            <w14:solidFill>
              <w14:schemeClr w14:val="tx1"/>
            </w14:solidFill>
          </w14:textFill>
        </w:rPr>
        <w:t>3</w:t>
      </w:r>
      <w:r>
        <w:rPr>
          <w:rFonts w:hint="eastAsia"/>
          <w:color w:val="000000" w:themeColor="text1"/>
          <w:lang w:val="en-US"/>
          <w14:textFill>
            <w14:solidFill>
              <w14:schemeClr w14:val="tx1"/>
            </w14:solidFill>
          </w14:textFill>
        </w:rPr>
        <w:t>/d（9900m</w:t>
      </w:r>
      <w:r>
        <w:rPr>
          <w:rFonts w:hint="eastAsia"/>
          <w:color w:val="000000" w:themeColor="text1"/>
          <w:vertAlign w:val="superscript"/>
          <w:lang w:val="en-US"/>
          <w14:textFill>
            <w14:solidFill>
              <w14:schemeClr w14:val="tx1"/>
            </w14:solidFill>
          </w14:textFill>
        </w:rPr>
        <w:t>3</w:t>
      </w:r>
      <w:r>
        <w:rPr>
          <w:rFonts w:hint="eastAsia"/>
          <w:color w:val="000000" w:themeColor="text1"/>
          <w:lang w:val="en-US"/>
          <w14:textFill>
            <w14:solidFill>
              <w14:schemeClr w14:val="tx1"/>
            </w14:solidFill>
          </w14:textFill>
        </w:rPr>
        <w:t>/a）。注水水源为吉祥联合站采出水处理系统处理达标后净化水。</w:t>
      </w:r>
    </w:p>
    <w:p w14:paraId="47FD4F6A">
      <w:pPr>
        <w:pStyle w:val="120"/>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（8）井口掺热水量</w:t>
      </w:r>
    </w:p>
    <w:p w14:paraId="5BDC6CA6">
      <w:pPr>
        <w:pStyle w:val="120"/>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6口采油井井口掺热水量为1.57</w:t>
      </w:r>
      <w:r>
        <w:rPr>
          <w:color w:val="000000" w:themeColor="text1"/>
          <w:kern w:val="0"/>
          <w14:textFill>
            <w14:solidFill>
              <w14:schemeClr w14:val="tx1"/>
            </w14:solidFill>
          </w14:textFill>
        </w:rPr>
        <w:t>×10</w:t>
      </w:r>
      <w:r>
        <w:rPr>
          <w:color w:val="000000" w:themeColor="text1"/>
          <w:kern w:val="0"/>
          <w:vertAlign w:val="superscript"/>
          <w14:textFill>
            <w14:solidFill>
              <w14:schemeClr w14:val="tx1"/>
            </w14:solidFill>
          </w14:textFill>
        </w:rPr>
        <w:t>4</w:t>
      </w:r>
      <w:r>
        <w:rPr>
          <w:color w:val="000000" w:themeColor="text1"/>
          <w:kern w:val="0"/>
          <w14:textFill>
            <w14:solidFill>
              <w14:schemeClr w14:val="tx1"/>
            </w14:solidFill>
          </w14:textFill>
        </w:rPr>
        <w:t>t/a</w:t>
      </w:r>
      <w:r>
        <w:rPr>
          <w:rFonts w:hint="eastAsia"/>
          <w:color w:val="000000" w:themeColor="text1"/>
          <w:kern w:val="0"/>
          <w14:textFill>
            <w14:solidFill>
              <w14:schemeClr w14:val="tx1"/>
            </w14:solidFill>
          </w14:textFill>
        </w:rPr>
        <w:t>。</w:t>
      </w:r>
      <w:r>
        <w:rPr>
          <w:rFonts w:hint="eastAsia"/>
          <w:color w:val="000000" w:themeColor="text1"/>
          <w:lang w:val="en-US"/>
          <w14:textFill>
            <w14:solidFill>
              <w14:schemeClr w14:val="tx1"/>
            </w14:solidFill>
          </w14:textFill>
        </w:rPr>
        <w:t>掺热水水源为吉祥联合站采出水处理系统处理达标后加热的净化水。</w:t>
      </w:r>
    </w:p>
    <w:p w14:paraId="3240FFA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9</w:t>
      </w:r>
      <w:r>
        <w:rPr>
          <w:rFonts w:hint="eastAsia"/>
          <w:color w:val="000000" w:themeColor="text1"/>
          <w14:textFill>
            <w14:solidFill>
              <w14:schemeClr w14:val="tx1"/>
            </w14:solidFill>
          </w14:textFill>
        </w:rPr>
        <w:t>）产品方案</w:t>
      </w:r>
    </w:p>
    <w:p w14:paraId="029CCAB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产品主要为原油和伴生气，产量分别为</w:t>
      </w:r>
      <w:r>
        <w:rPr>
          <w:rFonts w:hint="eastAsia"/>
          <w:color w:val="000000" w:themeColor="text1"/>
          <w:kern w:val="0"/>
          <w:lang w:val="en-US"/>
          <w14:textFill>
            <w14:solidFill>
              <w14:schemeClr w14:val="tx1"/>
            </w14:solidFill>
          </w14:textFill>
        </w:rPr>
        <w:t>0.64</w:t>
      </w:r>
      <w:r>
        <w:rPr>
          <w:color w:val="000000" w:themeColor="text1"/>
          <w:kern w:val="0"/>
          <w14:textFill>
            <w14:solidFill>
              <w14:schemeClr w14:val="tx1"/>
            </w14:solidFill>
          </w14:textFill>
        </w:rPr>
        <w:t>×10</w:t>
      </w:r>
      <w:r>
        <w:rPr>
          <w:color w:val="000000" w:themeColor="text1"/>
          <w:kern w:val="0"/>
          <w:vertAlign w:val="superscript"/>
          <w14:textFill>
            <w14:solidFill>
              <w14:schemeClr w14:val="tx1"/>
            </w14:solidFill>
          </w14:textFill>
        </w:rPr>
        <w:t>4</w:t>
      </w:r>
      <w:r>
        <w:rPr>
          <w:color w:val="000000" w:themeColor="text1"/>
          <w:kern w:val="0"/>
          <w14:textFill>
            <w14:solidFill>
              <w14:schemeClr w14:val="tx1"/>
            </w14:solidFill>
          </w14:textFill>
        </w:rPr>
        <w:t>t/a</w:t>
      </w: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21.76</w:t>
      </w:r>
      <w:r>
        <w:rPr>
          <w:rFonts w:hint="eastAsia"/>
          <w:color w:val="000000" w:themeColor="text1"/>
          <w:kern w:val="0"/>
          <w14:textFill>
            <w14:solidFill>
              <w14:schemeClr w14:val="tx1"/>
            </w14:solidFill>
          </w14:textFill>
        </w:rPr>
        <w:t>×10</w:t>
      </w:r>
      <w:r>
        <w:rPr>
          <w:rFonts w:hint="eastAsia"/>
          <w:color w:val="000000" w:themeColor="text1"/>
          <w:kern w:val="0"/>
          <w:vertAlign w:val="superscript"/>
          <w14:textFill>
            <w14:solidFill>
              <w14:schemeClr w14:val="tx1"/>
            </w14:solidFill>
          </w14:textFill>
        </w:rPr>
        <w:t>4</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/a，原油管输至吉祥联合站原油处理系统处理，伴生气管输至吉祥联合站伴生气处理系统处理。</w:t>
      </w:r>
    </w:p>
    <w:bookmarkEnd w:id="230"/>
    <w:p w14:paraId="5418A90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10</w:t>
      </w:r>
      <w:r>
        <w:rPr>
          <w:rFonts w:hint="eastAsia"/>
          <w:color w:val="000000" w:themeColor="text1"/>
          <w14:textFill>
            <w14:solidFill>
              <w14:schemeClr w14:val="tx1"/>
            </w14:solidFill>
          </w14:textFill>
        </w:rPr>
        <w:t>）建设周期</w:t>
      </w:r>
    </w:p>
    <w:p w14:paraId="5119BC13">
      <w:pPr>
        <w:pStyle w:val="193"/>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①</w:t>
      </w:r>
      <w:r>
        <w:rPr>
          <w:rFonts w:hint="eastAsia"/>
          <w:color w:val="000000" w:themeColor="text1"/>
          <w14:textFill>
            <w14:solidFill>
              <w14:schemeClr w14:val="tx1"/>
            </w14:solidFill>
          </w14:textFill>
        </w:rPr>
        <w:t>施工组织</w:t>
      </w:r>
    </w:p>
    <w:p w14:paraId="635114C5">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施工期建设周期约1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个月，施工人员约2</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人。钻井井场</w:t>
      </w:r>
      <w:r>
        <w:rPr>
          <w:rFonts w:hint="eastAsia"/>
          <w:color w:val="000000" w:themeColor="text1"/>
          <w:lang w:val="en-US" w:eastAsia="zh-CN"/>
          <w14:textFill>
            <w14:solidFill>
              <w14:schemeClr w14:val="tx1"/>
            </w14:solidFill>
          </w14:textFill>
        </w:rPr>
        <w:t>不设</w:t>
      </w:r>
      <w:r>
        <w:rPr>
          <w:rFonts w:hint="eastAsia"/>
          <w:color w:val="000000" w:themeColor="text1"/>
          <w14:textFill>
            <w14:solidFill>
              <w14:schemeClr w14:val="tx1"/>
            </w14:solidFill>
          </w14:textFill>
        </w:rPr>
        <w:t>生活营地，钻井期施工人员住宿租赁吉木萨尔县金宗石油工程技术服务有限责任公司的员工宿舍。单井钻井周期约18天，施工人数为35人。地面工程建设阶段不设生活营地，施工人员食宿在吉木萨尔县。</w:t>
      </w:r>
    </w:p>
    <w:p w14:paraId="3896AAAD">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②施工方式</w:t>
      </w:r>
    </w:p>
    <w:p w14:paraId="071E71EA">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单井采油管线、单井掺热水管线和单井注水管线均采用埋地敷设。</w:t>
      </w:r>
    </w:p>
    <w:p w14:paraId="3604C0ED">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③施工时序</w:t>
      </w:r>
    </w:p>
    <w:p w14:paraId="6F6A104C">
      <w:pPr>
        <w:pStyle w:val="193"/>
        <w:rPr>
          <w:rFonts w:hint="eastAsia"/>
          <w:color w:val="000000" w:themeColor="text1"/>
          <w14:textFill>
            <w14:solidFill>
              <w14:schemeClr w14:val="tx1"/>
            </w14:solidFill>
          </w14:textFill>
        </w:rPr>
      </w:pPr>
      <w:bookmarkStart w:id="233" w:name="_Hlk132979340"/>
      <w:r>
        <w:rPr>
          <w:rFonts w:hint="eastAsia"/>
          <w:color w:val="000000" w:themeColor="text1"/>
          <w14:textFill>
            <w14:solidFill>
              <w14:schemeClr w14:val="tx1"/>
            </w14:solidFill>
          </w14:textFill>
        </w:rPr>
        <w:t>建设单位根据实际情况，可同步建设</w:t>
      </w:r>
      <w:bookmarkEnd w:id="233"/>
      <w:r>
        <w:rPr>
          <w:rFonts w:hint="eastAsia"/>
          <w:color w:val="000000" w:themeColor="text1"/>
          <w14:textFill>
            <w14:solidFill>
              <w14:schemeClr w14:val="tx1"/>
            </w14:solidFill>
          </w14:textFill>
        </w:rPr>
        <w:t>单井采油管线、单井掺热水管线和单井注水管线及其他公用工程。</w:t>
      </w:r>
      <w:bookmarkStart w:id="234" w:name="_Hlk132979479"/>
      <w:r>
        <w:rPr>
          <w:rFonts w:hint="eastAsia"/>
          <w:color w:val="000000" w:themeColor="text1"/>
          <w14:textFill>
            <w14:solidFill>
              <w14:schemeClr w14:val="tx1"/>
            </w14:solidFill>
          </w14:textFill>
        </w:rPr>
        <w:t>施工组织方式主要为平行施工和流水施工相结合的组织方式。</w:t>
      </w:r>
      <w:bookmarkEnd w:id="234"/>
    </w:p>
    <w:p w14:paraId="53002965">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④施工布局</w:t>
      </w:r>
    </w:p>
    <w:p w14:paraId="4840F63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地面工程平面布置包括单井采油井场、注水井场、2井式平台井场、单井采油管线/单井掺热水管线、单井注水管线和巡检道路等。</w:t>
      </w:r>
    </w:p>
    <w:p w14:paraId="7F324C61">
      <w:pPr>
        <w:pStyle w:val="120"/>
        <w:adjustRightInd w:val="0"/>
        <w:snapToGrid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施工现场布置主要为</w:t>
      </w:r>
      <w:r>
        <w:rPr>
          <w:rFonts w:hint="eastAsia"/>
          <w:color w:val="000000" w:themeColor="text1"/>
          <w:lang w:val="en-US"/>
          <w14:textFill>
            <w14:solidFill>
              <w14:schemeClr w14:val="tx1"/>
            </w14:solidFill>
          </w14:textFill>
        </w:rPr>
        <w:t>单井</w:t>
      </w:r>
      <w:r>
        <w:rPr>
          <w:rFonts w:hint="eastAsia"/>
          <w:color w:val="000000" w:themeColor="text1"/>
          <w14:textFill>
            <w14:solidFill>
              <w14:schemeClr w14:val="tx1"/>
            </w14:solidFill>
          </w14:textFill>
        </w:rPr>
        <w:t>采油井场、</w:t>
      </w:r>
      <w:r>
        <w:rPr>
          <w:rFonts w:hint="eastAsia"/>
          <w:color w:val="000000" w:themeColor="text1"/>
          <w:lang w:val="en-US"/>
          <w14:textFill>
            <w14:solidFill>
              <w14:schemeClr w14:val="tx1"/>
            </w14:solidFill>
          </w14:textFill>
        </w:rPr>
        <w:t>注水井场、2井式平台井场</w:t>
      </w:r>
      <w:r>
        <w:rPr>
          <w:rFonts w:hint="eastAsia"/>
          <w:color w:val="000000" w:themeColor="text1"/>
          <w14:textFill>
            <w14:solidFill>
              <w14:schemeClr w14:val="tx1"/>
            </w14:solidFill>
          </w14:textFill>
        </w:rPr>
        <w:t>及集输管网的布置，井场在施工现场在项目区内点状分布；</w:t>
      </w:r>
      <w:r>
        <w:rPr>
          <w:color w:val="000000" w:themeColor="text1"/>
          <w14:textFill>
            <w14:solidFill>
              <w14:schemeClr w14:val="tx1"/>
            </w14:solidFill>
          </w14:textFill>
        </w:rPr>
        <w:t>井口装置等设施均位于井场内，</w:t>
      </w:r>
      <w:r>
        <w:rPr>
          <w:rFonts w:hint="eastAsia"/>
          <w:color w:val="000000" w:themeColor="text1"/>
          <w14:textFill>
            <w14:solidFill>
              <w14:schemeClr w14:val="tx1"/>
            </w14:solidFill>
          </w14:textFill>
        </w:rPr>
        <w:t>井场</w:t>
      </w:r>
      <w:r>
        <w:rPr>
          <w:color w:val="000000" w:themeColor="text1"/>
          <w14:textFill>
            <w14:solidFill>
              <w14:schemeClr w14:val="tx1"/>
            </w14:solidFill>
          </w14:textFill>
        </w:rPr>
        <w:t>的各设施均在</w:t>
      </w:r>
      <w:r>
        <w:rPr>
          <w:rFonts w:hint="eastAsia"/>
          <w:color w:val="000000" w:themeColor="text1"/>
          <w14:textFill>
            <w14:solidFill>
              <w14:schemeClr w14:val="tx1"/>
            </w14:solidFill>
          </w14:textFill>
        </w:rPr>
        <w:t>占地范围内</w:t>
      </w:r>
      <w:r>
        <w:rPr>
          <w:color w:val="000000" w:themeColor="text1"/>
          <w14:textFill>
            <w14:solidFill>
              <w14:schemeClr w14:val="tx1"/>
            </w14:solidFill>
          </w14:textFill>
        </w:rPr>
        <w:t>堆放、施工，</w:t>
      </w:r>
      <w:r>
        <w:rPr>
          <w:rFonts w:hint="eastAsia"/>
          <w:color w:val="000000" w:themeColor="text1"/>
          <w14:textFill>
            <w14:solidFill>
              <w14:schemeClr w14:val="tx1"/>
            </w14:solidFill>
          </w14:textFill>
        </w:rPr>
        <w:t>占地范围外</w:t>
      </w:r>
      <w:r>
        <w:rPr>
          <w:color w:val="000000" w:themeColor="text1"/>
          <w14:textFill>
            <w14:solidFill>
              <w14:schemeClr w14:val="tx1"/>
            </w14:solidFill>
          </w14:textFill>
        </w:rPr>
        <w:t>均不设材料堆放场地，</w:t>
      </w:r>
      <w:r>
        <w:rPr>
          <w:rFonts w:hint="eastAsia"/>
          <w:color w:val="000000" w:themeColor="text1"/>
          <w:lang w:val="en-US"/>
          <w14:textFill>
            <w14:solidFill>
              <w14:schemeClr w14:val="tx1"/>
            </w14:solidFill>
          </w14:textFill>
        </w:rPr>
        <w:t>各井场均</w:t>
      </w:r>
      <w:r>
        <w:rPr>
          <w:rFonts w:hint="eastAsia"/>
          <w:color w:val="000000" w:themeColor="text1"/>
          <w14:textFill>
            <w14:solidFill>
              <w14:schemeClr w14:val="tx1"/>
            </w14:solidFill>
          </w14:textFill>
        </w:rPr>
        <w:t>按照相应的平面布置图布置。各类管线严格控制施工作业宽度，施工现场施工材料放置在管沟一侧，另一侧堆放管沟开挖产生的土方；</w:t>
      </w:r>
      <w:r>
        <w:rPr>
          <w:color w:val="000000" w:themeColor="text1"/>
          <w14:textFill>
            <w14:solidFill>
              <w14:schemeClr w14:val="tx1"/>
            </w14:solidFill>
          </w14:textFill>
        </w:rPr>
        <w:t>新建</w:t>
      </w:r>
      <w:r>
        <w:rPr>
          <w:rFonts w:hint="eastAsia"/>
          <w:color w:val="000000" w:themeColor="text1"/>
          <w:lang w:val="en-US"/>
          <w14:textFill>
            <w14:solidFill>
              <w14:schemeClr w14:val="tx1"/>
            </w14:solidFill>
          </w14:textFill>
        </w:rPr>
        <w:t>巡检</w:t>
      </w:r>
      <w:r>
        <w:rPr>
          <w:color w:val="000000" w:themeColor="text1"/>
          <w14:textFill>
            <w14:solidFill>
              <w14:schemeClr w14:val="tx1"/>
            </w14:solidFill>
          </w14:textFill>
        </w:rPr>
        <w:t>道路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连接井场至油区已建道路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道路建设过程中临时占地位于永久占地范围内。</w:t>
      </w:r>
    </w:p>
    <w:p w14:paraId="47A9327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11</w:t>
      </w:r>
      <w:r>
        <w:rPr>
          <w:rFonts w:hint="eastAsia"/>
          <w:color w:val="000000" w:themeColor="text1"/>
          <w14:textFill>
            <w14:solidFill>
              <w14:schemeClr w14:val="tx1"/>
            </w14:solidFill>
          </w14:textFill>
        </w:rPr>
        <w:t>）劳动定员和工作制度</w:t>
      </w:r>
    </w:p>
    <w:p w14:paraId="41025B4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项目实施后由吉庆油田作业区现有工作人员负责运营管理，不新增劳动定员。</w:t>
      </w:r>
    </w:p>
    <w:p w14:paraId="1275387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12</w:t>
      </w:r>
      <w:r>
        <w:rPr>
          <w:rFonts w:hint="eastAsia"/>
          <w:color w:val="000000" w:themeColor="text1"/>
          <w14:textFill>
            <w14:solidFill>
              <w14:schemeClr w14:val="tx1"/>
            </w14:solidFill>
          </w14:textFill>
        </w:rPr>
        <w:t>）工程投资</w:t>
      </w:r>
    </w:p>
    <w:p w14:paraId="36032BFB">
      <w:pPr>
        <w:pStyle w:val="120"/>
        <w:rPr>
          <w:rFonts w:hint="eastAsia"/>
          <w:color w:val="000000" w:themeColor="text1"/>
          <w14:textFill>
            <w14:solidFill>
              <w14:schemeClr w14:val="tx1"/>
            </w14:solidFill>
          </w14:textFill>
        </w:rPr>
      </w:pPr>
      <w:bookmarkStart w:id="235" w:name="_Hlk148004996"/>
      <w:r>
        <w:rPr>
          <w:rFonts w:hint="eastAsia"/>
          <w:color w:val="000000" w:themeColor="text1"/>
          <w14:textFill>
            <w14:solidFill>
              <w14:schemeClr w14:val="tx1"/>
            </w14:solidFill>
          </w14:textFill>
        </w:rPr>
        <w:t>项目总投资925.37万元，</w:t>
      </w:r>
      <w:r>
        <w:rPr>
          <w:color w:val="000000" w:themeColor="text1"/>
          <w14:textFill>
            <w14:solidFill>
              <w14:schemeClr w14:val="tx1"/>
            </w14:solidFill>
          </w14:textFill>
        </w:rPr>
        <w:t>环保投资约</w:t>
      </w:r>
      <w:r>
        <w:rPr>
          <w:rFonts w:hint="eastAsia"/>
          <w:color w:val="000000" w:themeColor="text1"/>
          <w:lang w:val="en-US"/>
          <w14:textFill>
            <w14:solidFill>
              <w14:schemeClr w14:val="tx1"/>
            </w14:solidFill>
          </w14:textFill>
        </w:rPr>
        <w:t>123</w:t>
      </w:r>
      <w:r>
        <w:rPr>
          <w:rFonts w:hint="eastAsia"/>
          <w:color w:val="000000" w:themeColor="text1"/>
          <w14:textFill>
            <w14:solidFill>
              <w14:schemeClr w14:val="tx1"/>
            </w14:solidFill>
          </w14:textFill>
        </w:rPr>
        <w:t>万</w:t>
      </w:r>
      <w:r>
        <w:rPr>
          <w:color w:val="000000" w:themeColor="text1"/>
          <w14:textFill>
            <w14:solidFill>
              <w14:schemeClr w14:val="tx1"/>
            </w14:solidFill>
          </w14:textFill>
        </w:rPr>
        <w:t>元，占总投资的</w:t>
      </w:r>
      <w:r>
        <w:rPr>
          <w:rFonts w:hint="eastAsia"/>
          <w:color w:val="000000" w:themeColor="text1"/>
          <w:lang w:val="en-US"/>
          <w14:textFill>
            <w14:solidFill>
              <w14:schemeClr w14:val="tx1"/>
            </w14:solidFill>
          </w14:textFill>
        </w:rPr>
        <w:t>13.29</w:t>
      </w:r>
      <w:r>
        <w:rPr>
          <w:rFonts w:hint="eastAsia"/>
          <w:color w:val="000000" w:themeColor="text1"/>
          <w14:textFill>
            <w14:solidFill>
              <w14:schemeClr w14:val="tx1"/>
            </w14:solidFill>
          </w14:textFill>
        </w:rPr>
        <w:t>%。</w:t>
      </w:r>
    </w:p>
    <w:p w14:paraId="32BB095C">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勘探开发现状及油气水性质</w:t>
      </w:r>
    </w:p>
    <w:p w14:paraId="4C62EBB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（1）勘探开发概况</w:t>
      </w:r>
    </w:p>
    <w:p w14:paraId="09F95E11">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区块开发简况</w:t>
      </w:r>
    </w:p>
    <w:p w14:paraId="3E9A6773">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吉木萨尔凹陷勘探始于五六十年代，在凹陷的东斜坡相继钻探了吉1、吉2、吉3、吉10、吉13等井，共钻探进尺12416m，1982年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1989年以地震勘探为主，完成地震测线总长1030km，测网密度达1.0km×1.5km，共完钻探井3口（北15、吉5、吉6井），总进尺10015m。进入90年代，随着准东地区油气勘探的发展，先后钻探了吉7、吉8、吉9井。基于当时的研究和认识程度，油质偏稠、难以采出，该区的勘探进展缓慢。</w:t>
      </w:r>
    </w:p>
    <w:p w14:paraId="447F863C">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2004年实施吉17井区三维，随着工艺技术进步与地质认识的不断深化，2007年先后对吉7、吉8、吉9井梧桐沟组开展老井恢复试油工作。其中吉7井压裂后，日产油5.02t；吉8井压裂后，日产油3.7t；吉9井老井恢复试油，压裂后日产油0.2t，水15.3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6B4D955E">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2008年针对该区油质较稠，产量低的情况，进行试油工艺技术攻关，开展防砂压裂试验、电加热和螺杆泵井筒举升工艺技术试验，增产效果显著且经济可行，为油藏开采工艺技术积累了经验，为油藏整体探明、开发奠定了基础。同年吉7井区梧桐沟组油藏上报石油控制储量2161.0×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t，含油面积13.1km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，技术可采储量367.4×10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p w14:paraId="1A6834BB">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2010年吉7井区二叠系梧桐沟组油藏按照整体部署、分步实施的原则，先后实施评价井7口（吉002井～吉008井），均在梧桐沟组获工业油流。</w:t>
      </w:r>
    </w:p>
    <w:p w14:paraId="2ABBADE5">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2011年吉7井区外围（东部和南部）开展滚动评价工作，发现了吉101井和吉103井断块圈闭，9月在吉008井附近采用150m井距反七点井网部署注水试验井组，总井数19口，其中采油井12口（利用老井1口），注水井7口，建产能2.85×104t。生产层位是P3wt22-3砂层，油水井投产均未采取压裂措施，初期单井日产油1.8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9.4t，平均日产油4.4t。证明吉7井区梧桐沟组油藏在地面50℃原油粘度小于2000mPa·s的区域采取注水开发是可行的。</w:t>
      </w:r>
    </w:p>
    <w:p w14:paraId="7D0AFA5C">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2012年吉7井区外围梧桐沟组进一步评价，共实施评价井12口，其中8口评价井在梧桐沟组均获工业油流。2012年12月，吉7井区梧桐沟组油藏上报探明石油地质储量7205.86×10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t，叠合含油面积25.36km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，技术可采储量1080.89×10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t。同年选择原油粘度最低的吉006井断块进行常规注水开发。采用210m井距反七点注采井网全直井部署，全区共部署开发井124口（采油井82口，注水井42口），计划建产能12.30×10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t。经过跟踪优化，共实施开发井101口（采油井60口，注水井41口），建产能8.51×10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p w14:paraId="2933A943">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2013年12月编制了《昌吉油田吉7井区梧桐沟组中深层稠油油藏常规水驱开发方案》，在地面原油粘度小于2000mPa·s的区域共部署开发井609口，其中采油井411口（利用老井13口），注水井198口（利用老井2口），计划建产能52.83×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t。经过跟踪优化，2014年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2016年实钻采油井343口，利用老井25口；实钻注水井160口，利用老井1口，建产能41.37×10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w:t>
      </w:r>
    </w:p>
    <w:p w14:paraId="3DF14356">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为加快吉7井区剩余探明储量的动用，根据室内实验和试油试采取得的认识， 2017年在地面50℃原油粘度3000mPa·s</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7000mPa·s的吉003井断块实施了3注7采注水试验区，其中，注水井利用老井3口（J3405、J3466、J1012），新钻采油井7口，建产能0.70×10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t，当年投产采油井2口（J3426、JD3407），取得了较高产能（5.9t/d、4.7t/d）。</w:t>
      </w:r>
    </w:p>
    <w:p w14:paraId="6BB10578">
      <w:pPr>
        <w:pStyle w:val="193"/>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截至</w:t>
      </w:r>
      <w:r>
        <w:rPr>
          <w:rFonts w:cs="宋体"/>
          <w:color w:val="000000" w:themeColor="text1"/>
          <w14:textFill>
            <w14:solidFill>
              <w14:schemeClr w14:val="tx1"/>
            </w14:solidFill>
          </w14:textFill>
        </w:rPr>
        <w:t>2025年4月，吉006井断块P</w:t>
      </w:r>
      <w:r>
        <w:rPr>
          <w:rFonts w:cs="宋体"/>
          <w:color w:val="000000" w:themeColor="text1"/>
          <w:vertAlign w:val="subscript"/>
          <w14:textFill>
            <w14:solidFill>
              <w14:schemeClr w14:val="tx1"/>
            </w14:solidFill>
          </w14:textFill>
        </w:rPr>
        <w:t>3</w:t>
      </w:r>
      <w:r>
        <w:rPr>
          <w:rFonts w:cs="宋体"/>
          <w:i/>
          <w:color w:val="000000" w:themeColor="text1"/>
          <w14:textFill>
            <w14:solidFill>
              <w14:schemeClr w14:val="tx1"/>
            </w14:solidFill>
          </w14:textFill>
        </w:rPr>
        <w:t>wt</w:t>
      </w:r>
      <w:r>
        <w:rPr>
          <w:rFonts w:cs="宋体"/>
          <w:color w:val="000000" w:themeColor="text1"/>
          <w:vertAlign w:val="subscript"/>
          <w14:textFill>
            <w14:solidFill>
              <w14:schemeClr w14:val="tx1"/>
            </w14:solidFill>
          </w14:textFill>
        </w:rPr>
        <w:t>2</w:t>
      </w:r>
      <w:r>
        <w:rPr>
          <w:rFonts w:cs="宋体"/>
          <w:color w:val="000000" w:themeColor="text1"/>
          <w:vertAlign w:val="superscript"/>
          <w14:textFill>
            <w14:solidFill>
              <w14:schemeClr w14:val="tx1"/>
            </w14:solidFill>
          </w14:textFill>
        </w:rPr>
        <w:t>2-3</w:t>
      </w:r>
      <w:r>
        <w:rPr>
          <w:rFonts w:cs="宋体"/>
          <w:bCs/>
          <w:color w:val="000000" w:themeColor="text1"/>
          <w14:textFill>
            <w14:solidFill>
              <w14:schemeClr w14:val="tx1"/>
            </w14:solidFill>
          </w14:textFill>
        </w:rPr>
        <w:t>层</w:t>
      </w:r>
      <w:r>
        <w:rPr>
          <w:rFonts w:cs="宋体"/>
          <w:color w:val="000000" w:themeColor="text1"/>
          <w14:textFill>
            <w14:solidFill>
              <w14:schemeClr w14:val="tx1"/>
            </w14:solidFill>
          </w14:textFill>
        </w:rPr>
        <w:t>有油水井49口，其中采油井30口，开井30口，日产液79t，日产油32t，综合含水59.2%，采液速度1.12%，采油速度0.46%，累产油22.0×10</w:t>
      </w:r>
      <w:r>
        <w:rPr>
          <w:rFonts w:cs="宋体"/>
          <w:color w:val="000000" w:themeColor="text1"/>
          <w:vertAlign w:val="superscript"/>
          <w14:textFill>
            <w14:solidFill>
              <w14:schemeClr w14:val="tx1"/>
            </w14:solidFill>
          </w14:textFill>
        </w:rPr>
        <w:t>4</w:t>
      </w:r>
      <w:r>
        <w:rPr>
          <w:rFonts w:cs="宋体"/>
          <w:color w:val="000000" w:themeColor="text1"/>
          <w14:textFill>
            <w14:solidFill>
              <w14:schemeClr w14:val="tx1"/>
            </w14:solidFill>
          </w14:textFill>
        </w:rPr>
        <w:t>t，采出程度10.5%，注水井19口，开井数10口，日注水77m</w:t>
      </w:r>
      <w:r>
        <w:rPr>
          <w:rFonts w:cs="宋体"/>
          <w:color w:val="000000" w:themeColor="text1"/>
          <w:vertAlign w:val="superscript"/>
          <w14:textFill>
            <w14:solidFill>
              <w14:schemeClr w14:val="tx1"/>
            </w14:solidFill>
          </w14:textFill>
        </w:rPr>
        <w:t>3</w:t>
      </w:r>
      <w:r>
        <w:rPr>
          <w:rFonts w:cs="宋体"/>
          <w:color w:val="000000" w:themeColor="text1"/>
          <w14:textFill>
            <w14:solidFill>
              <w14:schemeClr w14:val="tx1"/>
            </w14:solidFill>
          </w14:textFill>
        </w:rPr>
        <w:t>，月度注采比0.93，累注水51.12×10</w:t>
      </w:r>
      <w:r>
        <w:rPr>
          <w:rFonts w:cs="宋体"/>
          <w:color w:val="000000" w:themeColor="text1"/>
          <w:vertAlign w:val="superscript"/>
          <w14:textFill>
            <w14:solidFill>
              <w14:schemeClr w14:val="tx1"/>
            </w14:solidFill>
          </w14:textFill>
        </w:rPr>
        <w:t>4</w:t>
      </w:r>
      <w:r>
        <w:rPr>
          <w:rFonts w:cs="宋体"/>
          <w:color w:val="000000" w:themeColor="text1"/>
          <w14:textFill>
            <w14:solidFill>
              <w14:schemeClr w14:val="tx1"/>
            </w14:solidFill>
          </w14:textFill>
        </w:rPr>
        <w:t>m</w:t>
      </w:r>
      <w:r>
        <w:rPr>
          <w:rFonts w:cs="宋体"/>
          <w:color w:val="000000" w:themeColor="text1"/>
          <w:vertAlign w:val="superscript"/>
          <w14:textFill>
            <w14:solidFill>
              <w14:schemeClr w14:val="tx1"/>
            </w14:solidFill>
          </w14:textFill>
        </w:rPr>
        <w:t>3</w:t>
      </w:r>
      <w:r>
        <w:rPr>
          <w:rFonts w:cs="宋体"/>
          <w:color w:val="000000" w:themeColor="text1"/>
          <w14:textFill>
            <w14:solidFill>
              <w14:schemeClr w14:val="tx1"/>
            </w14:solidFill>
          </w14:textFill>
        </w:rPr>
        <w:t>，累注采比0.82</w:t>
      </w:r>
      <w:r>
        <w:rPr>
          <w:rFonts w:hint="eastAsia" w:cs="宋体"/>
          <w:color w:val="000000" w:themeColor="text1"/>
          <w14:textFill>
            <w14:solidFill>
              <w14:schemeClr w14:val="tx1"/>
            </w14:solidFill>
          </w14:textFill>
        </w:rPr>
        <w:t>。</w:t>
      </w:r>
    </w:p>
    <w:p w14:paraId="012BB486">
      <w:pPr>
        <w:pStyle w:val="193"/>
        <w:rPr>
          <w:rFonts w:hint="eastAsia" w:cs="宋体"/>
          <w:color w:val="000000" w:themeColor="text1"/>
          <w14:textFill>
            <w14:solidFill>
              <w14:schemeClr w14:val="tx1"/>
            </w14:solidFill>
          </w14:textFill>
        </w:rPr>
      </w:pPr>
      <w:r>
        <w:rPr>
          <w:rFonts w:cs="宋体"/>
          <w:color w:val="000000" w:themeColor="text1"/>
          <w14:textFill>
            <w14:solidFill>
              <w14:schemeClr w14:val="tx1"/>
            </w14:solidFill>
          </w14:textFill>
        </w:rPr>
        <w:t>吉006井断块P</w:t>
      </w:r>
      <w:r>
        <w:rPr>
          <w:rFonts w:cs="宋体"/>
          <w:color w:val="000000" w:themeColor="text1"/>
          <w:vertAlign w:val="subscript"/>
          <w14:textFill>
            <w14:solidFill>
              <w14:schemeClr w14:val="tx1"/>
            </w14:solidFill>
          </w14:textFill>
        </w:rPr>
        <w:t>3</w:t>
      </w:r>
      <w:r>
        <w:rPr>
          <w:rFonts w:cs="宋体"/>
          <w:color w:val="000000" w:themeColor="text1"/>
          <w14:textFill>
            <w14:solidFill>
              <w14:schemeClr w14:val="tx1"/>
            </w14:solidFill>
          </w14:textFill>
        </w:rPr>
        <w:t>wt</w:t>
      </w:r>
      <w:r>
        <w:rPr>
          <w:rFonts w:cs="宋体"/>
          <w:color w:val="000000" w:themeColor="text1"/>
          <w:vertAlign w:val="subscript"/>
          <w14:textFill>
            <w14:solidFill>
              <w14:schemeClr w14:val="tx1"/>
            </w14:solidFill>
          </w14:textFill>
        </w:rPr>
        <w:t>1</w:t>
      </w:r>
      <w:r>
        <w:rPr>
          <w:rFonts w:cs="宋体"/>
          <w:color w:val="000000" w:themeColor="text1"/>
          <w:vertAlign w:val="superscript"/>
          <w14:textFill>
            <w14:solidFill>
              <w14:schemeClr w14:val="tx1"/>
            </w14:solidFill>
          </w14:textFill>
        </w:rPr>
        <w:t>2</w:t>
      </w:r>
      <w:r>
        <w:rPr>
          <w:rFonts w:cs="宋体"/>
          <w:color w:val="000000" w:themeColor="text1"/>
          <w14:textFill>
            <w14:solidFill>
              <w14:schemeClr w14:val="tx1"/>
            </w14:solidFill>
          </w14:textFill>
        </w:rPr>
        <w:t>层有油水井21口，其中采油井13口，开井13口，日产液37t，日产油12t，综合含水66.4%，采液速度1.16%，采油速度0.39%，累产油9.35×10</w:t>
      </w:r>
      <w:r>
        <w:rPr>
          <w:rFonts w:cs="宋体"/>
          <w:color w:val="000000" w:themeColor="text1"/>
          <w:vertAlign w:val="superscript"/>
          <w14:textFill>
            <w14:solidFill>
              <w14:schemeClr w14:val="tx1"/>
            </w14:solidFill>
          </w14:textFill>
        </w:rPr>
        <w:t>4</w:t>
      </w:r>
      <w:r>
        <w:rPr>
          <w:rFonts w:cs="宋体"/>
          <w:color w:val="000000" w:themeColor="text1"/>
          <w14:textFill>
            <w14:solidFill>
              <w14:schemeClr w14:val="tx1"/>
            </w14:solidFill>
          </w14:textFill>
        </w:rPr>
        <w:t>t，采出程度10.2%，注水井8口，开井数1口，日注水5m</w:t>
      </w:r>
      <w:r>
        <w:rPr>
          <w:rFonts w:cs="宋体"/>
          <w:color w:val="000000" w:themeColor="text1"/>
          <w:vertAlign w:val="superscript"/>
          <w14:textFill>
            <w14:solidFill>
              <w14:schemeClr w14:val="tx1"/>
            </w14:solidFill>
          </w14:textFill>
        </w:rPr>
        <w:t>3</w:t>
      </w:r>
      <w:r>
        <w:rPr>
          <w:rFonts w:cs="宋体"/>
          <w:color w:val="000000" w:themeColor="text1"/>
          <w14:textFill>
            <w14:solidFill>
              <w14:schemeClr w14:val="tx1"/>
            </w14:solidFill>
          </w14:textFill>
        </w:rPr>
        <w:t>，月度注采比0.13，累注水23.22×10</w:t>
      </w:r>
      <w:r>
        <w:rPr>
          <w:rFonts w:cs="宋体"/>
          <w:color w:val="000000" w:themeColor="text1"/>
          <w:vertAlign w:val="superscript"/>
          <w14:textFill>
            <w14:solidFill>
              <w14:schemeClr w14:val="tx1"/>
            </w14:solidFill>
          </w14:textFill>
        </w:rPr>
        <w:t>4</w:t>
      </w:r>
      <w:r>
        <w:rPr>
          <w:rFonts w:cs="宋体"/>
          <w:color w:val="000000" w:themeColor="text1"/>
          <w14:textFill>
            <w14:solidFill>
              <w14:schemeClr w14:val="tx1"/>
            </w14:solidFill>
          </w14:textFill>
        </w:rPr>
        <w:t>m</w:t>
      </w:r>
      <w:r>
        <w:rPr>
          <w:rFonts w:cs="宋体"/>
          <w:color w:val="000000" w:themeColor="text1"/>
          <w:vertAlign w:val="superscript"/>
          <w14:textFill>
            <w14:solidFill>
              <w14:schemeClr w14:val="tx1"/>
            </w14:solidFill>
          </w14:textFill>
        </w:rPr>
        <w:t>3</w:t>
      </w:r>
      <w:r>
        <w:rPr>
          <w:rFonts w:cs="宋体"/>
          <w:color w:val="000000" w:themeColor="text1"/>
          <w14:textFill>
            <w14:solidFill>
              <w14:schemeClr w14:val="tx1"/>
            </w14:solidFill>
          </w14:textFill>
        </w:rPr>
        <w:t>，累注采比0.77</w:t>
      </w:r>
      <w:r>
        <w:rPr>
          <w:rFonts w:hint="eastAsia" w:cs="宋体"/>
          <w:color w:val="000000" w:themeColor="text1"/>
          <w14:textFill>
            <w14:solidFill>
              <w14:schemeClr w14:val="tx1"/>
            </w14:solidFill>
          </w14:textFill>
        </w:rPr>
        <w:t>。</w:t>
      </w:r>
    </w:p>
    <w:p w14:paraId="04B929C3">
      <w:pPr>
        <w:pStyle w:val="193"/>
        <w:rPr>
          <w:rFonts w:hint="eastAsia" w:cs="宋体"/>
          <w:color w:val="000000" w:themeColor="text1"/>
          <w14:textFill>
            <w14:solidFill>
              <w14:schemeClr w14:val="tx1"/>
            </w14:solidFill>
          </w14:textFill>
        </w:rPr>
      </w:pPr>
      <w:r>
        <w:rPr>
          <w:rFonts w:cs="宋体"/>
          <w:color w:val="000000" w:themeColor="text1"/>
          <w14:textFill>
            <w14:solidFill>
              <w14:schemeClr w14:val="tx1"/>
            </w14:solidFill>
          </w14:textFill>
        </w:rPr>
        <w:t>吉8井断块P</w:t>
      </w:r>
      <w:r>
        <w:rPr>
          <w:rFonts w:cs="宋体"/>
          <w:color w:val="000000" w:themeColor="text1"/>
          <w:vertAlign w:val="subscript"/>
          <w14:textFill>
            <w14:solidFill>
              <w14:schemeClr w14:val="tx1"/>
            </w14:solidFill>
          </w14:textFill>
        </w:rPr>
        <w:t>3</w:t>
      </w:r>
      <w:r>
        <w:rPr>
          <w:rFonts w:cs="宋体"/>
          <w:color w:val="000000" w:themeColor="text1"/>
          <w14:textFill>
            <w14:solidFill>
              <w14:schemeClr w14:val="tx1"/>
            </w14:solidFill>
          </w14:textFill>
        </w:rPr>
        <w:t>wt</w:t>
      </w:r>
      <w:r>
        <w:rPr>
          <w:rFonts w:cs="宋体"/>
          <w:color w:val="000000" w:themeColor="text1"/>
          <w:vertAlign w:val="subscript"/>
          <w14:textFill>
            <w14:solidFill>
              <w14:schemeClr w14:val="tx1"/>
            </w14:solidFill>
          </w14:textFill>
        </w:rPr>
        <w:t>2</w:t>
      </w:r>
      <w:r>
        <w:rPr>
          <w:rFonts w:cs="宋体"/>
          <w:color w:val="000000" w:themeColor="text1"/>
          <w:vertAlign w:val="superscript"/>
          <w14:textFill>
            <w14:solidFill>
              <w14:schemeClr w14:val="tx1"/>
            </w14:solidFill>
          </w14:textFill>
        </w:rPr>
        <w:t>2-3</w:t>
      </w:r>
      <w:r>
        <w:rPr>
          <w:rFonts w:cs="宋体"/>
          <w:color w:val="000000" w:themeColor="text1"/>
          <w14:textFill>
            <w14:solidFill>
              <w14:schemeClr w14:val="tx1"/>
            </w14:solidFill>
          </w14:textFill>
        </w:rPr>
        <w:t>层有油水井209口，其中采油井139口，开井134口，日产液431t，日产油133t，综合含水69.2%，采液速度2.59%，采油速度0.80%，累产油88.9×10</w:t>
      </w:r>
      <w:r>
        <w:rPr>
          <w:rFonts w:cs="宋体"/>
          <w:color w:val="000000" w:themeColor="text1"/>
          <w:vertAlign w:val="superscript"/>
          <w14:textFill>
            <w14:solidFill>
              <w14:schemeClr w14:val="tx1"/>
            </w14:solidFill>
          </w14:textFill>
        </w:rPr>
        <w:t>4</w:t>
      </w:r>
      <w:r>
        <w:rPr>
          <w:rFonts w:cs="宋体"/>
          <w:color w:val="000000" w:themeColor="text1"/>
          <w14:textFill>
            <w14:solidFill>
              <w14:schemeClr w14:val="tx1"/>
            </w14:solidFill>
          </w14:textFill>
        </w:rPr>
        <w:t>t，采出程度14.6%，注水井70口，开井数59口，日注水680m</w:t>
      </w:r>
      <w:r>
        <w:rPr>
          <w:rFonts w:cs="宋体"/>
          <w:color w:val="000000" w:themeColor="text1"/>
          <w:vertAlign w:val="superscript"/>
          <w14:textFill>
            <w14:solidFill>
              <w14:schemeClr w14:val="tx1"/>
            </w14:solidFill>
          </w14:textFill>
        </w:rPr>
        <w:t>3</w:t>
      </w:r>
      <w:r>
        <w:rPr>
          <w:rFonts w:cs="宋体"/>
          <w:color w:val="000000" w:themeColor="text1"/>
          <w14:textFill>
            <w14:solidFill>
              <w14:schemeClr w14:val="tx1"/>
            </w14:solidFill>
          </w14:textFill>
        </w:rPr>
        <w:t>，月度注采比1.50，累注水223.2×10</w:t>
      </w:r>
      <w:r>
        <w:rPr>
          <w:rFonts w:cs="宋体"/>
          <w:color w:val="000000" w:themeColor="text1"/>
          <w:vertAlign w:val="superscript"/>
          <w14:textFill>
            <w14:solidFill>
              <w14:schemeClr w14:val="tx1"/>
            </w14:solidFill>
          </w14:textFill>
        </w:rPr>
        <w:t>4</w:t>
      </w:r>
      <w:r>
        <w:rPr>
          <w:rFonts w:cs="宋体"/>
          <w:color w:val="000000" w:themeColor="text1"/>
          <w14:textFill>
            <w14:solidFill>
              <w14:schemeClr w14:val="tx1"/>
            </w14:solidFill>
          </w14:textFill>
        </w:rPr>
        <w:t>m</w:t>
      </w:r>
      <w:r>
        <w:rPr>
          <w:rFonts w:cs="宋体"/>
          <w:color w:val="000000" w:themeColor="text1"/>
          <w:vertAlign w:val="superscript"/>
          <w14:textFill>
            <w14:solidFill>
              <w14:schemeClr w14:val="tx1"/>
            </w14:solidFill>
          </w14:textFill>
        </w:rPr>
        <w:t>3</w:t>
      </w:r>
      <w:r>
        <w:rPr>
          <w:rFonts w:cs="宋体"/>
          <w:color w:val="000000" w:themeColor="text1"/>
          <w14:textFill>
            <w14:solidFill>
              <w14:schemeClr w14:val="tx1"/>
            </w14:solidFill>
          </w14:textFill>
        </w:rPr>
        <w:t>，累注采比1.15</w:t>
      </w:r>
      <w:r>
        <w:rPr>
          <w:rFonts w:hint="eastAsia" w:cs="宋体"/>
          <w:color w:val="000000" w:themeColor="text1"/>
          <w14:textFill>
            <w14:solidFill>
              <w14:schemeClr w14:val="tx1"/>
            </w14:solidFill>
          </w14:textFill>
        </w:rPr>
        <w:t>。</w:t>
      </w:r>
    </w:p>
    <w:p w14:paraId="4E83D05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（2）地质构造、层系、储层特征</w:t>
      </w:r>
    </w:p>
    <w:p w14:paraId="31DC8F4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地质构造、层系、储层特征、油藏类型及开发进程见表3.2-4。</w:t>
      </w:r>
    </w:p>
    <w:p w14:paraId="75716012">
      <w:pPr>
        <w:widowControl/>
        <w:adjustRightInd w:val="0"/>
        <w:snapToGrid w:val="0"/>
        <w:spacing w:line="500" w:lineRule="exact"/>
        <w:ind w:firstLine="480"/>
        <w:jc w:val="center"/>
        <w:rPr>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表3</w:t>
      </w:r>
      <w:r>
        <w:rPr>
          <w:rFonts w:ascii="黑体" w:hAnsi="黑体" w:eastAsia="黑体"/>
          <w:color w:val="000000" w:themeColor="text1"/>
          <w14:textFill>
            <w14:solidFill>
              <w14:schemeClr w14:val="tx1"/>
            </w14:solidFill>
          </w14:textFill>
        </w:rPr>
        <w:t>.2</w:t>
      </w:r>
      <w:r>
        <w:rPr>
          <w:rFonts w:hint="eastAsia" w:ascii="黑体" w:hAnsi="黑体" w:eastAsia="黑体"/>
          <w:color w:val="000000" w:themeColor="text1"/>
          <w14:textFill>
            <w14:solidFill>
              <w14:schemeClr w14:val="tx1"/>
            </w14:solidFill>
          </w14:textFill>
        </w:rPr>
        <w:t xml:space="preserve">-4 </w:t>
      </w:r>
      <w:r>
        <w:rPr>
          <w:rFonts w:ascii="黑体" w:hAnsi="黑体" w:eastAsia="黑体"/>
          <w:color w:val="000000" w:themeColor="text1"/>
          <w14:textFill>
            <w14:solidFill>
              <w14:schemeClr w14:val="tx1"/>
            </w14:solidFill>
          </w14:textFill>
        </w:rPr>
        <w:t xml:space="preserve"> </w:t>
      </w:r>
      <w:bookmarkStart w:id="236" w:name="_Hlk164170345"/>
      <w:r>
        <w:rPr>
          <w:rFonts w:hint="eastAsia" w:ascii="黑体" w:hAnsi="黑体" w:eastAsia="黑体"/>
          <w:color w:val="000000" w:themeColor="text1"/>
          <w14:textFill>
            <w14:solidFill>
              <w14:schemeClr w14:val="tx1"/>
            </w14:solidFill>
          </w14:textFill>
        </w:rPr>
        <w:t>勘探开发概况地质构造、层系、储层特征、油藏类型及开发进程一览表</w:t>
      </w:r>
    </w:p>
    <w:bookmarkEnd w:id="236"/>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8"/>
        <w:gridCol w:w="7882"/>
      </w:tblGrid>
      <w:tr w14:paraId="560AA1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86" w:type="pct"/>
            <w:vAlign w:val="center"/>
          </w:tcPr>
          <w:p w14:paraId="197F851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4513" w:type="pct"/>
            <w:vAlign w:val="center"/>
          </w:tcPr>
          <w:p w14:paraId="4C222C4F">
            <w:pPr>
              <w:pStyle w:val="280"/>
              <w:spacing w:line="300" w:lineRule="exact"/>
              <w:rPr>
                <w:rFonts w:hint="eastAsia"/>
                <w:color w:val="000000" w:themeColor="text1"/>
                <w:w w:val="110"/>
                <w14:textFill>
                  <w14:solidFill>
                    <w14:schemeClr w14:val="tx1"/>
                  </w14:solidFill>
                </w14:textFill>
              </w:rPr>
            </w:pPr>
            <w:r>
              <w:rPr>
                <w:rFonts w:hint="eastAsia"/>
                <w:color w:val="000000" w:themeColor="text1"/>
                <w:w w:val="110"/>
                <w14:textFill>
                  <w14:solidFill>
                    <w14:schemeClr w14:val="tx1"/>
                  </w14:solidFill>
                </w14:textFill>
              </w:rPr>
              <w:t>内容</w:t>
            </w:r>
          </w:p>
        </w:tc>
      </w:tr>
      <w:tr w14:paraId="20C14C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5" w:hRule="atLeast"/>
          <w:jc w:val="center"/>
        </w:trPr>
        <w:tc>
          <w:tcPr>
            <w:tcW w:w="486" w:type="pct"/>
            <w:vAlign w:val="center"/>
          </w:tcPr>
          <w:p w14:paraId="70EEEE4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地质</w:t>
            </w:r>
          </w:p>
          <w:p w14:paraId="1938C0D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构造</w:t>
            </w:r>
          </w:p>
        </w:tc>
        <w:tc>
          <w:tcPr>
            <w:tcW w:w="4513" w:type="pct"/>
            <w:vAlign w:val="center"/>
          </w:tcPr>
          <w:p w14:paraId="314B9D7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吉7井区吉006井断块P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2-3</w:t>
            </w:r>
            <w:r>
              <w:rPr>
                <w:color w:val="000000" w:themeColor="text1"/>
                <w14:textFill>
                  <w14:solidFill>
                    <w14:schemeClr w14:val="tx1"/>
                  </w14:solidFill>
                </w14:textFill>
              </w:rPr>
              <w:t>层油藏顶面构造为向东南抬升的单斜，倾角约10º，东南方向受吉7井断裂控制，东北、西南方向受吉006井北断裂和吉006井南断裂切割</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吉006井断块P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层油藏类型为局部受岩性控制的构造油藏，其中P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2-2</w:t>
            </w:r>
            <w:r>
              <w:rPr>
                <w:color w:val="000000" w:themeColor="text1"/>
                <w14:textFill>
                  <w14:solidFill>
                    <w14:schemeClr w14:val="tx1"/>
                  </w14:solidFill>
                </w14:textFill>
              </w:rPr>
              <w:t>层受岩性控制，P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2-1</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2-3</w:t>
            </w:r>
            <w:r>
              <w:rPr>
                <w:color w:val="000000" w:themeColor="text1"/>
                <w14:textFill>
                  <w14:solidFill>
                    <w14:schemeClr w14:val="tx1"/>
                  </w14:solidFill>
                </w14:textFill>
              </w:rPr>
              <w:t>层受构造控制。</w:t>
            </w:r>
          </w:p>
          <w:p w14:paraId="3CE4235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吉006井断块二叠系梧桐沟组（P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wt）油藏顶面构造为向东南抬升的单斜，倾角约10º，东南方向受吉7井断裂控制，东北、西南方向受吉006井北断裂和吉18井东断裂切割。</w:t>
            </w:r>
            <w:r>
              <w:rPr>
                <w:color w:val="000000" w:themeColor="text1"/>
                <w14:textFill>
                  <w14:solidFill>
                    <w14:schemeClr w14:val="tx1"/>
                  </w14:solidFill>
                </w14:textFill>
              </w:rPr>
              <w:t>吉006井断块P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层油藏类型为构造油藏</w:t>
            </w:r>
            <w:r>
              <w:rPr>
                <w:rFonts w:hint="eastAsia"/>
                <w:color w:val="000000" w:themeColor="text1"/>
                <w14:textFill>
                  <w14:solidFill>
                    <w14:schemeClr w14:val="tx1"/>
                  </w14:solidFill>
                </w14:textFill>
              </w:rPr>
              <w:t>，油层厚度0.6—25.1m，平均13.5m。</w:t>
            </w:r>
          </w:p>
          <w:p w14:paraId="172C7CE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w:t>
            </w:r>
            <w:r>
              <w:rPr>
                <w:color w:val="000000" w:themeColor="text1"/>
                <w14:textFill>
                  <w14:solidFill>
                    <w14:schemeClr w14:val="tx1"/>
                  </w14:solidFill>
                </w14:textFill>
              </w:rPr>
              <w:t>吉8井断块二叠系梧桐沟组（P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wt）油藏顶面构造为向东南抬升的单斜，倾角约4º～7º，西北、西南方向受吉7井断裂、吉004井北断裂控制，东南、东北方向受吉003井北断裂和吉007井东断裂切割</w:t>
            </w:r>
            <w:r>
              <w:rPr>
                <w:rFonts w:hint="eastAsia"/>
                <w:color w:val="000000" w:themeColor="text1"/>
                <w14:textFill>
                  <w14:solidFill>
                    <w14:schemeClr w14:val="tx1"/>
                  </w14:solidFill>
                </w14:textFill>
              </w:rPr>
              <w:t>。主要岩性为砂砾岩、含砾砂岩、中砂岩。沉积体系属辫状河入湖形成的辫状河三角洲－湖泊沉积，物源来自东南方向。吉8井断块P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bscript"/>
                <w14:textFill>
                  <w14:solidFill>
                    <w14:schemeClr w14:val="tx1"/>
                  </w14:solidFill>
                </w14:textFill>
              </w:rPr>
              <w:t>1</w:t>
            </w:r>
            <w:r>
              <w:rPr>
                <w:rFonts w:hint="eastAsia"/>
                <w:color w:val="000000" w:themeColor="text1"/>
                <w:vertAlign w:val="superscript"/>
                <w14:textFill>
                  <w14:solidFill>
                    <w14:schemeClr w14:val="tx1"/>
                  </w14:solidFill>
                </w14:textFill>
              </w:rPr>
              <w:t>1</w:t>
            </w:r>
            <w:r>
              <w:rPr>
                <w:rFonts w:hint="eastAsia"/>
                <w:color w:val="000000" w:themeColor="text1"/>
                <w14:textFill>
                  <w14:solidFill>
                    <w14:schemeClr w14:val="tx1"/>
                  </w14:solidFill>
                </w14:textFill>
              </w:rPr>
              <w:t>层油藏类型为构造油藏，油层厚度5.0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17.5m平均14.8m。</w:t>
            </w:r>
          </w:p>
        </w:tc>
      </w:tr>
      <w:tr w14:paraId="0196CC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86" w:type="pct"/>
            <w:vAlign w:val="center"/>
          </w:tcPr>
          <w:p w14:paraId="328F017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层系</w:t>
            </w:r>
          </w:p>
        </w:tc>
        <w:tc>
          <w:tcPr>
            <w:tcW w:w="4513" w:type="pct"/>
            <w:vAlign w:val="center"/>
          </w:tcPr>
          <w:p w14:paraId="3337DFF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吉7井区吉006井断块P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2-3</w:t>
            </w:r>
            <w:r>
              <w:rPr>
                <w:color w:val="000000" w:themeColor="text1"/>
                <w14:textFill>
                  <w14:solidFill>
                    <w14:schemeClr w14:val="tx1"/>
                  </w14:solidFill>
                </w14:textFill>
              </w:rPr>
              <w:t>层</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吉7井区吉006井断块P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1</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层</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吉7井区吉8井断块P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2-3</w:t>
            </w:r>
            <w:r>
              <w:rPr>
                <w:color w:val="000000" w:themeColor="text1"/>
                <w14:textFill>
                  <w14:solidFill>
                    <w14:schemeClr w14:val="tx1"/>
                  </w14:solidFill>
                </w14:textFill>
              </w:rPr>
              <w:t>层</w:t>
            </w:r>
          </w:p>
        </w:tc>
      </w:tr>
      <w:tr w14:paraId="43EDC9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86" w:type="pct"/>
            <w:vAlign w:val="center"/>
          </w:tcPr>
          <w:p w14:paraId="112BAF6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储层特征</w:t>
            </w:r>
          </w:p>
        </w:tc>
        <w:tc>
          <w:tcPr>
            <w:tcW w:w="4513" w:type="pct"/>
            <w:vAlign w:val="center"/>
          </w:tcPr>
          <w:p w14:paraId="53F5008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储层岩性、物性特征：</w:t>
            </w:r>
          </w:p>
          <w:p w14:paraId="7921EE8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吉7井区梧桐沟组油藏具有中孔、中渗特征，P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bscript"/>
                <w14:textFill>
                  <w14:solidFill>
                    <w14:schemeClr w14:val="tx1"/>
                  </w14:solidFill>
                </w14:textFill>
              </w:rPr>
              <w:t>2</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储层孔隙度7.00%～26.30 %，平均19.53%，渗透率0.08mD～1254.18mD，平均25.69mD。油层孔隙度14.54%～26.30%，平均21.08%，渗透率7.07mD～1254.18mD，平均89.40mD。</w:t>
            </w:r>
          </w:p>
          <w:p w14:paraId="25C9A5E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perscript"/>
                <w14:textFill>
                  <w14:solidFill>
                    <w14:schemeClr w14:val="tx1"/>
                  </w14:solidFill>
                </w14:textFill>
              </w:rPr>
              <w:t>1</w:t>
            </w:r>
            <w:r>
              <w:rPr>
                <w:rFonts w:hint="eastAsia"/>
                <w:color w:val="000000" w:themeColor="text1"/>
                <w14:textFill>
                  <w14:solidFill>
                    <w14:schemeClr w14:val="tx1"/>
                  </w14:solidFill>
                </w14:textFill>
              </w:rPr>
              <w:t>储层孔隙度6.30%～29.80%，平均18.29%，渗透率0.14mD～2749.00mD，平均6.98mD。油层孔隙度14.17%～29.80%，平均21.90%，渗透率5.07mD～2749.00mD，平均80.80mD</w:t>
            </w:r>
          </w:p>
        </w:tc>
      </w:tr>
      <w:tr w14:paraId="125FA1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86" w:type="pct"/>
            <w:vAlign w:val="center"/>
          </w:tcPr>
          <w:p w14:paraId="1450BF5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油藏</w:t>
            </w:r>
          </w:p>
          <w:p w14:paraId="78C9CFD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类型</w:t>
            </w:r>
          </w:p>
        </w:tc>
        <w:tc>
          <w:tcPr>
            <w:tcW w:w="4513" w:type="pct"/>
            <w:vAlign w:val="center"/>
          </w:tcPr>
          <w:p w14:paraId="713827E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吉7井区断块梧桐沟组油藏属正常压力、温度系统的未饱和油藏</w:t>
            </w:r>
          </w:p>
        </w:tc>
      </w:tr>
      <w:tr w14:paraId="4A80B8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86" w:type="pct"/>
            <w:vAlign w:val="center"/>
          </w:tcPr>
          <w:p w14:paraId="79D13FC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油藏</w:t>
            </w:r>
          </w:p>
          <w:p w14:paraId="6B887A6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储量</w:t>
            </w:r>
          </w:p>
        </w:tc>
        <w:tc>
          <w:tcPr>
            <w:tcW w:w="4513" w:type="pct"/>
            <w:vAlign w:val="center"/>
          </w:tcPr>
          <w:p w14:paraId="6DCBA0F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吉庆油田吉006井断块P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bscript"/>
                <w14:textFill>
                  <w14:solidFill>
                    <w14:schemeClr w14:val="tx1"/>
                  </w14:solidFill>
                </w14:textFill>
              </w:rPr>
              <w:t>2</w:t>
            </w:r>
            <w:r>
              <w:rPr>
                <w:rFonts w:hint="eastAsia"/>
                <w:color w:val="000000" w:themeColor="text1"/>
                <w:vertAlign w:val="superscript"/>
                <w14:textFill>
                  <w14:solidFill>
                    <w14:schemeClr w14:val="tx1"/>
                  </w14:solidFill>
                </w14:textFill>
              </w:rPr>
              <w:t>2-3</w:t>
            </w:r>
            <w:r>
              <w:rPr>
                <w:rFonts w:hint="eastAsia"/>
                <w:color w:val="000000" w:themeColor="text1"/>
                <w14:textFill>
                  <w14:solidFill>
                    <w14:schemeClr w14:val="tx1"/>
                  </w14:solidFill>
                </w14:textFill>
              </w:rPr>
              <w:t>层探明含油面积3.53km²，石油地质储量299.49×10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t，标定采收率17.2%，可采储量为51.51×10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w:t>
            </w:r>
          </w:p>
          <w:p w14:paraId="37EC34A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吉庆油田吉006井断块P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bscript"/>
                <w14:textFill>
                  <w14:solidFill>
                    <w14:schemeClr w14:val="tx1"/>
                  </w14:solidFill>
                </w14:textFill>
              </w:rPr>
              <w:t>1</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层探明含油面积1.42km²，石油地质储量117.1×10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t，定采收率22.0%，可采储量为25.8×10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w:t>
            </w:r>
          </w:p>
          <w:p w14:paraId="7BAD82D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吉庆油田吉8井断块P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bscript"/>
                <w14:textFill>
                  <w14:solidFill>
                    <w14:schemeClr w14:val="tx1"/>
                  </w14:solidFill>
                </w14:textFill>
              </w:rPr>
              <w:t>2</w:t>
            </w:r>
            <w:r>
              <w:rPr>
                <w:rFonts w:hint="eastAsia"/>
                <w:color w:val="000000" w:themeColor="text1"/>
                <w:vertAlign w:val="superscript"/>
                <w14:textFill>
                  <w14:solidFill>
                    <w14:schemeClr w14:val="tx1"/>
                  </w14:solidFill>
                </w14:textFill>
              </w:rPr>
              <w:t>2-3</w:t>
            </w:r>
            <w:r>
              <w:rPr>
                <w:rFonts w:hint="eastAsia"/>
                <w:color w:val="000000" w:themeColor="text1"/>
                <w14:textFill>
                  <w14:solidFill>
                    <w14:schemeClr w14:val="tx1"/>
                  </w14:solidFill>
                </w14:textFill>
              </w:rPr>
              <w:t>层探明含油面积5.78km²，石油地质储量607.33×10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t，标定采收率19.2%，可采储量为116.61×10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w:t>
            </w:r>
          </w:p>
        </w:tc>
      </w:tr>
    </w:tbl>
    <w:p w14:paraId="472F736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（3）流体性质</w:t>
      </w:r>
    </w:p>
    <w:p w14:paraId="026A24E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根据地质资料，原油性质见表3.2-5，伴生气性质见表3.2-6，伴生气中含有硫化氢，硫化氢的浓度</w:t>
      </w:r>
      <w:r>
        <w:rPr>
          <w:rFonts w:hint="eastAsia"/>
          <w:color w:val="000000" w:themeColor="text1"/>
          <w:lang w:val="en-US"/>
          <w14:textFill>
            <w14:solidFill>
              <w14:schemeClr w14:val="tx1"/>
            </w14:solidFill>
          </w14:textFill>
        </w:rPr>
        <w:t>3</w:t>
      </w:r>
      <w:r>
        <w:rPr>
          <w:rFonts w:hint="eastAsia"/>
          <w:color w:val="000000" w:themeColor="text1"/>
          <w:kern w:val="0"/>
          <w14:textFill>
            <w14:solidFill>
              <w14:schemeClr w14:val="tx1"/>
            </w14:solidFill>
          </w14:textFill>
        </w:rPr>
        <w:t>mg/m</w:t>
      </w:r>
      <w:r>
        <w:rPr>
          <w:rFonts w:hint="eastAsia"/>
          <w:color w:val="000000" w:themeColor="text1"/>
          <w:kern w:val="0"/>
          <w:vertAlign w:val="superscript"/>
          <w14:textFill>
            <w14:solidFill>
              <w14:schemeClr w14:val="tx1"/>
            </w14:solidFill>
          </w14:textFill>
        </w:rPr>
        <w:t>3</w:t>
      </w:r>
      <w:r>
        <w:rPr>
          <w:rFonts w:hint="eastAsia"/>
          <w:color w:val="000000" w:themeColor="text1"/>
          <w14:textFill>
            <w14:solidFill>
              <w14:schemeClr w14:val="tx1"/>
            </w14:solidFill>
          </w14:textFill>
        </w:rPr>
        <w:t>；采出水性质见表3.2-7。</w:t>
      </w:r>
    </w:p>
    <w:p w14:paraId="3D16BBDD">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3.2-5  吉庆油田原油性质一览表</w:t>
      </w:r>
    </w:p>
    <w:bookmarkEnd w:id="235"/>
    <w:tbl>
      <w:tblPr>
        <w:tblStyle w:val="41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8"/>
        <w:gridCol w:w="1417"/>
        <w:gridCol w:w="2005"/>
        <w:gridCol w:w="1396"/>
        <w:gridCol w:w="1781"/>
      </w:tblGrid>
      <w:tr w14:paraId="454A77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19" w:type="pct"/>
            <w:vAlign w:val="center"/>
          </w:tcPr>
          <w:p w14:paraId="2C31D020">
            <w:pPr>
              <w:pStyle w:val="280"/>
              <w:spacing w:line="300" w:lineRule="exact"/>
              <w:rPr>
                <w:rFonts w:hint="eastAsia"/>
                <w:color w:val="000000" w:themeColor="text1"/>
                <w14:textFill>
                  <w14:solidFill>
                    <w14:schemeClr w14:val="tx1"/>
                  </w14:solidFill>
                </w14:textFill>
              </w:rPr>
            </w:pPr>
            <w:bookmarkStart w:id="237" w:name="_Hlk169020726"/>
            <w:r>
              <w:rPr>
                <w:rFonts w:hint="eastAsia"/>
                <w:color w:val="000000" w:themeColor="text1"/>
                <w14:textFill>
                  <w14:solidFill>
                    <w14:schemeClr w14:val="tx1"/>
                  </w14:solidFill>
                </w14:textFill>
              </w:rPr>
              <w:t>断块</w:t>
            </w:r>
          </w:p>
        </w:tc>
        <w:tc>
          <w:tcPr>
            <w:tcW w:w="812" w:type="pct"/>
            <w:vAlign w:val="center"/>
          </w:tcPr>
          <w:p w14:paraId="0E0A270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密度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149" w:type="pct"/>
            <w:vAlign w:val="center"/>
          </w:tcPr>
          <w:p w14:paraId="368720D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50℃粘度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mPa•s</w:t>
            </w:r>
            <w:r>
              <w:rPr>
                <w:rFonts w:hint="eastAsia"/>
                <w:color w:val="000000" w:themeColor="text1"/>
                <w14:textFill>
                  <w14:solidFill>
                    <w14:schemeClr w14:val="tx1"/>
                  </w14:solidFill>
                </w14:textFill>
              </w:rPr>
              <w:t>）</w:t>
            </w:r>
          </w:p>
        </w:tc>
        <w:tc>
          <w:tcPr>
            <w:tcW w:w="800" w:type="pct"/>
            <w:vAlign w:val="center"/>
          </w:tcPr>
          <w:p w14:paraId="79048D6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含蜡量（%）</w:t>
            </w:r>
          </w:p>
        </w:tc>
        <w:tc>
          <w:tcPr>
            <w:tcW w:w="1020" w:type="pct"/>
            <w:vAlign w:val="center"/>
          </w:tcPr>
          <w:p w14:paraId="3EB1C7CA">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凝固点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°C</w:t>
            </w:r>
            <w:r>
              <w:rPr>
                <w:rFonts w:hint="eastAsia"/>
                <w:color w:val="000000" w:themeColor="text1"/>
                <w14:textFill>
                  <w14:solidFill>
                    <w14:schemeClr w14:val="tx1"/>
                  </w14:solidFill>
                </w14:textFill>
              </w:rPr>
              <w:t>）</w:t>
            </w:r>
          </w:p>
        </w:tc>
      </w:tr>
      <w:tr w14:paraId="0C99D3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19" w:type="pct"/>
            <w:vAlign w:val="center"/>
          </w:tcPr>
          <w:p w14:paraId="54DF4719">
            <w:pPr>
              <w:pStyle w:val="280"/>
              <w:spacing w:line="300" w:lineRule="exact"/>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吉006井断块P</w:t>
            </w:r>
            <w:r>
              <w:rPr>
                <w:rFonts w:hint="eastAsia"/>
                <w:snapToGrid w:val="0"/>
                <w:color w:val="000000" w:themeColor="text1"/>
                <w:vertAlign w:val="subscript"/>
                <w14:textFill>
                  <w14:solidFill>
                    <w14:schemeClr w14:val="tx1"/>
                  </w14:solidFill>
                </w14:textFill>
              </w:rPr>
              <w:t>3</w:t>
            </w:r>
            <w:r>
              <w:rPr>
                <w:rFonts w:hint="eastAsia"/>
                <w:snapToGrid w:val="0"/>
                <w:color w:val="000000" w:themeColor="text1"/>
                <w14:textFill>
                  <w14:solidFill>
                    <w14:schemeClr w14:val="tx1"/>
                  </w14:solidFill>
                </w14:textFill>
              </w:rPr>
              <w:t>wt</w:t>
            </w:r>
            <w:r>
              <w:rPr>
                <w:rFonts w:hint="eastAsia"/>
                <w:snapToGrid w:val="0"/>
                <w:color w:val="000000" w:themeColor="text1"/>
                <w:vertAlign w:val="subscript"/>
                <w14:textFill>
                  <w14:solidFill>
                    <w14:schemeClr w14:val="tx1"/>
                  </w14:solidFill>
                </w14:textFill>
              </w:rPr>
              <w:t>2</w:t>
            </w:r>
            <w:r>
              <w:rPr>
                <w:rFonts w:hint="eastAsia"/>
                <w:snapToGrid w:val="0"/>
                <w:color w:val="000000" w:themeColor="text1"/>
                <w:vertAlign w:val="superscript"/>
                <w14:textFill>
                  <w14:solidFill>
                    <w14:schemeClr w14:val="tx1"/>
                  </w14:solidFill>
                </w14:textFill>
              </w:rPr>
              <w:t>2-3</w:t>
            </w:r>
          </w:p>
        </w:tc>
        <w:tc>
          <w:tcPr>
            <w:tcW w:w="812" w:type="pct"/>
            <w:vAlign w:val="center"/>
          </w:tcPr>
          <w:p w14:paraId="14B77CF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0.927</w:t>
            </w:r>
          </w:p>
        </w:tc>
        <w:tc>
          <w:tcPr>
            <w:tcW w:w="1149" w:type="pct"/>
            <w:vAlign w:val="center"/>
          </w:tcPr>
          <w:p w14:paraId="5E413B3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447.5</w:t>
            </w:r>
          </w:p>
        </w:tc>
        <w:tc>
          <w:tcPr>
            <w:tcW w:w="800" w:type="pct"/>
            <w:vAlign w:val="center"/>
          </w:tcPr>
          <w:p w14:paraId="078964A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2.2</w:t>
            </w:r>
          </w:p>
        </w:tc>
        <w:tc>
          <w:tcPr>
            <w:tcW w:w="1020" w:type="pct"/>
            <w:vAlign w:val="center"/>
          </w:tcPr>
          <w:p w14:paraId="3CE732EF">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2.0</w:t>
            </w:r>
          </w:p>
        </w:tc>
      </w:tr>
      <w:tr w14:paraId="1CD26A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19" w:type="pct"/>
            <w:vAlign w:val="center"/>
          </w:tcPr>
          <w:p w14:paraId="0458113F">
            <w:pPr>
              <w:pStyle w:val="280"/>
              <w:spacing w:line="300" w:lineRule="exact"/>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吉006 井断块P</w:t>
            </w:r>
            <w:r>
              <w:rPr>
                <w:rFonts w:hint="eastAsia"/>
                <w:snapToGrid w:val="0"/>
                <w:color w:val="000000" w:themeColor="text1"/>
                <w:vertAlign w:val="subscript"/>
                <w14:textFill>
                  <w14:solidFill>
                    <w14:schemeClr w14:val="tx1"/>
                  </w14:solidFill>
                </w14:textFill>
              </w:rPr>
              <w:t>3</w:t>
            </w:r>
            <w:r>
              <w:rPr>
                <w:rFonts w:hint="eastAsia"/>
                <w:snapToGrid w:val="0"/>
                <w:color w:val="000000" w:themeColor="text1"/>
                <w14:textFill>
                  <w14:solidFill>
                    <w14:schemeClr w14:val="tx1"/>
                  </w14:solidFill>
                </w14:textFill>
              </w:rPr>
              <w:t>wt</w:t>
            </w:r>
            <w:r>
              <w:rPr>
                <w:rFonts w:hint="eastAsia"/>
                <w:snapToGrid w:val="0"/>
                <w:color w:val="000000" w:themeColor="text1"/>
                <w:vertAlign w:val="subscript"/>
                <w14:textFill>
                  <w14:solidFill>
                    <w14:schemeClr w14:val="tx1"/>
                  </w14:solidFill>
                </w14:textFill>
              </w:rPr>
              <w:t>1</w:t>
            </w:r>
            <w:r>
              <w:rPr>
                <w:rFonts w:hint="eastAsia"/>
                <w:snapToGrid w:val="0"/>
                <w:color w:val="000000" w:themeColor="text1"/>
                <w:vertAlign w:val="superscript"/>
                <w14:textFill>
                  <w14:solidFill>
                    <w14:schemeClr w14:val="tx1"/>
                  </w14:solidFill>
                </w14:textFill>
              </w:rPr>
              <w:t>2</w:t>
            </w:r>
          </w:p>
        </w:tc>
        <w:tc>
          <w:tcPr>
            <w:tcW w:w="812" w:type="pct"/>
            <w:vAlign w:val="center"/>
          </w:tcPr>
          <w:p w14:paraId="419A3DE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0.939</w:t>
            </w:r>
          </w:p>
        </w:tc>
        <w:tc>
          <w:tcPr>
            <w:tcW w:w="1149" w:type="pct"/>
            <w:vAlign w:val="center"/>
          </w:tcPr>
          <w:p w14:paraId="5544D01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100</w:t>
            </w:r>
          </w:p>
        </w:tc>
        <w:tc>
          <w:tcPr>
            <w:tcW w:w="800" w:type="pct"/>
            <w:vAlign w:val="center"/>
          </w:tcPr>
          <w:p w14:paraId="4BEF8C5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1.9</w:t>
            </w:r>
          </w:p>
        </w:tc>
        <w:tc>
          <w:tcPr>
            <w:tcW w:w="1020" w:type="pct"/>
            <w:vAlign w:val="center"/>
          </w:tcPr>
          <w:p w14:paraId="3FE705B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-4.0</w:t>
            </w:r>
          </w:p>
        </w:tc>
      </w:tr>
      <w:tr w14:paraId="3A3B8B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19" w:type="pct"/>
            <w:vAlign w:val="center"/>
          </w:tcPr>
          <w:p w14:paraId="4F53A06D">
            <w:pPr>
              <w:pStyle w:val="280"/>
              <w:spacing w:line="300" w:lineRule="exact"/>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吉8 井断块P</w:t>
            </w:r>
            <w:r>
              <w:rPr>
                <w:rFonts w:hint="eastAsia"/>
                <w:snapToGrid w:val="0"/>
                <w:color w:val="000000" w:themeColor="text1"/>
                <w:vertAlign w:val="subscript"/>
                <w14:textFill>
                  <w14:solidFill>
                    <w14:schemeClr w14:val="tx1"/>
                  </w14:solidFill>
                </w14:textFill>
              </w:rPr>
              <w:t>3</w:t>
            </w:r>
            <w:r>
              <w:rPr>
                <w:rFonts w:hint="eastAsia"/>
                <w:snapToGrid w:val="0"/>
                <w:color w:val="000000" w:themeColor="text1"/>
                <w14:textFill>
                  <w14:solidFill>
                    <w14:schemeClr w14:val="tx1"/>
                  </w14:solidFill>
                </w14:textFill>
              </w:rPr>
              <w:t>wt</w:t>
            </w:r>
            <w:r>
              <w:rPr>
                <w:rFonts w:hint="eastAsia"/>
                <w:snapToGrid w:val="0"/>
                <w:color w:val="000000" w:themeColor="text1"/>
                <w:vertAlign w:val="subscript"/>
                <w14:textFill>
                  <w14:solidFill>
                    <w14:schemeClr w14:val="tx1"/>
                  </w14:solidFill>
                </w14:textFill>
              </w:rPr>
              <w:t>2</w:t>
            </w:r>
            <w:r>
              <w:rPr>
                <w:rFonts w:hint="eastAsia"/>
                <w:snapToGrid w:val="0"/>
                <w:color w:val="000000" w:themeColor="text1"/>
                <w:vertAlign w:val="superscript"/>
                <w14:textFill>
                  <w14:solidFill>
                    <w14:schemeClr w14:val="tx1"/>
                  </w14:solidFill>
                </w14:textFill>
              </w:rPr>
              <w:t>2-3</w:t>
            </w:r>
          </w:p>
        </w:tc>
        <w:tc>
          <w:tcPr>
            <w:tcW w:w="812" w:type="pct"/>
            <w:vAlign w:val="center"/>
          </w:tcPr>
          <w:p w14:paraId="563E622B">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0.941</w:t>
            </w:r>
          </w:p>
        </w:tc>
        <w:tc>
          <w:tcPr>
            <w:tcW w:w="1149" w:type="pct"/>
            <w:vAlign w:val="center"/>
          </w:tcPr>
          <w:p w14:paraId="3248ED0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2050.5</w:t>
            </w:r>
          </w:p>
        </w:tc>
        <w:tc>
          <w:tcPr>
            <w:tcW w:w="800" w:type="pct"/>
            <w:vAlign w:val="center"/>
          </w:tcPr>
          <w:p w14:paraId="32BA047A">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2.4</w:t>
            </w:r>
          </w:p>
        </w:tc>
        <w:tc>
          <w:tcPr>
            <w:tcW w:w="1020" w:type="pct"/>
            <w:vAlign w:val="center"/>
          </w:tcPr>
          <w:p w14:paraId="254A9B7B">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-0.7</w:t>
            </w:r>
          </w:p>
        </w:tc>
      </w:tr>
      <w:bookmarkEnd w:id="237"/>
    </w:tbl>
    <w:p w14:paraId="195F164E">
      <w:pPr>
        <w:widowControl/>
        <w:adjustRightInd w:val="0"/>
        <w:snapToGrid w:val="0"/>
        <w:spacing w:line="500" w:lineRule="exact"/>
        <w:ind w:firstLine="480"/>
        <w:jc w:val="center"/>
        <w:rPr>
          <w:color w:val="000000" w:themeColor="text1"/>
          <w14:textFill>
            <w14:solidFill>
              <w14:schemeClr w14:val="tx1"/>
            </w14:solidFill>
          </w14:textFill>
        </w:rPr>
      </w:pPr>
      <w:bookmarkStart w:id="238" w:name="_Hlk169004640"/>
      <w:r>
        <w:rPr>
          <w:rFonts w:hint="eastAsia" w:ascii="黑体" w:hAnsi="黑体" w:eastAsia="黑体"/>
          <w:color w:val="000000" w:themeColor="text1"/>
          <w14:textFill>
            <w14:solidFill>
              <w14:schemeClr w14:val="tx1"/>
            </w14:solidFill>
          </w14:textFill>
        </w:rPr>
        <w:t>表3.2-6  伴生气性质一览表</w:t>
      </w:r>
    </w:p>
    <w:bookmarkEnd w:id="238"/>
    <w:tbl>
      <w:tblPr>
        <w:tblStyle w:val="4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6"/>
        <w:gridCol w:w="741"/>
        <w:gridCol w:w="724"/>
        <w:gridCol w:w="724"/>
        <w:gridCol w:w="771"/>
        <w:gridCol w:w="787"/>
        <w:gridCol w:w="787"/>
        <w:gridCol w:w="787"/>
        <w:gridCol w:w="675"/>
        <w:gridCol w:w="942"/>
        <w:gridCol w:w="943"/>
      </w:tblGrid>
      <w:tr w14:paraId="314735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21" w:type="pct"/>
            <w:vMerge w:val="restart"/>
            <w:vAlign w:val="center"/>
          </w:tcPr>
          <w:p w14:paraId="6FE770C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相对密度</w:t>
            </w:r>
          </w:p>
        </w:tc>
        <w:tc>
          <w:tcPr>
            <w:tcW w:w="3483" w:type="pct"/>
            <w:gridSpan w:val="8"/>
            <w:vAlign w:val="center"/>
          </w:tcPr>
          <w:p w14:paraId="1CDF205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烃组分（</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tc>
        <w:tc>
          <w:tcPr>
            <w:tcW w:w="547" w:type="pct"/>
            <w:vMerge w:val="restart"/>
            <w:vAlign w:val="center"/>
          </w:tcPr>
          <w:p w14:paraId="36E9A3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二氧化碳</w:t>
            </w:r>
          </w:p>
          <w:p w14:paraId="3C310CF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tc>
        <w:tc>
          <w:tcPr>
            <w:tcW w:w="547" w:type="pct"/>
            <w:vMerge w:val="restart"/>
            <w:vAlign w:val="center"/>
          </w:tcPr>
          <w:p w14:paraId="61F14703">
            <w:pPr>
              <w:pStyle w:val="280"/>
              <w:spacing w:line="300" w:lineRule="exact"/>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氮气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tc>
      </w:tr>
      <w:tr w14:paraId="09E719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21" w:type="pct"/>
            <w:vMerge w:val="continue"/>
            <w:vAlign w:val="center"/>
          </w:tcPr>
          <w:p w14:paraId="44432843">
            <w:pPr>
              <w:pStyle w:val="280"/>
              <w:spacing w:line="300" w:lineRule="exact"/>
              <w:rPr>
                <w:rFonts w:hint="eastAsia"/>
                <w:color w:val="000000" w:themeColor="text1"/>
                <w14:textFill>
                  <w14:solidFill>
                    <w14:schemeClr w14:val="tx1"/>
                  </w14:solidFill>
                </w14:textFill>
              </w:rPr>
            </w:pPr>
          </w:p>
        </w:tc>
        <w:tc>
          <w:tcPr>
            <w:tcW w:w="422" w:type="pct"/>
            <w:vAlign w:val="center"/>
          </w:tcPr>
          <w:p w14:paraId="5F6C633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甲烷</w:t>
            </w:r>
          </w:p>
        </w:tc>
        <w:tc>
          <w:tcPr>
            <w:tcW w:w="422" w:type="pct"/>
            <w:vAlign w:val="center"/>
          </w:tcPr>
          <w:p w14:paraId="5C2601E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乙烷</w:t>
            </w:r>
          </w:p>
        </w:tc>
        <w:tc>
          <w:tcPr>
            <w:tcW w:w="422" w:type="pct"/>
            <w:vAlign w:val="center"/>
          </w:tcPr>
          <w:p w14:paraId="3923D01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丙烷</w:t>
            </w:r>
          </w:p>
        </w:tc>
        <w:tc>
          <w:tcPr>
            <w:tcW w:w="449" w:type="pct"/>
            <w:vAlign w:val="center"/>
          </w:tcPr>
          <w:p w14:paraId="2DF3B0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异丁烷</w:t>
            </w:r>
          </w:p>
        </w:tc>
        <w:tc>
          <w:tcPr>
            <w:tcW w:w="458" w:type="pct"/>
            <w:vAlign w:val="center"/>
          </w:tcPr>
          <w:p w14:paraId="78BA2DF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正丁烷</w:t>
            </w:r>
          </w:p>
        </w:tc>
        <w:tc>
          <w:tcPr>
            <w:tcW w:w="458" w:type="pct"/>
            <w:vAlign w:val="center"/>
          </w:tcPr>
          <w:p w14:paraId="198286D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异戊烷</w:t>
            </w:r>
          </w:p>
        </w:tc>
        <w:tc>
          <w:tcPr>
            <w:tcW w:w="458" w:type="pct"/>
            <w:vAlign w:val="center"/>
          </w:tcPr>
          <w:p w14:paraId="3F7AE65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正戊烷</w:t>
            </w:r>
          </w:p>
        </w:tc>
        <w:tc>
          <w:tcPr>
            <w:tcW w:w="393" w:type="pct"/>
            <w:vAlign w:val="center"/>
          </w:tcPr>
          <w:p w14:paraId="68E3F02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己烷</w:t>
            </w:r>
          </w:p>
        </w:tc>
        <w:tc>
          <w:tcPr>
            <w:tcW w:w="547" w:type="pct"/>
            <w:vMerge w:val="continue"/>
            <w:vAlign w:val="center"/>
          </w:tcPr>
          <w:p w14:paraId="0B80B966">
            <w:pPr>
              <w:pStyle w:val="280"/>
              <w:spacing w:line="300" w:lineRule="exact"/>
              <w:rPr>
                <w:rFonts w:hint="eastAsia"/>
                <w:color w:val="000000" w:themeColor="text1"/>
                <w14:textFill>
                  <w14:solidFill>
                    <w14:schemeClr w14:val="tx1"/>
                  </w14:solidFill>
                </w14:textFill>
              </w:rPr>
            </w:pPr>
          </w:p>
        </w:tc>
        <w:tc>
          <w:tcPr>
            <w:tcW w:w="547" w:type="pct"/>
            <w:vMerge w:val="continue"/>
            <w:vAlign w:val="center"/>
          </w:tcPr>
          <w:p w14:paraId="0ACB3CC7">
            <w:pPr>
              <w:pStyle w:val="280"/>
              <w:spacing w:line="300" w:lineRule="exact"/>
              <w:rPr>
                <w:rFonts w:hint="eastAsia"/>
                <w:color w:val="000000" w:themeColor="text1"/>
                <w14:textFill>
                  <w14:solidFill>
                    <w14:schemeClr w14:val="tx1"/>
                  </w14:solidFill>
                </w14:textFill>
              </w:rPr>
            </w:pPr>
          </w:p>
        </w:tc>
      </w:tr>
      <w:tr w14:paraId="1F90BD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6" w:hRule="atLeast"/>
          <w:jc w:val="center"/>
        </w:trPr>
        <w:tc>
          <w:tcPr>
            <w:tcW w:w="421" w:type="pct"/>
            <w:vAlign w:val="center"/>
          </w:tcPr>
          <w:p w14:paraId="354B49B5">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0.5778</w:t>
            </w:r>
          </w:p>
        </w:tc>
        <w:tc>
          <w:tcPr>
            <w:tcW w:w="422" w:type="pct"/>
            <w:vAlign w:val="center"/>
          </w:tcPr>
          <w:p w14:paraId="245767BE">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97.14</w:t>
            </w:r>
          </w:p>
        </w:tc>
        <w:tc>
          <w:tcPr>
            <w:tcW w:w="422" w:type="pct"/>
            <w:vAlign w:val="center"/>
          </w:tcPr>
          <w:p w14:paraId="4833A656">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0.75</w:t>
            </w:r>
          </w:p>
        </w:tc>
        <w:tc>
          <w:tcPr>
            <w:tcW w:w="422" w:type="pct"/>
            <w:vAlign w:val="center"/>
          </w:tcPr>
          <w:p w14:paraId="00810192">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0.46</w:t>
            </w:r>
          </w:p>
        </w:tc>
        <w:tc>
          <w:tcPr>
            <w:tcW w:w="449" w:type="pct"/>
            <w:vAlign w:val="center"/>
          </w:tcPr>
          <w:p w14:paraId="7025E6B9">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0.03</w:t>
            </w:r>
          </w:p>
        </w:tc>
        <w:tc>
          <w:tcPr>
            <w:tcW w:w="458" w:type="pct"/>
            <w:vAlign w:val="center"/>
          </w:tcPr>
          <w:p w14:paraId="7911393F">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0.08</w:t>
            </w:r>
          </w:p>
        </w:tc>
        <w:tc>
          <w:tcPr>
            <w:tcW w:w="458" w:type="pct"/>
            <w:vAlign w:val="center"/>
          </w:tcPr>
          <w:p w14:paraId="24CE1CCD">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458" w:type="pct"/>
            <w:vAlign w:val="center"/>
          </w:tcPr>
          <w:p w14:paraId="1233A224">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393" w:type="pct"/>
            <w:vAlign w:val="center"/>
          </w:tcPr>
          <w:p w14:paraId="61E0055C">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0.03</w:t>
            </w:r>
          </w:p>
        </w:tc>
        <w:tc>
          <w:tcPr>
            <w:tcW w:w="547" w:type="pct"/>
            <w:vAlign w:val="center"/>
          </w:tcPr>
          <w:p w14:paraId="6A3A82CB">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1.10</w:t>
            </w:r>
          </w:p>
        </w:tc>
        <w:tc>
          <w:tcPr>
            <w:tcW w:w="547" w:type="pct"/>
            <w:vAlign w:val="center"/>
          </w:tcPr>
          <w:p w14:paraId="7945A297">
            <w:pPr>
              <w:pStyle w:val="280"/>
              <w:spacing w:line="300" w:lineRule="exac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0.39</w:t>
            </w:r>
          </w:p>
        </w:tc>
      </w:tr>
    </w:tbl>
    <w:p w14:paraId="63053966">
      <w:pPr>
        <w:widowControl/>
        <w:adjustRightInd w:val="0"/>
        <w:snapToGrid w:val="0"/>
        <w:spacing w:line="240" w:lineRule="auto"/>
        <w:jc w:val="both"/>
        <w:rPr>
          <w:rFonts w:hint="default" w:ascii="黑体" w:hAnsi="黑体" w:eastAsia="黑体"/>
          <w:color w:val="000000" w:themeColor="text1"/>
          <w:lang w:val="en-US" w:eastAsia="zh-CN"/>
          <w14:textFill>
            <w14:solidFill>
              <w14:schemeClr w14:val="tx1"/>
            </w14:solidFill>
          </w14:textFill>
        </w:rPr>
      </w:pPr>
      <w:r>
        <w:rPr>
          <w:rFonts w:hint="eastAsia" w:ascii="黑体" w:hAnsi="黑体" w:eastAsia="黑体"/>
          <w:color w:val="000000" w:themeColor="text1"/>
          <w:lang w:val="en-US" w:eastAsia="zh-CN"/>
          <w14:textFill>
            <w14:solidFill>
              <w14:schemeClr w14:val="tx1"/>
            </w14:solidFill>
          </w14:textFill>
        </w:rPr>
        <w:t>备注：伴生气中含有少量的硫化氢，伴生气检测报告详见附件11。</w:t>
      </w:r>
    </w:p>
    <w:p w14:paraId="03E88B46">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表3.2-7  采出水性质一览表</w:t>
      </w:r>
    </w:p>
    <w:tbl>
      <w:tblPr>
        <w:tblStyle w:val="41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67"/>
        <w:gridCol w:w="2279"/>
        <w:gridCol w:w="2258"/>
        <w:gridCol w:w="1926"/>
      </w:tblGrid>
      <w:tr w14:paraId="58FD6E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1298" w:type="pct"/>
            <w:vAlign w:val="center"/>
          </w:tcPr>
          <w:p w14:paraId="0B33A040">
            <w:pPr>
              <w:pStyle w:val="280"/>
              <w:spacing w:line="300" w:lineRule="exact"/>
              <w:rPr>
                <w:rFonts w:hint="eastAsia"/>
                <w:color w:val="000000" w:themeColor="text1"/>
                <w14:textFill>
                  <w14:solidFill>
                    <w14:schemeClr w14:val="tx1"/>
                  </w14:solidFill>
                </w14:textFill>
              </w:rPr>
            </w:pPr>
            <w:bookmarkStart w:id="239" w:name="_Hlk169020742"/>
            <w:r>
              <w:rPr>
                <w:rFonts w:hint="eastAsia"/>
                <w:color w:val="000000" w:themeColor="text1"/>
                <w14:textFill>
                  <w14:solidFill>
                    <w14:schemeClr w14:val="tx1"/>
                  </w14:solidFill>
                </w14:textFill>
              </w:rPr>
              <w:t>层位</w:t>
            </w:r>
          </w:p>
        </w:tc>
        <w:tc>
          <w:tcPr>
            <w:tcW w:w="1305" w:type="pct"/>
            <w:vAlign w:val="center"/>
          </w:tcPr>
          <w:p w14:paraId="569763F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水型</w:t>
            </w:r>
          </w:p>
        </w:tc>
        <w:tc>
          <w:tcPr>
            <w:tcW w:w="1293" w:type="pct"/>
            <w:vAlign w:val="center"/>
          </w:tcPr>
          <w:p w14:paraId="08E37EE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总矿化度（</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tc>
        <w:tc>
          <w:tcPr>
            <w:tcW w:w="1103" w:type="pct"/>
            <w:vAlign w:val="center"/>
          </w:tcPr>
          <w:p w14:paraId="1A8770C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氯离子（</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tc>
      </w:tr>
      <w:tr w14:paraId="355309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86" w:hRule="atLeast"/>
          <w:jc w:val="center"/>
        </w:trPr>
        <w:tc>
          <w:tcPr>
            <w:tcW w:w="1298" w:type="pct"/>
            <w:vAlign w:val="center"/>
          </w:tcPr>
          <w:p w14:paraId="0D978F5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w:t>
            </w:r>
            <w:r>
              <w:rPr>
                <w:color w:val="000000" w:themeColor="text1"/>
                <w14:textFill>
                  <w14:solidFill>
                    <w14:schemeClr w14:val="tx1"/>
                  </w14:solidFill>
                </w14:textFill>
              </w:rPr>
              <w:t>006</w:t>
            </w:r>
            <w:r>
              <w:rPr>
                <w:rFonts w:hint="eastAsia"/>
                <w:color w:val="000000" w:themeColor="text1"/>
                <w14:textFill>
                  <w14:solidFill>
                    <w14:schemeClr w14:val="tx1"/>
                  </w14:solidFill>
                </w14:textFill>
              </w:rPr>
              <w:t>井断块</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3</w:t>
            </w:r>
            <w:r>
              <w:rPr>
                <w:i/>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2-3</w:t>
            </w:r>
          </w:p>
        </w:tc>
        <w:tc>
          <w:tcPr>
            <w:tcW w:w="1305" w:type="pct"/>
            <w:vAlign w:val="center"/>
          </w:tcPr>
          <w:p w14:paraId="0A62D5A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NaHCO</w:t>
            </w:r>
            <w:r>
              <w:rPr>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型</w:t>
            </w:r>
          </w:p>
        </w:tc>
        <w:tc>
          <w:tcPr>
            <w:tcW w:w="1293" w:type="pct"/>
            <w:vAlign w:val="center"/>
          </w:tcPr>
          <w:p w14:paraId="0CAA068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9581</w:t>
            </w:r>
          </w:p>
        </w:tc>
        <w:tc>
          <w:tcPr>
            <w:tcW w:w="1103" w:type="pct"/>
            <w:vAlign w:val="center"/>
          </w:tcPr>
          <w:p w14:paraId="71C8899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4618</w:t>
            </w:r>
          </w:p>
        </w:tc>
      </w:tr>
      <w:tr w14:paraId="3168C9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83" w:hRule="atLeast"/>
          <w:jc w:val="center"/>
        </w:trPr>
        <w:tc>
          <w:tcPr>
            <w:tcW w:w="1298" w:type="pct"/>
            <w:vAlign w:val="center"/>
          </w:tcPr>
          <w:p w14:paraId="4DA3FEC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w:t>
            </w:r>
            <w:r>
              <w:rPr>
                <w:color w:val="000000" w:themeColor="text1"/>
                <w14:textFill>
                  <w14:solidFill>
                    <w14:schemeClr w14:val="tx1"/>
                  </w14:solidFill>
                </w14:textFill>
              </w:rPr>
              <w:t>006</w:t>
            </w:r>
            <w:r>
              <w:rPr>
                <w:rFonts w:hint="eastAsia"/>
                <w:color w:val="000000" w:themeColor="text1"/>
                <w14:textFill>
                  <w14:solidFill>
                    <w14:schemeClr w14:val="tx1"/>
                  </w14:solidFill>
                </w14:textFill>
              </w:rPr>
              <w:t>井断块</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3</w:t>
            </w:r>
            <w:r>
              <w:rPr>
                <w:i/>
                <w:color w:val="000000" w:themeColor="text1"/>
                <w14:textFill>
                  <w14:solidFill>
                    <w14:schemeClr w14:val="tx1"/>
                  </w14:solidFill>
                </w14:textFill>
              </w:rPr>
              <w:t>wt</w:t>
            </w:r>
            <w:r>
              <w:rPr>
                <w:color w:val="000000" w:themeColor="text1"/>
                <w:vertAlign w:val="superscript"/>
                <w14:textFill>
                  <w14:solidFill>
                    <w14:schemeClr w14:val="tx1"/>
                  </w14:solidFill>
                </w14:textFill>
              </w:rPr>
              <w:t>2</w:t>
            </w:r>
          </w:p>
        </w:tc>
        <w:tc>
          <w:tcPr>
            <w:tcW w:w="1305" w:type="pct"/>
            <w:vAlign w:val="center"/>
          </w:tcPr>
          <w:p w14:paraId="2772347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NaHCO</w:t>
            </w:r>
            <w:r>
              <w:rPr>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型</w:t>
            </w:r>
          </w:p>
        </w:tc>
        <w:tc>
          <w:tcPr>
            <w:tcW w:w="1293" w:type="pct"/>
            <w:vAlign w:val="center"/>
          </w:tcPr>
          <w:p w14:paraId="6352C19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7923</w:t>
            </w:r>
          </w:p>
        </w:tc>
        <w:tc>
          <w:tcPr>
            <w:tcW w:w="1103" w:type="pct"/>
            <w:vAlign w:val="center"/>
          </w:tcPr>
          <w:p w14:paraId="78D8D4CE">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5324</w:t>
            </w:r>
          </w:p>
        </w:tc>
      </w:tr>
      <w:tr w14:paraId="6C99FE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83" w:hRule="atLeast"/>
          <w:jc w:val="center"/>
        </w:trPr>
        <w:tc>
          <w:tcPr>
            <w:tcW w:w="1298" w:type="pct"/>
            <w:vAlign w:val="center"/>
          </w:tcPr>
          <w:p w14:paraId="1C0F341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井断块</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3</w:t>
            </w:r>
            <w:r>
              <w:rPr>
                <w:i/>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2-3</w:t>
            </w:r>
          </w:p>
        </w:tc>
        <w:tc>
          <w:tcPr>
            <w:tcW w:w="1305" w:type="pct"/>
            <w:vAlign w:val="center"/>
          </w:tcPr>
          <w:p w14:paraId="0E4E428E">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NaHCO</w:t>
            </w:r>
            <w:r>
              <w:rPr>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型</w:t>
            </w:r>
          </w:p>
        </w:tc>
        <w:tc>
          <w:tcPr>
            <w:tcW w:w="1293" w:type="pct"/>
            <w:vAlign w:val="center"/>
          </w:tcPr>
          <w:p w14:paraId="6B5C002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9581</w:t>
            </w:r>
          </w:p>
        </w:tc>
        <w:tc>
          <w:tcPr>
            <w:tcW w:w="1103" w:type="pct"/>
            <w:vAlign w:val="center"/>
          </w:tcPr>
          <w:p w14:paraId="437EA55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4618</w:t>
            </w:r>
          </w:p>
        </w:tc>
      </w:tr>
      <w:bookmarkEnd w:id="239"/>
    </w:tbl>
    <w:p w14:paraId="6AC1A2A9">
      <w:pPr>
        <w:pStyle w:val="8"/>
        <w:rPr>
          <w:rFonts w:hint="eastAsia"/>
          <w:color w:val="000000" w:themeColor="text1"/>
          <w14:textFill>
            <w14:solidFill>
              <w14:schemeClr w14:val="tx1"/>
            </w14:solidFill>
          </w14:textFill>
        </w:rPr>
      </w:pPr>
      <w:bookmarkStart w:id="240" w:name="_Hlk175249646"/>
      <w:r>
        <w:rPr>
          <w:rFonts w:hint="eastAsia"/>
          <w:color w:val="000000" w:themeColor="text1"/>
          <w14:textFill>
            <w14:solidFill>
              <w14:schemeClr w14:val="tx1"/>
            </w14:solidFill>
          </w14:textFill>
        </w:rPr>
        <w:t>建设内容</w:t>
      </w:r>
    </w:p>
    <w:bookmarkEnd w:id="240"/>
    <w:p w14:paraId="218A274E">
      <w:pPr>
        <w:pStyle w:val="120"/>
        <w:rPr>
          <w:rFonts w:hint="eastAsia" w:ascii="黑体" w:hAnsi="黑体" w:eastAsia="黑体"/>
          <w:color w:val="000000" w:themeColor="text1"/>
          <w:sz w:val="21"/>
          <w:szCs w:val="21"/>
          <w14:textFill>
            <w14:solidFill>
              <w14:schemeClr w14:val="tx1"/>
            </w14:solidFill>
          </w14:textFill>
        </w:rPr>
      </w:pPr>
      <w:bookmarkStart w:id="241" w:name="_Hlk175249742"/>
      <w:r>
        <w:rPr>
          <w:rFonts w:hint="eastAsia"/>
          <w:color w:val="000000" w:themeColor="text1"/>
          <w14:textFill>
            <w14:solidFill>
              <w14:schemeClr w14:val="tx1"/>
            </w14:solidFill>
          </w14:textFill>
        </w:rPr>
        <w:t>建设内容包括主体工程、</w:t>
      </w:r>
      <w:r>
        <w:rPr>
          <w:rFonts w:hint="eastAsia"/>
          <w:color w:val="000000" w:themeColor="text1"/>
          <w:lang w:val="en-US" w:eastAsia="zh-CN"/>
          <w14:textFill>
            <w14:solidFill>
              <w14:schemeClr w14:val="tx1"/>
            </w14:solidFill>
          </w14:textFill>
        </w:rPr>
        <w:t>公用</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辅助工程、储运工程、</w:t>
      </w:r>
      <w:r>
        <w:rPr>
          <w:rFonts w:hint="eastAsia"/>
          <w:color w:val="000000" w:themeColor="text1"/>
          <w14:textFill>
            <w14:solidFill>
              <w14:schemeClr w14:val="tx1"/>
            </w14:solidFill>
          </w14:textFill>
        </w:rPr>
        <w:t>环保工程和依托工程</w:t>
      </w:r>
      <w:r>
        <w:rPr>
          <w:rFonts w:hint="eastAsia"/>
          <w:color w:val="000000" w:themeColor="text1"/>
          <w:lang w:val="en-US" w:eastAsia="zh-CN"/>
          <w14:textFill>
            <w14:solidFill>
              <w14:schemeClr w14:val="tx1"/>
            </w14:solidFill>
          </w14:textFill>
        </w:rPr>
        <w:t>六</w:t>
      </w:r>
      <w:r>
        <w:rPr>
          <w:rFonts w:hint="eastAsia"/>
          <w:color w:val="000000" w:themeColor="text1"/>
          <w14:textFill>
            <w14:solidFill>
              <w14:schemeClr w14:val="tx1"/>
            </w14:solidFill>
          </w14:textFill>
        </w:rPr>
        <w:t>个部分，工程组成汇总见表</w:t>
      </w:r>
      <w:bookmarkStart w:id="242" w:name="_Ref77035750"/>
      <w:r>
        <w:rPr>
          <w:rFonts w:hint="eastAsia"/>
          <w:color w:val="000000" w:themeColor="text1"/>
          <w14:textFill>
            <w14:solidFill>
              <w14:schemeClr w14:val="tx1"/>
            </w14:solidFill>
          </w14:textFill>
        </w:rPr>
        <w:t>3.2-8。</w:t>
      </w:r>
    </w:p>
    <w:p w14:paraId="4C12A31E">
      <w:pPr>
        <w:pStyle w:val="112"/>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表</w:t>
      </w:r>
      <w:bookmarkEnd w:id="242"/>
      <w:r>
        <w:rPr>
          <w:color w:val="000000" w:themeColor="text1"/>
          <w14:textFill>
            <w14:solidFill>
              <w14:schemeClr w14:val="tx1"/>
            </w14:solidFill>
          </w14:textFill>
        </w:rPr>
        <w:t>3.2</w:t>
      </w:r>
      <w:r>
        <w:rPr>
          <w:rFonts w:hint="eastAsia"/>
          <w:color w:val="000000" w:themeColor="text1"/>
          <w14:textFill>
            <w14:solidFill>
              <w14:schemeClr w14:val="tx1"/>
            </w14:solidFill>
          </w14:textFill>
        </w:rPr>
        <w:t>-8</w:t>
      </w:r>
      <w:r>
        <w:rPr>
          <w:color w:val="000000" w:themeColor="text1"/>
          <w:lang w:bidi="ar"/>
          <w14:textFill>
            <w14:solidFill>
              <w14:schemeClr w14:val="tx1"/>
            </w14:solidFill>
          </w14:textFill>
        </w:rPr>
        <w:t xml:space="preserve">  </w:t>
      </w:r>
      <w:r>
        <w:rPr>
          <w:rFonts w:hint="eastAsia"/>
          <w:color w:val="000000" w:themeColor="text1"/>
          <w:lang w:bidi="ar"/>
          <w14:textFill>
            <w14:solidFill>
              <w14:schemeClr w14:val="tx1"/>
            </w14:solidFill>
          </w14:textFill>
        </w:rPr>
        <w:t>工程组成一览表</w:t>
      </w:r>
    </w:p>
    <w:tbl>
      <w:tblPr>
        <w:tblStyle w:val="425"/>
        <w:tblW w:w="502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3"/>
        <w:gridCol w:w="930"/>
        <w:gridCol w:w="1608"/>
        <w:gridCol w:w="845"/>
        <w:gridCol w:w="4579"/>
      </w:tblGrid>
      <w:tr w14:paraId="747E37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92" w:type="pct"/>
            <w:gridSpan w:val="2"/>
            <w:noWrap/>
            <w:vAlign w:val="center"/>
          </w:tcPr>
          <w:p w14:paraId="02089031">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工程类型</w:t>
            </w:r>
          </w:p>
        </w:tc>
        <w:tc>
          <w:tcPr>
            <w:tcW w:w="916" w:type="pct"/>
            <w:vAlign w:val="center"/>
          </w:tcPr>
          <w:p w14:paraId="1D90568F">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工程名称</w:t>
            </w:r>
          </w:p>
        </w:tc>
        <w:tc>
          <w:tcPr>
            <w:tcW w:w="481" w:type="pct"/>
            <w:vAlign w:val="center"/>
          </w:tcPr>
          <w:p w14:paraId="45556C9D">
            <w:pPr>
              <w:pStyle w:val="280"/>
              <w:spacing w:line="300" w:lineRule="exact"/>
              <w:rPr>
                <w:rFonts w:hint="eastAsia"/>
                <w:color w:val="000000" w:themeColor="text1"/>
                <w:lang w:bidi="ar"/>
                <w14:textFill>
                  <w14:solidFill>
                    <w14:schemeClr w14:val="tx1"/>
                  </w14:solidFill>
                </w14:textFill>
              </w:rPr>
            </w:pPr>
            <w:r>
              <w:rPr>
                <w:rFonts w:hint="eastAsia"/>
                <w:snapToGrid w:val="0"/>
                <w:color w:val="000000" w:themeColor="text1"/>
                <w14:textFill>
                  <w14:solidFill>
                    <w14:schemeClr w14:val="tx1"/>
                  </w14:solidFill>
                </w14:textFill>
              </w:rPr>
              <w:t>工程量</w:t>
            </w:r>
          </w:p>
        </w:tc>
        <w:tc>
          <w:tcPr>
            <w:tcW w:w="2609" w:type="pct"/>
            <w:vAlign w:val="center"/>
          </w:tcPr>
          <w:p w14:paraId="7934AA82">
            <w:pPr>
              <w:pStyle w:val="280"/>
              <w:spacing w:line="300" w:lineRule="exact"/>
              <w:rPr>
                <w:rFonts w:hint="eastAsia"/>
                <w:color w:val="000000" w:themeColor="text1"/>
                <w:lang w:bidi="ar"/>
                <w14:textFill>
                  <w14:solidFill>
                    <w14:schemeClr w14:val="tx1"/>
                  </w14:solidFill>
                </w14:textFill>
              </w:rPr>
            </w:pPr>
            <w:r>
              <w:rPr>
                <w:rFonts w:hint="eastAsia"/>
                <w:snapToGrid w:val="0"/>
                <w:color w:val="000000" w:themeColor="text1"/>
                <w14:textFill>
                  <w14:solidFill>
                    <w14:schemeClr w14:val="tx1"/>
                  </w14:solidFill>
                </w14:textFill>
              </w:rPr>
              <w:t>具体工程内容</w:t>
            </w:r>
          </w:p>
        </w:tc>
      </w:tr>
      <w:tr w14:paraId="5ADB28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restart"/>
            <w:noWrap/>
            <w:vAlign w:val="center"/>
          </w:tcPr>
          <w:p w14:paraId="292460DA">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主体工程</w:t>
            </w:r>
          </w:p>
        </w:tc>
        <w:tc>
          <w:tcPr>
            <w:tcW w:w="529" w:type="pct"/>
            <w:vAlign w:val="center"/>
          </w:tcPr>
          <w:p w14:paraId="73A450F3">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钻前工程</w:t>
            </w:r>
          </w:p>
        </w:tc>
        <w:tc>
          <w:tcPr>
            <w:tcW w:w="916" w:type="pct"/>
            <w:vAlign w:val="center"/>
          </w:tcPr>
          <w:p w14:paraId="01C27E9B">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井场平整、基础建设</w:t>
            </w:r>
          </w:p>
        </w:tc>
        <w:tc>
          <w:tcPr>
            <w:tcW w:w="481" w:type="pct"/>
            <w:vAlign w:val="center"/>
          </w:tcPr>
          <w:p w14:paraId="1D7FAB65">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6座</w:t>
            </w:r>
          </w:p>
        </w:tc>
        <w:tc>
          <w:tcPr>
            <w:tcW w:w="2609" w:type="pct"/>
            <w:vAlign w:val="center"/>
          </w:tcPr>
          <w:p w14:paraId="45DF062E">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钻前工程包括井场平整、铺垫、钻机基础、探临道路等建设，以及设备进场；8口井中，JD6110和JD6089、JD6167和JD6186、JD8399A和J9100A分别位于2井式平台井场内，其余2口井为单井井场，本次新建3座2井式平台井场、2座单井井场、</w:t>
            </w:r>
          </w:p>
          <w:p w14:paraId="17FCDDF1">
            <w:pPr>
              <w:pStyle w:val="210"/>
              <w:rPr>
                <w:rFonts w:hint="default" w:eastAsia="宋体"/>
                <w:color w:val="000000" w:themeColor="text1"/>
                <w:lang w:val="en-US" w:eastAsia="zh-CN" w:bidi="ar"/>
                <w14:textFill>
                  <w14:solidFill>
                    <w14:schemeClr w14:val="tx1"/>
                  </w14:solidFill>
                </w14:textFill>
              </w:rPr>
            </w:pPr>
            <w:r>
              <w:rPr>
                <w:rFonts w:hint="eastAsia"/>
                <w:color w:val="000000" w:themeColor="text1"/>
                <w:lang w:bidi="ar"/>
                <w14:textFill>
                  <w14:solidFill>
                    <w14:schemeClr w14:val="tx1"/>
                  </w14:solidFill>
                </w14:textFill>
              </w:rPr>
              <w:t>新建236m探临道路，连接井场至油区已建道路。钻前工程的材料均堆放在井场中的材料房内，不单独设材料堆放场。</w:t>
            </w:r>
            <w:r>
              <w:rPr>
                <w:rFonts w:hint="eastAsia"/>
                <w:color w:val="000000" w:themeColor="text1"/>
                <w:lang w:val="en-US" w:eastAsia="zh-CN" w:bidi="ar"/>
                <w14:textFill>
                  <w14:solidFill>
                    <w14:schemeClr w14:val="tx1"/>
                  </w14:solidFill>
                </w14:textFill>
              </w:rPr>
              <w:t>本项目不新建生活营地，钻井期施工人员住宿租赁吉木萨尔县金宗石油工程技术服务有限责任公司的员工宿舍。</w:t>
            </w:r>
          </w:p>
        </w:tc>
      </w:tr>
      <w:tr w14:paraId="1B3AE0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249EB7E7">
            <w:pPr>
              <w:pStyle w:val="210"/>
              <w:rPr>
                <w:rFonts w:hint="eastAsia"/>
                <w:color w:val="000000" w:themeColor="text1"/>
                <w:lang w:bidi="ar"/>
                <w14:textFill>
                  <w14:solidFill>
                    <w14:schemeClr w14:val="tx1"/>
                  </w14:solidFill>
                </w14:textFill>
              </w:rPr>
            </w:pPr>
          </w:p>
        </w:tc>
        <w:tc>
          <w:tcPr>
            <w:tcW w:w="529" w:type="pct"/>
            <w:vMerge w:val="restart"/>
            <w:vAlign w:val="center"/>
          </w:tcPr>
          <w:p w14:paraId="7801EAD0">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钻井</w:t>
            </w:r>
          </w:p>
          <w:p w14:paraId="7C9A1BDB">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工程</w:t>
            </w:r>
          </w:p>
        </w:tc>
        <w:tc>
          <w:tcPr>
            <w:tcW w:w="916" w:type="pct"/>
            <w:vAlign w:val="center"/>
          </w:tcPr>
          <w:p w14:paraId="3F2B88C9">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采油井</w:t>
            </w:r>
          </w:p>
        </w:tc>
        <w:tc>
          <w:tcPr>
            <w:tcW w:w="481" w:type="pct"/>
            <w:vAlign w:val="center"/>
          </w:tcPr>
          <w:p w14:paraId="042B53FA">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6口</w:t>
            </w:r>
          </w:p>
        </w:tc>
        <w:tc>
          <w:tcPr>
            <w:tcW w:w="2609" w:type="pct"/>
            <w:vMerge w:val="restart"/>
            <w:vAlign w:val="center"/>
          </w:tcPr>
          <w:p w14:paraId="0D413FD7">
            <w:pPr>
              <w:pStyle w:val="210"/>
              <w:rPr>
                <w:rFonts w:hint="eastAsia"/>
                <w:color w:val="000000" w:themeColor="text1"/>
                <w:lang w:bidi="ar"/>
                <w14:textFill>
                  <w14:solidFill>
                    <w14:schemeClr w14:val="tx1"/>
                  </w14:solidFill>
                </w14:textFill>
              </w:rPr>
            </w:pPr>
            <w:r>
              <w:rPr>
                <w:rFonts w:hint="eastAsia"/>
                <w:snapToGrid w:val="0"/>
                <w:color w:val="000000" w:themeColor="text1"/>
                <w14:textFill>
                  <w14:solidFill>
                    <w14:schemeClr w14:val="tx1"/>
                  </w14:solidFill>
                </w14:textFill>
              </w:rPr>
              <w:t>新钻8口井，其中6口采油井，2口注水井，合计钻井进尺为</w:t>
            </w:r>
            <w:r>
              <w:rPr>
                <w:rFonts w:hint="eastAsia"/>
                <w:color w:val="000000" w:themeColor="text1"/>
                <w14:textFill>
                  <w14:solidFill>
                    <w14:schemeClr w14:val="tx1"/>
                  </w14:solidFill>
                </w14:textFill>
              </w:rPr>
              <w:t>14411m</w:t>
            </w:r>
            <w:r>
              <w:rPr>
                <w:rFonts w:hint="eastAsia"/>
                <w:snapToGrid w:val="0"/>
                <w:color w:val="000000" w:themeColor="text1"/>
                <w14:textFill>
                  <w14:solidFill>
                    <w14:schemeClr w14:val="tx1"/>
                  </w14:solidFill>
                </w14:textFill>
              </w:rPr>
              <w:t>；每口井均采用二开井身结构，一开和二开均采用非磺化水基钻井液体系（钾钙基有机盐钻井液体系）。</w:t>
            </w:r>
          </w:p>
        </w:tc>
      </w:tr>
      <w:tr w14:paraId="191DE9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3CC01D06">
            <w:pPr>
              <w:pStyle w:val="210"/>
              <w:rPr>
                <w:rFonts w:hint="eastAsia"/>
                <w:color w:val="000000" w:themeColor="text1"/>
                <w:lang w:bidi="ar"/>
                <w14:textFill>
                  <w14:solidFill>
                    <w14:schemeClr w14:val="tx1"/>
                  </w14:solidFill>
                </w14:textFill>
              </w:rPr>
            </w:pPr>
          </w:p>
        </w:tc>
        <w:tc>
          <w:tcPr>
            <w:tcW w:w="529" w:type="pct"/>
            <w:vMerge w:val="continue"/>
            <w:vAlign w:val="center"/>
          </w:tcPr>
          <w:p w14:paraId="312632D7">
            <w:pPr>
              <w:pStyle w:val="210"/>
              <w:rPr>
                <w:rFonts w:hint="eastAsia"/>
                <w:color w:val="000000" w:themeColor="text1"/>
                <w:lang w:bidi="ar"/>
                <w14:textFill>
                  <w14:solidFill>
                    <w14:schemeClr w14:val="tx1"/>
                  </w14:solidFill>
                </w14:textFill>
              </w:rPr>
            </w:pPr>
          </w:p>
        </w:tc>
        <w:tc>
          <w:tcPr>
            <w:tcW w:w="916" w:type="pct"/>
            <w:vAlign w:val="center"/>
          </w:tcPr>
          <w:p w14:paraId="21793CC5">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注水井</w:t>
            </w:r>
          </w:p>
        </w:tc>
        <w:tc>
          <w:tcPr>
            <w:tcW w:w="481" w:type="pct"/>
            <w:vAlign w:val="center"/>
          </w:tcPr>
          <w:p w14:paraId="431D232A">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2口</w:t>
            </w:r>
          </w:p>
        </w:tc>
        <w:tc>
          <w:tcPr>
            <w:tcW w:w="2609" w:type="pct"/>
            <w:vMerge w:val="continue"/>
            <w:vAlign w:val="center"/>
          </w:tcPr>
          <w:p w14:paraId="4FDAD4AE">
            <w:pPr>
              <w:pStyle w:val="210"/>
              <w:rPr>
                <w:rFonts w:hint="eastAsia"/>
                <w:color w:val="000000" w:themeColor="text1"/>
                <w:lang w:bidi="ar"/>
                <w14:textFill>
                  <w14:solidFill>
                    <w14:schemeClr w14:val="tx1"/>
                  </w14:solidFill>
                </w14:textFill>
              </w:rPr>
            </w:pPr>
          </w:p>
        </w:tc>
      </w:tr>
      <w:tr w14:paraId="774013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2B95DE54">
            <w:pPr>
              <w:pStyle w:val="210"/>
              <w:rPr>
                <w:rFonts w:hint="eastAsia"/>
                <w:color w:val="000000" w:themeColor="text1"/>
                <w:lang w:bidi="ar"/>
                <w14:textFill>
                  <w14:solidFill>
                    <w14:schemeClr w14:val="tx1"/>
                  </w14:solidFill>
                </w14:textFill>
              </w:rPr>
            </w:pPr>
          </w:p>
        </w:tc>
        <w:tc>
          <w:tcPr>
            <w:tcW w:w="529" w:type="pct"/>
            <w:vMerge w:val="restart"/>
            <w:vAlign w:val="center"/>
          </w:tcPr>
          <w:p w14:paraId="2F7F0C04">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储层改造工程</w:t>
            </w:r>
          </w:p>
        </w:tc>
        <w:tc>
          <w:tcPr>
            <w:tcW w:w="916" w:type="pct"/>
            <w:vAlign w:val="center"/>
          </w:tcPr>
          <w:p w14:paraId="37FCC494">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完井方式</w:t>
            </w:r>
          </w:p>
        </w:tc>
        <w:tc>
          <w:tcPr>
            <w:tcW w:w="481" w:type="pct"/>
            <w:vAlign w:val="center"/>
          </w:tcPr>
          <w:p w14:paraId="770E3469">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p>
        </w:tc>
        <w:tc>
          <w:tcPr>
            <w:tcW w:w="2609" w:type="pct"/>
            <w:vAlign w:val="center"/>
          </w:tcPr>
          <w:p w14:paraId="76FD8765">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8口新钻井均采用套管射孔完井方式</w:t>
            </w:r>
          </w:p>
        </w:tc>
      </w:tr>
      <w:tr w14:paraId="73D2C7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702E29FA">
            <w:pPr>
              <w:pStyle w:val="210"/>
              <w:rPr>
                <w:rFonts w:hint="eastAsia"/>
                <w:color w:val="000000" w:themeColor="text1"/>
                <w:lang w:bidi="ar"/>
                <w14:textFill>
                  <w14:solidFill>
                    <w14:schemeClr w14:val="tx1"/>
                  </w14:solidFill>
                </w14:textFill>
              </w:rPr>
            </w:pPr>
          </w:p>
        </w:tc>
        <w:tc>
          <w:tcPr>
            <w:tcW w:w="529" w:type="pct"/>
            <w:vMerge w:val="continue"/>
            <w:vAlign w:val="center"/>
          </w:tcPr>
          <w:p w14:paraId="360D458C">
            <w:pPr>
              <w:pStyle w:val="210"/>
              <w:rPr>
                <w:rFonts w:hint="eastAsia"/>
                <w:color w:val="000000" w:themeColor="text1"/>
                <w:lang w:bidi="ar"/>
                <w14:textFill>
                  <w14:solidFill>
                    <w14:schemeClr w14:val="tx1"/>
                  </w14:solidFill>
                </w14:textFill>
              </w:rPr>
            </w:pPr>
          </w:p>
        </w:tc>
        <w:tc>
          <w:tcPr>
            <w:tcW w:w="916" w:type="pct"/>
            <w:vAlign w:val="center"/>
          </w:tcPr>
          <w:p w14:paraId="3631CABA">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压裂</w:t>
            </w:r>
          </w:p>
        </w:tc>
        <w:tc>
          <w:tcPr>
            <w:tcW w:w="481" w:type="pct"/>
            <w:vAlign w:val="center"/>
          </w:tcPr>
          <w:p w14:paraId="2F3B0442">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8口</w:t>
            </w:r>
          </w:p>
        </w:tc>
        <w:tc>
          <w:tcPr>
            <w:tcW w:w="2609" w:type="pct"/>
            <w:vAlign w:val="center"/>
          </w:tcPr>
          <w:p w14:paraId="061F24C8">
            <w:pPr>
              <w:pStyle w:val="210"/>
              <w:rPr>
                <w:rFonts w:hint="eastAsia" w:eastAsia="宋体"/>
                <w:color w:val="000000" w:themeColor="text1"/>
                <w:lang w:eastAsia="zh-CN" w:bidi="ar"/>
                <w14:textFill>
                  <w14:solidFill>
                    <w14:schemeClr w14:val="tx1"/>
                  </w14:solidFill>
                </w14:textFill>
              </w:rPr>
            </w:pPr>
            <w:r>
              <w:rPr>
                <w:rFonts w:hint="eastAsia"/>
                <w:color w:val="000000" w:themeColor="text1"/>
                <w:lang w:bidi="ar"/>
                <w14:textFill>
                  <w14:solidFill>
                    <w14:schemeClr w14:val="tx1"/>
                  </w14:solidFill>
                </w14:textFill>
              </w:rPr>
              <w:t>采用免配变黏压裂液，</w:t>
            </w:r>
            <w:r>
              <w:rPr>
                <w:color w:val="000000" w:themeColor="text1"/>
                <w14:textFill>
                  <w14:solidFill>
                    <w14:schemeClr w14:val="tx1"/>
                  </w14:solidFill>
                </w14:textFill>
              </w:rPr>
              <w:t>单井压裂液量平均为</w:t>
            </w:r>
            <w:r>
              <w:rPr>
                <w:rFonts w:hint="eastAsia"/>
                <w:color w:val="000000" w:themeColor="text1"/>
                <w14:textFill>
                  <w14:solidFill>
                    <w14:schemeClr w14:val="tx1"/>
                  </w14:solidFill>
                </w14:textFill>
              </w:rPr>
              <w:t>36000</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,8口井</w:t>
            </w:r>
            <w:r>
              <w:rPr>
                <w:color w:val="000000" w:themeColor="text1"/>
                <w14:textFill>
                  <w14:solidFill>
                    <w14:schemeClr w14:val="tx1"/>
                  </w14:solidFill>
                </w14:textFill>
              </w:rPr>
              <w:t>压裂液</w:t>
            </w:r>
            <w:r>
              <w:rPr>
                <w:rFonts w:hint="eastAsia"/>
                <w:color w:val="000000" w:themeColor="text1"/>
                <w14:textFill>
                  <w14:solidFill>
                    <w14:schemeClr w14:val="tx1"/>
                  </w14:solidFill>
                </w14:textFill>
              </w:rPr>
              <w:t>使用量为237.6×10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vertAlign w:val="baseline"/>
                <w:lang w:eastAsia="zh-CN"/>
                <w14:textFill>
                  <w14:solidFill>
                    <w14:schemeClr w14:val="tx1"/>
                  </w14:solidFill>
                </w14:textFill>
              </w:rPr>
              <w:t>；</w:t>
            </w:r>
            <w:r>
              <w:rPr>
                <w:rFonts w:hint="eastAsia"/>
                <w:color w:val="000000" w:themeColor="text1"/>
                <w:lang w:eastAsia="zh-CN"/>
                <w14:textFill>
                  <w14:solidFill>
                    <w14:schemeClr w14:val="tx1"/>
                  </w14:solidFill>
                </w14:textFill>
              </w:rPr>
              <w:t>压裂液主体采用胍胶压裂液体系，配方添加2%KCl和防水锁剂，具体成分涉及商业秘密，不宜公开。储层改造使用环境友好的压裂液。</w:t>
            </w:r>
          </w:p>
        </w:tc>
      </w:tr>
      <w:tr w14:paraId="4FEACB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782CFDFE">
            <w:pPr>
              <w:pStyle w:val="210"/>
              <w:rPr>
                <w:rFonts w:hint="eastAsia"/>
                <w:color w:val="000000" w:themeColor="text1"/>
                <w:lang w:bidi="ar"/>
                <w14:textFill>
                  <w14:solidFill>
                    <w14:schemeClr w14:val="tx1"/>
                  </w14:solidFill>
                </w14:textFill>
              </w:rPr>
            </w:pPr>
          </w:p>
        </w:tc>
        <w:tc>
          <w:tcPr>
            <w:tcW w:w="529" w:type="pct"/>
            <w:vMerge w:val="restart"/>
            <w:vAlign w:val="center"/>
          </w:tcPr>
          <w:p w14:paraId="7118F979">
            <w:pPr>
              <w:pStyle w:val="210"/>
              <w:rPr>
                <w:rFonts w:hint="eastAsia"/>
                <w:color w:val="000000" w:themeColor="text1"/>
                <w:lang w:bidi="ar"/>
                <w14:textFill>
                  <w14:solidFill>
                    <w14:schemeClr w14:val="tx1"/>
                  </w14:solidFill>
                </w14:textFill>
              </w:rPr>
            </w:pPr>
            <w:r>
              <w:rPr>
                <w:rFonts w:hint="eastAsia"/>
                <w:snapToGrid w:val="0"/>
                <w:color w:val="000000" w:themeColor="text1"/>
                <w:szCs w:val="21"/>
                <w14:textFill>
                  <w14:solidFill>
                    <w14:schemeClr w14:val="tx1"/>
                  </w14:solidFill>
                </w14:textFill>
              </w:rPr>
              <w:t>采油/注气</w:t>
            </w:r>
            <w:r>
              <w:rPr>
                <w:rFonts w:hint="eastAsia"/>
                <w:color w:val="000000" w:themeColor="text1"/>
                <w:lang w:bidi="ar"/>
                <w14:textFill>
                  <w14:solidFill>
                    <w14:schemeClr w14:val="tx1"/>
                  </w14:solidFill>
                </w14:textFill>
              </w:rPr>
              <w:t>工程</w:t>
            </w:r>
          </w:p>
        </w:tc>
        <w:tc>
          <w:tcPr>
            <w:tcW w:w="916" w:type="pct"/>
            <w:vAlign w:val="center"/>
          </w:tcPr>
          <w:p w14:paraId="66278F11">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采油井</w:t>
            </w:r>
          </w:p>
        </w:tc>
        <w:tc>
          <w:tcPr>
            <w:tcW w:w="481" w:type="pct"/>
            <w:vAlign w:val="center"/>
          </w:tcPr>
          <w:p w14:paraId="16A85F9D">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6口</w:t>
            </w:r>
          </w:p>
        </w:tc>
        <w:tc>
          <w:tcPr>
            <w:tcW w:w="2609" w:type="pct"/>
            <w:vAlign w:val="center"/>
          </w:tcPr>
          <w:p w14:paraId="5468B4BE">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新建采油井6口，采用DN50 25MPa 采油井口。采用投捞式电潜螺杆泵生产，电机功率22kW，井口采用保温衣保温，缠绕200W电加热带，同时设置热洗清蜡接口及安全标识牌。</w:t>
            </w:r>
          </w:p>
        </w:tc>
      </w:tr>
      <w:tr w14:paraId="0AA56E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7D89AA85">
            <w:pPr>
              <w:pStyle w:val="210"/>
              <w:rPr>
                <w:rFonts w:hint="eastAsia"/>
                <w:color w:val="000000" w:themeColor="text1"/>
                <w:lang w:bidi="ar"/>
                <w14:textFill>
                  <w14:solidFill>
                    <w14:schemeClr w14:val="tx1"/>
                  </w14:solidFill>
                </w14:textFill>
              </w:rPr>
            </w:pPr>
          </w:p>
        </w:tc>
        <w:tc>
          <w:tcPr>
            <w:tcW w:w="529" w:type="pct"/>
            <w:vMerge w:val="continue"/>
            <w:vAlign w:val="center"/>
          </w:tcPr>
          <w:p w14:paraId="255F9F70">
            <w:pPr>
              <w:pStyle w:val="210"/>
              <w:rPr>
                <w:rFonts w:hint="eastAsia"/>
                <w:snapToGrid w:val="0"/>
                <w:color w:val="000000" w:themeColor="text1"/>
                <w:szCs w:val="21"/>
                <w14:textFill>
                  <w14:solidFill>
                    <w14:schemeClr w14:val="tx1"/>
                  </w14:solidFill>
                </w14:textFill>
              </w:rPr>
            </w:pPr>
          </w:p>
        </w:tc>
        <w:tc>
          <w:tcPr>
            <w:tcW w:w="916" w:type="pct"/>
            <w:vAlign w:val="center"/>
          </w:tcPr>
          <w:p w14:paraId="60744D8C">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注水井</w:t>
            </w:r>
          </w:p>
        </w:tc>
        <w:tc>
          <w:tcPr>
            <w:tcW w:w="481" w:type="pct"/>
            <w:vAlign w:val="center"/>
          </w:tcPr>
          <w:p w14:paraId="68CFE719">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2口</w:t>
            </w:r>
          </w:p>
        </w:tc>
        <w:tc>
          <w:tcPr>
            <w:tcW w:w="2609" w:type="pct"/>
            <w:vAlign w:val="center"/>
          </w:tcPr>
          <w:p w14:paraId="0AE191DC">
            <w:pPr>
              <w:pStyle w:val="210"/>
              <w:rPr>
                <w:rFonts w:hint="eastAsia"/>
                <w:color w:val="000000" w:themeColor="text1"/>
                <w:lang w:bidi="ar"/>
                <w14:textFill>
                  <w14:solidFill>
                    <w14:schemeClr w14:val="tx1"/>
                  </w14:solidFill>
                </w14:textFill>
              </w:rPr>
            </w:pPr>
            <w:r>
              <w:rPr>
                <w:rFonts w:hint="eastAsia"/>
                <w:color w:val="000000" w:themeColor="text1"/>
                <w:szCs w:val="21"/>
                <w14:textFill>
                  <w14:solidFill>
                    <w14:schemeClr w14:val="tx1"/>
                  </w14:solidFill>
                </w14:textFill>
              </w:rPr>
              <w:t>注水井口装置采用25MPa DN50 注水井口</w:t>
            </w:r>
          </w:p>
        </w:tc>
      </w:tr>
      <w:tr w14:paraId="0FCFE1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07874CD6">
            <w:pPr>
              <w:pStyle w:val="210"/>
              <w:rPr>
                <w:rFonts w:hint="eastAsia"/>
                <w:color w:val="000000" w:themeColor="text1"/>
                <w:lang w:bidi="ar"/>
                <w14:textFill>
                  <w14:solidFill>
                    <w14:schemeClr w14:val="tx1"/>
                  </w14:solidFill>
                </w14:textFill>
              </w:rPr>
            </w:pPr>
          </w:p>
        </w:tc>
        <w:tc>
          <w:tcPr>
            <w:tcW w:w="529" w:type="pct"/>
            <w:vMerge w:val="continue"/>
            <w:vAlign w:val="center"/>
          </w:tcPr>
          <w:p w14:paraId="6C9B74EC">
            <w:pPr>
              <w:pStyle w:val="210"/>
              <w:rPr>
                <w:rFonts w:hint="eastAsia"/>
                <w:color w:val="000000" w:themeColor="text1"/>
                <w:lang w:bidi="ar"/>
                <w14:textFill>
                  <w14:solidFill>
                    <w14:schemeClr w14:val="tx1"/>
                  </w14:solidFill>
                </w14:textFill>
              </w:rPr>
            </w:pPr>
          </w:p>
        </w:tc>
        <w:tc>
          <w:tcPr>
            <w:tcW w:w="916" w:type="pct"/>
            <w:vAlign w:val="center"/>
          </w:tcPr>
          <w:p w14:paraId="22E17101">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2井式平台井场</w:t>
            </w:r>
          </w:p>
        </w:tc>
        <w:tc>
          <w:tcPr>
            <w:tcW w:w="481" w:type="pct"/>
            <w:vAlign w:val="center"/>
          </w:tcPr>
          <w:p w14:paraId="3DB9032A">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3座</w:t>
            </w:r>
          </w:p>
        </w:tc>
        <w:tc>
          <w:tcPr>
            <w:tcW w:w="2609" w:type="pct"/>
            <w:vAlign w:val="center"/>
          </w:tcPr>
          <w:p w14:paraId="7DBB26E4">
            <w:pPr>
              <w:pStyle w:val="21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2井式平台井场3座，其中</w:t>
            </w:r>
            <w:r>
              <w:rPr>
                <w:rFonts w:hint="eastAsia"/>
                <w:snapToGrid w:val="0"/>
                <w:color w:val="000000" w:themeColor="text1"/>
                <w14:textFill>
                  <w14:solidFill>
                    <w14:schemeClr w14:val="tx1"/>
                  </w14:solidFill>
                </w14:textFill>
              </w:rPr>
              <w:t>2井式平台井场2座，</w:t>
            </w:r>
            <w:r>
              <w:rPr>
                <w:rFonts w:hint="eastAsia"/>
                <w:color w:val="000000" w:themeColor="text1"/>
                <w:szCs w:val="21"/>
                <w14:textFill>
                  <w14:solidFill>
                    <w14:schemeClr w14:val="tx1"/>
                  </w14:solidFill>
                </w14:textFill>
              </w:rPr>
              <w:t>注水井、采油井合建</w:t>
            </w:r>
            <w:r>
              <w:rPr>
                <w:rFonts w:hint="eastAsia"/>
                <w:snapToGrid w:val="0"/>
                <w:color w:val="000000" w:themeColor="text1"/>
                <w14:textFill>
                  <w14:solidFill>
                    <w14:schemeClr w14:val="tx1"/>
                  </w14:solidFill>
                </w14:textFill>
              </w:rPr>
              <w:t>2井式平台井场1座</w:t>
            </w:r>
            <w:r>
              <w:rPr>
                <w:rFonts w:hint="eastAsia"/>
                <w:color w:val="000000" w:themeColor="text1"/>
                <w:szCs w:val="21"/>
                <w14:textFill>
                  <w14:solidFill>
                    <w14:schemeClr w14:val="tx1"/>
                  </w14:solidFill>
                </w14:textFill>
              </w:rPr>
              <w:t>。采油井井口安装DN50 25MPa 采油树，注水井安装</w:t>
            </w:r>
            <w:r>
              <w:rPr>
                <w:rFonts w:hint="eastAsia"/>
                <w:snapToGrid w:val="0"/>
                <w:color w:val="000000" w:themeColor="text1"/>
                <w14:textFill>
                  <w14:solidFill>
                    <w14:schemeClr w14:val="tx1"/>
                  </w14:solidFill>
                </w14:textFill>
              </w:rPr>
              <w:t>DN50 25MPa 注水井口。</w:t>
            </w:r>
            <w:r>
              <w:rPr>
                <w:rFonts w:hint="eastAsia"/>
                <w:color w:val="000000" w:themeColor="text1"/>
                <w:szCs w:val="21"/>
                <w:lang w:val="en-US" w:eastAsia="zh-CN"/>
                <w14:textFill>
                  <w14:solidFill>
                    <w14:schemeClr w14:val="tx1"/>
                  </w14:solidFill>
                </w14:textFill>
              </w:rPr>
              <w:t>井场永久占地采用砾石铺垫，铺垫用砾石从附近料场购买，不自行设置取料（土）场</w:t>
            </w:r>
            <w:r>
              <w:rPr>
                <w:rFonts w:hint="eastAsia"/>
                <w:color w:val="000000" w:themeColor="text1"/>
                <w:szCs w:val="21"/>
                <w14:textFill>
                  <w14:solidFill>
                    <w14:schemeClr w14:val="tx1"/>
                  </w14:solidFill>
                </w14:textFill>
              </w:rPr>
              <w:t>。</w:t>
            </w:r>
          </w:p>
        </w:tc>
      </w:tr>
      <w:tr w14:paraId="4D69EC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35052285">
            <w:pPr>
              <w:pStyle w:val="210"/>
              <w:rPr>
                <w:rFonts w:hint="eastAsia"/>
                <w:color w:val="000000" w:themeColor="text1"/>
                <w:lang w:bidi="ar"/>
                <w14:textFill>
                  <w14:solidFill>
                    <w14:schemeClr w14:val="tx1"/>
                  </w14:solidFill>
                </w14:textFill>
              </w:rPr>
            </w:pPr>
          </w:p>
        </w:tc>
        <w:tc>
          <w:tcPr>
            <w:tcW w:w="529" w:type="pct"/>
            <w:vMerge w:val="continue"/>
            <w:vAlign w:val="center"/>
          </w:tcPr>
          <w:p w14:paraId="210A2694">
            <w:pPr>
              <w:pStyle w:val="210"/>
              <w:rPr>
                <w:rFonts w:hint="eastAsia"/>
                <w:color w:val="000000" w:themeColor="text1"/>
                <w:lang w:bidi="ar"/>
                <w14:textFill>
                  <w14:solidFill>
                    <w14:schemeClr w14:val="tx1"/>
                  </w14:solidFill>
                </w14:textFill>
              </w:rPr>
            </w:pPr>
          </w:p>
        </w:tc>
        <w:tc>
          <w:tcPr>
            <w:tcW w:w="916" w:type="pct"/>
            <w:vAlign w:val="center"/>
          </w:tcPr>
          <w:p w14:paraId="1D76C293">
            <w:pPr>
              <w:pStyle w:val="280"/>
              <w:spacing w:line="300" w:lineRule="exact"/>
              <w:rPr>
                <w:rFonts w:hint="eastAsia"/>
                <w:color w:val="000000" w:themeColor="text1"/>
                <w:lang w:bidi="ar"/>
                <w14:textFill>
                  <w14:solidFill>
                    <w14:schemeClr w14:val="tx1"/>
                  </w14:solidFill>
                </w14:textFill>
              </w:rPr>
            </w:pPr>
            <w:r>
              <w:rPr>
                <w:rFonts w:hint="eastAsia"/>
                <w:snapToGrid w:val="0"/>
                <w:color w:val="000000" w:themeColor="text1"/>
                <w14:textFill>
                  <w14:solidFill>
                    <w14:schemeClr w14:val="tx1"/>
                  </w14:solidFill>
                </w14:textFill>
              </w:rPr>
              <w:t>单井采油井场</w:t>
            </w:r>
          </w:p>
        </w:tc>
        <w:tc>
          <w:tcPr>
            <w:tcW w:w="481" w:type="pct"/>
            <w:vAlign w:val="center"/>
          </w:tcPr>
          <w:p w14:paraId="70134DD4">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1座</w:t>
            </w:r>
          </w:p>
        </w:tc>
        <w:tc>
          <w:tcPr>
            <w:tcW w:w="2609" w:type="pct"/>
            <w:vAlign w:val="center"/>
          </w:tcPr>
          <w:p w14:paraId="2F9DA259">
            <w:pPr>
              <w:pStyle w:val="280"/>
              <w:spacing w:line="300" w:lineRule="exact"/>
              <w:rPr>
                <w:rFonts w:hint="eastAsia" w:eastAsia="宋体"/>
                <w:color w:val="000000" w:themeColor="text1"/>
                <w:lang w:eastAsia="zh-CN"/>
                <w14:textFill>
                  <w14:solidFill>
                    <w14:schemeClr w14:val="tx1"/>
                  </w14:solidFill>
                </w14:textFill>
              </w:rPr>
            </w:pPr>
            <w:r>
              <w:rPr>
                <w:rFonts w:hint="eastAsia"/>
                <w:snapToGrid w:val="0"/>
                <w:color w:val="000000" w:themeColor="text1"/>
                <w14:textFill>
                  <w14:solidFill>
                    <w14:schemeClr w14:val="tx1"/>
                  </w14:solidFill>
                </w14:textFill>
              </w:rPr>
              <w:t>新建单井采油井场1座，DN50 25MPa 采油树</w:t>
            </w:r>
            <w:r>
              <w:rPr>
                <w:rFonts w:hint="eastAsia"/>
                <w:snapToGrid w:val="0"/>
                <w:color w:val="000000" w:themeColor="text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井场永久占地采用砾石铺垫，铺垫用砾石从附近料场购买，不自行设置取料（土）场</w:t>
            </w:r>
            <w:r>
              <w:rPr>
                <w:rFonts w:hint="eastAsia"/>
                <w:color w:val="000000" w:themeColor="text1"/>
                <w:szCs w:val="21"/>
                <w14:textFill>
                  <w14:solidFill>
                    <w14:schemeClr w14:val="tx1"/>
                  </w14:solidFill>
                </w14:textFill>
              </w:rPr>
              <w:t>。</w:t>
            </w:r>
          </w:p>
        </w:tc>
      </w:tr>
      <w:tr w14:paraId="6F2DD8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73973F62">
            <w:pPr>
              <w:pStyle w:val="210"/>
              <w:rPr>
                <w:rFonts w:hint="eastAsia"/>
                <w:color w:val="000000" w:themeColor="text1"/>
                <w:lang w:bidi="ar"/>
                <w14:textFill>
                  <w14:solidFill>
                    <w14:schemeClr w14:val="tx1"/>
                  </w14:solidFill>
                </w14:textFill>
              </w:rPr>
            </w:pPr>
          </w:p>
        </w:tc>
        <w:tc>
          <w:tcPr>
            <w:tcW w:w="529" w:type="pct"/>
            <w:vMerge w:val="continue"/>
            <w:vAlign w:val="center"/>
          </w:tcPr>
          <w:p w14:paraId="0C679129">
            <w:pPr>
              <w:pStyle w:val="210"/>
              <w:rPr>
                <w:rFonts w:hint="eastAsia"/>
                <w:color w:val="000000" w:themeColor="text1"/>
                <w:lang w:bidi="ar"/>
                <w14:textFill>
                  <w14:solidFill>
                    <w14:schemeClr w14:val="tx1"/>
                  </w14:solidFill>
                </w14:textFill>
              </w:rPr>
            </w:pPr>
          </w:p>
        </w:tc>
        <w:tc>
          <w:tcPr>
            <w:tcW w:w="916" w:type="pct"/>
            <w:vAlign w:val="center"/>
          </w:tcPr>
          <w:p w14:paraId="7C387D6D">
            <w:pPr>
              <w:pStyle w:val="280"/>
              <w:spacing w:line="300" w:lineRule="exact"/>
              <w:rPr>
                <w:rFonts w:hint="eastAsia"/>
                <w:color w:val="000000" w:themeColor="text1"/>
                <w:lang w:bidi="ar"/>
                <w14:textFill>
                  <w14:solidFill>
                    <w14:schemeClr w14:val="tx1"/>
                  </w14:solidFill>
                </w14:textFill>
              </w:rPr>
            </w:pPr>
            <w:r>
              <w:rPr>
                <w:rFonts w:hint="eastAsia"/>
                <w:snapToGrid w:val="0"/>
                <w:color w:val="000000" w:themeColor="text1"/>
                <w14:textFill>
                  <w14:solidFill>
                    <w14:schemeClr w14:val="tx1"/>
                  </w14:solidFill>
                </w14:textFill>
              </w:rPr>
              <w:t>注水井场</w:t>
            </w:r>
          </w:p>
        </w:tc>
        <w:tc>
          <w:tcPr>
            <w:tcW w:w="481" w:type="pct"/>
            <w:vAlign w:val="center"/>
          </w:tcPr>
          <w:p w14:paraId="1E30ACE5">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1座</w:t>
            </w:r>
          </w:p>
        </w:tc>
        <w:tc>
          <w:tcPr>
            <w:tcW w:w="2609" w:type="pct"/>
            <w:vAlign w:val="center"/>
          </w:tcPr>
          <w:p w14:paraId="4C658F0E">
            <w:pPr>
              <w:pStyle w:val="280"/>
              <w:spacing w:line="300" w:lineRule="exact"/>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新建25MPa注水井场1座，井口设井口保温盒，压力表装于保温盒内，DN50 25MPa 注水井口。</w:t>
            </w:r>
            <w:r>
              <w:rPr>
                <w:rFonts w:hint="eastAsia"/>
                <w:color w:val="000000" w:themeColor="text1"/>
                <w:szCs w:val="21"/>
                <w:lang w:val="en-US" w:eastAsia="zh-CN"/>
                <w14:textFill>
                  <w14:solidFill>
                    <w14:schemeClr w14:val="tx1"/>
                  </w14:solidFill>
                </w14:textFill>
              </w:rPr>
              <w:t>井场永久占地采用砾石铺垫，铺垫用砾石从附近料场购买，不自行设置取料（土）场</w:t>
            </w:r>
            <w:r>
              <w:rPr>
                <w:rFonts w:hint="eastAsia"/>
                <w:color w:val="000000" w:themeColor="text1"/>
                <w:szCs w:val="21"/>
                <w14:textFill>
                  <w14:solidFill>
                    <w14:schemeClr w14:val="tx1"/>
                  </w14:solidFill>
                </w14:textFill>
              </w:rPr>
              <w:t>。</w:t>
            </w:r>
          </w:p>
        </w:tc>
      </w:tr>
      <w:tr w14:paraId="7BDB09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4CE93D24">
            <w:pPr>
              <w:pStyle w:val="210"/>
              <w:rPr>
                <w:rFonts w:hint="eastAsia"/>
                <w:color w:val="000000" w:themeColor="text1"/>
                <w:lang w:bidi="ar"/>
                <w14:textFill>
                  <w14:solidFill>
                    <w14:schemeClr w14:val="tx1"/>
                  </w14:solidFill>
                </w14:textFill>
              </w:rPr>
            </w:pPr>
          </w:p>
        </w:tc>
        <w:tc>
          <w:tcPr>
            <w:tcW w:w="529" w:type="pct"/>
            <w:vMerge w:val="restart"/>
            <w:vAlign w:val="center"/>
          </w:tcPr>
          <w:p w14:paraId="2ADB7DF3">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油气集输工程</w:t>
            </w:r>
          </w:p>
        </w:tc>
        <w:tc>
          <w:tcPr>
            <w:tcW w:w="916" w:type="pct"/>
            <w:vAlign w:val="center"/>
          </w:tcPr>
          <w:p w14:paraId="417B8E05">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单井采油管线</w:t>
            </w:r>
          </w:p>
        </w:tc>
        <w:tc>
          <w:tcPr>
            <w:tcW w:w="481" w:type="pct"/>
            <w:vAlign w:val="center"/>
          </w:tcPr>
          <w:p w14:paraId="3C043F3E">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1.82km</w:t>
            </w:r>
          </w:p>
        </w:tc>
        <w:tc>
          <w:tcPr>
            <w:tcW w:w="2609" w:type="pct"/>
            <w:vAlign w:val="center"/>
          </w:tcPr>
          <w:p w14:paraId="09FAF6CF">
            <w:pPr>
              <w:pStyle w:val="210"/>
              <w:rPr>
                <w:rFonts w:hint="eastAsia"/>
                <w:color w:val="000000" w:themeColor="text1"/>
                <w:lang w:bidi="ar"/>
                <w14:textFill>
                  <w14:solidFill>
                    <w14:schemeClr w14:val="tx1"/>
                  </w14:solidFill>
                </w14:textFill>
              </w:rPr>
            </w:pPr>
            <w:r>
              <w:rPr>
                <w:rFonts w:hint="eastAsia"/>
                <w:color w:val="000000" w:themeColor="text1"/>
                <w:szCs w:val="21"/>
                <w14:textFill>
                  <w14:solidFill>
                    <w14:schemeClr w14:val="tx1"/>
                  </w14:solidFill>
                </w14:textFill>
              </w:rPr>
              <w:t>新建采油井井口至依托已建计量站的单井采油管线1.82km，</w:t>
            </w:r>
            <w:r>
              <w:rPr>
                <w:rFonts w:hint="eastAsia"/>
                <w:color w:val="000000" w:themeColor="text1"/>
                <w14:textFill>
                  <w14:solidFill>
                    <w14:schemeClr w14:val="tx1"/>
                  </w14:solidFill>
                </w14:textFill>
              </w:rPr>
              <w:t>DN50 2.5MPa 柔性复合管（Ⅱ型）</w:t>
            </w:r>
            <w:r>
              <w:rPr>
                <w:color w:val="000000" w:themeColor="text1"/>
                <w:szCs w:val="21"/>
                <w14:textFill>
                  <w14:solidFill>
                    <w14:schemeClr w14:val="tx1"/>
                  </w14:solidFill>
                </w14:textFill>
              </w:rPr>
              <w:t>，埋地保温敷设，管底标高-1.8m</w:t>
            </w:r>
            <w:r>
              <w:rPr>
                <w:rFonts w:hint="eastAsia"/>
                <w:color w:val="000000" w:themeColor="text1"/>
                <w:szCs w:val="21"/>
                <w14:textFill>
                  <w14:solidFill>
                    <w14:schemeClr w14:val="tx1"/>
                  </w14:solidFill>
                </w14:textFill>
              </w:rPr>
              <w:t>。</w:t>
            </w:r>
          </w:p>
        </w:tc>
      </w:tr>
      <w:tr w14:paraId="69C533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1CF6940F">
            <w:pPr>
              <w:pStyle w:val="210"/>
              <w:rPr>
                <w:rFonts w:hint="eastAsia"/>
                <w:color w:val="000000" w:themeColor="text1"/>
                <w:lang w:bidi="ar"/>
                <w14:textFill>
                  <w14:solidFill>
                    <w14:schemeClr w14:val="tx1"/>
                  </w14:solidFill>
                </w14:textFill>
              </w:rPr>
            </w:pPr>
          </w:p>
        </w:tc>
        <w:tc>
          <w:tcPr>
            <w:tcW w:w="529" w:type="pct"/>
            <w:vMerge w:val="continue"/>
            <w:vAlign w:val="center"/>
          </w:tcPr>
          <w:p w14:paraId="3A9ACB9B">
            <w:pPr>
              <w:pStyle w:val="210"/>
              <w:rPr>
                <w:rFonts w:hint="eastAsia"/>
                <w:color w:val="000000" w:themeColor="text1"/>
                <w:lang w:bidi="ar"/>
                <w14:textFill>
                  <w14:solidFill>
                    <w14:schemeClr w14:val="tx1"/>
                  </w14:solidFill>
                </w14:textFill>
              </w:rPr>
            </w:pPr>
          </w:p>
        </w:tc>
        <w:tc>
          <w:tcPr>
            <w:tcW w:w="916" w:type="pct"/>
            <w:vAlign w:val="center"/>
          </w:tcPr>
          <w:p w14:paraId="5F81D013">
            <w:pPr>
              <w:pStyle w:val="21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单井掺热水管线</w:t>
            </w:r>
          </w:p>
        </w:tc>
        <w:tc>
          <w:tcPr>
            <w:tcW w:w="481" w:type="pct"/>
            <w:vAlign w:val="center"/>
          </w:tcPr>
          <w:p w14:paraId="12184FC8">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1.82km</w:t>
            </w:r>
          </w:p>
        </w:tc>
        <w:tc>
          <w:tcPr>
            <w:tcW w:w="2609" w:type="pct"/>
            <w:vAlign w:val="center"/>
          </w:tcPr>
          <w:p w14:paraId="49B96E31">
            <w:pPr>
              <w:pStyle w:val="21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新建采油井井口至依托已建计量站的</w:t>
            </w:r>
            <w:r>
              <w:rPr>
                <w:rFonts w:hint="eastAsia"/>
                <w:color w:val="000000" w:themeColor="text1"/>
                <w14:textFill>
                  <w14:solidFill>
                    <w14:schemeClr w14:val="tx1"/>
                  </w14:solidFill>
                </w14:textFill>
              </w:rPr>
              <w:t>单井掺热水管线</w:t>
            </w:r>
            <w:r>
              <w:rPr>
                <w:rFonts w:hint="eastAsia"/>
                <w:color w:val="000000" w:themeColor="text1"/>
                <w:szCs w:val="21"/>
                <w14:textFill>
                  <w14:solidFill>
                    <w14:schemeClr w14:val="tx1"/>
                  </w14:solidFill>
                </w14:textFill>
              </w:rPr>
              <w:t>1.82km，</w:t>
            </w:r>
            <w:r>
              <w:rPr>
                <w:rFonts w:hint="eastAsia"/>
                <w:color w:val="000000" w:themeColor="text1"/>
                <w14:textFill>
                  <w14:solidFill>
                    <w14:schemeClr w14:val="tx1"/>
                  </w14:solidFill>
                </w14:textFill>
              </w:rPr>
              <w:t>DN25 2.5MPa 柔性复合管</w:t>
            </w:r>
            <w:r>
              <w:rPr>
                <w:color w:val="000000" w:themeColor="text1"/>
                <w:szCs w:val="21"/>
                <w14:textFill>
                  <w14:solidFill>
                    <w14:schemeClr w14:val="tx1"/>
                  </w14:solidFill>
                </w14:textFill>
              </w:rPr>
              <w:t>，埋地保温敷设，管底标高-1.8m</w:t>
            </w:r>
            <w:r>
              <w:rPr>
                <w:rFonts w:hint="eastAsia"/>
                <w:color w:val="000000" w:themeColor="text1"/>
                <w:szCs w:val="21"/>
                <w14:textFill>
                  <w14:solidFill>
                    <w14:schemeClr w14:val="tx1"/>
                  </w14:solidFill>
                </w14:textFill>
              </w:rPr>
              <w:t>。</w:t>
            </w:r>
            <w:r>
              <w:rPr>
                <w:rFonts w:hint="eastAsia"/>
                <w:color w:val="000000" w:themeColor="text1"/>
                <w14:textFill>
                  <w14:solidFill>
                    <w14:schemeClr w14:val="tx1"/>
                  </w14:solidFill>
                </w14:textFill>
              </w:rPr>
              <w:t>与</w:t>
            </w:r>
            <w:r>
              <w:rPr>
                <w:rFonts w:hint="eastAsia"/>
                <w:color w:val="000000" w:themeColor="text1"/>
                <w:lang w:bidi="ar"/>
                <w14:textFill>
                  <w14:solidFill>
                    <w14:schemeClr w14:val="tx1"/>
                  </w14:solidFill>
                </w14:textFill>
              </w:rPr>
              <w:t>单井采油管线同沟敷设，</w:t>
            </w:r>
            <w:r>
              <w:rPr>
                <w:rFonts w:hint="eastAsia"/>
                <w:color w:val="000000" w:themeColor="text1"/>
                <w14:textFill>
                  <w14:solidFill>
                    <w14:schemeClr w14:val="tx1"/>
                  </w14:solidFill>
                </w14:textFill>
              </w:rPr>
              <w:t>埋地保温敷设。</w:t>
            </w:r>
          </w:p>
        </w:tc>
      </w:tr>
      <w:tr w14:paraId="0CCF3E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4D437C98">
            <w:pPr>
              <w:pStyle w:val="210"/>
              <w:rPr>
                <w:rFonts w:hint="eastAsia"/>
                <w:color w:val="000000" w:themeColor="text1"/>
                <w:lang w:bidi="ar"/>
                <w14:textFill>
                  <w14:solidFill>
                    <w14:schemeClr w14:val="tx1"/>
                  </w14:solidFill>
                </w14:textFill>
              </w:rPr>
            </w:pPr>
          </w:p>
        </w:tc>
        <w:tc>
          <w:tcPr>
            <w:tcW w:w="529" w:type="pct"/>
            <w:vMerge w:val="continue"/>
            <w:vAlign w:val="center"/>
          </w:tcPr>
          <w:p w14:paraId="310FA006">
            <w:pPr>
              <w:pStyle w:val="210"/>
              <w:rPr>
                <w:rFonts w:hint="eastAsia"/>
                <w:color w:val="000000" w:themeColor="text1"/>
                <w:lang w:bidi="ar"/>
                <w14:textFill>
                  <w14:solidFill>
                    <w14:schemeClr w14:val="tx1"/>
                  </w14:solidFill>
                </w14:textFill>
              </w:rPr>
            </w:pPr>
          </w:p>
        </w:tc>
        <w:tc>
          <w:tcPr>
            <w:tcW w:w="916" w:type="pct"/>
            <w:vAlign w:val="center"/>
          </w:tcPr>
          <w:p w14:paraId="3F7AC0A0">
            <w:pPr>
              <w:pStyle w:val="210"/>
              <w:rPr>
                <w:rFonts w:hint="eastAsia"/>
                <w:color w:val="000000" w:themeColor="text1"/>
                <w:lang w:bidi="ar"/>
                <w14:textFill>
                  <w14:solidFill>
                    <w14:schemeClr w14:val="tx1"/>
                  </w14:solidFill>
                </w14:textFill>
              </w:rPr>
            </w:pPr>
            <w:r>
              <w:rPr>
                <w:rFonts w:hint="eastAsia"/>
                <w:snapToGrid w:val="0"/>
                <w:color w:val="000000" w:themeColor="text1"/>
                <w:szCs w:val="21"/>
                <w14:textFill>
                  <w14:solidFill>
                    <w14:schemeClr w14:val="tx1"/>
                  </w14:solidFill>
                </w14:textFill>
              </w:rPr>
              <w:t>单井注水管线</w:t>
            </w:r>
          </w:p>
        </w:tc>
        <w:tc>
          <w:tcPr>
            <w:tcW w:w="481" w:type="pct"/>
            <w:vAlign w:val="center"/>
          </w:tcPr>
          <w:p w14:paraId="633C87AD">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1.92km</w:t>
            </w:r>
          </w:p>
        </w:tc>
        <w:tc>
          <w:tcPr>
            <w:tcW w:w="2609" w:type="pct"/>
            <w:vAlign w:val="center"/>
          </w:tcPr>
          <w:p w14:paraId="242DD19D">
            <w:pPr>
              <w:pStyle w:val="210"/>
              <w:rPr>
                <w:rFonts w:hint="eastAsia"/>
                <w:color w:val="000000" w:themeColor="text1"/>
                <w:lang w:bidi="ar"/>
                <w14:textFill>
                  <w14:solidFill>
                    <w14:schemeClr w14:val="tx1"/>
                  </w14:solidFill>
                </w14:textFill>
              </w:rPr>
            </w:pPr>
            <w:r>
              <w:rPr>
                <w:rFonts w:hint="eastAsia" w:cs="宋体"/>
                <w:color w:val="000000" w:themeColor="text1"/>
                <w:szCs w:val="21"/>
                <w14:textFill>
                  <w14:solidFill>
                    <w14:schemeClr w14:val="tx1"/>
                  </w14:solidFill>
                </w14:textFill>
              </w:rPr>
              <w:t>新建</w:t>
            </w:r>
            <w:r>
              <w:rPr>
                <w:rFonts w:hint="eastAsia"/>
                <w:color w:val="000000" w:themeColor="text1"/>
                <w:szCs w:val="21"/>
                <w14:textFill>
                  <w14:solidFill>
                    <w14:schemeClr w14:val="tx1"/>
                  </w14:solidFill>
                </w14:textFill>
              </w:rPr>
              <w:t>依托</w:t>
            </w:r>
            <w:r>
              <w:rPr>
                <w:rFonts w:hint="eastAsia" w:cs="宋体"/>
                <w:color w:val="000000" w:themeColor="text1"/>
                <w:szCs w:val="21"/>
                <w14:textFill>
                  <w14:solidFill>
                    <w14:schemeClr w14:val="tx1"/>
                  </w14:solidFill>
                </w14:textFill>
              </w:rPr>
              <w:t>计量站至新建注水井单井注水管线1.92km，</w:t>
            </w:r>
            <w:r>
              <w:rPr>
                <w:rFonts w:hint="eastAsia"/>
                <w:color w:val="000000" w:themeColor="text1"/>
                <w14:textFill>
                  <w14:solidFill>
                    <w14:schemeClr w14:val="tx1"/>
                  </w14:solidFill>
                </w14:textFill>
              </w:rPr>
              <w:t>DN50 25MPa玻璃钢管（耐温70℃）</w:t>
            </w:r>
            <w:r>
              <w:rPr>
                <w:rFonts w:hint="eastAsia" w:cs="宋体"/>
                <w:color w:val="000000" w:themeColor="text1"/>
                <w:szCs w:val="21"/>
                <w14:textFill>
                  <w14:solidFill>
                    <w14:schemeClr w14:val="tx1"/>
                  </w14:solidFill>
                </w14:textFill>
              </w:rPr>
              <w:t>，埋地敷设，埋深-1.8m。</w:t>
            </w:r>
          </w:p>
        </w:tc>
      </w:tr>
      <w:tr w14:paraId="6EFE12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Align w:val="center"/>
          </w:tcPr>
          <w:p w14:paraId="05A6B62D">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辅助工程</w:t>
            </w:r>
          </w:p>
        </w:tc>
        <w:tc>
          <w:tcPr>
            <w:tcW w:w="1927" w:type="pct"/>
            <w:gridSpan w:val="3"/>
            <w:vAlign w:val="center"/>
          </w:tcPr>
          <w:p w14:paraId="67A783D5">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放喷设施</w:t>
            </w:r>
          </w:p>
        </w:tc>
        <w:tc>
          <w:tcPr>
            <w:tcW w:w="2609" w:type="pct"/>
            <w:vAlign w:val="center"/>
          </w:tcPr>
          <w:p w14:paraId="20797805">
            <w:pPr>
              <w:pStyle w:val="280"/>
              <w:spacing w:line="300" w:lineRule="exact"/>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每座钻井井场左右两侧各设置1条放喷管线，在井场一侧预留应急放喷池位置。应急放喷池仅在事故状态下开挖。井场旁有一辆挖机随时待命，一旦发生井喷，挖机可立即开挖放喷池，快速开挖至规定尺寸后，进行人工防渗层，防渗材料为HDPE防渗膜，渗透系数≤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w:t>
            </w:r>
          </w:p>
        </w:tc>
      </w:tr>
      <w:tr w14:paraId="3D0AA2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restart"/>
            <w:vAlign w:val="center"/>
          </w:tcPr>
          <w:p w14:paraId="1E8EA835">
            <w:pPr>
              <w:pStyle w:val="210"/>
              <w:keepNext w:val="0"/>
              <w:keepLines w:val="0"/>
              <w:pageBreakBefore w:val="0"/>
              <w:widowControl w:val="0"/>
              <w:kinsoku/>
              <w:wordWrap/>
              <w:overflowPunct/>
              <w:topLinePunct w:val="0"/>
              <w:autoSpaceDE/>
              <w:autoSpaceDN/>
              <w:bidi w:val="0"/>
              <w:spacing w:line="300" w:lineRule="exact"/>
              <w:ind w:firstLine="0" w:firstLineChars="0"/>
              <w:textAlignment w:val="auto"/>
              <w:rPr>
                <w:rFonts w:hint="eastAsia"/>
                <w:color w:val="000000" w:themeColor="text1"/>
                <w14:textFill>
                  <w14:solidFill>
                    <w14:schemeClr w14:val="tx1"/>
                  </w14:solidFill>
                </w14:textFill>
              </w:rPr>
            </w:pPr>
            <w:r>
              <w:rPr>
                <w:rFonts w:hint="eastAsia"/>
                <w:color w:val="000000" w:themeColor="text1"/>
                <w:lang w:val="en-US" w:eastAsia="zh-CN" w:bidi="ar"/>
                <w14:textFill>
                  <w14:solidFill>
                    <w14:schemeClr w14:val="tx1"/>
                  </w14:solidFill>
                </w14:textFill>
              </w:rPr>
              <w:t>储运工程</w:t>
            </w:r>
          </w:p>
        </w:tc>
        <w:tc>
          <w:tcPr>
            <w:tcW w:w="1927" w:type="pct"/>
            <w:gridSpan w:val="3"/>
            <w:vAlign w:val="center"/>
          </w:tcPr>
          <w:p w14:paraId="4B4D9658">
            <w:pPr>
              <w:pStyle w:val="210"/>
              <w:keepNext w:val="0"/>
              <w:keepLines w:val="0"/>
              <w:pageBreakBefore w:val="0"/>
              <w:widowControl w:val="0"/>
              <w:kinsoku/>
              <w:wordWrap/>
              <w:overflowPunct/>
              <w:topLinePunct w:val="0"/>
              <w:autoSpaceDE/>
              <w:autoSpaceDN/>
              <w:bidi w:val="0"/>
              <w:spacing w:line="300" w:lineRule="exact"/>
              <w:ind w:firstLine="0" w:firstLineChars="0"/>
              <w:textAlignment w:val="auto"/>
              <w:rPr>
                <w:rFonts w:hint="eastAsia"/>
                <w:color w:val="000000" w:themeColor="text1"/>
                <w14:textFill>
                  <w14:solidFill>
                    <w14:schemeClr w14:val="tx1"/>
                  </w14:solidFill>
                </w14:textFill>
              </w:rPr>
            </w:pPr>
            <w:r>
              <w:rPr>
                <w:rFonts w:hint="eastAsia"/>
                <w:color w:val="000000" w:themeColor="text1"/>
                <w:lang w:val="en-US" w:eastAsia="zh-CN" w:bidi="ar"/>
                <w14:textFill>
                  <w14:solidFill>
                    <w14:schemeClr w14:val="tx1"/>
                  </w14:solidFill>
                </w14:textFill>
              </w:rPr>
              <w:t>施工期</w:t>
            </w:r>
          </w:p>
        </w:tc>
        <w:tc>
          <w:tcPr>
            <w:tcW w:w="2609" w:type="pct"/>
            <w:vAlign w:val="center"/>
          </w:tcPr>
          <w:p w14:paraId="16883577">
            <w:pPr>
              <w:pStyle w:val="210"/>
              <w:keepNext w:val="0"/>
              <w:keepLines w:val="0"/>
              <w:pageBreakBefore w:val="0"/>
              <w:widowControl w:val="0"/>
              <w:kinsoku/>
              <w:wordWrap/>
              <w:overflowPunct/>
              <w:topLinePunct w:val="0"/>
              <w:autoSpaceDE/>
              <w:autoSpaceDN/>
              <w:bidi w:val="0"/>
              <w:spacing w:line="300" w:lineRule="exact"/>
              <w:ind w:firstLine="0" w:firstLineChars="0"/>
              <w:textAlignment w:val="auto"/>
              <w:rPr>
                <w:rFonts w:hint="eastAsia"/>
                <w:color w:val="000000" w:themeColor="text1"/>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施工期水基</w:t>
            </w:r>
            <w:r>
              <w:rPr>
                <w:rFonts w:hint="eastAsia" w:ascii="宋体" w:hAnsi="宋体" w:cs="宋体"/>
                <w:color w:val="000000" w:themeColor="text1"/>
                <w:sz w:val="21"/>
                <w:szCs w:val="21"/>
                <w14:textFill>
                  <w14:solidFill>
                    <w14:schemeClr w14:val="tx1"/>
                  </w14:solidFill>
                </w14:textFill>
              </w:rPr>
              <w:t>钻井液</w:t>
            </w:r>
            <w:r>
              <w:rPr>
                <w:rFonts w:hint="eastAsia" w:ascii="宋体" w:hAnsi="宋体" w:cs="宋体"/>
                <w:color w:val="000000" w:themeColor="text1"/>
                <w:sz w:val="21"/>
                <w:szCs w:val="21"/>
                <w:lang w:val="en-US" w:eastAsia="zh-CN"/>
                <w14:textFill>
                  <w14:solidFill>
                    <w14:schemeClr w14:val="tx1"/>
                  </w14:solidFill>
                </w14:textFill>
              </w:rPr>
              <w:t>、</w:t>
            </w:r>
            <w:r>
              <w:rPr>
                <w:rFonts w:hint="eastAsia" w:ascii="宋体" w:hAnsi="宋体" w:cs="宋体"/>
                <w:color w:val="000000" w:themeColor="text1"/>
                <w:sz w:val="21"/>
                <w:szCs w:val="21"/>
                <w14:textFill>
                  <w14:solidFill>
                    <w14:schemeClr w14:val="tx1"/>
                  </w14:solidFill>
                </w14:textFill>
              </w:rPr>
              <w:t>水基钻井岩屑、柴油等均为罐装，储罐区底部铺设有防渗膜；其他施工材料在井场专门区域（材料房、材料爬犁、化工爬犁）堆放。钻井井场设置柴油储罐区（1座</w:t>
            </w:r>
            <w:r>
              <w:rPr>
                <w:rFonts w:ascii="宋体" w:hAnsi="宋体" w:cs="宋体"/>
                <w:color w:val="000000" w:themeColor="text1"/>
                <w:sz w:val="21"/>
                <w:szCs w:val="21"/>
                <w14:textFill>
                  <w14:solidFill>
                    <w14:schemeClr w14:val="tx1"/>
                  </w14:solidFill>
                </w14:textFill>
              </w:rPr>
              <w:t>3</w:t>
            </w:r>
            <w:r>
              <w:rPr>
                <w:rFonts w:hint="eastAsia" w:ascii="宋体" w:hAnsi="宋体" w:cs="宋体"/>
                <w:color w:val="000000" w:themeColor="text1"/>
                <w:sz w:val="21"/>
                <w:szCs w:val="21"/>
                <w14:textFill>
                  <w14:solidFill>
                    <w14:schemeClr w14:val="tx1"/>
                  </w14:solidFill>
                </w14:textFill>
              </w:rPr>
              <w:t>0m</w:t>
            </w:r>
            <w:r>
              <w:rPr>
                <w:rFonts w:ascii="宋体" w:hAnsi="宋体" w:cs="宋体"/>
                <w:color w:val="000000" w:themeColor="text1"/>
                <w:sz w:val="21"/>
                <w:szCs w:val="21"/>
                <w:vertAlign w:val="superscript"/>
                <w14:textFill>
                  <w14:solidFill>
                    <w14:schemeClr w14:val="tx1"/>
                  </w14:solidFill>
                </w14:textFill>
              </w:rPr>
              <w:t>3</w:t>
            </w:r>
            <w:r>
              <w:rPr>
                <w:rFonts w:hint="eastAsia" w:ascii="宋体" w:hAnsi="宋体" w:cs="宋体"/>
                <w:color w:val="000000" w:themeColor="text1"/>
                <w:sz w:val="21"/>
                <w:szCs w:val="21"/>
                <w14:textFill>
                  <w14:solidFill>
                    <w14:schemeClr w14:val="tx1"/>
                  </w14:solidFill>
                </w14:textFill>
              </w:rPr>
              <w:t>柴油储罐）</w:t>
            </w:r>
            <w:r>
              <w:rPr>
                <w:rFonts w:hint="eastAsia" w:ascii="宋体" w:hAnsi="宋体" w:cs="宋体"/>
                <w:color w:val="000000" w:themeColor="text1"/>
                <w:sz w:val="21"/>
                <w:szCs w:val="21"/>
                <w:lang w:eastAsia="zh-CN"/>
                <w14:textFill>
                  <w14:solidFill>
                    <w14:schemeClr w14:val="tx1"/>
                  </w14:solidFill>
                </w14:textFill>
              </w:rPr>
              <w:t>，</w:t>
            </w:r>
            <w:r>
              <w:rPr>
                <w:rFonts w:hint="eastAsia" w:ascii="宋体" w:hAnsi="宋体" w:cs="宋体"/>
                <w:color w:val="000000" w:themeColor="text1"/>
                <w:sz w:val="21"/>
                <w:szCs w:val="21"/>
                <w14:textFill>
                  <w14:solidFill>
                    <w14:schemeClr w14:val="tx1"/>
                  </w14:solidFill>
                </w14:textFill>
              </w:rPr>
              <w:t>1座2</w:t>
            </w:r>
            <w:r>
              <w:rPr>
                <w:rFonts w:ascii="宋体" w:hAnsi="宋体" w:cs="宋体"/>
                <w:color w:val="000000" w:themeColor="text1"/>
                <w:sz w:val="21"/>
                <w:szCs w:val="21"/>
                <w14:textFill>
                  <w14:solidFill>
                    <w14:schemeClr w14:val="tx1"/>
                  </w14:solidFill>
                </w14:textFill>
              </w:rPr>
              <w:t>0</w:t>
            </w:r>
            <w:r>
              <w:rPr>
                <w:rFonts w:hint="eastAsia" w:ascii="宋体" w:hAnsi="宋体" w:cs="宋体"/>
                <w:color w:val="000000" w:themeColor="text1"/>
                <w:sz w:val="21"/>
                <w:szCs w:val="21"/>
                <w14:textFill>
                  <w14:solidFill>
                    <w14:schemeClr w14:val="tx1"/>
                  </w14:solidFill>
                </w14:textFill>
              </w:rPr>
              <w:t>m</w:t>
            </w:r>
            <w:r>
              <w:rPr>
                <w:rFonts w:ascii="宋体" w:hAnsi="宋体" w:cs="宋体"/>
                <w:color w:val="000000" w:themeColor="text1"/>
                <w:sz w:val="21"/>
                <w:szCs w:val="21"/>
                <w:vertAlign w:val="superscript"/>
                <w14:textFill>
                  <w14:solidFill>
                    <w14:schemeClr w14:val="tx1"/>
                  </w14:solidFill>
                </w14:textFill>
              </w:rPr>
              <w:t>3</w:t>
            </w:r>
            <w:r>
              <w:rPr>
                <w:rFonts w:hint="eastAsia" w:ascii="宋体" w:hAnsi="宋体" w:cs="宋体"/>
                <w:color w:val="000000" w:themeColor="text1"/>
                <w:sz w:val="21"/>
                <w:szCs w:val="21"/>
                <w14:textFill>
                  <w14:solidFill>
                    <w14:schemeClr w14:val="tx1"/>
                  </w14:solidFill>
                </w14:textFill>
              </w:rPr>
              <w:t>的储水罐，设置钻井液储罐区（</w:t>
            </w:r>
            <w:r>
              <w:rPr>
                <w:rFonts w:hint="eastAsia" w:ascii="宋体" w:hAnsi="宋体" w:cs="宋体"/>
                <w:color w:val="000000" w:themeColor="text1"/>
                <w:sz w:val="21"/>
                <w:szCs w:val="21"/>
                <w:lang w:val="en-US" w:eastAsia="zh-CN"/>
                <w14:textFill>
                  <w14:solidFill>
                    <w14:schemeClr w14:val="tx1"/>
                  </w14:solidFill>
                </w14:textFill>
              </w:rPr>
              <w:t>4</w:t>
            </w:r>
            <w:r>
              <w:rPr>
                <w:rFonts w:hint="eastAsia" w:ascii="宋体" w:hAnsi="宋体" w:cs="宋体"/>
                <w:color w:val="000000" w:themeColor="text1"/>
                <w:sz w:val="21"/>
                <w:szCs w:val="21"/>
                <w14:textFill>
                  <w14:solidFill>
                    <w14:schemeClr w14:val="tx1"/>
                  </w14:solidFill>
                </w14:textFill>
              </w:rPr>
              <w:t>座5</w:t>
            </w:r>
            <w:r>
              <w:rPr>
                <w:rFonts w:ascii="宋体" w:hAnsi="宋体" w:cs="宋体"/>
                <w:color w:val="000000" w:themeColor="text1"/>
                <w:sz w:val="21"/>
                <w:szCs w:val="21"/>
                <w14:textFill>
                  <w14:solidFill>
                    <w14:schemeClr w14:val="tx1"/>
                  </w14:solidFill>
                </w14:textFill>
              </w:rPr>
              <w:t>0</w:t>
            </w:r>
            <w:r>
              <w:rPr>
                <w:rFonts w:hint="eastAsia" w:ascii="宋体" w:hAnsi="宋体" w:cs="宋体"/>
                <w:color w:val="000000" w:themeColor="text1"/>
                <w:sz w:val="21"/>
                <w:szCs w:val="21"/>
                <w14:textFill>
                  <w14:solidFill>
                    <w14:schemeClr w14:val="tx1"/>
                  </w14:solidFill>
                </w14:textFill>
              </w:rPr>
              <w:t>m</w:t>
            </w:r>
            <w:r>
              <w:rPr>
                <w:rFonts w:ascii="宋体" w:hAnsi="宋体" w:cs="宋体"/>
                <w:color w:val="000000" w:themeColor="text1"/>
                <w:sz w:val="21"/>
                <w:szCs w:val="21"/>
                <w:vertAlign w:val="superscript"/>
                <w14:textFill>
                  <w14:solidFill>
                    <w14:schemeClr w14:val="tx1"/>
                  </w14:solidFill>
                </w14:textFill>
              </w:rPr>
              <w:t>3</w:t>
            </w:r>
            <w:r>
              <w:rPr>
                <w:rFonts w:hint="eastAsia" w:ascii="宋体" w:hAnsi="宋体" w:cs="宋体"/>
                <w:color w:val="000000" w:themeColor="text1"/>
                <w:sz w:val="21"/>
                <w:szCs w:val="21"/>
                <w14:textFill>
                  <w14:solidFill>
                    <w14:schemeClr w14:val="tx1"/>
                  </w14:solidFill>
                </w14:textFill>
              </w:rPr>
              <w:t>的钻井液储罐，容积不小于</w:t>
            </w:r>
            <w:r>
              <w:rPr>
                <w:rFonts w:hint="eastAsia" w:ascii="宋体" w:hAnsi="宋体" w:cs="宋体"/>
                <w:color w:val="000000" w:themeColor="text1"/>
                <w:sz w:val="21"/>
                <w:szCs w:val="21"/>
                <w:lang w:val="en-US" w:eastAsia="zh-CN"/>
                <w14:textFill>
                  <w14:solidFill>
                    <w14:schemeClr w14:val="tx1"/>
                  </w14:solidFill>
                </w14:textFill>
              </w:rPr>
              <w:t>200</w:t>
            </w:r>
            <w:r>
              <w:rPr>
                <w:rFonts w:hint="eastAsia" w:ascii="宋体" w:hAnsi="宋体" w:cs="宋体"/>
                <w:color w:val="000000" w:themeColor="text1"/>
                <w:sz w:val="21"/>
                <w:szCs w:val="21"/>
                <w14:textFill>
                  <w14:solidFill>
                    <w14:schemeClr w14:val="tx1"/>
                  </w14:solidFill>
                </w14:textFill>
              </w:rPr>
              <w:t>m</w:t>
            </w:r>
            <w:r>
              <w:rPr>
                <w:rFonts w:ascii="宋体" w:hAnsi="宋体" w:cs="宋体"/>
                <w:color w:val="000000" w:themeColor="text1"/>
                <w:sz w:val="21"/>
                <w:szCs w:val="21"/>
                <w:vertAlign w:val="superscript"/>
                <w14:textFill>
                  <w14:solidFill>
                    <w14:schemeClr w14:val="tx1"/>
                  </w14:solidFill>
                </w14:textFill>
              </w:rPr>
              <w:t>3</w:t>
            </w:r>
            <w:r>
              <w:rPr>
                <w:rFonts w:hint="eastAsia" w:ascii="宋体" w:hAnsi="宋体" w:cs="宋体"/>
                <w:color w:val="000000" w:themeColor="text1"/>
                <w:sz w:val="21"/>
                <w:szCs w:val="21"/>
                <w14:textFill>
                  <w14:solidFill>
                    <w14:schemeClr w14:val="tx1"/>
                  </w14:solidFill>
                </w14:textFill>
              </w:rPr>
              <w:t>），4座2</w:t>
            </w:r>
            <w:r>
              <w:rPr>
                <w:rFonts w:ascii="宋体" w:hAnsi="宋体" w:cs="宋体"/>
                <w:color w:val="000000" w:themeColor="text1"/>
                <w:sz w:val="21"/>
                <w:szCs w:val="21"/>
                <w14:textFill>
                  <w14:solidFill>
                    <w14:schemeClr w14:val="tx1"/>
                  </w14:solidFill>
                </w14:textFill>
              </w:rPr>
              <w:t>5</w:t>
            </w:r>
            <w:r>
              <w:rPr>
                <w:rFonts w:hint="eastAsia" w:ascii="宋体" w:hAnsi="宋体" w:cs="宋体"/>
                <w:color w:val="000000" w:themeColor="text1"/>
                <w:sz w:val="21"/>
                <w:szCs w:val="21"/>
                <w14:textFill>
                  <w14:solidFill>
                    <w14:schemeClr w14:val="tx1"/>
                  </w14:solidFill>
                </w14:textFill>
              </w:rPr>
              <w:t>m</w:t>
            </w:r>
            <w:r>
              <w:rPr>
                <w:rFonts w:ascii="宋体" w:hAnsi="宋体" w:cs="宋体"/>
                <w:color w:val="000000" w:themeColor="text1"/>
                <w:sz w:val="21"/>
                <w:szCs w:val="21"/>
                <w:vertAlign w:val="superscript"/>
                <w14:textFill>
                  <w14:solidFill>
                    <w14:schemeClr w14:val="tx1"/>
                  </w14:solidFill>
                </w14:textFill>
              </w:rPr>
              <w:t>3</w:t>
            </w:r>
            <w:r>
              <w:rPr>
                <w:rFonts w:hint="eastAsia" w:ascii="宋体" w:hAnsi="宋体" w:cs="宋体"/>
                <w:color w:val="000000" w:themeColor="text1"/>
                <w:sz w:val="21"/>
                <w:szCs w:val="21"/>
                <w14:textFill>
                  <w14:solidFill>
                    <w14:schemeClr w14:val="tx1"/>
                  </w14:solidFill>
                </w14:textFill>
              </w:rPr>
              <w:t>的水基</w:t>
            </w:r>
            <w:r>
              <w:rPr>
                <w:rFonts w:hint="eastAsia" w:ascii="宋体" w:hAnsi="宋体" w:cs="宋体"/>
                <w:color w:val="000000" w:themeColor="text1"/>
                <w:sz w:val="21"/>
                <w:szCs w:val="21"/>
                <w:lang w:val="en-US" w:eastAsia="zh-CN"/>
                <w14:textFill>
                  <w14:solidFill>
                    <w14:schemeClr w14:val="tx1"/>
                  </w14:solidFill>
                </w14:textFill>
              </w:rPr>
              <w:t>钻井</w:t>
            </w:r>
            <w:r>
              <w:rPr>
                <w:rFonts w:hint="eastAsia" w:ascii="宋体" w:hAnsi="宋体" w:cs="宋体"/>
                <w:color w:val="000000" w:themeColor="text1"/>
                <w:sz w:val="21"/>
                <w:szCs w:val="21"/>
                <w14:textFill>
                  <w14:solidFill>
                    <w14:schemeClr w14:val="tx1"/>
                  </w14:solidFill>
                </w14:textFill>
              </w:rPr>
              <w:t>岩屑储罐，1座20m</w:t>
            </w:r>
            <w:r>
              <w:rPr>
                <w:rFonts w:ascii="宋体" w:hAnsi="宋体" w:cs="宋体"/>
                <w:color w:val="000000" w:themeColor="text1"/>
                <w:sz w:val="21"/>
                <w:szCs w:val="21"/>
                <w:vertAlign w:val="superscript"/>
                <w14:textFill>
                  <w14:solidFill>
                    <w14:schemeClr w14:val="tx1"/>
                  </w14:solidFill>
                </w14:textFill>
              </w:rPr>
              <w:t>3</w:t>
            </w:r>
            <w:r>
              <w:rPr>
                <w:rFonts w:hint="eastAsia" w:ascii="宋体" w:hAnsi="宋体" w:cs="宋体"/>
                <w:color w:val="000000" w:themeColor="text1"/>
                <w:sz w:val="21"/>
                <w:szCs w:val="21"/>
                <w14:textFill>
                  <w14:solidFill>
                    <w14:schemeClr w14:val="tx1"/>
                  </w14:solidFill>
                </w14:textFill>
              </w:rPr>
              <w:t>的</w:t>
            </w:r>
            <w:r>
              <w:rPr>
                <w:rFonts w:hint="eastAsia" w:ascii="宋体" w:hAnsi="宋体" w:cs="宋体"/>
                <w:color w:val="000000" w:themeColor="text1"/>
                <w:sz w:val="21"/>
                <w:szCs w:val="21"/>
                <w:lang w:val="en-US" w:eastAsia="zh-CN"/>
                <w14:textFill>
                  <w14:solidFill>
                    <w14:schemeClr w14:val="tx1"/>
                  </w14:solidFill>
                </w14:textFill>
              </w:rPr>
              <w:t>压裂返排液</w:t>
            </w:r>
            <w:r>
              <w:rPr>
                <w:rFonts w:hint="eastAsia" w:ascii="宋体" w:hAnsi="宋体" w:cs="宋体"/>
                <w:color w:val="000000" w:themeColor="text1"/>
                <w:sz w:val="21"/>
                <w:szCs w:val="21"/>
                <w14:textFill>
                  <w14:solidFill>
                    <w14:schemeClr w14:val="tx1"/>
                  </w14:solidFill>
                </w14:textFill>
              </w:rPr>
              <w:t>储罐</w:t>
            </w:r>
            <w:r>
              <w:rPr>
                <w:rFonts w:hint="eastAsia" w:ascii="宋体" w:hAnsi="宋体" w:cs="宋体"/>
                <w:color w:val="000000" w:themeColor="text1"/>
                <w:sz w:val="21"/>
                <w:szCs w:val="21"/>
                <w:lang w:eastAsia="zh-CN"/>
                <w14:textFill>
                  <w14:solidFill>
                    <w14:schemeClr w14:val="tx1"/>
                  </w14:solidFill>
                </w14:textFill>
              </w:rPr>
              <w:t>。</w:t>
            </w:r>
          </w:p>
        </w:tc>
      </w:tr>
      <w:tr w14:paraId="7FF515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00A42849">
            <w:pPr>
              <w:pStyle w:val="210"/>
              <w:keepNext w:val="0"/>
              <w:keepLines w:val="0"/>
              <w:pageBreakBefore w:val="0"/>
              <w:widowControl w:val="0"/>
              <w:kinsoku/>
              <w:wordWrap/>
              <w:overflowPunct/>
              <w:topLinePunct w:val="0"/>
              <w:autoSpaceDE/>
              <w:autoSpaceDN/>
              <w:bidi w:val="0"/>
              <w:spacing w:line="300" w:lineRule="exact"/>
              <w:ind w:firstLine="0" w:firstLineChars="0"/>
              <w:textAlignment w:val="auto"/>
              <w:rPr>
                <w:rFonts w:hint="eastAsia"/>
                <w:color w:val="000000" w:themeColor="text1"/>
                <w14:textFill>
                  <w14:solidFill>
                    <w14:schemeClr w14:val="tx1"/>
                  </w14:solidFill>
                </w14:textFill>
              </w:rPr>
            </w:pPr>
          </w:p>
        </w:tc>
        <w:tc>
          <w:tcPr>
            <w:tcW w:w="1927" w:type="pct"/>
            <w:gridSpan w:val="3"/>
            <w:vAlign w:val="center"/>
          </w:tcPr>
          <w:p w14:paraId="65DB43CB">
            <w:pPr>
              <w:pStyle w:val="210"/>
              <w:keepNext w:val="0"/>
              <w:keepLines w:val="0"/>
              <w:pageBreakBefore w:val="0"/>
              <w:widowControl w:val="0"/>
              <w:kinsoku/>
              <w:wordWrap/>
              <w:overflowPunct/>
              <w:topLinePunct w:val="0"/>
              <w:autoSpaceDE/>
              <w:autoSpaceDN/>
              <w:bidi w:val="0"/>
              <w:spacing w:line="300" w:lineRule="exact"/>
              <w:ind w:firstLine="0" w:firstLineChars="0"/>
              <w:textAlignment w:val="auto"/>
              <w:rPr>
                <w:rFonts w:hint="eastAsia"/>
                <w:color w:val="000000" w:themeColor="text1"/>
                <w14:textFill>
                  <w14:solidFill>
                    <w14:schemeClr w14:val="tx1"/>
                  </w14:solidFill>
                </w14:textFill>
              </w:rPr>
            </w:pPr>
            <w:r>
              <w:rPr>
                <w:rFonts w:hint="eastAsia"/>
                <w:color w:val="000000" w:themeColor="text1"/>
                <w:lang w:val="en-US" w:eastAsia="zh-CN" w:bidi="ar"/>
                <w14:textFill>
                  <w14:solidFill>
                    <w14:schemeClr w14:val="tx1"/>
                  </w14:solidFill>
                </w14:textFill>
              </w:rPr>
              <w:t>运营期</w:t>
            </w:r>
          </w:p>
        </w:tc>
        <w:tc>
          <w:tcPr>
            <w:tcW w:w="2609" w:type="pct"/>
            <w:vAlign w:val="center"/>
          </w:tcPr>
          <w:p w14:paraId="3A09E8A3">
            <w:pPr>
              <w:pStyle w:val="210"/>
              <w:keepNext w:val="0"/>
              <w:keepLines w:val="0"/>
              <w:pageBreakBefore w:val="0"/>
              <w:widowControl w:val="0"/>
              <w:kinsoku/>
              <w:wordWrap/>
              <w:overflowPunct/>
              <w:topLinePunct w:val="0"/>
              <w:autoSpaceDE/>
              <w:autoSpaceDN/>
              <w:bidi w:val="0"/>
              <w:spacing w:line="300" w:lineRule="exact"/>
              <w:ind w:firstLine="0" w:firstLineChars="0"/>
              <w:textAlignment w:val="auto"/>
              <w:rPr>
                <w:rFonts w:hint="eastAsia"/>
                <w:color w:val="000000" w:themeColor="text1"/>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井下作业过程中带罐作业，</w:t>
            </w:r>
            <w:r>
              <w:rPr>
                <w:rFonts w:hint="eastAsia" w:ascii="宋体" w:hAnsi="宋体" w:cs="宋体"/>
                <w:color w:val="000000" w:themeColor="text1"/>
                <w:sz w:val="21"/>
                <w:szCs w:val="21"/>
                <w14:textFill>
                  <w14:solidFill>
                    <w14:schemeClr w14:val="tx1"/>
                  </w14:solidFill>
                </w14:textFill>
              </w:rPr>
              <w:t>设置1</w:t>
            </w:r>
            <w:r>
              <w:rPr>
                <w:rFonts w:hint="eastAsia" w:cs="宋体"/>
                <w:color w:val="000000" w:themeColor="text1"/>
                <w:sz w:val="21"/>
                <w:szCs w:val="21"/>
                <w:lang w:eastAsia="zh-CN"/>
                <w14:textFill>
                  <w14:solidFill>
                    <w14:schemeClr w14:val="tx1"/>
                  </w14:solidFill>
                </w14:textFill>
              </w:rPr>
              <w:t>辆</w:t>
            </w:r>
            <w:r>
              <w:rPr>
                <w:rFonts w:hint="eastAsia" w:ascii="宋体" w:hAnsi="宋体" w:cs="宋体"/>
                <w:color w:val="000000" w:themeColor="text1"/>
                <w:sz w:val="21"/>
                <w:szCs w:val="21"/>
                <w:lang w:val="en-US" w:eastAsia="zh-CN"/>
                <w14:textFill>
                  <w14:solidFill>
                    <w14:schemeClr w14:val="tx1"/>
                  </w14:solidFill>
                </w14:textFill>
              </w:rPr>
              <w:t>30</w:t>
            </w:r>
            <w:r>
              <w:rPr>
                <w:rFonts w:hint="eastAsia" w:ascii="宋体" w:hAnsi="宋体" w:cs="宋体"/>
                <w:color w:val="000000" w:themeColor="text1"/>
                <w:sz w:val="21"/>
                <w:szCs w:val="21"/>
                <w14:textFill>
                  <w14:solidFill>
                    <w14:schemeClr w14:val="tx1"/>
                  </w14:solidFill>
                </w14:textFill>
              </w:rPr>
              <w:t>m</w:t>
            </w:r>
            <w:r>
              <w:rPr>
                <w:rFonts w:ascii="宋体" w:hAnsi="宋体" w:cs="宋体"/>
                <w:color w:val="000000" w:themeColor="text1"/>
                <w:sz w:val="21"/>
                <w:szCs w:val="21"/>
                <w:vertAlign w:val="superscript"/>
                <w14:textFill>
                  <w14:solidFill>
                    <w14:schemeClr w14:val="tx1"/>
                  </w14:solidFill>
                </w14:textFill>
              </w:rPr>
              <w:t>3</w:t>
            </w:r>
            <w:r>
              <w:rPr>
                <w:rFonts w:hint="eastAsia" w:ascii="宋体" w:hAnsi="宋体" w:cs="宋体"/>
                <w:color w:val="000000" w:themeColor="text1"/>
                <w:sz w:val="21"/>
                <w:szCs w:val="21"/>
                <w14:textFill>
                  <w14:solidFill>
                    <w14:schemeClr w14:val="tx1"/>
                  </w14:solidFill>
                </w14:textFill>
              </w:rPr>
              <w:t>的</w:t>
            </w:r>
            <w:r>
              <w:rPr>
                <w:rFonts w:hint="eastAsia" w:ascii="宋体" w:hAnsi="宋体" w:cs="宋体"/>
                <w:color w:val="000000" w:themeColor="text1"/>
                <w:sz w:val="21"/>
                <w:szCs w:val="21"/>
                <w:lang w:val="en-US" w:eastAsia="zh-CN"/>
                <w14:textFill>
                  <w14:solidFill>
                    <w14:schemeClr w14:val="tx1"/>
                  </w14:solidFill>
                </w14:textFill>
              </w:rPr>
              <w:t>罐车，用来暂存</w:t>
            </w:r>
            <w:r>
              <w:rPr>
                <w:rFonts w:hint="eastAsia"/>
                <w:color w:val="000000" w:themeColor="text1"/>
                <w:lang w:bidi="ar"/>
                <w14:textFill>
                  <w14:solidFill>
                    <w14:schemeClr w14:val="tx1"/>
                  </w14:solidFill>
                </w14:textFill>
              </w:rPr>
              <w:t>洗井废水</w:t>
            </w:r>
            <w:r>
              <w:rPr>
                <w:rFonts w:hint="eastAsia"/>
                <w:color w:val="000000" w:themeColor="text1"/>
                <w:lang w:val="en-US" w:eastAsia="zh-CN" w:bidi="ar"/>
                <w14:textFill>
                  <w14:solidFill>
                    <w14:schemeClr w14:val="tx1"/>
                  </w14:solidFill>
                </w14:textFill>
              </w:rPr>
              <w:t>和</w:t>
            </w:r>
            <w:r>
              <w:rPr>
                <w:rFonts w:hint="eastAsia"/>
                <w:color w:val="000000" w:themeColor="text1"/>
                <w:lang w:bidi="ar"/>
                <w14:textFill>
                  <w14:solidFill>
                    <w14:schemeClr w14:val="tx1"/>
                  </w14:solidFill>
                </w14:textFill>
              </w:rPr>
              <w:t>井下作业废液</w:t>
            </w:r>
            <w:r>
              <w:rPr>
                <w:rFonts w:hint="eastAsia" w:ascii="宋体" w:hAnsi="宋体" w:cs="宋体"/>
                <w:color w:val="000000" w:themeColor="text1"/>
                <w:sz w:val="21"/>
                <w:szCs w:val="21"/>
                <w14:textFill>
                  <w14:solidFill>
                    <w14:schemeClr w14:val="tx1"/>
                  </w14:solidFill>
                </w14:textFill>
              </w:rPr>
              <w:t>；</w:t>
            </w:r>
          </w:p>
        </w:tc>
      </w:tr>
      <w:tr w14:paraId="531480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restart"/>
            <w:vAlign w:val="center"/>
          </w:tcPr>
          <w:p w14:paraId="2406C248">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公用工程</w:t>
            </w:r>
          </w:p>
        </w:tc>
        <w:tc>
          <w:tcPr>
            <w:tcW w:w="529" w:type="pct"/>
            <w:vAlign w:val="center"/>
          </w:tcPr>
          <w:p w14:paraId="325803EC">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道路</w:t>
            </w:r>
          </w:p>
        </w:tc>
        <w:tc>
          <w:tcPr>
            <w:tcW w:w="916" w:type="pct"/>
            <w:vAlign w:val="center"/>
          </w:tcPr>
          <w:p w14:paraId="759B3E50">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巡检道路</w:t>
            </w:r>
          </w:p>
        </w:tc>
        <w:tc>
          <w:tcPr>
            <w:tcW w:w="481" w:type="pct"/>
            <w:vAlign w:val="center"/>
          </w:tcPr>
          <w:p w14:paraId="5FB26B23">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236m</w:t>
            </w:r>
          </w:p>
        </w:tc>
        <w:tc>
          <w:tcPr>
            <w:tcW w:w="2609" w:type="pct"/>
            <w:vAlign w:val="center"/>
          </w:tcPr>
          <w:p w14:paraId="5AC50317">
            <w:pPr>
              <w:pStyle w:val="210"/>
              <w:rPr>
                <w:rFonts w:hint="eastAsia"/>
                <w:color w:val="000000" w:themeColor="text1"/>
                <w:lang w:bidi="ar"/>
                <w14:textFill>
                  <w14:solidFill>
                    <w14:schemeClr w14:val="tx1"/>
                  </w14:solidFill>
                </w14:textFill>
              </w:rPr>
            </w:pPr>
            <w:r>
              <w:rPr>
                <w:rFonts w:hint="eastAsia"/>
                <w:color w:val="000000" w:themeColor="text1"/>
                <w:szCs w:val="21"/>
                <w14:textFill>
                  <w14:solidFill>
                    <w14:schemeClr w14:val="tx1"/>
                  </w14:solidFill>
                </w14:textFill>
              </w:rPr>
              <w:t>新建巡检道路均利用勘探期建设的单井探临道路路面，不进行重新选线，将原来的探临道路路面结构和路肩等进行重新建设。新建井场至已建道路网巡检道路236m，道路路基宽4.5m，路面宽3.5m，设计速度20km/h，路面采用天然砂砾加固路面。路面用砂砾从附近料场购买拉运至项目区，不自行设置取料场。</w:t>
            </w:r>
          </w:p>
        </w:tc>
      </w:tr>
      <w:tr w14:paraId="6989AB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548C7487">
            <w:pPr>
              <w:pStyle w:val="210"/>
              <w:rPr>
                <w:rFonts w:hint="eastAsia"/>
                <w:color w:val="000000" w:themeColor="text1"/>
                <w:lang w:bidi="ar"/>
                <w14:textFill>
                  <w14:solidFill>
                    <w14:schemeClr w14:val="tx1"/>
                  </w14:solidFill>
                </w14:textFill>
              </w:rPr>
            </w:pPr>
          </w:p>
        </w:tc>
        <w:tc>
          <w:tcPr>
            <w:tcW w:w="529" w:type="pct"/>
            <w:vAlign w:val="center"/>
          </w:tcPr>
          <w:p w14:paraId="2B5F409A">
            <w:pPr>
              <w:pStyle w:val="210"/>
              <w:rPr>
                <w:rFonts w:hint="eastAsia"/>
                <w:color w:val="000000" w:themeColor="text1"/>
                <w:lang w:bidi="ar"/>
                <w14:textFill>
                  <w14:solidFill>
                    <w14:schemeClr w14:val="tx1"/>
                  </w14:solidFill>
                </w14:textFill>
              </w:rPr>
            </w:pPr>
            <w:bookmarkStart w:id="243" w:name="OLE_LINK293"/>
            <w:r>
              <w:rPr>
                <w:rFonts w:hint="eastAsia"/>
                <w:color w:val="000000" w:themeColor="text1"/>
                <w:lang w:bidi="ar"/>
                <w14:textFill>
                  <w14:solidFill>
                    <w14:schemeClr w14:val="tx1"/>
                  </w14:solidFill>
                </w14:textFill>
              </w:rPr>
              <w:t>仪</w:t>
            </w:r>
            <w:bookmarkStart w:id="244" w:name="OLE_LINK292"/>
            <w:r>
              <w:rPr>
                <w:rFonts w:hint="eastAsia"/>
                <w:color w:val="000000" w:themeColor="text1"/>
                <w:lang w:bidi="ar"/>
                <w14:textFill>
                  <w14:solidFill>
                    <w14:schemeClr w14:val="tx1"/>
                  </w14:solidFill>
                </w14:textFill>
              </w:rPr>
              <w:t>表自动化</w:t>
            </w:r>
            <w:bookmarkEnd w:id="243"/>
            <w:bookmarkEnd w:id="244"/>
          </w:p>
        </w:tc>
        <w:tc>
          <w:tcPr>
            <w:tcW w:w="4007" w:type="pct"/>
            <w:gridSpan w:val="3"/>
            <w:vAlign w:val="center"/>
          </w:tcPr>
          <w:p w14:paraId="003E1A75">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新增采油井和注水井井口仪表采用“Lora+”无线仪表，井口监控数据通过“Lora+”无线网络就近传输至1号、2号、6号以及14号计量配水站已建的“Lora+”基站，“Lora+”基站数据再通过已建链路（5.8G 网桥或光缆）上传至吉庆油田作业区已建生产监控系统，实现新增数据的共享显示、记录及远程监控功能。</w:t>
            </w:r>
          </w:p>
        </w:tc>
      </w:tr>
      <w:tr w14:paraId="1AD84F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61742CE6">
            <w:pPr>
              <w:pStyle w:val="210"/>
              <w:rPr>
                <w:rFonts w:hint="eastAsia"/>
                <w:color w:val="000000" w:themeColor="text1"/>
                <w:lang w:bidi="ar"/>
                <w14:textFill>
                  <w14:solidFill>
                    <w14:schemeClr w14:val="tx1"/>
                  </w14:solidFill>
                </w14:textFill>
              </w:rPr>
            </w:pPr>
          </w:p>
        </w:tc>
        <w:tc>
          <w:tcPr>
            <w:tcW w:w="529" w:type="pct"/>
            <w:vMerge w:val="restart"/>
            <w:vAlign w:val="center"/>
          </w:tcPr>
          <w:p w14:paraId="40EB6299">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给排水</w:t>
            </w:r>
          </w:p>
        </w:tc>
        <w:tc>
          <w:tcPr>
            <w:tcW w:w="916" w:type="pct"/>
            <w:vAlign w:val="center"/>
          </w:tcPr>
          <w:p w14:paraId="213268C4">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给水</w:t>
            </w:r>
          </w:p>
        </w:tc>
        <w:tc>
          <w:tcPr>
            <w:tcW w:w="3090" w:type="pct"/>
            <w:gridSpan w:val="2"/>
            <w:vAlign w:val="center"/>
          </w:tcPr>
          <w:p w14:paraId="25E9F13C">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施工期给水主要为管道试压用水、混凝土养护用水</w:t>
            </w:r>
            <w:r>
              <w:rPr>
                <w:rFonts w:hint="eastAsia"/>
                <w:color w:val="000000" w:themeColor="text1"/>
                <w:lang w:val="en-US" w:eastAsia="zh-CN" w:bidi="ar"/>
                <w14:textFill>
                  <w14:solidFill>
                    <w14:schemeClr w14:val="tx1"/>
                  </w14:solidFill>
                </w14:textFill>
              </w:rPr>
              <w:t>和</w:t>
            </w:r>
            <w:r>
              <w:rPr>
                <w:rFonts w:hint="eastAsia"/>
                <w:color w:val="000000" w:themeColor="text1"/>
                <w:lang w:bidi="ar"/>
                <w14:textFill>
                  <w14:solidFill>
                    <w14:schemeClr w14:val="tx1"/>
                  </w14:solidFill>
                </w14:textFill>
              </w:rPr>
              <w:t>钻井用水；运营期用水主要为井下作业用水，井区位于荒漠地区，周围无成熟的供水管网，用水由罐车从吉木萨尔县县城拉运至项目区。退役期管道清洗用水采用吉祥联合站采出水处理系统处理达标水以及清水，由罐车拉运。</w:t>
            </w:r>
          </w:p>
        </w:tc>
      </w:tr>
      <w:tr w14:paraId="4B691B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77803694">
            <w:pPr>
              <w:pStyle w:val="210"/>
              <w:rPr>
                <w:rFonts w:hint="eastAsia"/>
                <w:color w:val="000000" w:themeColor="text1"/>
                <w:lang w:bidi="ar"/>
                <w14:textFill>
                  <w14:solidFill>
                    <w14:schemeClr w14:val="tx1"/>
                  </w14:solidFill>
                </w14:textFill>
              </w:rPr>
            </w:pPr>
          </w:p>
        </w:tc>
        <w:tc>
          <w:tcPr>
            <w:tcW w:w="529" w:type="pct"/>
            <w:vMerge w:val="continue"/>
            <w:vAlign w:val="center"/>
          </w:tcPr>
          <w:p w14:paraId="0CBABE09">
            <w:pPr>
              <w:pStyle w:val="210"/>
              <w:rPr>
                <w:rFonts w:hint="eastAsia"/>
                <w:color w:val="000000" w:themeColor="text1"/>
                <w:lang w:bidi="ar"/>
                <w14:textFill>
                  <w14:solidFill>
                    <w14:schemeClr w14:val="tx1"/>
                  </w14:solidFill>
                </w14:textFill>
              </w:rPr>
            </w:pPr>
          </w:p>
        </w:tc>
        <w:tc>
          <w:tcPr>
            <w:tcW w:w="916" w:type="pct"/>
            <w:vAlign w:val="center"/>
          </w:tcPr>
          <w:p w14:paraId="731912E4">
            <w:pPr>
              <w:pStyle w:val="210"/>
              <w:rPr>
                <w:rFonts w:hint="eastAsia"/>
                <w:color w:val="000000" w:themeColor="text1"/>
                <w:lang w:bidi="ar"/>
                <w14:textFill>
                  <w14:solidFill>
                    <w14:schemeClr w14:val="tx1"/>
                  </w14:solidFill>
                </w14:textFill>
              </w:rPr>
            </w:pPr>
            <w:bookmarkStart w:id="245" w:name="OLE_LINK290"/>
            <w:r>
              <w:rPr>
                <w:rFonts w:hint="eastAsia"/>
                <w:color w:val="000000" w:themeColor="text1"/>
                <w:lang w:bidi="ar"/>
                <w14:textFill>
                  <w14:solidFill>
                    <w14:schemeClr w14:val="tx1"/>
                  </w14:solidFill>
                </w14:textFill>
              </w:rPr>
              <w:t>排水</w:t>
            </w:r>
            <w:bookmarkEnd w:id="245"/>
          </w:p>
        </w:tc>
        <w:tc>
          <w:tcPr>
            <w:tcW w:w="3090" w:type="pct"/>
            <w:gridSpan w:val="2"/>
            <w:vAlign w:val="center"/>
          </w:tcPr>
          <w:p w14:paraId="23F6BACD">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施工期排水主要为混凝土养护废水、管道试压废水</w:t>
            </w:r>
            <w:r>
              <w:rPr>
                <w:rFonts w:hint="eastAsia"/>
                <w:color w:val="000000" w:themeColor="text1"/>
                <w:lang w:val="en-US" w:eastAsia="zh-CN" w:bidi="ar"/>
                <w14:textFill>
                  <w14:solidFill>
                    <w14:schemeClr w14:val="tx1"/>
                  </w14:solidFill>
                </w14:textFill>
              </w:rPr>
              <w:t>、</w:t>
            </w:r>
            <w:r>
              <w:rPr>
                <w:rFonts w:hint="eastAsia"/>
                <w:color w:val="000000" w:themeColor="text1"/>
                <w:lang w:bidi="ar"/>
                <w14:textFill>
                  <w14:solidFill>
                    <w14:schemeClr w14:val="tx1"/>
                  </w14:solidFill>
                </w14:textFill>
              </w:rPr>
              <w:t>钻井废水和压裂返排液。管道试压废水和混凝土养护废水的污染物主要为悬浮物，管道试压废水用于项目区的洒水抑尘，混凝土养护废水主要靠自然蒸发处理；钻井废水通过不落地系统处理后，回用于钻井液配制、循环利用，不外排</w:t>
            </w:r>
            <w:r>
              <w:rPr>
                <w:rFonts w:hint="eastAsia"/>
                <w:color w:val="000000" w:themeColor="text1"/>
                <w14:textFill>
                  <w14:solidFill>
                    <w14:schemeClr w14:val="tx1"/>
                  </w14:solidFill>
                </w14:textFill>
              </w:rPr>
              <w:t>；储层改造过程产生的</w:t>
            </w:r>
            <w:r>
              <w:rPr>
                <w:rFonts w:hint="eastAsia"/>
                <w:color w:val="000000" w:themeColor="text1"/>
                <w:lang w:bidi="ar"/>
                <w14:textFill>
                  <w14:solidFill>
                    <w14:schemeClr w14:val="tx1"/>
                  </w14:solidFill>
                </w14:textFill>
              </w:rPr>
              <w:t>压裂返排液由罐车拉运至吉祥联合站采出水处理系统处理达标后回注油藏，不外排。</w:t>
            </w:r>
            <w:r>
              <w:rPr>
                <w:rFonts w:hint="eastAsia"/>
                <w:color w:val="000000" w:themeColor="text1"/>
                <w14:textFill>
                  <w14:solidFill>
                    <w14:schemeClr w14:val="tx1"/>
                  </w14:solidFill>
                </w14:textFill>
              </w:rPr>
              <w:t>运营期排水主要为洗井废水、井下作业废液，洗井废水和井下作业废液由罐车拉运至吉祥联合站采出水处理系统处理，经处理达标后回注油藏，不外排。</w:t>
            </w:r>
            <w:r>
              <w:rPr>
                <w:rFonts w:hint="eastAsia"/>
                <w:color w:val="000000" w:themeColor="text1"/>
                <w:lang w:bidi="ar"/>
                <w14:textFill>
                  <w14:solidFill>
                    <w14:schemeClr w14:val="tx1"/>
                  </w14:solidFill>
                </w14:textFill>
              </w:rPr>
              <w:t>退役期管道清洗废水由罐车拉运至</w:t>
            </w:r>
            <w:r>
              <w:rPr>
                <w:rFonts w:hint="eastAsia"/>
                <w:color w:val="000000" w:themeColor="text1"/>
                <w14:textFill>
                  <w14:solidFill>
                    <w14:schemeClr w14:val="tx1"/>
                  </w14:solidFill>
                </w14:textFill>
              </w:rPr>
              <w:t>吉祥联合站采出水处理系统处理，经处理达标后回注油藏</w:t>
            </w:r>
            <w:r>
              <w:rPr>
                <w:rFonts w:hint="eastAsia"/>
                <w:color w:val="000000" w:themeColor="text1"/>
                <w:lang w:bidi="ar"/>
                <w14:textFill>
                  <w14:solidFill>
                    <w14:schemeClr w14:val="tx1"/>
                  </w14:solidFill>
                </w14:textFill>
              </w:rPr>
              <w:t>。</w:t>
            </w:r>
          </w:p>
        </w:tc>
      </w:tr>
      <w:tr w14:paraId="146701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1A5571BD">
            <w:pPr>
              <w:pStyle w:val="210"/>
              <w:rPr>
                <w:rFonts w:hint="eastAsia"/>
                <w:color w:val="000000" w:themeColor="text1"/>
                <w:lang w:bidi="ar"/>
                <w14:textFill>
                  <w14:solidFill>
                    <w14:schemeClr w14:val="tx1"/>
                  </w14:solidFill>
                </w14:textFill>
              </w:rPr>
            </w:pPr>
          </w:p>
        </w:tc>
        <w:tc>
          <w:tcPr>
            <w:tcW w:w="529" w:type="pct"/>
            <w:vAlign w:val="center"/>
          </w:tcPr>
          <w:p w14:paraId="5AF9245E">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供配电</w:t>
            </w:r>
          </w:p>
        </w:tc>
        <w:tc>
          <w:tcPr>
            <w:tcW w:w="4007" w:type="pct"/>
            <w:gridSpan w:val="3"/>
            <w:vAlign w:val="center"/>
          </w:tcPr>
          <w:p w14:paraId="22F519A5">
            <w:pPr>
              <w:pStyle w:val="210"/>
              <w:rPr>
                <w:rFonts w:hint="eastAsia"/>
                <w:color w:val="000000" w:themeColor="text1"/>
                <w:lang w:bidi="ar"/>
                <w14:textFill>
                  <w14:solidFill>
                    <w14:schemeClr w14:val="tx1"/>
                  </w14:solidFill>
                </w14:textFill>
              </w:rPr>
            </w:pPr>
            <w:bookmarkStart w:id="246" w:name="OLE_LINK286"/>
            <w:r>
              <w:rPr>
                <w:rFonts w:hint="eastAsia"/>
                <w:color w:val="000000" w:themeColor="text1"/>
                <w:lang w:bidi="ar"/>
                <w14:textFill>
                  <w14:solidFill>
                    <w14:schemeClr w14:val="tx1"/>
                  </w14:solidFill>
                </w14:textFill>
              </w:rPr>
              <w:t>①钻井用电：钻井用电采用柴油发电机；</w:t>
            </w:r>
          </w:p>
          <w:p w14:paraId="2FE58D35">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②生产用电：</w:t>
            </w:r>
            <w:bookmarkEnd w:id="246"/>
            <w:r>
              <w:rPr>
                <w:rFonts w:hint="eastAsia"/>
                <w:color w:val="000000" w:themeColor="text1"/>
                <w:szCs w:val="21"/>
                <w14:textFill>
                  <w14:solidFill>
                    <w14:schemeClr w14:val="tx1"/>
                  </w14:solidFill>
                </w14:textFill>
              </w:rPr>
              <w:t>电量消耗量为59.46×10</w:t>
            </w:r>
            <w:r>
              <w:rPr>
                <w:rFonts w:hint="eastAsia"/>
                <w:color w:val="000000" w:themeColor="text1"/>
                <w:szCs w:val="21"/>
                <w:vertAlign w:val="superscript"/>
                <w14:textFill>
                  <w14:solidFill>
                    <w14:schemeClr w14:val="tx1"/>
                  </w14:solidFill>
                </w14:textFill>
              </w:rPr>
              <w:t>4</w:t>
            </w:r>
            <w:r>
              <w:rPr>
                <w:rFonts w:hint="eastAsia"/>
                <w:color w:val="000000" w:themeColor="text1"/>
                <w:szCs w:val="21"/>
                <w14:textFill>
                  <w14:solidFill>
                    <w14:schemeClr w14:val="tx1"/>
                  </w14:solidFill>
                </w14:textFill>
              </w:rPr>
              <w:t>kW</w:t>
            </w:r>
            <w:r>
              <w:rPr>
                <w:rFonts w:ascii="Times New Roman" w:hAnsi="Times New Roman"/>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h，本工程采油井场等用电负荷等级为二级，其余为三级负荷，电压等级为0.38/0.22kV，电源引自就近新建10kV线路，新建10kV架空线路约5km，导线采用3×JKLGYJ-120/25。10kV线路电杆主导杆型采用梢径190mm、长12m的锥形非预应力砼电杆，跨越杆采用梢径190mm、长15m的锥形非预应力砼电杆。每座平台井采用1座63kVA杆架式变电站负责为该站用电负荷供电，共3座63kVA杆架式变电站。新建单井采油井场采用1座30kVA杆架式变电站负责为新增用电负荷供电。</w:t>
            </w:r>
          </w:p>
        </w:tc>
      </w:tr>
      <w:tr w14:paraId="49DBE8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4EC18224">
            <w:pPr>
              <w:pStyle w:val="210"/>
              <w:rPr>
                <w:rFonts w:hint="eastAsia"/>
                <w:color w:val="000000" w:themeColor="text1"/>
                <w:lang w:bidi="ar"/>
                <w14:textFill>
                  <w14:solidFill>
                    <w14:schemeClr w14:val="tx1"/>
                  </w14:solidFill>
                </w14:textFill>
              </w:rPr>
            </w:pPr>
          </w:p>
        </w:tc>
        <w:tc>
          <w:tcPr>
            <w:tcW w:w="529" w:type="pct"/>
            <w:vAlign w:val="center"/>
          </w:tcPr>
          <w:p w14:paraId="70AA7CE3">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供热</w:t>
            </w:r>
          </w:p>
        </w:tc>
        <w:tc>
          <w:tcPr>
            <w:tcW w:w="4007" w:type="pct"/>
            <w:gridSpan w:val="3"/>
            <w:vAlign w:val="center"/>
          </w:tcPr>
          <w:p w14:paraId="5785FA30">
            <w:pPr>
              <w:pStyle w:val="210"/>
              <w:rPr>
                <w:rFonts w:hint="eastAsia"/>
                <w:color w:val="000000" w:themeColor="text1"/>
                <w:lang w:bidi="ar"/>
                <w14:textFill>
                  <w14:solidFill>
                    <w14:schemeClr w14:val="tx1"/>
                  </w14:solidFill>
                </w14:textFill>
              </w:rPr>
            </w:pPr>
            <w:bookmarkStart w:id="247" w:name="OLE_LINK287"/>
            <w:r>
              <w:rPr>
                <w:rFonts w:hint="eastAsia"/>
                <w:color w:val="000000" w:themeColor="text1"/>
                <w:lang w:bidi="ar"/>
                <w14:textFill>
                  <w14:solidFill>
                    <w14:schemeClr w14:val="tx1"/>
                  </w14:solidFill>
                </w14:textFill>
              </w:rPr>
              <w:t>运营期6口采油井口采用电加热：</w:t>
            </w:r>
            <w:bookmarkEnd w:id="247"/>
            <w:r>
              <w:rPr>
                <w:rFonts w:hint="eastAsia"/>
                <w:color w:val="000000" w:themeColor="text1"/>
                <w:lang w:bidi="ar"/>
                <w14:textFill>
                  <w14:solidFill>
                    <w14:schemeClr w14:val="tx1"/>
                  </w14:solidFill>
                </w14:textFill>
              </w:rPr>
              <w:t>井口采用保温衣保温，缠绕200W电加热带；采油井气液混合物在井口掺入热水，保证原油含水率75%左右，掺热后的气液混合物经单井管道混输至已建计量站。</w:t>
            </w:r>
          </w:p>
        </w:tc>
      </w:tr>
      <w:tr w14:paraId="1E61AD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restart"/>
            <w:noWrap/>
            <w:vAlign w:val="center"/>
          </w:tcPr>
          <w:p w14:paraId="1479AACF">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环保工程</w:t>
            </w:r>
          </w:p>
        </w:tc>
        <w:tc>
          <w:tcPr>
            <w:tcW w:w="529" w:type="pct"/>
            <w:vMerge w:val="restart"/>
            <w:vAlign w:val="center"/>
          </w:tcPr>
          <w:p w14:paraId="1A9A9401">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废气</w:t>
            </w:r>
          </w:p>
        </w:tc>
        <w:tc>
          <w:tcPr>
            <w:tcW w:w="4007" w:type="pct"/>
            <w:gridSpan w:val="3"/>
            <w:vAlign w:val="center"/>
          </w:tcPr>
          <w:p w14:paraId="372CA4CF">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施工期：</w:t>
            </w:r>
          </w:p>
          <w:p w14:paraId="46BB66C0">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①施工期材料及临时土方采用防尘布覆盖，逸散性材料运输采用苫布遮盖；</w:t>
            </w:r>
            <w:bookmarkStart w:id="248" w:name="OLE_LINK300"/>
            <w:r>
              <w:rPr>
                <w:rFonts w:hint="eastAsia"/>
                <w:color w:val="000000" w:themeColor="text1"/>
                <w:lang w:bidi="ar"/>
                <w14:textFill>
                  <w14:solidFill>
                    <w14:schemeClr w14:val="tx1"/>
                  </w14:solidFill>
                </w14:textFill>
              </w:rPr>
              <w:t>②加强施工管理，尽可能缩短施工周期，采用符合标准要求的燃油；③选用低毒焊条，规范操作等</w:t>
            </w:r>
            <w:bookmarkEnd w:id="248"/>
          </w:p>
        </w:tc>
      </w:tr>
      <w:tr w14:paraId="5AA9F0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244A6BA9">
            <w:pPr>
              <w:pStyle w:val="210"/>
              <w:rPr>
                <w:rFonts w:hint="eastAsia"/>
                <w:color w:val="000000" w:themeColor="text1"/>
                <w:lang w:bidi="ar"/>
                <w14:textFill>
                  <w14:solidFill>
                    <w14:schemeClr w14:val="tx1"/>
                  </w14:solidFill>
                </w14:textFill>
              </w:rPr>
            </w:pPr>
          </w:p>
        </w:tc>
        <w:tc>
          <w:tcPr>
            <w:tcW w:w="529" w:type="pct"/>
            <w:vMerge w:val="continue"/>
            <w:vAlign w:val="center"/>
          </w:tcPr>
          <w:p w14:paraId="5610E98A">
            <w:pPr>
              <w:pStyle w:val="210"/>
              <w:rPr>
                <w:rFonts w:hint="eastAsia"/>
                <w:color w:val="000000" w:themeColor="text1"/>
                <w:lang w:bidi="ar"/>
                <w14:textFill>
                  <w14:solidFill>
                    <w14:schemeClr w14:val="tx1"/>
                  </w14:solidFill>
                </w14:textFill>
              </w:rPr>
            </w:pPr>
          </w:p>
        </w:tc>
        <w:tc>
          <w:tcPr>
            <w:tcW w:w="4007" w:type="pct"/>
            <w:gridSpan w:val="3"/>
            <w:vAlign w:val="center"/>
          </w:tcPr>
          <w:p w14:paraId="61DC4758">
            <w:pPr>
              <w:pStyle w:val="210"/>
              <w:rPr>
                <w:rFonts w:hint="eastAsia"/>
                <w:color w:val="000000" w:themeColor="text1"/>
                <w:lang w:bidi="ar"/>
                <w14:textFill>
                  <w14:solidFill>
                    <w14:schemeClr w14:val="tx1"/>
                  </w14:solidFill>
                </w14:textFill>
              </w:rPr>
            </w:pPr>
            <w:bookmarkStart w:id="249" w:name="OLE_LINK242"/>
            <w:r>
              <w:rPr>
                <w:rFonts w:hint="eastAsia"/>
                <w:color w:val="000000" w:themeColor="text1"/>
                <w:lang w:bidi="ar"/>
                <w14:textFill>
                  <w14:solidFill>
                    <w14:schemeClr w14:val="tx1"/>
                  </w14:solidFill>
                </w14:textFill>
              </w:rPr>
              <w:t>运营期：</w:t>
            </w:r>
            <w:bookmarkEnd w:id="249"/>
            <w:r>
              <w:rPr>
                <w:rFonts w:hint="eastAsia"/>
                <w:color w:val="000000" w:themeColor="text1"/>
                <w:lang w:bidi="ar"/>
                <w14:textFill>
                  <w14:solidFill>
                    <w14:schemeClr w14:val="tx1"/>
                  </w14:solidFill>
                </w14:textFill>
              </w:rPr>
              <w:t>选用质量可靠的设备、仪表、阀门等；定期对井场的设备、阀门等检查、检修；井口采出物汇集、输送及处理的全过程均采用密闭工艺流程</w:t>
            </w:r>
            <w:r>
              <w:rPr>
                <w:rFonts w:hint="eastAsia"/>
                <w:color w:val="000000" w:themeColor="text1"/>
                <w14:textFill>
                  <w14:solidFill>
                    <w14:schemeClr w14:val="tx1"/>
                  </w14:solidFill>
                </w14:textFill>
              </w:rPr>
              <w:t>。</w:t>
            </w:r>
          </w:p>
        </w:tc>
      </w:tr>
      <w:tr w14:paraId="1B60CA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44804AE4">
            <w:pPr>
              <w:pStyle w:val="210"/>
              <w:rPr>
                <w:rFonts w:hint="eastAsia"/>
                <w:color w:val="000000" w:themeColor="text1"/>
                <w:lang w:bidi="ar"/>
                <w14:textFill>
                  <w14:solidFill>
                    <w14:schemeClr w14:val="tx1"/>
                  </w14:solidFill>
                </w14:textFill>
              </w:rPr>
            </w:pPr>
          </w:p>
        </w:tc>
        <w:tc>
          <w:tcPr>
            <w:tcW w:w="529" w:type="pct"/>
            <w:vMerge w:val="restart"/>
            <w:vAlign w:val="center"/>
          </w:tcPr>
          <w:p w14:paraId="08C5EBD7">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废水</w:t>
            </w:r>
          </w:p>
        </w:tc>
        <w:tc>
          <w:tcPr>
            <w:tcW w:w="4007" w:type="pct"/>
            <w:gridSpan w:val="3"/>
            <w:vAlign w:val="center"/>
          </w:tcPr>
          <w:p w14:paraId="2BF556DF">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施工期：</w:t>
            </w:r>
          </w:p>
          <w:p w14:paraId="7E127296">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①钻井废水采用“不落地”工艺处理后，回用于钻井液配制、循环利用，不外排；</w:t>
            </w:r>
          </w:p>
          <w:p w14:paraId="24C2F2EF">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②管道试压废水沉淀后用于施工场地洒水、降尘，不外排。</w:t>
            </w:r>
          </w:p>
          <w:p w14:paraId="65EE79D6">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③混凝土养护废水自然蒸发处理。</w:t>
            </w:r>
          </w:p>
          <w:p w14:paraId="0846B37F">
            <w:pPr>
              <w:pStyle w:val="210"/>
              <w:rPr>
                <w:rFonts w:hint="eastAsia"/>
                <w:color w:val="000000" w:themeColor="text1"/>
                <w:szCs w:val="22"/>
                <w:lang w:bidi="ar"/>
                <w14:textFill>
                  <w14:solidFill>
                    <w14:schemeClr w14:val="tx1"/>
                  </w14:solidFill>
                </w14:textFill>
              </w:rPr>
            </w:pPr>
            <w:r>
              <w:rPr>
                <w:color w:val="000000" w:themeColor="text1"/>
                <w:lang w:bidi="ar"/>
                <w14:textFill>
                  <w14:solidFill>
                    <w14:schemeClr w14:val="tx1"/>
                  </w14:solidFill>
                </w14:textFill>
              </w:rPr>
              <w:t>④</w:t>
            </w:r>
            <w:r>
              <w:rPr>
                <w:color w:val="000000" w:themeColor="text1"/>
                <w:szCs w:val="22"/>
                <w:lang w:bidi="ar"/>
                <w14:textFill>
                  <w14:solidFill>
                    <w14:schemeClr w14:val="tx1"/>
                  </w14:solidFill>
                </w14:textFill>
              </w:rPr>
              <w:t>压裂返排液：罐车</w:t>
            </w:r>
            <w:r>
              <w:rPr>
                <w:rFonts w:hint="eastAsia"/>
                <w:color w:val="000000" w:themeColor="text1"/>
                <w:szCs w:val="22"/>
                <w:lang w:bidi="ar"/>
                <w14:textFill>
                  <w14:solidFill>
                    <w14:schemeClr w14:val="tx1"/>
                  </w14:solidFill>
                </w14:textFill>
              </w:rPr>
              <w:t>收集</w:t>
            </w:r>
            <w:r>
              <w:rPr>
                <w:color w:val="000000" w:themeColor="text1"/>
                <w:szCs w:val="22"/>
                <w:lang w:bidi="ar"/>
                <w14:textFill>
                  <w14:solidFill>
                    <w14:schemeClr w14:val="tx1"/>
                  </w14:solidFill>
                </w14:textFill>
              </w:rPr>
              <w:t>拉运。</w:t>
            </w:r>
          </w:p>
        </w:tc>
      </w:tr>
      <w:tr w14:paraId="6D7702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6B3EE562">
            <w:pPr>
              <w:pStyle w:val="210"/>
              <w:rPr>
                <w:rFonts w:hint="eastAsia"/>
                <w:color w:val="000000" w:themeColor="text1"/>
                <w:lang w:bidi="ar"/>
                <w14:textFill>
                  <w14:solidFill>
                    <w14:schemeClr w14:val="tx1"/>
                  </w14:solidFill>
                </w14:textFill>
              </w:rPr>
            </w:pPr>
          </w:p>
        </w:tc>
        <w:tc>
          <w:tcPr>
            <w:tcW w:w="529" w:type="pct"/>
            <w:vMerge w:val="continue"/>
            <w:vAlign w:val="center"/>
          </w:tcPr>
          <w:p w14:paraId="66F2DDE1">
            <w:pPr>
              <w:pStyle w:val="210"/>
              <w:rPr>
                <w:rFonts w:hint="eastAsia"/>
                <w:color w:val="000000" w:themeColor="text1"/>
                <w:lang w:bidi="ar"/>
                <w14:textFill>
                  <w14:solidFill>
                    <w14:schemeClr w14:val="tx1"/>
                  </w14:solidFill>
                </w14:textFill>
              </w:rPr>
            </w:pPr>
          </w:p>
        </w:tc>
        <w:tc>
          <w:tcPr>
            <w:tcW w:w="4007" w:type="pct"/>
            <w:gridSpan w:val="3"/>
            <w:vAlign w:val="center"/>
          </w:tcPr>
          <w:p w14:paraId="0E36F58E">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运营期：</w:t>
            </w:r>
            <w:r>
              <w:rPr>
                <w:rFonts w:hint="eastAsia"/>
                <w:snapToGrid w:val="0"/>
                <w:color w:val="000000" w:themeColor="text1"/>
                <w:szCs w:val="21"/>
                <w14:textFill>
                  <w14:solidFill>
                    <w14:schemeClr w14:val="tx1"/>
                  </w14:solidFill>
                </w14:textFill>
              </w:rPr>
              <w:t>井下作业时带罐作业</w:t>
            </w:r>
            <w:r>
              <w:rPr>
                <w:rFonts w:hint="eastAsia"/>
                <w:color w:val="000000" w:themeColor="text1"/>
                <w:lang w:bidi="ar"/>
                <w14:textFill>
                  <w14:solidFill>
                    <w14:schemeClr w14:val="tx1"/>
                  </w14:solidFill>
                </w14:textFill>
              </w:rPr>
              <w:t>。</w:t>
            </w:r>
          </w:p>
        </w:tc>
      </w:tr>
      <w:tr w14:paraId="315580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09B657B8">
            <w:pPr>
              <w:pStyle w:val="210"/>
              <w:rPr>
                <w:rFonts w:hint="eastAsia"/>
                <w:color w:val="000000" w:themeColor="text1"/>
                <w:lang w:bidi="ar"/>
                <w14:textFill>
                  <w14:solidFill>
                    <w14:schemeClr w14:val="tx1"/>
                  </w14:solidFill>
                </w14:textFill>
              </w:rPr>
            </w:pPr>
          </w:p>
        </w:tc>
        <w:tc>
          <w:tcPr>
            <w:tcW w:w="529" w:type="pct"/>
            <w:vAlign w:val="center"/>
          </w:tcPr>
          <w:p w14:paraId="334FE990">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噪声</w:t>
            </w:r>
          </w:p>
        </w:tc>
        <w:tc>
          <w:tcPr>
            <w:tcW w:w="4007" w:type="pct"/>
            <w:gridSpan w:val="3"/>
            <w:vAlign w:val="center"/>
          </w:tcPr>
          <w:p w14:paraId="1BC00A3D">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合理布置，选用低噪声设备，采取减振措施，加强维修保养</w:t>
            </w:r>
          </w:p>
        </w:tc>
      </w:tr>
      <w:tr w14:paraId="60373A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38252882">
            <w:pPr>
              <w:pStyle w:val="210"/>
              <w:rPr>
                <w:rFonts w:hint="eastAsia"/>
                <w:color w:val="000000" w:themeColor="text1"/>
                <w:lang w:bidi="ar"/>
                <w14:textFill>
                  <w14:solidFill>
                    <w14:schemeClr w14:val="tx1"/>
                  </w14:solidFill>
                </w14:textFill>
              </w:rPr>
            </w:pPr>
          </w:p>
        </w:tc>
        <w:tc>
          <w:tcPr>
            <w:tcW w:w="529" w:type="pct"/>
            <w:vAlign w:val="center"/>
          </w:tcPr>
          <w:p w14:paraId="048FCB3D">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地下水</w:t>
            </w:r>
          </w:p>
        </w:tc>
        <w:tc>
          <w:tcPr>
            <w:tcW w:w="4007" w:type="pct"/>
            <w:gridSpan w:val="3"/>
            <w:vAlign w:val="center"/>
          </w:tcPr>
          <w:p w14:paraId="1B7485A1">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井下作业时带罐作业；井场及站场内的防渗措施以及井下作业过程中铺设的防渗材料。</w:t>
            </w:r>
          </w:p>
        </w:tc>
      </w:tr>
      <w:tr w14:paraId="7A07CA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41C244AD">
            <w:pPr>
              <w:pStyle w:val="210"/>
              <w:rPr>
                <w:rFonts w:hint="eastAsia"/>
                <w:color w:val="000000" w:themeColor="text1"/>
                <w:lang w:bidi="ar"/>
                <w14:textFill>
                  <w14:solidFill>
                    <w14:schemeClr w14:val="tx1"/>
                  </w14:solidFill>
                </w14:textFill>
              </w:rPr>
            </w:pPr>
          </w:p>
        </w:tc>
        <w:tc>
          <w:tcPr>
            <w:tcW w:w="529" w:type="pct"/>
            <w:vAlign w:val="center"/>
          </w:tcPr>
          <w:p w14:paraId="54D166C1">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风险</w:t>
            </w:r>
          </w:p>
        </w:tc>
        <w:tc>
          <w:tcPr>
            <w:tcW w:w="4007" w:type="pct"/>
            <w:gridSpan w:val="3"/>
            <w:vAlign w:val="center"/>
          </w:tcPr>
          <w:p w14:paraId="005FE604">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安装防喷器和井控装置；</w:t>
            </w:r>
            <w:bookmarkStart w:id="250" w:name="OLE_LINK301"/>
            <w:r>
              <w:rPr>
                <w:rFonts w:hint="eastAsia"/>
                <w:color w:val="000000" w:themeColor="text1"/>
                <w:lang w:bidi="ar"/>
                <w14:textFill>
                  <w14:solidFill>
                    <w14:schemeClr w14:val="tx1"/>
                  </w14:solidFill>
                </w14:textFill>
              </w:rPr>
              <w:t>配备应急物资</w:t>
            </w:r>
            <w:bookmarkEnd w:id="250"/>
            <w:r>
              <w:rPr>
                <w:rFonts w:hint="eastAsia"/>
                <w:color w:val="000000" w:themeColor="text1"/>
                <w:lang w:bidi="ar"/>
                <w14:textFill>
                  <w14:solidFill>
                    <w14:schemeClr w14:val="tx1"/>
                  </w14:solidFill>
                </w14:textFill>
              </w:rPr>
              <w:t>；建立健全环境风险应急预案；定期开展应急演练；委托监测等</w:t>
            </w:r>
          </w:p>
        </w:tc>
      </w:tr>
      <w:tr w14:paraId="76A6C5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17E2CB1B">
            <w:pPr>
              <w:pStyle w:val="210"/>
              <w:rPr>
                <w:rFonts w:hint="eastAsia"/>
                <w:color w:val="000000" w:themeColor="text1"/>
                <w:lang w:bidi="ar"/>
                <w14:textFill>
                  <w14:solidFill>
                    <w14:schemeClr w14:val="tx1"/>
                  </w14:solidFill>
                </w14:textFill>
              </w:rPr>
            </w:pPr>
          </w:p>
        </w:tc>
        <w:tc>
          <w:tcPr>
            <w:tcW w:w="529" w:type="pct"/>
            <w:vAlign w:val="center"/>
          </w:tcPr>
          <w:p w14:paraId="72968E9E">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生态</w:t>
            </w:r>
          </w:p>
        </w:tc>
        <w:tc>
          <w:tcPr>
            <w:tcW w:w="4007" w:type="pct"/>
            <w:gridSpan w:val="3"/>
            <w:vAlign w:val="center"/>
          </w:tcPr>
          <w:p w14:paraId="14EA2C00">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按照正式征地文件，缴纳生态补偿费，对永久占地进行硬化，防止水土流失和风蚀，对临时占地进行及时的平整和植被恢复。</w:t>
            </w:r>
          </w:p>
        </w:tc>
      </w:tr>
      <w:tr w14:paraId="66F95C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76EE073A">
            <w:pPr>
              <w:pStyle w:val="210"/>
              <w:rPr>
                <w:rFonts w:hint="eastAsia"/>
                <w:color w:val="000000" w:themeColor="text1"/>
                <w:lang w:bidi="ar"/>
                <w14:textFill>
                  <w14:solidFill>
                    <w14:schemeClr w14:val="tx1"/>
                  </w14:solidFill>
                </w14:textFill>
              </w:rPr>
            </w:pPr>
          </w:p>
        </w:tc>
        <w:tc>
          <w:tcPr>
            <w:tcW w:w="529" w:type="pct"/>
            <w:vMerge w:val="restart"/>
            <w:vAlign w:val="center"/>
          </w:tcPr>
          <w:p w14:paraId="24982DE3">
            <w:pPr>
              <w:pStyle w:val="210"/>
              <w:rPr>
                <w:rFonts w:hint="eastAsia"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固体</w:t>
            </w:r>
          </w:p>
          <w:p w14:paraId="7D253401">
            <w:pPr>
              <w:pStyle w:val="210"/>
              <w:rPr>
                <w:rFonts w:hint="eastAsia"/>
                <w:color w:val="000000" w:themeColor="text1"/>
                <w:lang w:bidi="ar"/>
                <w14:textFill>
                  <w14:solidFill>
                    <w14:schemeClr w14:val="tx1"/>
                  </w14:solidFill>
                </w14:textFill>
              </w:rPr>
            </w:pPr>
            <w:r>
              <w:rPr>
                <w:rFonts w:hint="eastAsia" w:cs="宋体"/>
                <w:color w:val="000000" w:themeColor="text1"/>
                <w:szCs w:val="21"/>
                <w14:textFill>
                  <w14:solidFill>
                    <w14:schemeClr w14:val="tx1"/>
                  </w14:solidFill>
                </w14:textFill>
              </w:rPr>
              <w:t>废物</w:t>
            </w:r>
          </w:p>
        </w:tc>
        <w:tc>
          <w:tcPr>
            <w:tcW w:w="4007" w:type="pct"/>
            <w:gridSpan w:val="3"/>
            <w:vAlign w:val="center"/>
          </w:tcPr>
          <w:p w14:paraId="174902B3">
            <w:pPr>
              <w:pStyle w:val="210"/>
              <w:rPr>
                <w:rFonts w:hint="eastAsia"/>
                <w:color w:val="000000" w:themeColor="text1"/>
                <w:lang w:bidi="ar"/>
                <w14:textFill>
                  <w14:solidFill>
                    <w14:schemeClr w14:val="tx1"/>
                  </w14:solidFill>
                </w14:textFill>
              </w:rPr>
            </w:pPr>
            <w:r>
              <w:rPr>
                <w:rFonts w:hint="eastAsia" w:cs="宋体"/>
                <w:color w:val="000000" w:themeColor="text1"/>
                <w:lang w:val="en-US" w:eastAsia="zh-CN"/>
                <w14:textFill>
                  <w14:solidFill>
                    <w14:schemeClr w14:val="tx1"/>
                  </w14:solidFill>
                </w14:textFill>
              </w:rPr>
              <w:t>施工期：每座</w:t>
            </w:r>
            <w:r>
              <w:rPr>
                <w:rFonts w:hint="eastAsia" w:cs="宋体"/>
                <w:color w:val="000000" w:themeColor="text1"/>
                <w14:textFill>
                  <w14:solidFill>
                    <w14:schemeClr w14:val="tx1"/>
                  </w14:solidFill>
                </w14:textFill>
              </w:rPr>
              <w:t>钻井井场设置1套钻井液不落地设备，钻井过程中分离出的水基钻井岩屑</w:t>
            </w:r>
            <w:r>
              <w:rPr>
                <w:rFonts w:hint="eastAsia" w:cs="宋体"/>
                <w:color w:val="000000" w:themeColor="text1"/>
                <w:lang w:val="en-US" w:eastAsia="zh-CN"/>
                <w14:textFill>
                  <w14:solidFill>
                    <w14:schemeClr w14:val="tx1"/>
                  </w14:solidFill>
                </w14:textFill>
              </w:rPr>
              <w:t>和废弃钻井液</w:t>
            </w:r>
            <w:r>
              <w:rPr>
                <w:rFonts w:hint="eastAsia" w:cs="宋体"/>
                <w:color w:val="000000" w:themeColor="text1"/>
                <w14:textFill>
                  <w14:solidFill>
                    <w14:schemeClr w14:val="tx1"/>
                  </w14:solidFill>
                </w14:textFill>
              </w:rPr>
              <w:t>暂存于岩屑储罐区的岩屑储罐中，最终委托岩屑处置单位进行处置。</w:t>
            </w:r>
            <w:r>
              <w:rPr>
                <w:rFonts w:hint="eastAsia"/>
                <w:color w:val="000000" w:themeColor="text1"/>
                <w:lang w:bidi="ar"/>
                <w14:textFill>
                  <w14:solidFill>
                    <w14:schemeClr w14:val="tx1"/>
                  </w14:solidFill>
                </w14:textFill>
              </w:rPr>
              <w:t>单座钻井井场设置1座</w:t>
            </w:r>
            <w:r>
              <w:rPr>
                <w:rFonts w:hint="eastAsia"/>
                <w:color w:val="000000" w:themeColor="text1"/>
                <w:lang w:val="en-US" w:eastAsia="zh-CN" w:bidi="ar"/>
                <w14:textFill>
                  <w14:solidFill>
                    <w14:schemeClr w14:val="tx1"/>
                  </w14:solidFill>
                </w14:textFill>
              </w:rPr>
              <w:t>临时</w:t>
            </w:r>
            <w:r>
              <w:rPr>
                <w:rFonts w:hint="eastAsia"/>
                <w:color w:val="000000" w:themeColor="text1"/>
                <w:lang w:bidi="ar"/>
                <w14:textFill>
                  <w14:solidFill>
                    <w14:schemeClr w14:val="tx1"/>
                  </w14:solidFill>
                </w14:textFill>
              </w:rPr>
              <w:t>危险废物贮存点</w:t>
            </w:r>
            <w:r>
              <w:rPr>
                <w:rFonts w:hint="eastAsia"/>
                <w:color w:val="000000" w:themeColor="text1"/>
                <w:lang w:eastAsia="zh-CN" w:bidi="ar"/>
                <w14:textFill>
                  <w14:solidFill>
                    <w14:schemeClr w14:val="tx1"/>
                  </w14:solidFill>
                </w14:textFill>
              </w:rPr>
              <w:t>（</w:t>
            </w:r>
            <w:r>
              <w:rPr>
                <w:rFonts w:hint="eastAsia"/>
                <w:color w:val="000000" w:themeColor="text1"/>
                <w:lang w:val="en-US" w:eastAsia="zh-CN" w:bidi="ar"/>
                <w14:textFill>
                  <w14:solidFill>
                    <w14:schemeClr w14:val="tx1"/>
                  </w14:solidFill>
                </w14:textFill>
              </w:rPr>
              <w:t>钻井工程结束后，临时</w:t>
            </w:r>
            <w:r>
              <w:rPr>
                <w:rFonts w:hint="eastAsia"/>
                <w:color w:val="000000" w:themeColor="text1"/>
                <w:lang w:bidi="ar"/>
                <w14:textFill>
                  <w14:solidFill>
                    <w14:schemeClr w14:val="tx1"/>
                  </w14:solidFill>
                </w14:textFill>
              </w:rPr>
              <w:t>危险废物贮存点</w:t>
            </w:r>
            <w:r>
              <w:rPr>
                <w:rFonts w:hint="eastAsia"/>
                <w:color w:val="000000" w:themeColor="text1"/>
                <w:lang w:val="en-US" w:eastAsia="zh-CN" w:bidi="ar"/>
                <w14:textFill>
                  <w14:solidFill>
                    <w14:schemeClr w14:val="tx1"/>
                  </w14:solidFill>
                </w14:textFill>
              </w:rPr>
              <w:t>拆除</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分区暂存各类危险废物；施工过程中产生的沾油废防渗材料、废弃含油抹布及劳保用品、设备检修与维护过程中产生的废润滑油及废润滑油桶均属于危险废物，沾油废防渗材料、废弃含油抹布及劳保用品、废润滑油和废润滑油桶分区暂存在井场设置的危险废物贮存点，定期由具有相应危险废物处置资质的单位进行接收、转运和处置。</w:t>
            </w:r>
          </w:p>
        </w:tc>
      </w:tr>
      <w:tr w14:paraId="6FB69E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1986BDFA">
            <w:pPr>
              <w:pStyle w:val="210"/>
              <w:rPr>
                <w:rFonts w:hint="eastAsia"/>
                <w:color w:val="000000" w:themeColor="text1"/>
                <w:lang w:bidi="ar"/>
                <w14:textFill>
                  <w14:solidFill>
                    <w14:schemeClr w14:val="tx1"/>
                  </w14:solidFill>
                </w14:textFill>
              </w:rPr>
            </w:pPr>
          </w:p>
        </w:tc>
        <w:tc>
          <w:tcPr>
            <w:tcW w:w="529" w:type="pct"/>
            <w:vMerge w:val="continue"/>
            <w:vAlign w:val="center"/>
          </w:tcPr>
          <w:p w14:paraId="773A5F9E">
            <w:pPr>
              <w:pStyle w:val="210"/>
              <w:rPr>
                <w:rFonts w:hint="eastAsia" w:cs="宋体"/>
                <w:color w:val="000000" w:themeColor="text1"/>
                <w:szCs w:val="21"/>
                <w14:textFill>
                  <w14:solidFill>
                    <w14:schemeClr w14:val="tx1"/>
                  </w14:solidFill>
                </w14:textFill>
              </w:rPr>
            </w:pPr>
          </w:p>
        </w:tc>
        <w:tc>
          <w:tcPr>
            <w:tcW w:w="4007" w:type="pct"/>
            <w:gridSpan w:val="3"/>
            <w:vAlign w:val="center"/>
          </w:tcPr>
          <w:p w14:paraId="6752FC0E">
            <w:pPr>
              <w:pStyle w:val="210"/>
              <w:rPr>
                <w:rFonts w:hint="eastAsia" w:eastAsia="宋体" w:cs="宋体"/>
                <w:color w:val="000000" w:themeColor="text1"/>
                <w:lang w:val="en-US" w:eastAsia="zh-CN"/>
                <w14:textFill>
                  <w14:solidFill>
                    <w14:schemeClr w14:val="tx1"/>
                  </w14:solidFill>
                </w14:textFill>
              </w:rPr>
            </w:pPr>
            <w:r>
              <w:rPr>
                <w:rFonts w:hint="eastAsia" w:cs="宋体"/>
                <w:color w:val="000000" w:themeColor="text1"/>
                <w:lang w:val="en-US" w:eastAsia="zh-CN"/>
                <w14:textFill>
                  <w14:solidFill>
                    <w14:schemeClr w14:val="tx1"/>
                  </w14:solidFill>
                </w14:textFill>
              </w:rPr>
              <w:t>运营期：</w:t>
            </w:r>
            <w:r>
              <w:rPr>
                <w:rFonts w:hint="eastAsia"/>
                <w:color w:val="000000" w:themeColor="text1"/>
                <w:lang w:bidi="ar"/>
                <w14:textFill>
                  <w14:solidFill>
                    <w14:schemeClr w14:val="tx1"/>
                  </w14:solidFill>
                </w14:textFill>
              </w:rPr>
              <w:t>事故状态下的落地油不在项目区暂存，直接由具有相应危险废物处置资质的单位进行接收、转运和处置；沾油废防渗材料、废润滑油和废弃的含油抹布、劳保用品</w:t>
            </w:r>
            <w:r>
              <w:rPr>
                <w:rFonts w:hint="eastAsia"/>
                <w:color w:val="000000" w:themeColor="text1"/>
                <w:lang w:val="en-US" w:eastAsia="zh-CN" w:bidi="ar"/>
                <w14:textFill>
                  <w14:solidFill>
                    <w14:schemeClr w14:val="tx1"/>
                  </w14:solidFill>
                </w14:textFill>
              </w:rPr>
              <w:t>集中收集后</w:t>
            </w:r>
            <w:r>
              <w:rPr>
                <w:rFonts w:hint="eastAsia"/>
                <w:color w:val="000000" w:themeColor="text1"/>
                <w:lang w:bidi="ar"/>
                <w14:textFill>
                  <w14:solidFill>
                    <w14:schemeClr w14:val="tx1"/>
                  </w14:solidFill>
                </w14:textFill>
              </w:rPr>
              <w:t>分类暂存在</w:t>
            </w:r>
            <w:r>
              <w:rPr>
                <w:rFonts w:hint="eastAsia"/>
                <w:snapToGrid w:val="0"/>
                <w:color w:val="000000" w:themeColor="text1"/>
                <w14:textFill>
                  <w14:solidFill>
                    <w14:schemeClr w14:val="tx1"/>
                  </w14:solidFill>
                </w14:textFill>
              </w:rPr>
              <w:t>吉祥联合站</w:t>
            </w:r>
            <w:r>
              <w:rPr>
                <w:rFonts w:hint="eastAsia"/>
                <w:snapToGrid w:val="0"/>
                <w:color w:val="000000" w:themeColor="text1"/>
                <w:lang w:val="en-US" w:eastAsia="zh-CN"/>
                <w14:textFill>
                  <w14:solidFill>
                    <w14:schemeClr w14:val="tx1"/>
                  </w14:solidFill>
                </w14:textFill>
              </w:rPr>
              <w:t>危险废物贮存点</w:t>
            </w:r>
            <w:r>
              <w:rPr>
                <w:rFonts w:hint="eastAsia"/>
                <w:snapToGrid w:val="0"/>
                <w:color w:val="000000" w:themeColor="text1"/>
                <w14:textFill>
                  <w14:solidFill>
                    <w14:schemeClr w14:val="tx1"/>
                  </w14:solidFill>
                </w14:textFill>
              </w:rPr>
              <w:t>，</w:t>
            </w:r>
            <w:r>
              <w:rPr>
                <w:rFonts w:hint="eastAsia"/>
                <w:color w:val="000000" w:themeColor="text1"/>
                <w:lang w:bidi="ar"/>
                <w14:textFill>
                  <w14:solidFill>
                    <w14:schemeClr w14:val="tx1"/>
                  </w14:solidFill>
                </w14:textFill>
              </w:rPr>
              <w:t>最终委托有危废处置资质的单位进行无害化处置</w:t>
            </w:r>
            <w:r>
              <w:rPr>
                <w:rFonts w:hint="eastAsia"/>
                <w:color w:val="000000" w:themeColor="text1"/>
                <w:lang w:eastAsia="zh-CN" w:bidi="ar"/>
                <w14:textFill>
                  <w14:solidFill>
                    <w14:schemeClr w14:val="tx1"/>
                  </w14:solidFill>
                </w14:textFill>
              </w:rPr>
              <w:t>。</w:t>
            </w:r>
          </w:p>
        </w:tc>
      </w:tr>
      <w:tr w14:paraId="692996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restart"/>
            <w:vAlign w:val="center"/>
          </w:tcPr>
          <w:p w14:paraId="074E36F2">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依托工程</w:t>
            </w:r>
          </w:p>
        </w:tc>
        <w:tc>
          <w:tcPr>
            <w:tcW w:w="529" w:type="pct"/>
            <w:vAlign w:val="center"/>
          </w:tcPr>
          <w:p w14:paraId="5E9EA6EC">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采出物处理</w:t>
            </w:r>
          </w:p>
        </w:tc>
        <w:tc>
          <w:tcPr>
            <w:tcW w:w="4007" w:type="pct"/>
            <w:gridSpan w:val="3"/>
            <w:vAlign w:val="center"/>
          </w:tcPr>
          <w:p w14:paraId="077690BE">
            <w:pPr>
              <w:pStyle w:val="21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原油：依托吉祥联合站原油处理系统处理。</w:t>
            </w:r>
          </w:p>
          <w:p w14:paraId="6A9B76CD">
            <w:pPr>
              <w:pStyle w:val="21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伴生气：依托吉祥联合站内的伴生气处理装置处理。</w:t>
            </w:r>
          </w:p>
        </w:tc>
      </w:tr>
      <w:tr w14:paraId="76586E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7B6C5DAE">
            <w:pPr>
              <w:pStyle w:val="210"/>
              <w:rPr>
                <w:rFonts w:hint="eastAsia"/>
                <w:color w:val="000000" w:themeColor="text1"/>
                <w:lang w:bidi="ar"/>
                <w14:textFill>
                  <w14:solidFill>
                    <w14:schemeClr w14:val="tx1"/>
                  </w14:solidFill>
                </w14:textFill>
              </w:rPr>
            </w:pPr>
          </w:p>
        </w:tc>
        <w:tc>
          <w:tcPr>
            <w:tcW w:w="529" w:type="pct"/>
            <w:vMerge w:val="restart"/>
            <w:vAlign w:val="center"/>
          </w:tcPr>
          <w:p w14:paraId="0752DAB2">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废水</w:t>
            </w:r>
          </w:p>
        </w:tc>
        <w:tc>
          <w:tcPr>
            <w:tcW w:w="4007" w:type="pct"/>
            <w:gridSpan w:val="3"/>
            <w:vAlign w:val="center"/>
          </w:tcPr>
          <w:p w14:paraId="109C8328">
            <w:pPr>
              <w:pStyle w:val="210"/>
              <w:jc w:val="lef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施工期：</w:t>
            </w:r>
          </w:p>
          <w:p w14:paraId="5F605A9D">
            <w:pPr>
              <w:pStyle w:val="210"/>
              <w:jc w:val="lef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①钻井废水采用“不落地”工艺处理后，回用于钻井液配制、循环利用，不外排；</w:t>
            </w:r>
          </w:p>
          <w:p w14:paraId="0E812503">
            <w:pPr>
              <w:pStyle w:val="210"/>
              <w:jc w:val="both"/>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②管道试压废水沉淀后用于施工场地洒水、降尘，不外排；</w:t>
            </w:r>
          </w:p>
          <w:p w14:paraId="0B758DC1">
            <w:pPr>
              <w:pStyle w:val="210"/>
              <w:jc w:val="lef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③混凝土养护废水自然蒸发处理。</w:t>
            </w:r>
          </w:p>
          <w:p w14:paraId="22356B0C">
            <w:pPr>
              <w:pStyle w:val="210"/>
              <w:jc w:val="lef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④压裂返排液由罐车拉运至</w:t>
            </w:r>
            <w:r>
              <w:rPr>
                <w:rFonts w:hint="eastAsia"/>
                <w:snapToGrid w:val="0"/>
                <w:color w:val="000000" w:themeColor="text1"/>
                <w14:textFill>
                  <w14:solidFill>
                    <w14:schemeClr w14:val="tx1"/>
                  </w14:solidFill>
                </w14:textFill>
              </w:rPr>
              <w:t>依托吉祥联合站采出水处理系统处理</w:t>
            </w:r>
            <w:r>
              <w:rPr>
                <w:rFonts w:hint="eastAsia"/>
                <w:color w:val="000000" w:themeColor="text1"/>
                <w:lang w:bidi="ar"/>
                <w14:textFill>
                  <w14:solidFill>
                    <w14:schemeClr w14:val="tx1"/>
                  </w14:solidFill>
                </w14:textFill>
              </w:rPr>
              <w:t>达标回注油藏，不外排。</w:t>
            </w:r>
          </w:p>
        </w:tc>
      </w:tr>
      <w:tr w14:paraId="23C0D7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600" w:hRule="atLeast"/>
          <w:jc w:val="center"/>
        </w:trPr>
        <w:tc>
          <w:tcPr>
            <w:tcW w:w="463" w:type="pct"/>
            <w:vMerge w:val="continue"/>
            <w:vAlign w:val="center"/>
          </w:tcPr>
          <w:p w14:paraId="39A22DBD">
            <w:pPr>
              <w:pStyle w:val="210"/>
              <w:rPr>
                <w:rFonts w:hint="eastAsia"/>
                <w:color w:val="000000" w:themeColor="text1"/>
                <w:lang w:bidi="ar"/>
                <w14:textFill>
                  <w14:solidFill>
                    <w14:schemeClr w14:val="tx1"/>
                  </w14:solidFill>
                </w14:textFill>
              </w:rPr>
            </w:pPr>
          </w:p>
        </w:tc>
        <w:tc>
          <w:tcPr>
            <w:tcW w:w="529" w:type="pct"/>
            <w:vMerge w:val="continue"/>
            <w:vAlign w:val="center"/>
          </w:tcPr>
          <w:p w14:paraId="1DC18580">
            <w:pPr>
              <w:pStyle w:val="210"/>
              <w:rPr>
                <w:rFonts w:hint="eastAsia"/>
                <w:color w:val="000000" w:themeColor="text1"/>
                <w:lang w:bidi="ar"/>
                <w14:textFill>
                  <w14:solidFill>
                    <w14:schemeClr w14:val="tx1"/>
                  </w14:solidFill>
                </w14:textFill>
              </w:rPr>
            </w:pPr>
          </w:p>
        </w:tc>
        <w:tc>
          <w:tcPr>
            <w:tcW w:w="4007" w:type="pct"/>
            <w:gridSpan w:val="3"/>
            <w:vAlign w:val="center"/>
          </w:tcPr>
          <w:p w14:paraId="242B512D">
            <w:pPr>
              <w:pStyle w:val="210"/>
              <w:jc w:val="lef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运营期：</w:t>
            </w:r>
          </w:p>
          <w:p w14:paraId="2CD5DE60">
            <w:pPr>
              <w:pStyle w:val="210"/>
              <w:jc w:val="left"/>
              <w:rPr>
                <w:rFonts w:hint="eastAsia"/>
                <w:snapToGrid w:val="0"/>
                <w:color w:val="000000" w:themeColor="text1"/>
                <w:szCs w:val="21"/>
                <w14:textFill>
                  <w14:solidFill>
                    <w14:schemeClr w14:val="tx1"/>
                  </w14:solidFill>
                </w14:textFill>
              </w:rPr>
            </w:pPr>
            <w:r>
              <w:rPr>
                <w:rFonts w:hint="eastAsia"/>
                <w:color w:val="000000" w:themeColor="text1"/>
                <w:lang w:bidi="ar"/>
                <w14:textFill>
                  <w14:solidFill>
                    <w14:schemeClr w14:val="tx1"/>
                  </w14:solidFill>
                </w14:textFill>
              </w:rPr>
              <w:t>洗井废水、采出水和井下作业废液：依托</w:t>
            </w:r>
            <w:r>
              <w:rPr>
                <w:rFonts w:hint="eastAsia"/>
                <w:snapToGrid w:val="0"/>
                <w:color w:val="000000" w:themeColor="text1"/>
                <w14:textFill>
                  <w14:solidFill>
                    <w14:schemeClr w14:val="tx1"/>
                  </w14:solidFill>
                </w14:textFill>
              </w:rPr>
              <w:t>吉祥联合站采出水处理系统处理</w:t>
            </w:r>
            <w:r>
              <w:rPr>
                <w:rFonts w:hint="eastAsia"/>
                <w:color w:val="000000" w:themeColor="text1"/>
                <w:lang w:bidi="ar"/>
                <w14:textFill>
                  <w14:solidFill>
                    <w14:schemeClr w14:val="tx1"/>
                  </w14:solidFill>
                </w14:textFill>
              </w:rPr>
              <w:t>达标回注油藏，不外排。</w:t>
            </w:r>
          </w:p>
        </w:tc>
      </w:tr>
      <w:tr w14:paraId="64039E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3808CC33">
            <w:pPr>
              <w:pStyle w:val="210"/>
              <w:rPr>
                <w:rFonts w:hint="eastAsia"/>
                <w:color w:val="000000" w:themeColor="text1"/>
                <w:lang w:bidi="ar"/>
                <w14:textFill>
                  <w14:solidFill>
                    <w14:schemeClr w14:val="tx1"/>
                  </w14:solidFill>
                </w14:textFill>
              </w:rPr>
            </w:pPr>
          </w:p>
        </w:tc>
        <w:tc>
          <w:tcPr>
            <w:tcW w:w="529" w:type="pct"/>
            <w:vMerge w:val="restart"/>
            <w:vAlign w:val="center"/>
          </w:tcPr>
          <w:p w14:paraId="448E8C81">
            <w:pPr>
              <w:pStyle w:val="210"/>
              <w:rPr>
                <w:rFonts w:hint="eastAsia"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固体</w:t>
            </w:r>
          </w:p>
          <w:p w14:paraId="2BB111BF">
            <w:pPr>
              <w:pStyle w:val="210"/>
              <w:rPr>
                <w:rFonts w:hint="eastAsia"/>
                <w:color w:val="000000" w:themeColor="text1"/>
                <w:lang w:bidi="ar"/>
                <w14:textFill>
                  <w14:solidFill>
                    <w14:schemeClr w14:val="tx1"/>
                  </w14:solidFill>
                </w14:textFill>
              </w:rPr>
            </w:pPr>
            <w:r>
              <w:rPr>
                <w:rFonts w:hint="eastAsia" w:cs="宋体"/>
                <w:color w:val="000000" w:themeColor="text1"/>
                <w:szCs w:val="21"/>
                <w14:textFill>
                  <w14:solidFill>
                    <w14:schemeClr w14:val="tx1"/>
                  </w14:solidFill>
                </w14:textFill>
              </w:rPr>
              <w:t>废物</w:t>
            </w:r>
          </w:p>
        </w:tc>
        <w:tc>
          <w:tcPr>
            <w:tcW w:w="4007" w:type="pct"/>
            <w:gridSpan w:val="3"/>
            <w:vAlign w:val="center"/>
          </w:tcPr>
          <w:p w14:paraId="4302A0E8">
            <w:pPr>
              <w:pStyle w:val="210"/>
              <w:jc w:val="lef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施工期：</w:t>
            </w:r>
          </w:p>
          <w:p w14:paraId="041FC49D">
            <w:pPr>
              <w:pStyle w:val="210"/>
              <w:jc w:val="left"/>
              <w:rPr>
                <w:rFonts w:hint="eastAsia"/>
                <w:color w:val="000000" w:themeColor="text1"/>
                <w:lang w:eastAsia="zh-CN" w:bidi="ar"/>
                <w14:textFill>
                  <w14:solidFill>
                    <w14:schemeClr w14:val="tx1"/>
                  </w14:solidFill>
                </w14:textFill>
              </w:rPr>
            </w:pPr>
            <w:r>
              <w:rPr>
                <w:rFonts w:hint="eastAsia"/>
                <w:color w:val="000000" w:themeColor="text1"/>
                <w:lang w:bidi="ar"/>
                <w14:textFill>
                  <w14:solidFill>
                    <w14:schemeClr w14:val="tx1"/>
                  </w14:solidFill>
                </w14:textFill>
              </w:rPr>
              <w:t>①采用“不落地工艺”，一开和二开均采用非磺化水基钻井岩屑（一般工业固废）暂存于非磺化水基钻井岩屑方罐中，并及时清运，最终由岩屑处置单位处置</w:t>
            </w:r>
            <w:r>
              <w:rPr>
                <w:rFonts w:hint="eastAsia"/>
                <w:color w:val="000000" w:themeColor="text1"/>
                <w:lang w:eastAsia="zh-CN" w:bidi="ar"/>
                <w14:textFill>
                  <w14:solidFill>
                    <w14:schemeClr w14:val="tx1"/>
                  </w14:solidFill>
                </w14:textFill>
              </w:rPr>
              <w:t>。</w:t>
            </w:r>
          </w:p>
          <w:p w14:paraId="56E3B9EC">
            <w:pPr>
              <w:pStyle w:val="210"/>
              <w:jc w:val="left"/>
              <w:rPr>
                <w:rFonts w:hint="eastAsia"/>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②</w:t>
            </w:r>
            <w:r>
              <w:rPr>
                <w:rFonts w:hint="eastAsia"/>
                <w:color w:val="000000" w:themeColor="text1"/>
                <w:lang w:bidi="ar"/>
                <w14:textFill>
                  <w14:solidFill>
                    <w14:schemeClr w14:val="tx1"/>
                  </w14:solidFill>
                </w14:textFill>
              </w:rPr>
              <w:t>施工期产生的废润滑油、废润滑油桶、沾油废防渗材料、废危化品包装材料均属于危险废物，最终交由有相应危险废物处置资质的单位进行回收处置；</w:t>
            </w:r>
          </w:p>
          <w:p w14:paraId="06BB8C57">
            <w:pPr>
              <w:pStyle w:val="210"/>
              <w:jc w:val="left"/>
              <w:rPr>
                <w:rFonts w:hint="eastAsia"/>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③</w:t>
            </w:r>
            <w:r>
              <w:rPr>
                <w:rFonts w:hint="eastAsia"/>
                <w:color w:val="000000" w:themeColor="text1"/>
                <w:lang w:bidi="ar"/>
                <w14:textFill>
                  <w14:solidFill>
                    <w14:schemeClr w14:val="tx1"/>
                  </w14:solidFill>
                </w14:textFill>
              </w:rPr>
              <w:t>建筑垃圾集中收集后交由环卫部门统一处置；</w:t>
            </w:r>
          </w:p>
        </w:tc>
      </w:tr>
      <w:tr w14:paraId="77D0E6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3" w:type="pct"/>
            <w:vMerge w:val="continue"/>
            <w:vAlign w:val="center"/>
          </w:tcPr>
          <w:p w14:paraId="79F4C236">
            <w:pPr>
              <w:pStyle w:val="210"/>
              <w:rPr>
                <w:rFonts w:hint="eastAsia"/>
                <w:color w:val="000000" w:themeColor="text1"/>
                <w:lang w:bidi="ar"/>
                <w14:textFill>
                  <w14:solidFill>
                    <w14:schemeClr w14:val="tx1"/>
                  </w14:solidFill>
                </w14:textFill>
              </w:rPr>
            </w:pPr>
          </w:p>
        </w:tc>
        <w:tc>
          <w:tcPr>
            <w:tcW w:w="529" w:type="pct"/>
            <w:vMerge w:val="continue"/>
            <w:vAlign w:val="center"/>
          </w:tcPr>
          <w:p w14:paraId="3DCB82D6">
            <w:pPr>
              <w:pStyle w:val="210"/>
              <w:rPr>
                <w:rFonts w:hint="eastAsia"/>
                <w:color w:val="000000" w:themeColor="text1"/>
                <w:lang w:bidi="ar"/>
                <w14:textFill>
                  <w14:solidFill>
                    <w14:schemeClr w14:val="tx1"/>
                  </w14:solidFill>
                </w14:textFill>
              </w:rPr>
            </w:pPr>
          </w:p>
        </w:tc>
        <w:tc>
          <w:tcPr>
            <w:tcW w:w="4007" w:type="pct"/>
            <w:gridSpan w:val="3"/>
            <w:vAlign w:val="center"/>
          </w:tcPr>
          <w:p w14:paraId="436710E7">
            <w:pPr>
              <w:pStyle w:val="210"/>
              <w:jc w:val="lef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运营期：</w:t>
            </w:r>
          </w:p>
          <w:p w14:paraId="64003A7E">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事故状态下的落地油不在项目区暂存，直接由具有相应危险废物处置资质的单位进行接收、转运和处置；沾油废防渗材料、废润滑油和废弃的含油抹布、劳保用品分类暂存在</w:t>
            </w:r>
            <w:r>
              <w:rPr>
                <w:rFonts w:hint="eastAsia"/>
                <w:snapToGrid w:val="0"/>
                <w:color w:val="000000" w:themeColor="text1"/>
                <w14:textFill>
                  <w14:solidFill>
                    <w14:schemeClr w14:val="tx1"/>
                  </w14:solidFill>
                </w14:textFill>
              </w:rPr>
              <w:t>吉祥联合站</w:t>
            </w:r>
            <w:r>
              <w:rPr>
                <w:rFonts w:hint="eastAsia"/>
                <w:snapToGrid w:val="0"/>
                <w:color w:val="000000" w:themeColor="text1"/>
                <w:lang w:val="en-US" w:eastAsia="zh-CN"/>
                <w14:textFill>
                  <w14:solidFill>
                    <w14:schemeClr w14:val="tx1"/>
                  </w14:solidFill>
                </w14:textFill>
              </w:rPr>
              <w:t>危险废物贮存点</w:t>
            </w:r>
            <w:r>
              <w:rPr>
                <w:rFonts w:hint="eastAsia"/>
                <w:snapToGrid w:val="0"/>
                <w:color w:val="000000" w:themeColor="text1"/>
                <w14:textFill>
                  <w14:solidFill>
                    <w14:schemeClr w14:val="tx1"/>
                  </w14:solidFill>
                </w14:textFill>
              </w:rPr>
              <w:t>，</w:t>
            </w:r>
            <w:r>
              <w:rPr>
                <w:rFonts w:hint="eastAsia"/>
                <w:color w:val="000000" w:themeColor="text1"/>
                <w:lang w:bidi="ar"/>
                <w14:textFill>
                  <w14:solidFill>
                    <w14:schemeClr w14:val="tx1"/>
                  </w14:solidFill>
                </w14:textFill>
              </w:rPr>
              <w:t>最终委托有危废处置资质的单位进行无害化处置。</w:t>
            </w:r>
          </w:p>
        </w:tc>
      </w:tr>
      <w:bookmarkEnd w:id="241"/>
    </w:tbl>
    <w:p w14:paraId="2415E78C">
      <w:pPr>
        <w:pStyle w:val="120"/>
        <w:rPr>
          <w:rFonts w:hint="eastAsia"/>
          <w:color w:val="000000" w:themeColor="text1"/>
          <w14:textFill>
            <w14:solidFill>
              <w14:schemeClr w14:val="tx1"/>
            </w14:solidFill>
          </w14:textFill>
        </w:rPr>
      </w:pPr>
      <w:bookmarkStart w:id="251" w:name="_Hlk175249783"/>
      <w:r>
        <w:rPr>
          <w:rFonts w:hint="eastAsia"/>
          <w:color w:val="000000" w:themeColor="text1"/>
          <w14:textFill>
            <w14:solidFill>
              <w14:schemeClr w14:val="tx1"/>
            </w14:solidFill>
          </w14:textFill>
        </w:rPr>
        <w:t>（1）主体工程</w:t>
      </w:r>
    </w:p>
    <w:bookmarkEnd w:id="251"/>
    <w:p w14:paraId="7760BE7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①钻前工程</w:t>
      </w:r>
    </w:p>
    <w:p w14:paraId="557909C4">
      <w:pPr>
        <w:pStyle w:val="120"/>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钻前工程包括井场平整、铺垫、钻机基础、探临道路等建设，以及设备进场；</w:t>
      </w:r>
      <w:r>
        <w:rPr>
          <w:rFonts w:hint="eastAsia"/>
          <w:snapToGrid w:val="0"/>
          <w:color w:val="000000" w:themeColor="text1"/>
          <w14:textFill>
            <w14:solidFill>
              <w14:schemeClr w14:val="tx1"/>
            </w14:solidFill>
          </w14:textFill>
        </w:rPr>
        <w:t>8口井中，JD6110和JD6089、JD6167和JD6186、JD8399A和J9100A分别位于2井式平台井场内，其余2口井为单井井场，本次新建3座</w:t>
      </w:r>
      <w:r>
        <w:rPr>
          <w:snapToGrid w:val="0"/>
          <w:color w:val="000000" w:themeColor="text1"/>
          <w14:textFill>
            <w14:solidFill>
              <w14:schemeClr w14:val="tx1"/>
            </w14:solidFill>
          </w14:textFill>
        </w:rPr>
        <w:t>2井式平台井场</w:t>
      </w:r>
      <w:r>
        <w:rPr>
          <w:rFonts w:hint="eastAsia"/>
          <w:snapToGrid w:val="0"/>
          <w:color w:val="000000" w:themeColor="text1"/>
          <w14:textFill>
            <w14:solidFill>
              <w14:schemeClr w14:val="tx1"/>
            </w14:solidFill>
          </w14:textFill>
        </w:rPr>
        <w:t>、2座单井井场。本项目不新建生活营地，钻井期施工人员住宿租赁</w:t>
      </w:r>
      <w:r>
        <w:rPr>
          <w:rFonts w:hint="eastAsia"/>
          <w:snapToGrid w:val="0"/>
          <w:color w:val="000000" w:themeColor="text1"/>
          <w:lang w:eastAsia="zh-CN"/>
          <w14:textFill>
            <w14:solidFill>
              <w14:schemeClr w14:val="tx1"/>
            </w14:solidFill>
          </w14:textFill>
        </w:rPr>
        <w:t>吉木萨尔县金宗石油工程技术服务有限责任公司</w:t>
      </w:r>
      <w:r>
        <w:rPr>
          <w:rFonts w:hint="eastAsia"/>
          <w:snapToGrid w:val="0"/>
          <w:color w:val="000000" w:themeColor="text1"/>
          <w14:textFill>
            <w14:solidFill>
              <w14:schemeClr w14:val="tx1"/>
            </w14:solidFill>
          </w14:textFill>
        </w:rPr>
        <w:t>的员工宿舍。</w:t>
      </w:r>
    </w:p>
    <w:p w14:paraId="1F789951">
      <w:pPr>
        <w:pStyle w:val="120"/>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新建236m探临道路，连接井场至油区已建道路。钻前工程的材料均堆放在井场中的材料房内，不单独设材料堆放场。</w:t>
      </w:r>
    </w:p>
    <w:p w14:paraId="709E8E97">
      <w:pPr>
        <w:pStyle w:val="120"/>
        <w:rPr>
          <w:rFonts w:hint="eastAsia"/>
          <w:color w:val="000000" w:themeColor="text1"/>
          <w14:textFill>
            <w14:solidFill>
              <w14:schemeClr w14:val="tx1"/>
            </w14:solidFill>
          </w14:textFill>
        </w:rPr>
      </w:pPr>
      <w:bookmarkStart w:id="252" w:name="_Hlk175249793"/>
      <w:r>
        <w:rPr>
          <w:rFonts w:hint="eastAsia"/>
          <w:color w:val="000000" w:themeColor="text1"/>
          <w14:textFill>
            <w14:solidFill>
              <w14:schemeClr w14:val="tx1"/>
            </w14:solidFill>
          </w14:textFill>
        </w:rPr>
        <w:t>②钻井工程</w:t>
      </w:r>
    </w:p>
    <w:bookmarkEnd w:id="252"/>
    <w:p w14:paraId="0DD132B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1）井号及井位坐标</w:t>
      </w:r>
    </w:p>
    <w:p w14:paraId="2D9353B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本次新钻8口井，其中6口采油井，2口注水井，合计钻井进尺14411m；每口井均采用二开水平井井身结构，井号、井位坐标表3.2-9。</w:t>
      </w:r>
    </w:p>
    <w:p w14:paraId="07FEBCDE">
      <w:pPr>
        <w:pStyle w:val="11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表3.2-9  部署井井号、</w:t>
      </w:r>
      <w:r>
        <w:rPr>
          <w:color w:val="000000" w:themeColor="text1"/>
          <w:lang w:bidi="ar"/>
          <w14:textFill>
            <w14:solidFill>
              <w14:schemeClr w14:val="tx1"/>
            </w14:solidFill>
          </w14:textFill>
        </w:rPr>
        <w:t>井位</w:t>
      </w:r>
      <w:r>
        <w:rPr>
          <w:rFonts w:hint="eastAsia"/>
          <w:color w:val="000000" w:themeColor="text1"/>
          <w:lang w:bidi="ar"/>
          <w14:textFill>
            <w14:solidFill>
              <w14:schemeClr w14:val="tx1"/>
            </w14:solidFill>
          </w14:textFill>
        </w:rPr>
        <w:t>坐标、钻井进尺</w:t>
      </w:r>
      <w:r>
        <w:rPr>
          <w:color w:val="000000" w:themeColor="text1"/>
          <w:lang w:bidi="ar"/>
          <w14:textFill>
            <w14:solidFill>
              <w14:schemeClr w14:val="tx1"/>
            </w14:solidFill>
          </w14:textFill>
        </w:rPr>
        <w:t>等参数一览表</w:t>
      </w:r>
    </w:p>
    <w:tbl>
      <w:tblPr>
        <w:tblStyle w:val="4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476"/>
        <w:gridCol w:w="920"/>
        <w:gridCol w:w="1442"/>
        <w:gridCol w:w="1301"/>
        <w:gridCol w:w="1900"/>
        <w:gridCol w:w="1907"/>
        <w:gridCol w:w="781"/>
      </w:tblGrid>
      <w:tr w14:paraId="392108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blHeader/>
        </w:trPr>
        <w:tc>
          <w:tcPr>
            <w:tcW w:w="235" w:type="pct"/>
            <w:noWrap/>
            <w:vAlign w:val="center"/>
          </w:tcPr>
          <w:p w14:paraId="52A0450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533" w:type="pct"/>
            <w:noWrap/>
            <w:vAlign w:val="center"/>
          </w:tcPr>
          <w:p w14:paraId="6984CF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井号</w:t>
            </w:r>
          </w:p>
        </w:tc>
        <w:tc>
          <w:tcPr>
            <w:tcW w:w="832" w:type="pct"/>
            <w:noWrap/>
            <w:vAlign w:val="center"/>
          </w:tcPr>
          <w:p w14:paraId="2722A0B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X坐标</w:t>
            </w:r>
          </w:p>
        </w:tc>
        <w:tc>
          <w:tcPr>
            <w:tcW w:w="751" w:type="pct"/>
            <w:noWrap/>
            <w:vAlign w:val="center"/>
          </w:tcPr>
          <w:p w14:paraId="767B52A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Y坐标</w:t>
            </w:r>
          </w:p>
        </w:tc>
        <w:tc>
          <w:tcPr>
            <w:tcW w:w="1094" w:type="pct"/>
            <w:noWrap/>
            <w:vAlign w:val="center"/>
          </w:tcPr>
          <w:p w14:paraId="741EE53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w:t>
            </w:r>
          </w:p>
        </w:tc>
        <w:tc>
          <w:tcPr>
            <w:tcW w:w="1098" w:type="pct"/>
            <w:noWrap/>
            <w:vAlign w:val="center"/>
          </w:tcPr>
          <w:p w14:paraId="604DA99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p>
        </w:tc>
        <w:tc>
          <w:tcPr>
            <w:tcW w:w="453" w:type="pct"/>
            <w:vAlign w:val="center"/>
          </w:tcPr>
          <w:p w14:paraId="1E6F912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设计井深（m）</w:t>
            </w:r>
          </w:p>
        </w:tc>
      </w:tr>
      <w:tr w14:paraId="2FE92C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235" w:type="pct"/>
            <w:noWrap/>
            <w:vAlign w:val="center"/>
          </w:tcPr>
          <w:p w14:paraId="435E1C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33" w:type="pct"/>
            <w:noWrap/>
            <w:vAlign w:val="center"/>
          </w:tcPr>
          <w:p w14:paraId="0C6D559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J6093A</w:t>
            </w:r>
          </w:p>
        </w:tc>
        <w:tc>
          <w:tcPr>
            <w:tcW w:w="832" w:type="pct"/>
            <w:noWrap/>
            <w:vAlign w:val="center"/>
          </w:tcPr>
          <w:p w14:paraId="5978E2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30442204.760</w:t>
            </w:r>
          </w:p>
        </w:tc>
        <w:tc>
          <w:tcPr>
            <w:tcW w:w="751" w:type="pct"/>
            <w:noWrap/>
            <w:vAlign w:val="center"/>
          </w:tcPr>
          <w:p w14:paraId="0D8EDED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4887030.430</w:t>
            </w:r>
          </w:p>
        </w:tc>
        <w:tc>
          <w:tcPr>
            <w:tcW w:w="1094" w:type="pct"/>
            <w:noWrap/>
            <w:vAlign w:val="center"/>
          </w:tcPr>
          <w:p w14:paraId="3D07DE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89°16′40.807</w:t>
            </w:r>
            <w:r>
              <w:rPr>
                <w:color w:val="000000" w:themeColor="text1"/>
                <w14:textFill>
                  <w14:solidFill>
                    <w14:schemeClr w14:val="tx1"/>
                  </w14:solidFill>
                </w14:textFill>
              </w:rPr>
              <w:t>”</w:t>
            </w:r>
          </w:p>
        </w:tc>
        <w:tc>
          <w:tcPr>
            <w:tcW w:w="1098" w:type="pct"/>
            <w:noWrap/>
            <w:vAlign w:val="center"/>
          </w:tcPr>
          <w:p w14:paraId="71F98D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44°06′59.719</w:t>
            </w:r>
            <w:r>
              <w:rPr>
                <w:color w:val="000000" w:themeColor="text1"/>
                <w14:textFill>
                  <w14:solidFill>
                    <w14:schemeClr w14:val="tx1"/>
                  </w14:solidFill>
                </w14:textFill>
              </w:rPr>
              <w:t>”</w:t>
            </w:r>
          </w:p>
        </w:tc>
        <w:tc>
          <w:tcPr>
            <w:tcW w:w="453" w:type="pct"/>
            <w:vAlign w:val="center"/>
          </w:tcPr>
          <w:p w14:paraId="0DB9E7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1896</w:t>
            </w:r>
          </w:p>
        </w:tc>
      </w:tr>
      <w:tr w14:paraId="3BB52F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56" w:hRule="atLeast"/>
        </w:trPr>
        <w:tc>
          <w:tcPr>
            <w:tcW w:w="235" w:type="pct"/>
            <w:noWrap/>
            <w:vAlign w:val="center"/>
          </w:tcPr>
          <w:p w14:paraId="1F5A824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33" w:type="pct"/>
            <w:noWrap/>
            <w:vAlign w:val="center"/>
          </w:tcPr>
          <w:p w14:paraId="6E44C3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J9100A</w:t>
            </w:r>
          </w:p>
        </w:tc>
        <w:tc>
          <w:tcPr>
            <w:tcW w:w="832" w:type="pct"/>
            <w:noWrap/>
            <w:vAlign w:val="center"/>
          </w:tcPr>
          <w:p w14:paraId="5F0BBF1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30443425.850</w:t>
            </w:r>
          </w:p>
        </w:tc>
        <w:tc>
          <w:tcPr>
            <w:tcW w:w="751" w:type="pct"/>
            <w:noWrap/>
            <w:vAlign w:val="center"/>
          </w:tcPr>
          <w:p w14:paraId="60AEAFC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4885761.099</w:t>
            </w:r>
          </w:p>
        </w:tc>
        <w:tc>
          <w:tcPr>
            <w:tcW w:w="1094" w:type="pct"/>
            <w:noWrap/>
            <w:vAlign w:val="center"/>
          </w:tcPr>
          <w:p w14:paraId="289AE1C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89°17′36.209</w:t>
            </w:r>
            <w:r>
              <w:rPr>
                <w:color w:val="000000" w:themeColor="text1"/>
                <w14:textFill>
                  <w14:solidFill>
                    <w14:schemeClr w14:val="tx1"/>
                  </w14:solidFill>
                </w14:textFill>
              </w:rPr>
              <w:t>”</w:t>
            </w:r>
          </w:p>
        </w:tc>
        <w:tc>
          <w:tcPr>
            <w:tcW w:w="1098" w:type="pct"/>
            <w:noWrap/>
            <w:vAlign w:val="center"/>
          </w:tcPr>
          <w:p w14:paraId="58D554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44°06′18.941</w:t>
            </w:r>
            <w:r>
              <w:rPr>
                <w:color w:val="000000" w:themeColor="text1"/>
                <w14:textFill>
                  <w14:solidFill>
                    <w14:schemeClr w14:val="tx1"/>
                  </w14:solidFill>
                </w14:textFill>
              </w:rPr>
              <w:t>”</w:t>
            </w:r>
          </w:p>
        </w:tc>
        <w:tc>
          <w:tcPr>
            <w:tcW w:w="453" w:type="pct"/>
            <w:vAlign w:val="center"/>
          </w:tcPr>
          <w:p w14:paraId="0B0E39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1560</w:t>
            </w:r>
          </w:p>
        </w:tc>
      </w:tr>
      <w:tr w14:paraId="2926B5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235" w:type="pct"/>
            <w:noWrap/>
            <w:vAlign w:val="center"/>
          </w:tcPr>
          <w:p w14:paraId="30EAF5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33" w:type="pct"/>
            <w:noWrap/>
            <w:vAlign w:val="center"/>
          </w:tcPr>
          <w:p w14:paraId="40DAC55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JD6089</w:t>
            </w:r>
          </w:p>
        </w:tc>
        <w:tc>
          <w:tcPr>
            <w:tcW w:w="832" w:type="pct"/>
            <w:noWrap/>
            <w:vAlign w:val="center"/>
          </w:tcPr>
          <w:p w14:paraId="23D261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30441564.270</w:t>
            </w:r>
          </w:p>
        </w:tc>
        <w:tc>
          <w:tcPr>
            <w:tcW w:w="751" w:type="pct"/>
            <w:noWrap/>
            <w:vAlign w:val="center"/>
          </w:tcPr>
          <w:p w14:paraId="590251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4886799.674</w:t>
            </w:r>
          </w:p>
        </w:tc>
        <w:tc>
          <w:tcPr>
            <w:tcW w:w="1094" w:type="pct"/>
            <w:noWrap/>
            <w:vAlign w:val="center"/>
          </w:tcPr>
          <w:p w14:paraId="48F3F3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89°16′12.097</w:t>
            </w:r>
            <w:r>
              <w:rPr>
                <w:color w:val="000000" w:themeColor="text1"/>
                <w14:textFill>
                  <w14:solidFill>
                    <w14:schemeClr w14:val="tx1"/>
                  </w14:solidFill>
                </w14:textFill>
              </w:rPr>
              <w:t>”</w:t>
            </w:r>
          </w:p>
        </w:tc>
        <w:tc>
          <w:tcPr>
            <w:tcW w:w="1098" w:type="pct"/>
            <w:noWrap/>
            <w:vAlign w:val="center"/>
          </w:tcPr>
          <w:p w14:paraId="51E064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44°06′52.061</w:t>
            </w:r>
            <w:r>
              <w:rPr>
                <w:color w:val="000000" w:themeColor="text1"/>
                <w14:textFill>
                  <w14:solidFill>
                    <w14:schemeClr w14:val="tx1"/>
                  </w14:solidFill>
                </w14:textFill>
              </w:rPr>
              <w:t>”</w:t>
            </w:r>
          </w:p>
        </w:tc>
        <w:tc>
          <w:tcPr>
            <w:tcW w:w="453" w:type="pct"/>
            <w:vAlign w:val="center"/>
          </w:tcPr>
          <w:p w14:paraId="2878461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1953</w:t>
            </w:r>
          </w:p>
        </w:tc>
      </w:tr>
      <w:tr w14:paraId="0C2E61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235" w:type="pct"/>
            <w:noWrap/>
            <w:vAlign w:val="center"/>
          </w:tcPr>
          <w:p w14:paraId="4CFCB0D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33" w:type="pct"/>
            <w:noWrap/>
            <w:vAlign w:val="center"/>
          </w:tcPr>
          <w:p w14:paraId="151982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JD6110</w:t>
            </w:r>
          </w:p>
        </w:tc>
        <w:tc>
          <w:tcPr>
            <w:tcW w:w="832" w:type="pct"/>
            <w:noWrap/>
            <w:vAlign w:val="center"/>
          </w:tcPr>
          <w:p w14:paraId="0E9FD57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30441571.540</w:t>
            </w:r>
          </w:p>
        </w:tc>
        <w:tc>
          <w:tcPr>
            <w:tcW w:w="751" w:type="pct"/>
            <w:noWrap/>
            <w:vAlign w:val="center"/>
          </w:tcPr>
          <w:p w14:paraId="24CC0E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4886792.577</w:t>
            </w:r>
          </w:p>
        </w:tc>
        <w:tc>
          <w:tcPr>
            <w:tcW w:w="1094" w:type="pct"/>
            <w:noWrap/>
            <w:vAlign w:val="center"/>
          </w:tcPr>
          <w:p w14:paraId="4365100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89°16′12.427</w:t>
            </w:r>
            <w:r>
              <w:rPr>
                <w:color w:val="000000" w:themeColor="text1"/>
                <w14:textFill>
                  <w14:solidFill>
                    <w14:schemeClr w14:val="tx1"/>
                  </w14:solidFill>
                </w14:textFill>
              </w:rPr>
              <w:t>”</w:t>
            </w:r>
          </w:p>
        </w:tc>
        <w:tc>
          <w:tcPr>
            <w:tcW w:w="1098" w:type="pct"/>
            <w:noWrap/>
            <w:vAlign w:val="center"/>
          </w:tcPr>
          <w:p w14:paraId="1725DC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44°06′51.833</w:t>
            </w:r>
            <w:r>
              <w:rPr>
                <w:color w:val="000000" w:themeColor="text1"/>
                <w14:textFill>
                  <w14:solidFill>
                    <w14:schemeClr w14:val="tx1"/>
                  </w14:solidFill>
                </w14:textFill>
              </w:rPr>
              <w:t>”</w:t>
            </w:r>
          </w:p>
        </w:tc>
        <w:tc>
          <w:tcPr>
            <w:tcW w:w="453" w:type="pct"/>
            <w:vAlign w:val="center"/>
          </w:tcPr>
          <w:p w14:paraId="227F640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1901</w:t>
            </w:r>
          </w:p>
        </w:tc>
      </w:tr>
      <w:tr w14:paraId="1CAD99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235" w:type="pct"/>
            <w:noWrap/>
            <w:vAlign w:val="center"/>
          </w:tcPr>
          <w:p w14:paraId="6A4C16C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33" w:type="pct"/>
            <w:noWrap/>
            <w:vAlign w:val="center"/>
          </w:tcPr>
          <w:p w14:paraId="041227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JD6167</w:t>
            </w:r>
          </w:p>
        </w:tc>
        <w:tc>
          <w:tcPr>
            <w:tcW w:w="832" w:type="pct"/>
            <w:noWrap/>
            <w:vAlign w:val="center"/>
          </w:tcPr>
          <w:p w14:paraId="4791CCC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30440787.420</w:t>
            </w:r>
          </w:p>
        </w:tc>
        <w:tc>
          <w:tcPr>
            <w:tcW w:w="751" w:type="pct"/>
            <w:noWrap/>
            <w:vAlign w:val="center"/>
          </w:tcPr>
          <w:p w14:paraId="3F6A55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4885433.892</w:t>
            </w:r>
          </w:p>
        </w:tc>
        <w:tc>
          <w:tcPr>
            <w:tcW w:w="1094" w:type="pct"/>
            <w:noWrap/>
            <w:vAlign w:val="center"/>
          </w:tcPr>
          <w:p w14:paraId="6D629DD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89°15′37.716</w:t>
            </w:r>
            <w:r>
              <w:rPr>
                <w:color w:val="000000" w:themeColor="text1"/>
                <w14:textFill>
                  <w14:solidFill>
                    <w14:schemeClr w14:val="tx1"/>
                  </w14:solidFill>
                </w14:textFill>
              </w:rPr>
              <w:t>”</w:t>
            </w:r>
          </w:p>
        </w:tc>
        <w:tc>
          <w:tcPr>
            <w:tcW w:w="1098" w:type="pct"/>
            <w:noWrap/>
            <w:vAlign w:val="center"/>
          </w:tcPr>
          <w:p w14:paraId="7B4EBB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44°06′07.590</w:t>
            </w:r>
            <w:r>
              <w:rPr>
                <w:color w:val="000000" w:themeColor="text1"/>
                <w14:textFill>
                  <w14:solidFill>
                    <w14:schemeClr w14:val="tx1"/>
                  </w14:solidFill>
                </w14:textFill>
              </w:rPr>
              <w:t>”</w:t>
            </w:r>
          </w:p>
        </w:tc>
        <w:tc>
          <w:tcPr>
            <w:tcW w:w="453" w:type="pct"/>
            <w:vAlign w:val="center"/>
          </w:tcPr>
          <w:p w14:paraId="166E332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1975</w:t>
            </w:r>
          </w:p>
        </w:tc>
      </w:tr>
      <w:tr w14:paraId="3000F7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235" w:type="pct"/>
            <w:noWrap/>
            <w:vAlign w:val="center"/>
          </w:tcPr>
          <w:p w14:paraId="4AD5ED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33" w:type="pct"/>
            <w:noWrap/>
            <w:vAlign w:val="center"/>
          </w:tcPr>
          <w:p w14:paraId="0C0911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JD6186</w:t>
            </w:r>
          </w:p>
        </w:tc>
        <w:tc>
          <w:tcPr>
            <w:tcW w:w="832" w:type="pct"/>
            <w:noWrap/>
            <w:vAlign w:val="center"/>
          </w:tcPr>
          <w:p w14:paraId="52E88C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30440782.910</w:t>
            </w:r>
          </w:p>
        </w:tc>
        <w:tc>
          <w:tcPr>
            <w:tcW w:w="751" w:type="pct"/>
            <w:noWrap/>
            <w:vAlign w:val="center"/>
          </w:tcPr>
          <w:p w14:paraId="3E662E6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4885424.724</w:t>
            </w:r>
          </w:p>
        </w:tc>
        <w:tc>
          <w:tcPr>
            <w:tcW w:w="1094" w:type="pct"/>
            <w:noWrap/>
            <w:vAlign w:val="center"/>
          </w:tcPr>
          <w:p w14:paraId="710E41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89°15′37.517</w:t>
            </w:r>
            <w:r>
              <w:rPr>
                <w:color w:val="000000" w:themeColor="text1"/>
                <w14:textFill>
                  <w14:solidFill>
                    <w14:schemeClr w14:val="tx1"/>
                  </w14:solidFill>
                </w14:textFill>
              </w:rPr>
              <w:t>”</w:t>
            </w:r>
          </w:p>
        </w:tc>
        <w:tc>
          <w:tcPr>
            <w:tcW w:w="1098" w:type="pct"/>
            <w:noWrap/>
            <w:vAlign w:val="center"/>
          </w:tcPr>
          <w:p w14:paraId="4B037F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44°06′07.291</w:t>
            </w:r>
            <w:r>
              <w:rPr>
                <w:color w:val="000000" w:themeColor="text1"/>
                <w14:textFill>
                  <w14:solidFill>
                    <w14:schemeClr w14:val="tx1"/>
                  </w14:solidFill>
                </w14:textFill>
              </w:rPr>
              <w:t>”</w:t>
            </w:r>
          </w:p>
        </w:tc>
        <w:tc>
          <w:tcPr>
            <w:tcW w:w="453" w:type="pct"/>
            <w:vAlign w:val="center"/>
          </w:tcPr>
          <w:p w14:paraId="603D701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1926</w:t>
            </w:r>
          </w:p>
        </w:tc>
      </w:tr>
      <w:tr w14:paraId="4045D9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235" w:type="pct"/>
            <w:noWrap/>
            <w:vAlign w:val="center"/>
          </w:tcPr>
          <w:p w14:paraId="301EBE0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33" w:type="pct"/>
            <w:noWrap/>
            <w:vAlign w:val="center"/>
          </w:tcPr>
          <w:p w14:paraId="266C9CB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JD8399A</w:t>
            </w:r>
          </w:p>
        </w:tc>
        <w:tc>
          <w:tcPr>
            <w:tcW w:w="832" w:type="pct"/>
            <w:noWrap/>
            <w:vAlign w:val="center"/>
          </w:tcPr>
          <w:p w14:paraId="2FC5A6C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30443425.650</w:t>
            </w:r>
          </w:p>
        </w:tc>
        <w:tc>
          <w:tcPr>
            <w:tcW w:w="751" w:type="pct"/>
            <w:noWrap/>
            <w:vAlign w:val="center"/>
          </w:tcPr>
          <w:p w14:paraId="4C9ACE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4885771.099</w:t>
            </w:r>
          </w:p>
        </w:tc>
        <w:tc>
          <w:tcPr>
            <w:tcW w:w="1094" w:type="pct"/>
            <w:noWrap/>
            <w:vAlign w:val="center"/>
          </w:tcPr>
          <w:p w14:paraId="69DF61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89°17′36.196</w:t>
            </w:r>
            <w:r>
              <w:rPr>
                <w:color w:val="000000" w:themeColor="text1"/>
                <w14:textFill>
                  <w14:solidFill>
                    <w14:schemeClr w14:val="tx1"/>
                  </w14:solidFill>
                </w14:textFill>
              </w:rPr>
              <w:t>”</w:t>
            </w:r>
          </w:p>
        </w:tc>
        <w:tc>
          <w:tcPr>
            <w:tcW w:w="1098" w:type="pct"/>
            <w:noWrap/>
            <w:vAlign w:val="center"/>
          </w:tcPr>
          <w:p w14:paraId="39BE6F7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44°06′19.265</w:t>
            </w:r>
            <w:r>
              <w:rPr>
                <w:color w:val="000000" w:themeColor="text1"/>
                <w14:textFill>
                  <w14:solidFill>
                    <w14:schemeClr w14:val="tx1"/>
                  </w14:solidFill>
                </w14:textFill>
              </w:rPr>
              <w:t>”</w:t>
            </w:r>
          </w:p>
        </w:tc>
        <w:tc>
          <w:tcPr>
            <w:tcW w:w="453" w:type="pct"/>
            <w:vAlign w:val="center"/>
          </w:tcPr>
          <w:p w14:paraId="59C6F2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1645</w:t>
            </w:r>
          </w:p>
        </w:tc>
      </w:tr>
      <w:tr w14:paraId="285E53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235" w:type="pct"/>
            <w:noWrap/>
            <w:vAlign w:val="center"/>
          </w:tcPr>
          <w:p w14:paraId="52BAC6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33" w:type="pct"/>
            <w:noWrap/>
            <w:vAlign w:val="center"/>
          </w:tcPr>
          <w:p w14:paraId="6251EAF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JD8664A</w:t>
            </w:r>
          </w:p>
        </w:tc>
        <w:tc>
          <w:tcPr>
            <w:tcW w:w="832" w:type="pct"/>
            <w:noWrap/>
            <w:vAlign w:val="center"/>
          </w:tcPr>
          <w:p w14:paraId="7BAFE3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30443668.460</w:t>
            </w:r>
          </w:p>
        </w:tc>
        <w:tc>
          <w:tcPr>
            <w:tcW w:w="751" w:type="pct"/>
            <w:noWrap/>
            <w:vAlign w:val="center"/>
          </w:tcPr>
          <w:p w14:paraId="25AAAF8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4884130.206</w:t>
            </w:r>
          </w:p>
        </w:tc>
        <w:tc>
          <w:tcPr>
            <w:tcW w:w="1094" w:type="pct"/>
            <w:noWrap/>
            <w:vAlign w:val="center"/>
          </w:tcPr>
          <w:p w14:paraId="201BBB6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89°17′47.743</w:t>
            </w:r>
            <w:r>
              <w:rPr>
                <w:color w:val="000000" w:themeColor="text1"/>
                <w14:textFill>
                  <w14:solidFill>
                    <w14:schemeClr w14:val="tx1"/>
                  </w14:solidFill>
                </w14:textFill>
              </w:rPr>
              <w:t>”</w:t>
            </w:r>
          </w:p>
        </w:tc>
        <w:tc>
          <w:tcPr>
            <w:tcW w:w="1098" w:type="pct"/>
            <w:noWrap/>
            <w:vAlign w:val="center"/>
          </w:tcPr>
          <w:p w14:paraId="62F172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44°05′26.173</w:t>
            </w:r>
            <w:r>
              <w:rPr>
                <w:color w:val="000000" w:themeColor="text1"/>
                <w14:textFill>
                  <w14:solidFill>
                    <w14:schemeClr w14:val="tx1"/>
                  </w14:solidFill>
                </w14:textFill>
              </w:rPr>
              <w:t>”</w:t>
            </w:r>
          </w:p>
        </w:tc>
        <w:tc>
          <w:tcPr>
            <w:tcW w:w="453" w:type="pct"/>
            <w:vAlign w:val="center"/>
          </w:tcPr>
          <w:p w14:paraId="63D2C86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1555</w:t>
            </w:r>
          </w:p>
        </w:tc>
      </w:tr>
    </w:tbl>
    <w:p w14:paraId="45A633A8">
      <w:pPr>
        <w:pStyle w:val="120"/>
        <w:spacing w:line="240" w:lineRule="auto"/>
        <w:ind w:firstLine="0" w:firstLineChars="0"/>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备注：大地坐标为国家2000坐标系。</w:t>
      </w:r>
    </w:p>
    <w:p w14:paraId="14188482">
      <w:pPr>
        <w:pStyle w:val="11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表3.2-10  部署井井型和井身结构</w:t>
      </w:r>
      <w:r>
        <w:rPr>
          <w:color w:val="000000" w:themeColor="text1"/>
          <w:lang w:bidi="ar"/>
          <w14:textFill>
            <w14:solidFill>
              <w14:schemeClr w14:val="tx1"/>
            </w14:solidFill>
          </w14:textFill>
        </w:rPr>
        <w:t>参数一览表</w:t>
      </w:r>
    </w:p>
    <w:tbl>
      <w:tblPr>
        <w:tblStyle w:val="416"/>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416"/>
        <w:gridCol w:w="1759"/>
        <w:gridCol w:w="3236"/>
        <w:gridCol w:w="2314"/>
      </w:tblGrid>
      <w:tr w14:paraId="32EA65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blHeader/>
        </w:trPr>
        <w:tc>
          <w:tcPr>
            <w:tcW w:w="811" w:type="pct"/>
            <w:noWrap/>
            <w:vAlign w:val="center"/>
          </w:tcPr>
          <w:p w14:paraId="0BA025D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008" w:type="pct"/>
            <w:noWrap/>
            <w:vAlign w:val="center"/>
          </w:tcPr>
          <w:p w14:paraId="19D8DF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井号</w:t>
            </w:r>
          </w:p>
        </w:tc>
        <w:tc>
          <w:tcPr>
            <w:tcW w:w="1854" w:type="pct"/>
            <w:vAlign w:val="center"/>
          </w:tcPr>
          <w:p w14:paraId="30080F9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设计井型</w:t>
            </w:r>
          </w:p>
        </w:tc>
        <w:tc>
          <w:tcPr>
            <w:tcW w:w="1326" w:type="pct"/>
            <w:vAlign w:val="center"/>
          </w:tcPr>
          <w:p w14:paraId="404BB1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井类型</w:t>
            </w:r>
          </w:p>
        </w:tc>
      </w:tr>
      <w:tr w14:paraId="6AB5B2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811" w:type="pct"/>
            <w:noWrap/>
            <w:vAlign w:val="center"/>
          </w:tcPr>
          <w:p w14:paraId="65373FB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008" w:type="pct"/>
            <w:noWrap/>
            <w:vAlign w:val="center"/>
          </w:tcPr>
          <w:p w14:paraId="1394325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J6093A</w:t>
            </w:r>
          </w:p>
        </w:tc>
        <w:tc>
          <w:tcPr>
            <w:tcW w:w="1854" w:type="pct"/>
            <w:vAlign w:val="center"/>
          </w:tcPr>
          <w:p w14:paraId="375AF0F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直井</w:t>
            </w:r>
          </w:p>
        </w:tc>
        <w:tc>
          <w:tcPr>
            <w:tcW w:w="1326" w:type="pct"/>
            <w:vAlign w:val="center"/>
          </w:tcPr>
          <w:p w14:paraId="36DA2B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采油井</w:t>
            </w:r>
          </w:p>
        </w:tc>
      </w:tr>
      <w:tr w14:paraId="7823A8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56" w:hRule="atLeast"/>
        </w:trPr>
        <w:tc>
          <w:tcPr>
            <w:tcW w:w="811" w:type="pct"/>
            <w:noWrap/>
            <w:vAlign w:val="center"/>
          </w:tcPr>
          <w:p w14:paraId="578EFCE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008" w:type="pct"/>
            <w:noWrap/>
            <w:vAlign w:val="center"/>
          </w:tcPr>
          <w:p w14:paraId="2389CAB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J9100A</w:t>
            </w:r>
          </w:p>
        </w:tc>
        <w:tc>
          <w:tcPr>
            <w:tcW w:w="1854" w:type="pct"/>
            <w:vAlign w:val="center"/>
          </w:tcPr>
          <w:p w14:paraId="7831C3C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直井</w:t>
            </w:r>
          </w:p>
        </w:tc>
        <w:tc>
          <w:tcPr>
            <w:tcW w:w="1326" w:type="pct"/>
            <w:vAlign w:val="center"/>
          </w:tcPr>
          <w:p w14:paraId="2830EDE8">
            <w:pPr>
              <w:spacing w:line="30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采油井</w:t>
            </w:r>
          </w:p>
        </w:tc>
      </w:tr>
      <w:tr w14:paraId="60DFB3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811" w:type="pct"/>
            <w:noWrap/>
            <w:vAlign w:val="center"/>
          </w:tcPr>
          <w:p w14:paraId="0B0D0AC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008" w:type="pct"/>
            <w:noWrap/>
            <w:vAlign w:val="center"/>
          </w:tcPr>
          <w:p w14:paraId="0E62CC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JD6089</w:t>
            </w:r>
          </w:p>
        </w:tc>
        <w:tc>
          <w:tcPr>
            <w:tcW w:w="1854" w:type="pct"/>
            <w:vAlign w:val="center"/>
          </w:tcPr>
          <w:p w14:paraId="7F46A00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定向井</w:t>
            </w:r>
          </w:p>
        </w:tc>
        <w:tc>
          <w:tcPr>
            <w:tcW w:w="1326" w:type="pct"/>
            <w:vAlign w:val="center"/>
          </w:tcPr>
          <w:p w14:paraId="537594F1">
            <w:pPr>
              <w:spacing w:line="30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采油井</w:t>
            </w:r>
          </w:p>
        </w:tc>
      </w:tr>
      <w:tr w14:paraId="01DBCC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811" w:type="pct"/>
            <w:noWrap/>
            <w:vAlign w:val="center"/>
          </w:tcPr>
          <w:p w14:paraId="00E88B3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008" w:type="pct"/>
            <w:noWrap/>
            <w:vAlign w:val="center"/>
          </w:tcPr>
          <w:p w14:paraId="743202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JD6110</w:t>
            </w:r>
          </w:p>
        </w:tc>
        <w:tc>
          <w:tcPr>
            <w:tcW w:w="1854" w:type="pct"/>
            <w:vAlign w:val="center"/>
          </w:tcPr>
          <w:p w14:paraId="3D938E4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定向井</w:t>
            </w:r>
          </w:p>
        </w:tc>
        <w:tc>
          <w:tcPr>
            <w:tcW w:w="1326" w:type="pct"/>
            <w:vAlign w:val="center"/>
          </w:tcPr>
          <w:p w14:paraId="60C50849">
            <w:pPr>
              <w:spacing w:line="30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采油井</w:t>
            </w:r>
          </w:p>
        </w:tc>
      </w:tr>
      <w:tr w14:paraId="278368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2" w:hRule="atLeast"/>
        </w:trPr>
        <w:tc>
          <w:tcPr>
            <w:tcW w:w="811" w:type="pct"/>
            <w:noWrap/>
            <w:vAlign w:val="center"/>
          </w:tcPr>
          <w:p w14:paraId="6852B72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008" w:type="pct"/>
            <w:noWrap/>
            <w:vAlign w:val="center"/>
          </w:tcPr>
          <w:p w14:paraId="484A5A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JD6167</w:t>
            </w:r>
          </w:p>
        </w:tc>
        <w:tc>
          <w:tcPr>
            <w:tcW w:w="1854" w:type="pct"/>
            <w:vAlign w:val="center"/>
          </w:tcPr>
          <w:p w14:paraId="6776E66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定向井</w:t>
            </w:r>
          </w:p>
        </w:tc>
        <w:tc>
          <w:tcPr>
            <w:tcW w:w="1326" w:type="pct"/>
            <w:vAlign w:val="center"/>
          </w:tcPr>
          <w:p w14:paraId="57711019">
            <w:pPr>
              <w:spacing w:line="30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采油井</w:t>
            </w:r>
          </w:p>
        </w:tc>
      </w:tr>
      <w:tr w14:paraId="113A66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811" w:type="pct"/>
            <w:noWrap/>
            <w:vAlign w:val="center"/>
          </w:tcPr>
          <w:p w14:paraId="7748D8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008" w:type="pct"/>
            <w:noWrap/>
            <w:vAlign w:val="center"/>
          </w:tcPr>
          <w:p w14:paraId="409F44F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JD6186</w:t>
            </w:r>
          </w:p>
        </w:tc>
        <w:tc>
          <w:tcPr>
            <w:tcW w:w="1854" w:type="pct"/>
            <w:vAlign w:val="center"/>
          </w:tcPr>
          <w:p w14:paraId="392476F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定向井</w:t>
            </w:r>
          </w:p>
        </w:tc>
        <w:tc>
          <w:tcPr>
            <w:tcW w:w="1326" w:type="pct"/>
            <w:vAlign w:val="center"/>
          </w:tcPr>
          <w:p w14:paraId="46F3C787">
            <w:pPr>
              <w:spacing w:line="30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采油井</w:t>
            </w:r>
          </w:p>
        </w:tc>
      </w:tr>
      <w:tr w14:paraId="51F942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811" w:type="pct"/>
            <w:noWrap/>
            <w:vAlign w:val="center"/>
          </w:tcPr>
          <w:p w14:paraId="088B669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008" w:type="pct"/>
            <w:noWrap/>
            <w:vAlign w:val="center"/>
          </w:tcPr>
          <w:p w14:paraId="66EC910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JD8399A</w:t>
            </w:r>
          </w:p>
        </w:tc>
        <w:tc>
          <w:tcPr>
            <w:tcW w:w="1854" w:type="pct"/>
            <w:vAlign w:val="center"/>
          </w:tcPr>
          <w:p w14:paraId="1C851E1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定向井</w:t>
            </w:r>
          </w:p>
        </w:tc>
        <w:tc>
          <w:tcPr>
            <w:tcW w:w="1326" w:type="pct"/>
            <w:vAlign w:val="center"/>
          </w:tcPr>
          <w:p w14:paraId="39DF98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注水井</w:t>
            </w:r>
          </w:p>
        </w:tc>
      </w:tr>
      <w:tr w14:paraId="37A5B2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5" w:hRule="atLeast"/>
        </w:trPr>
        <w:tc>
          <w:tcPr>
            <w:tcW w:w="811" w:type="pct"/>
            <w:noWrap/>
            <w:vAlign w:val="center"/>
          </w:tcPr>
          <w:p w14:paraId="627693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008" w:type="pct"/>
            <w:noWrap/>
            <w:vAlign w:val="center"/>
          </w:tcPr>
          <w:p w14:paraId="7A1247B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JD8664A</w:t>
            </w:r>
          </w:p>
        </w:tc>
        <w:tc>
          <w:tcPr>
            <w:tcW w:w="1854" w:type="pct"/>
            <w:vAlign w:val="center"/>
          </w:tcPr>
          <w:p w14:paraId="2A56228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定向井</w:t>
            </w:r>
          </w:p>
        </w:tc>
        <w:tc>
          <w:tcPr>
            <w:tcW w:w="1326" w:type="pct"/>
            <w:vAlign w:val="center"/>
          </w:tcPr>
          <w:p w14:paraId="45786AC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注水井</w:t>
            </w:r>
          </w:p>
        </w:tc>
      </w:tr>
    </w:tbl>
    <w:p w14:paraId="6AD01AB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2）井身结构</w:t>
      </w:r>
    </w:p>
    <w:p w14:paraId="4C9E3FB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新钻井均为二开井身结构，井身结构设计见表3.2-11和图3.2-2。</w:t>
      </w:r>
    </w:p>
    <w:p w14:paraId="6DFF29EB">
      <w:pPr>
        <w:pStyle w:val="11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表3.2-11</w:t>
      </w:r>
      <w:r>
        <w:rPr>
          <w:color w:val="000000" w:themeColor="text1"/>
          <w:lang w:bidi="ar"/>
          <w14:textFill>
            <w14:solidFill>
              <w14:schemeClr w14:val="tx1"/>
            </w14:solidFill>
          </w14:textFill>
        </w:rPr>
        <w:t xml:space="preserve">  井身结构设计说明</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51"/>
        <w:gridCol w:w="1049"/>
        <w:gridCol w:w="1135"/>
        <w:gridCol w:w="5895"/>
      </w:tblGrid>
      <w:tr w14:paraId="34BD6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73" w:type="pct"/>
            <w:vAlign w:val="center"/>
          </w:tcPr>
          <w:p w14:paraId="70F7FF6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开钻次数</w:t>
            </w:r>
          </w:p>
        </w:tc>
        <w:tc>
          <w:tcPr>
            <w:tcW w:w="601" w:type="pct"/>
            <w:vAlign w:val="center"/>
          </w:tcPr>
          <w:p w14:paraId="750ED78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钻头尺寸（mm）</w:t>
            </w:r>
          </w:p>
        </w:tc>
        <w:tc>
          <w:tcPr>
            <w:tcW w:w="650" w:type="pct"/>
            <w:vAlign w:val="center"/>
          </w:tcPr>
          <w:p w14:paraId="556F5BA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套管尺寸（mm）</w:t>
            </w:r>
          </w:p>
        </w:tc>
        <w:tc>
          <w:tcPr>
            <w:tcW w:w="3376" w:type="pct"/>
            <w:vAlign w:val="center"/>
          </w:tcPr>
          <w:p w14:paraId="2C1B775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设计说明</w:t>
            </w:r>
          </w:p>
        </w:tc>
      </w:tr>
      <w:tr w14:paraId="05AD14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73" w:type="pct"/>
            <w:vAlign w:val="center"/>
          </w:tcPr>
          <w:p w14:paraId="62651B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一开</w:t>
            </w:r>
          </w:p>
        </w:tc>
        <w:tc>
          <w:tcPr>
            <w:tcW w:w="601" w:type="pct"/>
            <w:vAlign w:val="center"/>
          </w:tcPr>
          <w:p w14:paraId="5BD5F3E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sym w:font="Symbol" w:char="F046"/>
            </w:r>
            <w:r>
              <w:rPr>
                <w:rFonts w:hint="eastAsia"/>
                <w:color w:val="000000" w:themeColor="text1"/>
                <w14:textFill>
                  <w14:solidFill>
                    <w14:schemeClr w14:val="tx1"/>
                  </w14:solidFill>
                </w14:textFill>
              </w:rPr>
              <w:t>381</w:t>
            </w:r>
          </w:p>
        </w:tc>
        <w:tc>
          <w:tcPr>
            <w:tcW w:w="650" w:type="pct"/>
            <w:vAlign w:val="center"/>
          </w:tcPr>
          <w:p w14:paraId="39FAB9F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sym w:font="Symbol" w:char="F046"/>
            </w:r>
            <w:r>
              <w:rPr>
                <w:rFonts w:hint="eastAsia"/>
                <w:color w:val="000000" w:themeColor="text1"/>
                <w14:textFill>
                  <w14:solidFill>
                    <w14:schemeClr w14:val="tx1"/>
                  </w14:solidFill>
                </w14:textFill>
              </w:rPr>
              <w:t>273.1</w:t>
            </w:r>
          </w:p>
        </w:tc>
        <w:tc>
          <w:tcPr>
            <w:tcW w:w="3376" w:type="pct"/>
            <w:vAlign w:val="center"/>
          </w:tcPr>
          <w:p w14:paraId="62BCF2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一开采用</w:t>
            </w:r>
            <w:r>
              <w:rPr>
                <w:rFonts w:hint="eastAsia"/>
                <w:color w:val="000000" w:themeColor="text1"/>
                <w14:textFill>
                  <w14:solidFill>
                    <w14:schemeClr w14:val="tx1"/>
                  </w14:solidFill>
                </w14:textFill>
              </w:rPr>
              <w:sym w:font="Symbol" w:char="F046"/>
            </w:r>
            <w:r>
              <w:rPr>
                <w:rFonts w:hint="eastAsia"/>
                <w:color w:val="000000" w:themeColor="text1"/>
                <w14:textFill>
                  <w14:solidFill>
                    <w14:schemeClr w14:val="tx1"/>
                  </w14:solidFill>
                </w14:textFill>
              </w:rPr>
              <w:t>381mm钻头钻至稳定泥岩地层（井深约400m），下入</w:t>
            </w:r>
            <w:r>
              <w:rPr>
                <w:rFonts w:hint="eastAsia"/>
                <w:color w:val="000000" w:themeColor="text1"/>
                <w14:textFill>
                  <w14:solidFill>
                    <w14:schemeClr w14:val="tx1"/>
                  </w14:solidFill>
                </w14:textFill>
              </w:rPr>
              <w:sym w:font="Symbol" w:char="F046"/>
            </w:r>
            <w:r>
              <w:rPr>
                <w:rFonts w:hint="eastAsia"/>
                <w:color w:val="000000" w:themeColor="text1"/>
                <w14:textFill>
                  <w14:solidFill>
                    <w14:schemeClr w14:val="tx1"/>
                  </w14:solidFill>
                </w14:textFill>
              </w:rPr>
              <w:t>273.1mm表层套管，封隔上部易塌地层地表水层，水泥浆返至地面。</w:t>
            </w:r>
          </w:p>
        </w:tc>
      </w:tr>
      <w:tr w14:paraId="2B747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73" w:type="pct"/>
            <w:vAlign w:val="center"/>
          </w:tcPr>
          <w:p w14:paraId="5BEC786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二开</w:t>
            </w:r>
          </w:p>
        </w:tc>
        <w:tc>
          <w:tcPr>
            <w:tcW w:w="601" w:type="pct"/>
            <w:vAlign w:val="center"/>
          </w:tcPr>
          <w:p w14:paraId="19D441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sym w:font="Symbol" w:char="F046"/>
            </w:r>
            <w:r>
              <w:rPr>
                <w:rFonts w:hint="eastAsia"/>
                <w:color w:val="000000" w:themeColor="text1"/>
                <w14:textFill>
                  <w14:solidFill>
                    <w14:schemeClr w14:val="tx1"/>
                  </w14:solidFill>
                </w14:textFill>
              </w:rPr>
              <w:t>241.3</w:t>
            </w:r>
          </w:p>
        </w:tc>
        <w:tc>
          <w:tcPr>
            <w:tcW w:w="650" w:type="pct"/>
            <w:vAlign w:val="center"/>
          </w:tcPr>
          <w:p w14:paraId="7EE04C9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sym w:font="Symbol" w:char="F046"/>
            </w:r>
            <w:r>
              <w:rPr>
                <w:rFonts w:hint="eastAsia"/>
                <w:color w:val="000000" w:themeColor="text1"/>
                <w14:textFill>
                  <w14:solidFill>
                    <w14:schemeClr w14:val="tx1"/>
                  </w14:solidFill>
                </w14:textFill>
              </w:rPr>
              <w:t>177.8</w:t>
            </w:r>
          </w:p>
        </w:tc>
        <w:tc>
          <w:tcPr>
            <w:tcW w:w="3376" w:type="pct"/>
            <w:vAlign w:val="center"/>
          </w:tcPr>
          <w:p w14:paraId="7DE73F4D">
            <w:pPr>
              <w:pStyle w:val="280"/>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二开采用</w:t>
            </w:r>
            <w:r>
              <w:rPr>
                <w:rFonts w:hint="eastAsia"/>
                <w:color w:val="000000" w:themeColor="text1"/>
                <w14:textFill>
                  <w14:solidFill>
                    <w14:schemeClr w14:val="tx1"/>
                  </w14:solidFill>
                </w14:textFill>
              </w:rPr>
              <w:sym w:font="Symbol" w:char="F046"/>
            </w:r>
            <w:r>
              <w:rPr>
                <w:color w:val="000000" w:themeColor="text1"/>
                <w14:textFill>
                  <w14:solidFill>
                    <w14:schemeClr w14:val="tx1"/>
                  </w14:solidFill>
                </w14:textFill>
              </w:rPr>
              <w:t>241.3mm钻头钻至设计完钻井深，下入</w:t>
            </w:r>
            <w:r>
              <w:rPr>
                <w:rFonts w:hint="eastAsia"/>
                <w:color w:val="000000" w:themeColor="text1"/>
                <w14:textFill>
                  <w14:solidFill>
                    <w14:schemeClr w14:val="tx1"/>
                  </w14:solidFill>
                </w14:textFill>
              </w:rPr>
              <w:sym w:font="Symbol" w:char="F046"/>
            </w:r>
            <w:r>
              <w:rPr>
                <w:color w:val="000000" w:themeColor="text1"/>
                <w14:textFill>
                  <w14:solidFill>
                    <w14:schemeClr w14:val="tx1"/>
                  </w14:solidFill>
                </w14:textFill>
              </w:rPr>
              <w:t>177.8mm油层套管，水泥浆返至地面</w:t>
            </w:r>
            <w:r>
              <w:rPr>
                <w:rFonts w:hint="eastAsia"/>
                <w:color w:val="000000" w:themeColor="text1"/>
                <w:lang w:eastAsia="zh-CN"/>
                <w14:textFill>
                  <w14:solidFill>
                    <w14:schemeClr w14:val="tx1"/>
                  </w14:solidFill>
                </w14:textFill>
              </w:rPr>
              <w:t>。</w:t>
            </w:r>
          </w:p>
        </w:tc>
      </w:tr>
    </w:tbl>
    <w:p w14:paraId="2DEBD951">
      <w:pPr>
        <w:pStyle w:val="120"/>
        <w:spacing w:line="240" w:lineRule="auto"/>
        <w:ind w:firstLine="0" w:firstLineChars="0"/>
        <w:rPr>
          <w:rFonts w:hint="eastAsia"/>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543550" cy="2860675"/>
            <wp:effectExtent l="0" t="0" r="0" b="0"/>
            <wp:docPr id="13829779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77902" name="图片 1"/>
                    <pic:cNvPicPr>
                      <a:picLocks noChangeAspect="1"/>
                    </pic:cNvPicPr>
                  </pic:nvPicPr>
                  <pic:blipFill>
                    <a:blip r:embed="rId35"/>
                    <a:stretch>
                      <a:fillRect/>
                    </a:stretch>
                  </pic:blipFill>
                  <pic:spPr>
                    <a:xfrm>
                      <a:off x="0" y="0"/>
                      <a:ext cx="5543550" cy="2860675"/>
                    </a:xfrm>
                    <a:prstGeom prst="rect">
                      <a:avLst/>
                    </a:prstGeom>
                  </pic:spPr>
                </pic:pic>
              </a:graphicData>
            </a:graphic>
          </wp:inline>
        </w:drawing>
      </w:r>
    </w:p>
    <w:p w14:paraId="4BFCD4BD">
      <w:pPr>
        <w:pStyle w:val="112"/>
        <w:rPr>
          <w:rFonts w:hint="eastAsia"/>
          <w:color w:val="000000" w:themeColor="text1"/>
          <w:kern w:val="0"/>
          <w14:textFill>
            <w14:solidFill>
              <w14:schemeClr w14:val="tx1"/>
            </w14:solidFill>
          </w14:textFill>
        </w:rPr>
      </w:pPr>
      <w:r>
        <w:rPr>
          <w:rFonts w:hint="eastAsia"/>
          <w:color w:val="000000" w:themeColor="text1"/>
          <w14:textFill>
            <w14:solidFill>
              <w14:schemeClr w14:val="tx1"/>
            </w14:solidFill>
          </w14:textFill>
        </w:rPr>
        <w:t>图3.2-2  井身结构示意图</w:t>
      </w:r>
    </w:p>
    <w:p w14:paraId="3D7A281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3）钻井设备</w:t>
      </w:r>
    </w:p>
    <w:p w14:paraId="12617EA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钻井设备主要为</w:t>
      </w:r>
      <w:r>
        <w:rPr>
          <w:rFonts w:hint="eastAsia" w:cs="宋体"/>
          <w:color w:val="000000" w:themeColor="text1"/>
          <w:szCs w:val="21"/>
          <w14:textFill>
            <w14:solidFill>
              <w14:schemeClr w14:val="tx1"/>
            </w14:solidFill>
          </w14:textFill>
        </w:rPr>
        <w:t>钻机</w:t>
      </w:r>
      <w:r>
        <w:rPr>
          <w:rFonts w:hint="eastAsia"/>
          <w:color w:val="000000" w:themeColor="text1"/>
          <w14:textFill>
            <w14:solidFill>
              <w14:schemeClr w14:val="tx1"/>
            </w14:solidFill>
          </w14:textFill>
        </w:rPr>
        <w:t>、钻井泵、发电机、储罐等设备，主要设备见表3.2-12。</w:t>
      </w:r>
    </w:p>
    <w:p w14:paraId="4144CD9F">
      <w:pPr>
        <w:snapToGrid w:val="0"/>
        <w:spacing w:line="500" w:lineRule="exact"/>
        <w:ind w:firstLine="480"/>
        <w:jc w:val="center"/>
        <w:rPr>
          <w:rFonts w:hint="eastAsia" w:ascii="黑体" w:hAnsi="黑体" w:eastAsia="黑体" w:cs="黑体"/>
          <w:color w:val="000000" w:themeColor="text1"/>
          <w:szCs w:val="21"/>
          <w14:textFill>
            <w14:solidFill>
              <w14:schemeClr w14:val="tx1"/>
            </w14:solidFill>
          </w14:textFill>
        </w:rPr>
      </w:pPr>
      <w:r>
        <w:rPr>
          <w:rFonts w:hint="eastAsia" w:ascii="黑体" w:hAnsi="黑体" w:eastAsia="黑体" w:cs="黑体"/>
          <w:color w:val="000000" w:themeColor="text1"/>
          <w:szCs w:val="21"/>
          <w14:textFill>
            <w14:solidFill>
              <w14:schemeClr w14:val="tx1"/>
            </w14:solidFill>
          </w14:textFill>
        </w:rPr>
        <w:t>表3.2-12  主要钻井设备一览表（单井）</w:t>
      </w:r>
    </w:p>
    <w:tbl>
      <w:tblPr>
        <w:tblStyle w:val="41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28"/>
        <w:gridCol w:w="644"/>
        <w:gridCol w:w="1512"/>
        <w:gridCol w:w="1722"/>
        <w:gridCol w:w="995"/>
        <w:gridCol w:w="878"/>
        <w:gridCol w:w="1227"/>
        <w:gridCol w:w="1224"/>
      </w:tblGrid>
      <w:tr w14:paraId="3553D5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41" w:hRule="atLeast"/>
          <w:jc w:val="center"/>
        </w:trPr>
        <w:tc>
          <w:tcPr>
            <w:tcW w:w="302" w:type="pct"/>
            <w:vAlign w:val="center"/>
          </w:tcPr>
          <w:p w14:paraId="0791176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序号</w:t>
            </w:r>
          </w:p>
        </w:tc>
        <w:tc>
          <w:tcPr>
            <w:tcW w:w="1233" w:type="pct"/>
            <w:gridSpan w:val="2"/>
            <w:vAlign w:val="center"/>
          </w:tcPr>
          <w:p w14:paraId="643B2DDE">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名    称</w:t>
            </w:r>
          </w:p>
        </w:tc>
        <w:tc>
          <w:tcPr>
            <w:tcW w:w="985" w:type="pct"/>
            <w:vAlign w:val="center"/>
          </w:tcPr>
          <w:p w14:paraId="4D5B95F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型 号</w:t>
            </w:r>
          </w:p>
        </w:tc>
        <w:tc>
          <w:tcPr>
            <w:tcW w:w="570" w:type="pct"/>
            <w:vAlign w:val="center"/>
          </w:tcPr>
          <w:p w14:paraId="4D95B37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载荷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kN</w:t>
            </w:r>
            <w:r>
              <w:rPr>
                <w:rFonts w:hint="eastAsia"/>
                <w:color w:val="000000" w:themeColor="text1"/>
                <w14:textFill>
                  <w14:solidFill>
                    <w14:schemeClr w14:val="tx1"/>
                  </w14:solidFill>
                </w14:textFill>
              </w:rPr>
              <w:t>）</w:t>
            </w:r>
          </w:p>
        </w:tc>
        <w:tc>
          <w:tcPr>
            <w:tcW w:w="503" w:type="pct"/>
            <w:vAlign w:val="center"/>
          </w:tcPr>
          <w:p w14:paraId="0312008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功率</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kW</w:t>
            </w:r>
            <w:r>
              <w:rPr>
                <w:rFonts w:hint="eastAsia"/>
                <w:color w:val="000000" w:themeColor="text1"/>
                <w14:textFill>
                  <w14:solidFill>
                    <w14:schemeClr w14:val="tx1"/>
                  </w14:solidFill>
                </w14:textFill>
              </w:rPr>
              <w:t>）</w:t>
            </w:r>
          </w:p>
        </w:tc>
        <w:tc>
          <w:tcPr>
            <w:tcW w:w="703" w:type="pct"/>
            <w:vAlign w:val="center"/>
          </w:tcPr>
          <w:p w14:paraId="64AABB9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备  注</w:t>
            </w:r>
          </w:p>
        </w:tc>
        <w:tc>
          <w:tcPr>
            <w:tcW w:w="701" w:type="pct"/>
            <w:vAlign w:val="center"/>
          </w:tcPr>
          <w:p w14:paraId="04EA8DF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r>
      <w:tr w14:paraId="40EF0B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24" w:hRule="atLeast"/>
          <w:jc w:val="center"/>
        </w:trPr>
        <w:tc>
          <w:tcPr>
            <w:tcW w:w="302" w:type="pct"/>
            <w:vAlign w:val="center"/>
          </w:tcPr>
          <w:p w14:paraId="6C383A9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233" w:type="pct"/>
            <w:gridSpan w:val="2"/>
            <w:vAlign w:val="center"/>
          </w:tcPr>
          <w:p w14:paraId="442D75C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钻    机</w:t>
            </w:r>
          </w:p>
        </w:tc>
        <w:tc>
          <w:tcPr>
            <w:tcW w:w="985" w:type="pct"/>
            <w:vAlign w:val="center"/>
          </w:tcPr>
          <w:p w14:paraId="1F0CE82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ZJ30</w:t>
            </w:r>
          </w:p>
        </w:tc>
        <w:tc>
          <w:tcPr>
            <w:tcW w:w="570" w:type="pct"/>
            <w:vAlign w:val="center"/>
          </w:tcPr>
          <w:p w14:paraId="4D33003A">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1700</w:t>
            </w:r>
          </w:p>
        </w:tc>
        <w:tc>
          <w:tcPr>
            <w:tcW w:w="503" w:type="pct"/>
            <w:vAlign w:val="center"/>
          </w:tcPr>
          <w:p w14:paraId="389C85A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67C0A75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64E1AE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1台</w:t>
            </w:r>
          </w:p>
        </w:tc>
      </w:tr>
      <w:tr w14:paraId="0B27E5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7" w:hRule="atLeast"/>
          <w:jc w:val="center"/>
        </w:trPr>
        <w:tc>
          <w:tcPr>
            <w:tcW w:w="302" w:type="pct"/>
            <w:vAlign w:val="center"/>
          </w:tcPr>
          <w:p w14:paraId="2DAA921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233" w:type="pct"/>
            <w:gridSpan w:val="2"/>
            <w:vAlign w:val="center"/>
          </w:tcPr>
          <w:p w14:paraId="03B35F44">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井   架</w:t>
            </w:r>
          </w:p>
        </w:tc>
        <w:tc>
          <w:tcPr>
            <w:tcW w:w="985" w:type="pct"/>
            <w:vAlign w:val="center"/>
          </w:tcPr>
          <w:p w14:paraId="135A5E3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JJ170/32-KS</w:t>
            </w:r>
          </w:p>
        </w:tc>
        <w:tc>
          <w:tcPr>
            <w:tcW w:w="570" w:type="pct"/>
            <w:vAlign w:val="center"/>
          </w:tcPr>
          <w:p w14:paraId="0CDC30E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1700</w:t>
            </w:r>
          </w:p>
        </w:tc>
        <w:tc>
          <w:tcPr>
            <w:tcW w:w="503" w:type="pct"/>
            <w:vAlign w:val="center"/>
          </w:tcPr>
          <w:p w14:paraId="764CE31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7EB1972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7E0118F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1座</w:t>
            </w:r>
          </w:p>
        </w:tc>
      </w:tr>
      <w:tr w14:paraId="7A69BC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restart"/>
            <w:vAlign w:val="center"/>
          </w:tcPr>
          <w:p w14:paraId="14AB492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368" w:type="pct"/>
            <w:vMerge w:val="restart"/>
            <w:vAlign w:val="center"/>
          </w:tcPr>
          <w:p w14:paraId="0A22112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提升</w:t>
            </w:r>
          </w:p>
          <w:p w14:paraId="57F97AB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系统</w:t>
            </w:r>
          </w:p>
        </w:tc>
        <w:tc>
          <w:tcPr>
            <w:tcW w:w="864" w:type="pct"/>
            <w:vAlign w:val="center"/>
          </w:tcPr>
          <w:p w14:paraId="18E554A9">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绞  车</w:t>
            </w:r>
          </w:p>
        </w:tc>
        <w:tc>
          <w:tcPr>
            <w:tcW w:w="985" w:type="pct"/>
            <w:vAlign w:val="center"/>
          </w:tcPr>
          <w:p w14:paraId="30EDA83E">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JC30</w:t>
            </w:r>
          </w:p>
        </w:tc>
        <w:tc>
          <w:tcPr>
            <w:tcW w:w="570" w:type="pct"/>
            <w:vAlign w:val="center"/>
          </w:tcPr>
          <w:p w14:paraId="285C2BF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73105E1A">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400-600</w:t>
            </w:r>
          </w:p>
        </w:tc>
        <w:tc>
          <w:tcPr>
            <w:tcW w:w="703" w:type="pct"/>
            <w:vAlign w:val="center"/>
          </w:tcPr>
          <w:p w14:paraId="55F6F97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Merge w:val="restart"/>
            <w:vAlign w:val="center"/>
          </w:tcPr>
          <w:p w14:paraId="7ECC306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1套</w:t>
            </w:r>
          </w:p>
        </w:tc>
      </w:tr>
      <w:tr w14:paraId="6436FC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457C04B8">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41CDEC5F">
            <w:pPr>
              <w:pStyle w:val="280"/>
              <w:spacing w:line="300" w:lineRule="exact"/>
              <w:rPr>
                <w:rFonts w:hint="eastAsia"/>
                <w:color w:val="000000" w:themeColor="text1"/>
                <w14:textFill>
                  <w14:solidFill>
                    <w14:schemeClr w14:val="tx1"/>
                  </w14:solidFill>
                </w14:textFill>
              </w:rPr>
            </w:pPr>
          </w:p>
        </w:tc>
        <w:tc>
          <w:tcPr>
            <w:tcW w:w="864" w:type="pct"/>
            <w:vAlign w:val="center"/>
          </w:tcPr>
          <w:p w14:paraId="13F1D71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天  车</w:t>
            </w:r>
          </w:p>
        </w:tc>
        <w:tc>
          <w:tcPr>
            <w:tcW w:w="985" w:type="pct"/>
            <w:vAlign w:val="center"/>
          </w:tcPr>
          <w:p w14:paraId="3FD4B03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TC-170</w:t>
            </w:r>
          </w:p>
        </w:tc>
        <w:tc>
          <w:tcPr>
            <w:tcW w:w="570" w:type="pct"/>
            <w:vAlign w:val="center"/>
          </w:tcPr>
          <w:p w14:paraId="5D7936A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1700</w:t>
            </w:r>
          </w:p>
        </w:tc>
        <w:tc>
          <w:tcPr>
            <w:tcW w:w="503" w:type="pct"/>
            <w:vAlign w:val="center"/>
          </w:tcPr>
          <w:p w14:paraId="0E32642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3E38406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Merge w:val="continue"/>
            <w:vAlign w:val="center"/>
          </w:tcPr>
          <w:p w14:paraId="0F0C416F">
            <w:pPr>
              <w:pStyle w:val="280"/>
              <w:spacing w:line="300" w:lineRule="exact"/>
              <w:rPr>
                <w:rFonts w:hint="eastAsia"/>
                <w:color w:val="000000" w:themeColor="text1"/>
                <w14:textFill>
                  <w14:solidFill>
                    <w14:schemeClr w14:val="tx1"/>
                  </w14:solidFill>
                </w14:textFill>
              </w:rPr>
            </w:pPr>
          </w:p>
        </w:tc>
      </w:tr>
      <w:tr w14:paraId="0F2926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2C8BC2F2">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08C28C4B">
            <w:pPr>
              <w:pStyle w:val="280"/>
              <w:spacing w:line="300" w:lineRule="exact"/>
              <w:rPr>
                <w:rFonts w:hint="eastAsia"/>
                <w:color w:val="000000" w:themeColor="text1"/>
                <w14:textFill>
                  <w14:solidFill>
                    <w14:schemeClr w14:val="tx1"/>
                  </w14:solidFill>
                </w14:textFill>
              </w:rPr>
            </w:pPr>
          </w:p>
        </w:tc>
        <w:tc>
          <w:tcPr>
            <w:tcW w:w="864" w:type="pct"/>
            <w:vAlign w:val="center"/>
          </w:tcPr>
          <w:p w14:paraId="2A8CCC9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游动滑车</w:t>
            </w:r>
          </w:p>
        </w:tc>
        <w:tc>
          <w:tcPr>
            <w:tcW w:w="985" w:type="pct"/>
            <w:vAlign w:val="center"/>
          </w:tcPr>
          <w:p w14:paraId="7690E72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YC-170</w:t>
            </w:r>
          </w:p>
        </w:tc>
        <w:tc>
          <w:tcPr>
            <w:tcW w:w="570" w:type="pct"/>
            <w:vAlign w:val="center"/>
          </w:tcPr>
          <w:p w14:paraId="30000B59">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1700</w:t>
            </w:r>
          </w:p>
        </w:tc>
        <w:tc>
          <w:tcPr>
            <w:tcW w:w="503" w:type="pct"/>
            <w:vAlign w:val="center"/>
          </w:tcPr>
          <w:p w14:paraId="0CC022E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420711D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Merge w:val="continue"/>
            <w:vAlign w:val="center"/>
          </w:tcPr>
          <w:p w14:paraId="24453C5B">
            <w:pPr>
              <w:pStyle w:val="280"/>
              <w:spacing w:line="300" w:lineRule="exact"/>
              <w:rPr>
                <w:rFonts w:hint="eastAsia"/>
                <w:color w:val="000000" w:themeColor="text1"/>
                <w14:textFill>
                  <w14:solidFill>
                    <w14:schemeClr w14:val="tx1"/>
                  </w14:solidFill>
                </w14:textFill>
              </w:rPr>
            </w:pPr>
          </w:p>
        </w:tc>
      </w:tr>
      <w:tr w14:paraId="426AAC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38AB8D1B">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28511416">
            <w:pPr>
              <w:pStyle w:val="280"/>
              <w:spacing w:line="300" w:lineRule="exact"/>
              <w:rPr>
                <w:rFonts w:hint="eastAsia"/>
                <w:color w:val="000000" w:themeColor="text1"/>
                <w14:textFill>
                  <w14:solidFill>
                    <w14:schemeClr w14:val="tx1"/>
                  </w14:solidFill>
                </w14:textFill>
              </w:rPr>
            </w:pPr>
          </w:p>
        </w:tc>
        <w:tc>
          <w:tcPr>
            <w:tcW w:w="864" w:type="pct"/>
            <w:vAlign w:val="center"/>
          </w:tcPr>
          <w:p w14:paraId="497C4A3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大  钩</w:t>
            </w:r>
          </w:p>
        </w:tc>
        <w:tc>
          <w:tcPr>
            <w:tcW w:w="985" w:type="pct"/>
            <w:vAlign w:val="center"/>
          </w:tcPr>
          <w:p w14:paraId="4037D8A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DG-170</w:t>
            </w:r>
          </w:p>
        </w:tc>
        <w:tc>
          <w:tcPr>
            <w:tcW w:w="570" w:type="pct"/>
            <w:vAlign w:val="center"/>
          </w:tcPr>
          <w:p w14:paraId="397E584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1700</w:t>
            </w:r>
          </w:p>
        </w:tc>
        <w:tc>
          <w:tcPr>
            <w:tcW w:w="503" w:type="pct"/>
            <w:vAlign w:val="center"/>
          </w:tcPr>
          <w:p w14:paraId="3F0C7F3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5D7862E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Merge w:val="continue"/>
            <w:vAlign w:val="center"/>
          </w:tcPr>
          <w:p w14:paraId="6E7610AD">
            <w:pPr>
              <w:pStyle w:val="280"/>
              <w:spacing w:line="300" w:lineRule="exact"/>
              <w:rPr>
                <w:rFonts w:hint="eastAsia"/>
                <w:color w:val="000000" w:themeColor="text1"/>
                <w14:textFill>
                  <w14:solidFill>
                    <w14:schemeClr w14:val="tx1"/>
                  </w14:solidFill>
                </w14:textFill>
              </w:rPr>
            </w:pPr>
          </w:p>
        </w:tc>
      </w:tr>
      <w:tr w14:paraId="7E408F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11768968">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0B821C92">
            <w:pPr>
              <w:pStyle w:val="280"/>
              <w:spacing w:line="300" w:lineRule="exact"/>
              <w:rPr>
                <w:rFonts w:hint="eastAsia"/>
                <w:color w:val="000000" w:themeColor="text1"/>
                <w14:textFill>
                  <w14:solidFill>
                    <w14:schemeClr w14:val="tx1"/>
                  </w14:solidFill>
                </w14:textFill>
              </w:rPr>
            </w:pPr>
          </w:p>
        </w:tc>
        <w:tc>
          <w:tcPr>
            <w:tcW w:w="864" w:type="pct"/>
            <w:vAlign w:val="center"/>
          </w:tcPr>
          <w:p w14:paraId="198ED2F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水龙头</w:t>
            </w:r>
          </w:p>
        </w:tc>
        <w:tc>
          <w:tcPr>
            <w:tcW w:w="985" w:type="pct"/>
            <w:vAlign w:val="center"/>
          </w:tcPr>
          <w:p w14:paraId="173F79D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XSL-170</w:t>
            </w:r>
          </w:p>
        </w:tc>
        <w:tc>
          <w:tcPr>
            <w:tcW w:w="570" w:type="pct"/>
            <w:vAlign w:val="center"/>
          </w:tcPr>
          <w:p w14:paraId="7930E99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1700</w:t>
            </w:r>
          </w:p>
        </w:tc>
        <w:tc>
          <w:tcPr>
            <w:tcW w:w="503" w:type="pct"/>
            <w:vAlign w:val="center"/>
          </w:tcPr>
          <w:p w14:paraId="647F300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7E638B6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Merge w:val="continue"/>
            <w:vAlign w:val="center"/>
          </w:tcPr>
          <w:p w14:paraId="4BE729EF">
            <w:pPr>
              <w:pStyle w:val="280"/>
              <w:spacing w:line="300" w:lineRule="exact"/>
              <w:rPr>
                <w:rFonts w:hint="eastAsia"/>
                <w:color w:val="000000" w:themeColor="text1"/>
                <w14:textFill>
                  <w14:solidFill>
                    <w14:schemeClr w14:val="tx1"/>
                  </w14:solidFill>
                </w14:textFill>
              </w:rPr>
            </w:pPr>
          </w:p>
        </w:tc>
      </w:tr>
      <w:tr w14:paraId="0938E0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Align w:val="center"/>
          </w:tcPr>
          <w:p w14:paraId="0DBD3F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233" w:type="pct"/>
            <w:gridSpan w:val="2"/>
            <w:vAlign w:val="center"/>
          </w:tcPr>
          <w:p w14:paraId="30388C6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转   盘</w:t>
            </w:r>
          </w:p>
        </w:tc>
        <w:tc>
          <w:tcPr>
            <w:tcW w:w="985" w:type="pct"/>
            <w:vAlign w:val="center"/>
          </w:tcPr>
          <w:p w14:paraId="046E180B">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ZP225</w:t>
            </w:r>
          </w:p>
        </w:tc>
        <w:tc>
          <w:tcPr>
            <w:tcW w:w="570" w:type="pct"/>
            <w:vAlign w:val="center"/>
          </w:tcPr>
          <w:p w14:paraId="0E9D175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2250</w:t>
            </w:r>
          </w:p>
        </w:tc>
        <w:tc>
          <w:tcPr>
            <w:tcW w:w="503" w:type="pct"/>
            <w:vAlign w:val="center"/>
          </w:tcPr>
          <w:p w14:paraId="3B94568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44C8DD5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68E08AC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1套</w:t>
            </w:r>
          </w:p>
        </w:tc>
      </w:tr>
      <w:tr w14:paraId="6D505F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restart"/>
            <w:vAlign w:val="center"/>
          </w:tcPr>
          <w:p w14:paraId="660060B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368" w:type="pct"/>
            <w:vMerge w:val="restart"/>
            <w:vAlign w:val="center"/>
          </w:tcPr>
          <w:p w14:paraId="378B991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循环</w:t>
            </w:r>
          </w:p>
          <w:p w14:paraId="017DA35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系统</w:t>
            </w:r>
          </w:p>
          <w:p w14:paraId="4BEFDDC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配置</w:t>
            </w:r>
          </w:p>
        </w:tc>
        <w:tc>
          <w:tcPr>
            <w:tcW w:w="864" w:type="pct"/>
            <w:vAlign w:val="center"/>
          </w:tcPr>
          <w:p w14:paraId="4C1B01D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钻井泵1#</w:t>
            </w:r>
          </w:p>
        </w:tc>
        <w:tc>
          <w:tcPr>
            <w:tcW w:w="985" w:type="pct"/>
            <w:vAlign w:val="center"/>
          </w:tcPr>
          <w:p w14:paraId="43227A69">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F-1300</w:t>
            </w:r>
          </w:p>
        </w:tc>
        <w:tc>
          <w:tcPr>
            <w:tcW w:w="570" w:type="pct"/>
            <w:vAlign w:val="center"/>
          </w:tcPr>
          <w:p w14:paraId="1CBED7C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60699C2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969</w:t>
            </w:r>
          </w:p>
        </w:tc>
        <w:tc>
          <w:tcPr>
            <w:tcW w:w="703" w:type="pct"/>
            <w:vAlign w:val="center"/>
          </w:tcPr>
          <w:p w14:paraId="4E98655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4774F7B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1台</w:t>
            </w:r>
          </w:p>
        </w:tc>
      </w:tr>
      <w:tr w14:paraId="70EF6A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3F755583">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135E4EA5">
            <w:pPr>
              <w:pStyle w:val="280"/>
              <w:spacing w:line="300" w:lineRule="exact"/>
              <w:rPr>
                <w:rFonts w:hint="eastAsia"/>
                <w:color w:val="000000" w:themeColor="text1"/>
                <w14:textFill>
                  <w14:solidFill>
                    <w14:schemeClr w14:val="tx1"/>
                  </w14:solidFill>
                </w14:textFill>
              </w:rPr>
            </w:pPr>
          </w:p>
        </w:tc>
        <w:tc>
          <w:tcPr>
            <w:tcW w:w="864" w:type="pct"/>
            <w:vAlign w:val="center"/>
          </w:tcPr>
          <w:p w14:paraId="23FBD16E">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钻井泵2#</w:t>
            </w:r>
          </w:p>
        </w:tc>
        <w:tc>
          <w:tcPr>
            <w:tcW w:w="985" w:type="pct"/>
            <w:vAlign w:val="center"/>
          </w:tcPr>
          <w:p w14:paraId="0E9E395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F-1300</w:t>
            </w:r>
          </w:p>
        </w:tc>
        <w:tc>
          <w:tcPr>
            <w:tcW w:w="570" w:type="pct"/>
            <w:vAlign w:val="center"/>
          </w:tcPr>
          <w:p w14:paraId="670B547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38B33A9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969</w:t>
            </w:r>
          </w:p>
        </w:tc>
        <w:tc>
          <w:tcPr>
            <w:tcW w:w="703" w:type="pct"/>
            <w:vAlign w:val="center"/>
          </w:tcPr>
          <w:p w14:paraId="4EDC380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715F529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1台</w:t>
            </w:r>
          </w:p>
        </w:tc>
      </w:tr>
      <w:tr w14:paraId="258798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2BD88ACE">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2D51CEFD">
            <w:pPr>
              <w:pStyle w:val="280"/>
              <w:spacing w:line="300" w:lineRule="exact"/>
              <w:rPr>
                <w:rFonts w:hint="eastAsia"/>
                <w:color w:val="000000" w:themeColor="text1"/>
                <w14:textFill>
                  <w14:solidFill>
                    <w14:schemeClr w14:val="tx1"/>
                  </w14:solidFill>
                </w14:textFill>
              </w:rPr>
            </w:pPr>
          </w:p>
        </w:tc>
        <w:tc>
          <w:tcPr>
            <w:tcW w:w="864" w:type="pct"/>
            <w:vAlign w:val="center"/>
          </w:tcPr>
          <w:p w14:paraId="367E84B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钻井液罐</w:t>
            </w:r>
          </w:p>
        </w:tc>
        <w:tc>
          <w:tcPr>
            <w:tcW w:w="985" w:type="pct"/>
            <w:vAlign w:val="center"/>
          </w:tcPr>
          <w:p w14:paraId="2EB570C4">
            <w:pPr>
              <w:pStyle w:val="280"/>
              <w:spacing w:line="300" w:lineRule="exact"/>
              <w:rPr>
                <w:rFonts w:hint="eastAsia"/>
                <w:b/>
                <w:color w:val="000000" w:themeColor="text1"/>
                <w14:textFill>
                  <w14:solidFill>
                    <w14:schemeClr w14:val="tx1"/>
                  </w14:solidFill>
                </w14:textFill>
              </w:rPr>
            </w:pPr>
            <w:r>
              <w:rPr>
                <w:color w:val="000000" w:themeColor="text1"/>
                <w14:textFill>
                  <w14:solidFill>
                    <w14:schemeClr w14:val="tx1"/>
                  </w14:solidFill>
                </w14:textFill>
              </w:rPr>
              <w:t>13000×3000×2500</w:t>
            </w:r>
          </w:p>
        </w:tc>
        <w:tc>
          <w:tcPr>
            <w:tcW w:w="570" w:type="pct"/>
            <w:vAlign w:val="center"/>
          </w:tcPr>
          <w:p w14:paraId="01B3C95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6940335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5EFFADC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总容量：196m</w:t>
            </w:r>
            <w:r>
              <w:rPr>
                <w:color w:val="000000" w:themeColor="text1"/>
                <w:vertAlign w:val="superscript"/>
                <w14:textFill>
                  <w14:solidFill>
                    <w14:schemeClr w14:val="tx1"/>
                  </w14:solidFill>
                </w14:textFill>
              </w:rPr>
              <w:t>3</w:t>
            </w:r>
          </w:p>
        </w:tc>
        <w:tc>
          <w:tcPr>
            <w:tcW w:w="701" w:type="pct"/>
            <w:vAlign w:val="center"/>
          </w:tcPr>
          <w:p w14:paraId="11B9F20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1套</w:t>
            </w:r>
          </w:p>
        </w:tc>
      </w:tr>
      <w:tr w14:paraId="603E16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5E013732">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6FAF673B">
            <w:pPr>
              <w:pStyle w:val="280"/>
              <w:spacing w:line="300" w:lineRule="exact"/>
              <w:rPr>
                <w:rFonts w:hint="eastAsia"/>
                <w:color w:val="000000" w:themeColor="text1"/>
                <w14:textFill>
                  <w14:solidFill>
                    <w14:schemeClr w14:val="tx1"/>
                  </w14:solidFill>
                </w14:textFill>
              </w:rPr>
            </w:pPr>
          </w:p>
        </w:tc>
        <w:tc>
          <w:tcPr>
            <w:tcW w:w="864" w:type="pct"/>
            <w:vAlign w:val="center"/>
          </w:tcPr>
          <w:p w14:paraId="37183C1E">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搅拌器</w:t>
            </w:r>
          </w:p>
        </w:tc>
        <w:tc>
          <w:tcPr>
            <w:tcW w:w="985" w:type="pct"/>
            <w:vAlign w:val="center"/>
          </w:tcPr>
          <w:p w14:paraId="37C72424">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NJ-7.5</w:t>
            </w:r>
          </w:p>
        </w:tc>
        <w:tc>
          <w:tcPr>
            <w:tcW w:w="570" w:type="pct"/>
            <w:vAlign w:val="center"/>
          </w:tcPr>
          <w:p w14:paraId="6DC2395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4F1F9F2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0B2919B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42CD7CEB">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6个</w:t>
            </w:r>
          </w:p>
        </w:tc>
      </w:tr>
      <w:tr w14:paraId="0A2EBA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restart"/>
            <w:vAlign w:val="center"/>
          </w:tcPr>
          <w:p w14:paraId="48F67DA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368" w:type="pct"/>
            <w:vMerge w:val="restart"/>
            <w:vAlign w:val="center"/>
          </w:tcPr>
          <w:p w14:paraId="333FF3E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钻机</w:t>
            </w:r>
          </w:p>
          <w:p w14:paraId="377C6BD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动力</w:t>
            </w:r>
          </w:p>
          <w:p w14:paraId="3B40D95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系统</w:t>
            </w:r>
          </w:p>
        </w:tc>
        <w:tc>
          <w:tcPr>
            <w:tcW w:w="864" w:type="pct"/>
            <w:vAlign w:val="center"/>
          </w:tcPr>
          <w:p w14:paraId="41DDA83B">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柴油机1#</w:t>
            </w:r>
          </w:p>
        </w:tc>
        <w:tc>
          <w:tcPr>
            <w:tcW w:w="985" w:type="pct"/>
            <w:vAlign w:val="center"/>
          </w:tcPr>
          <w:p w14:paraId="6F8BB4E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5DA8CB9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2F97B52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343</w:t>
            </w:r>
          </w:p>
        </w:tc>
        <w:tc>
          <w:tcPr>
            <w:tcW w:w="703" w:type="pct"/>
            <w:vAlign w:val="center"/>
          </w:tcPr>
          <w:p w14:paraId="6A0E5E3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4440EF7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1台</w:t>
            </w:r>
          </w:p>
        </w:tc>
      </w:tr>
      <w:tr w14:paraId="385C92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5" w:hRule="atLeast"/>
          <w:jc w:val="center"/>
        </w:trPr>
        <w:tc>
          <w:tcPr>
            <w:tcW w:w="302" w:type="pct"/>
            <w:vMerge w:val="continue"/>
            <w:vAlign w:val="center"/>
          </w:tcPr>
          <w:p w14:paraId="3DAB7720">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7605CC9B">
            <w:pPr>
              <w:pStyle w:val="280"/>
              <w:spacing w:line="300" w:lineRule="exact"/>
              <w:rPr>
                <w:rFonts w:hint="eastAsia"/>
                <w:color w:val="000000" w:themeColor="text1"/>
                <w14:textFill>
                  <w14:solidFill>
                    <w14:schemeClr w14:val="tx1"/>
                  </w14:solidFill>
                </w14:textFill>
              </w:rPr>
            </w:pPr>
          </w:p>
        </w:tc>
        <w:tc>
          <w:tcPr>
            <w:tcW w:w="864" w:type="pct"/>
            <w:vAlign w:val="center"/>
          </w:tcPr>
          <w:p w14:paraId="5787492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柴油机2#</w:t>
            </w:r>
          </w:p>
        </w:tc>
        <w:tc>
          <w:tcPr>
            <w:tcW w:w="985" w:type="pct"/>
            <w:vAlign w:val="center"/>
          </w:tcPr>
          <w:p w14:paraId="7C0F085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67C0700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5C97E9F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343</w:t>
            </w:r>
          </w:p>
        </w:tc>
        <w:tc>
          <w:tcPr>
            <w:tcW w:w="703" w:type="pct"/>
            <w:vAlign w:val="center"/>
          </w:tcPr>
          <w:p w14:paraId="4AF735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08BF924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1台</w:t>
            </w:r>
          </w:p>
        </w:tc>
      </w:tr>
      <w:tr w14:paraId="767289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restart"/>
            <w:vAlign w:val="center"/>
          </w:tcPr>
          <w:p w14:paraId="526B36F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368" w:type="pct"/>
            <w:vMerge w:val="restart"/>
            <w:vAlign w:val="center"/>
          </w:tcPr>
          <w:p w14:paraId="762999B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发电</w:t>
            </w:r>
          </w:p>
          <w:p w14:paraId="34FB13D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机组</w:t>
            </w:r>
          </w:p>
        </w:tc>
        <w:tc>
          <w:tcPr>
            <w:tcW w:w="864" w:type="pct"/>
            <w:vAlign w:val="center"/>
          </w:tcPr>
          <w:p w14:paraId="1F34090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发电机1#</w:t>
            </w:r>
          </w:p>
        </w:tc>
        <w:tc>
          <w:tcPr>
            <w:tcW w:w="985" w:type="pct"/>
            <w:vAlign w:val="center"/>
          </w:tcPr>
          <w:p w14:paraId="2A4B0BB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1C0C36F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1BA5FF1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400</w:t>
            </w:r>
          </w:p>
        </w:tc>
        <w:tc>
          <w:tcPr>
            <w:tcW w:w="703" w:type="pct"/>
            <w:vAlign w:val="center"/>
          </w:tcPr>
          <w:p w14:paraId="4A371EB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3FA34A9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1台</w:t>
            </w:r>
          </w:p>
        </w:tc>
      </w:tr>
      <w:tr w14:paraId="047024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230A637C">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6097401F">
            <w:pPr>
              <w:pStyle w:val="280"/>
              <w:spacing w:line="300" w:lineRule="exact"/>
              <w:rPr>
                <w:rFonts w:hint="eastAsia"/>
                <w:color w:val="000000" w:themeColor="text1"/>
                <w14:textFill>
                  <w14:solidFill>
                    <w14:schemeClr w14:val="tx1"/>
                  </w14:solidFill>
                </w14:textFill>
              </w:rPr>
            </w:pPr>
          </w:p>
        </w:tc>
        <w:tc>
          <w:tcPr>
            <w:tcW w:w="864" w:type="pct"/>
            <w:vAlign w:val="center"/>
          </w:tcPr>
          <w:p w14:paraId="2583C85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发电机2#</w:t>
            </w:r>
          </w:p>
        </w:tc>
        <w:tc>
          <w:tcPr>
            <w:tcW w:w="985" w:type="pct"/>
            <w:vAlign w:val="center"/>
          </w:tcPr>
          <w:p w14:paraId="4BA8AA3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2096AAD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4F24D00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400</w:t>
            </w:r>
          </w:p>
        </w:tc>
        <w:tc>
          <w:tcPr>
            <w:tcW w:w="703" w:type="pct"/>
            <w:vAlign w:val="center"/>
          </w:tcPr>
          <w:p w14:paraId="524E434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1F791D9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1台</w:t>
            </w:r>
          </w:p>
        </w:tc>
      </w:tr>
      <w:tr w14:paraId="0CD360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restart"/>
            <w:vAlign w:val="center"/>
          </w:tcPr>
          <w:p w14:paraId="5D3FF61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368" w:type="pct"/>
            <w:vMerge w:val="restart"/>
            <w:vAlign w:val="center"/>
          </w:tcPr>
          <w:p w14:paraId="79D04CE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钻机</w:t>
            </w:r>
          </w:p>
          <w:p w14:paraId="472352D9">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控制</w:t>
            </w:r>
          </w:p>
          <w:p w14:paraId="312E1E5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系统</w:t>
            </w:r>
          </w:p>
        </w:tc>
        <w:tc>
          <w:tcPr>
            <w:tcW w:w="864" w:type="pct"/>
            <w:vAlign w:val="center"/>
          </w:tcPr>
          <w:p w14:paraId="514E720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自动压风机</w:t>
            </w:r>
          </w:p>
        </w:tc>
        <w:tc>
          <w:tcPr>
            <w:tcW w:w="985" w:type="pct"/>
            <w:vAlign w:val="center"/>
          </w:tcPr>
          <w:p w14:paraId="4978630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2A7B2AF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522C9E3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55</w:t>
            </w:r>
          </w:p>
        </w:tc>
        <w:tc>
          <w:tcPr>
            <w:tcW w:w="703" w:type="pct"/>
            <w:vAlign w:val="center"/>
          </w:tcPr>
          <w:p w14:paraId="14BDDB2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528D2BB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1台</w:t>
            </w:r>
          </w:p>
        </w:tc>
      </w:tr>
      <w:tr w14:paraId="57811C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241B987F">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51B6170E">
            <w:pPr>
              <w:pStyle w:val="280"/>
              <w:spacing w:line="300" w:lineRule="exact"/>
              <w:rPr>
                <w:rFonts w:hint="eastAsia"/>
                <w:color w:val="000000" w:themeColor="text1"/>
                <w14:textFill>
                  <w14:solidFill>
                    <w14:schemeClr w14:val="tx1"/>
                  </w14:solidFill>
                </w14:textFill>
              </w:rPr>
            </w:pPr>
          </w:p>
        </w:tc>
        <w:tc>
          <w:tcPr>
            <w:tcW w:w="864" w:type="pct"/>
            <w:vAlign w:val="center"/>
          </w:tcPr>
          <w:p w14:paraId="519F4289">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电动压风机</w:t>
            </w:r>
          </w:p>
        </w:tc>
        <w:tc>
          <w:tcPr>
            <w:tcW w:w="985" w:type="pct"/>
            <w:vAlign w:val="center"/>
          </w:tcPr>
          <w:p w14:paraId="65C8626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5374D59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44324A69">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55</w:t>
            </w:r>
          </w:p>
        </w:tc>
        <w:tc>
          <w:tcPr>
            <w:tcW w:w="703" w:type="pct"/>
            <w:vAlign w:val="center"/>
          </w:tcPr>
          <w:p w14:paraId="585D68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126F6BA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1台</w:t>
            </w:r>
          </w:p>
        </w:tc>
      </w:tr>
      <w:tr w14:paraId="46E4FA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restart"/>
            <w:vAlign w:val="center"/>
          </w:tcPr>
          <w:p w14:paraId="0F3F088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368" w:type="pct"/>
            <w:vMerge w:val="restart"/>
            <w:vAlign w:val="center"/>
          </w:tcPr>
          <w:p w14:paraId="00374D3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固控</w:t>
            </w:r>
          </w:p>
          <w:p w14:paraId="6499B12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系统</w:t>
            </w:r>
          </w:p>
        </w:tc>
        <w:tc>
          <w:tcPr>
            <w:tcW w:w="864" w:type="pct"/>
            <w:vAlign w:val="center"/>
          </w:tcPr>
          <w:p w14:paraId="772D5F1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振动筛1#</w:t>
            </w:r>
          </w:p>
        </w:tc>
        <w:tc>
          <w:tcPr>
            <w:tcW w:w="985" w:type="pct"/>
            <w:vMerge w:val="restart"/>
            <w:vAlign w:val="center"/>
          </w:tcPr>
          <w:p w14:paraId="22A6A3C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p w14:paraId="6DE573F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Merge w:val="restart"/>
            <w:vAlign w:val="center"/>
          </w:tcPr>
          <w:p w14:paraId="169DA0F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Merge w:val="restart"/>
            <w:vAlign w:val="center"/>
          </w:tcPr>
          <w:p w14:paraId="383426FA">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2.2</w:t>
            </w:r>
          </w:p>
        </w:tc>
        <w:tc>
          <w:tcPr>
            <w:tcW w:w="703" w:type="pct"/>
            <w:vMerge w:val="restart"/>
            <w:vAlign w:val="center"/>
          </w:tcPr>
          <w:p w14:paraId="43C80E1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Merge w:val="restart"/>
            <w:vAlign w:val="center"/>
          </w:tcPr>
          <w:p w14:paraId="6CD1C7A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1FFED8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5973A017">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43D1691F">
            <w:pPr>
              <w:pStyle w:val="280"/>
              <w:spacing w:line="300" w:lineRule="exact"/>
              <w:rPr>
                <w:rFonts w:hint="eastAsia"/>
                <w:color w:val="000000" w:themeColor="text1"/>
                <w14:textFill>
                  <w14:solidFill>
                    <w14:schemeClr w14:val="tx1"/>
                  </w14:solidFill>
                </w14:textFill>
              </w:rPr>
            </w:pPr>
          </w:p>
        </w:tc>
        <w:tc>
          <w:tcPr>
            <w:tcW w:w="864" w:type="pct"/>
            <w:vAlign w:val="center"/>
          </w:tcPr>
          <w:p w14:paraId="53BAB12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振动筛2#</w:t>
            </w:r>
          </w:p>
        </w:tc>
        <w:tc>
          <w:tcPr>
            <w:tcW w:w="985" w:type="pct"/>
            <w:vMerge w:val="continue"/>
            <w:vAlign w:val="center"/>
          </w:tcPr>
          <w:p w14:paraId="3C2A749D">
            <w:pPr>
              <w:pStyle w:val="280"/>
              <w:spacing w:line="300" w:lineRule="exact"/>
              <w:rPr>
                <w:rFonts w:hint="eastAsia"/>
                <w:color w:val="000000" w:themeColor="text1"/>
                <w14:textFill>
                  <w14:solidFill>
                    <w14:schemeClr w14:val="tx1"/>
                  </w14:solidFill>
                </w14:textFill>
              </w:rPr>
            </w:pPr>
          </w:p>
        </w:tc>
        <w:tc>
          <w:tcPr>
            <w:tcW w:w="570" w:type="pct"/>
            <w:vMerge w:val="continue"/>
            <w:vAlign w:val="center"/>
          </w:tcPr>
          <w:p w14:paraId="43C89043">
            <w:pPr>
              <w:pStyle w:val="280"/>
              <w:spacing w:line="300" w:lineRule="exact"/>
              <w:rPr>
                <w:rFonts w:hint="eastAsia"/>
                <w:color w:val="000000" w:themeColor="text1"/>
                <w14:textFill>
                  <w14:solidFill>
                    <w14:schemeClr w14:val="tx1"/>
                  </w14:solidFill>
                </w14:textFill>
              </w:rPr>
            </w:pPr>
          </w:p>
        </w:tc>
        <w:tc>
          <w:tcPr>
            <w:tcW w:w="503" w:type="pct"/>
            <w:vMerge w:val="continue"/>
            <w:vAlign w:val="center"/>
          </w:tcPr>
          <w:p w14:paraId="00534365">
            <w:pPr>
              <w:pStyle w:val="280"/>
              <w:spacing w:line="300" w:lineRule="exact"/>
              <w:rPr>
                <w:rFonts w:hint="eastAsia"/>
                <w:color w:val="000000" w:themeColor="text1"/>
                <w14:textFill>
                  <w14:solidFill>
                    <w14:schemeClr w14:val="tx1"/>
                  </w14:solidFill>
                </w14:textFill>
              </w:rPr>
            </w:pPr>
          </w:p>
        </w:tc>
        <w:tc>
          <w:tcPr>
            <w:tcW w:w="703" w:type="pct"/>
            <w:vMerge w:val="continue"/>
            <w:vAlign w:val="center"/>
          </w:tcPr>
          <w:p w14:paraId="154D2022">
            <w:pPr>
              <w:pStyle w:val="280"/>
              <w:spacing w:line="300" w:lineRule="exact"/>
              <w:rPr>
                <w:rFonts w:hint="eastAsia"/>
                <w:color w:val="000000" w:themeColor="text1"/>
                <w14:textFill>
                  <w14:solidFill>
                    <w14:schemeClr w14:val="tx1"/>
                  </w14:solidFill>
                </w14:textFill>
              </w:rPr>
            </w:pPr>
          </w:p>
        </w:tc>
        <w:tc>
          <w:tcPr>
            <w:tcW w:w="701" w:type="pct"/>
            <w:vMerge w:val="continue"/>
            <w:vAlign w:val="center"/>
          </w:tcPr>
          <w:p w14:paraId="4AD672CC">
            <w:pPr>
              <w:pStyle w:val="280"/>
              <w:spacing w:line="300" w:lineRule="exact"/>
              <w:rPr>
                <w:rFonts w:hint="eastAsia"/>
                <w:color w:val="000000" w:themeColor="text1"/>
                <w14:textFill>
                  <w14:solidFill>
                    <w14:schemeClr w14:val="tx1"/>
                  </w14:solidFill>
                </w14:textFill>
              </w:rPr>
            </w:pPr>
          </w:p>
        </w:tc>
      </w:tr>
      <w:tr w14:paraId="70D6FA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0EB26162">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6C4EA219">
            <w:pPr>
              <w:pStyle w:val="280"/>
              <w:spacing w:line="300" w:lineRule="exact"/>
              <w:rPr>
                <w:rFonts w:hint="eastAsia"/>
                <w:color w:val="000000" w:themeColor="text1"/>
                <w14:textFill>
                  <w14:solidFill>
                    <w14:schemeClr w14:val="tx1"/>
                  </w14:solidFill>
                </w14:textFill>
              </w:rPr>
            </w:pPr>
          </w:p>
        </w:tc>
        <w:tc>
          <w:tcPr>
            <w:tcW w:w="864" w:type="pct"/>
            <w:vAlign w:val="center"/>
          </w:tcPr>
          <w:p w14:paraId="1FAD8D7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除砂除泥器</w:t>
            </w:r>
          </w:p>
        </w:tc>
        <w:tc>
          <w:tcPr>
            <w:tcW w:w="985" w:type="pct"/>
            <w:vAlign w:val="center"/>
          </w:tcPr>
          <w:p w14:paraId="60182BB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1A51515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3CAA2BE1">
            <w:pPr>
              <w:pStyle w:val="280"/>
              <w:spacing w:line="300" w:lineRule="exact"/>
              <w:rPr>
                <w:rFonts w:hint="eastAsia"/>
                <w:color w:val="000000" w:themeColor="text1"/>
                <w14:textFill>
                  <w14:solidFill>
                    <w14:schemeClr w14:val="tx1"/>
                  </w14:solidFill>
                </w14:textFill>
              </w:rPr>
            </w:pPr>
          </w:p>
        </w:tc>
        <w:tc>
          <w:tcPr>
            <w:tcW w:w="703" w:type="pct"/>
            <w:vAlign w:val="center"/>
          </w:tcPr>
          <w:p w14:paraId="6762363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3DC605B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28C110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02634DB4">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36A89C47">
            <w:pPr>
              <w:pStyle w:val="280"/>
              <w:spacing w:line="300" w:lineRule="exact"/>
              <w:rPr>
                <w:rFonts w:hint="eastAsia"/>
                <w:color w:val="000000" w:themeColor="text1"/>
                <w14:textFill>
                  <w14:solidFill>
                    <w14:schemeClr w14:val="tx1"/>
                  </w14:solidFill>
                </w14:textFill>
              </w:rPr>
            </w:pPr>
          </w:p>
        </w:tc>
        <w:tc>
          <w:tcPr>
            <w:tcW w:w="864" w:type="pct"/>
            <w:vAlign w:val="center"/>
          </w:tcPr>
          <w:p w14:paraId="7D8017DF">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离 心 机</w:t>
            </w:r>
          </w:p>
        </w:tc>
        <w:tc>
          <w:tcPr>
            <w:tcW w:w="985" w:type="pct"/>
            <w:vAlign w:val="center"/>
          </w:tcPr>
          <w:p w14:paraId="3620D32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2452474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0385582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24</w:t>
            </w:r>
          </w:p>
        </w:tc>
        <w:tc>
          <w:tcPr>
            <w:tcW w:w="703" w:type="pct"/>
            <w:vAlign w:val="center"/>
          </w:tcPr>
          <w:p w14:paraId="2D9345C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40m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701" w:type="pct"/>
            <w:vAlign w:val="center"/>
          </w:tcPr>
          <w:p w14:paraId="05E7CD71">
            <w:pPr>
              <w:pStyle w:val="280"/>
              <w:spacing w:line="300" w:lineRule="exact"/>
              <w:rPr>
                <w:rFonts w:hint="eastAsia"/>
                <w:color w:val="000000" w:themeColor="text1"/>
                <w14:textFill>
                  <w14:solidFill>
                    <w14:schemeClr w14:val="tx1"/>
                  </w14:solidFill>
                </w14:textFill>
              </w:rPr>
            </w:pPr>
          </w:p>
        </w:tc>
      </w:tr>
      <w:tr w14:paraId="2D4189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restart"/>
            <w:vAlign w:val="center"/>
          </w:tcPr>
          <w:p w14:paraId="11ABEE5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368" w:type="pct"/>
            <w:vMerge w:val="restart"/>
            <w:vAlign w:val="center"/>
          </w:tcPr>
          <w:p w14:paraId="0BE3449E">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加重</w:t>
            </w:r>
          </w:p>
          <w:p w14:paraId="28CC200A">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装置</w:t>
            </w:r>
          </w:p>
        </w:tc>
        <w:tc>
          <w:tcPr>
            <w:tcW w:w="864" w:type="pct"/>
            <w:vAlign w:val="center"/>
          </w:tcPr>
          <w:p w14:paraId="39F5F3C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加重漏斗</w:t>
            </w:r>
          </w:p>
        </w:tc>
        <w:tc>
          <w:tcPr>
            <w:tcW w:w="985" w:type="pct"/>
            <w:vAlign w:val="center"/>
          </w:tcPr>
          <w:p w14:paraId="2B95F27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3283523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72F4D38D">
            <w:pPr>
              <w:pStyle w:val="280"/>
              <w:spacing w:line="300" w:lineRule="exact"/>
              <w:rPr>
                <w:rFonts w:hint="eastAsia"/>
                <w:color w:val="000000" w:themeColor="text1"/>
                <w14:textFill>
                  <w14:solidFill>
                    <w14:schemeClr w14:val="tx1"/>
                  </w14:solidFill>
                </w14:textFill>
              </w:rPr>
            </w:pPr>
          </w:p>
        </w:tc>
        <w:tc>
          <w:tcPr>
            <w:tcW w:w="703" w:type="pct"/>
            <w:vAlign w:val="center"/>
          </w:tcPr>
          <w:p w14:paraId="3564B971">
            <w:pPr>
              <w:pStyle w:val="280"/>
              <w:spacing w:line="300" w:lineRule="exact"/>
              <w:rPr>
                <w:rFonts w:hint="eastAsia"/>
                <w:color w:val="000000" w:themeColor="text1"/>
                <w14:textFill>
                  <w14:solidFill>
                    <w14:schemeClr w14:val="tx1"/>
                  </w14:solidFill>
                </w14:textFill>
              </w:rPr>
            </w:pPr>
          </w:p>
        </w:tc>
        <w:tc>
          <w:tcPr>
            <w:tcW w:w="701" w:type="pct"/>
            <w:vAlign w:val="center"/>
          </w:tcPr>
          <w:p w14:paraId="742AE93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7A02AF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46390F37">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160998D5">
            <w:pPr>
              <w:pStyle w:val="280"/>
              <w:spacing w:line="300" w:lineRule="exact"/>
              <w:rPr>
                <w:rFonts w:hint="eastAsia"/>
                <w:color w:val="000000" w:themeColor="text1"/>
                <w14:textFill>
                  <w14:solidFill>
                    <w14:schemeClr w14:val="tx1"/>
                  </w14:solidFill>
                </w14:textFill>
              </w:rPr>
            </w:pPr>
          </w:p>
        </w:tc>
        <w:tc>
          <w:tcPr>
            <w:tcW w:w="864" w:type="pct"/>
            <w:vAlign w:val="center"/>
          </w:tcPr>
          <w:p w14:paraId="0938F3C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电动加重泵</w:t>
            </w:r>
          </w:p>
        </w:tc>
        <w:tc>
          <w:tcPr>
            <w:tcW w:w="985" w:type="pct"/>
            <w:vAlign w:val="center"/>
          </w:tcPr>
          <w:p w14:paraId="68ECEF4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64A5979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3FB6742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559290E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72CE93A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1D08FB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302" w:type="pct"/>
            <w:vMerge w:val="continue"/>
            <w:vAlign w:val="center"/>
          </w:tcPr>
          <w:p w14:paraId="540A1EC3">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234B0A10">
            <w:pPr>
              <w:pStyle w:val="280"/>
              <w:spacing w:line="300" w:lineRule="exact"/>
              <w:rPr>
                <w:rFonts w:hint="eastAsia"/>
                <w:color w:val="000000" w:themeColor="text1"/>
                <w14:textFill>
                  <w14:solidFill>
                    <w14:schemeClr w14:val="tx1"/>
                  </w14:solidFill>
                </w14:textFill>
              </w:rPr>
            </w:pPr>
          </w:p>
        </w:tc>
        <w:tc>
          <w:tcPr>
            <w:tcW w:w="864" w:type="pct"/>
            <w:vAlign w:val="center"/>
          </w:tcPr>
          <w:p w14:paraId="10CDDEE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气动下灰装置</w:t>
            </w:r>
          </w:p>
        </w:tc>
        <w:tc>
          <w:tcPr>
            <w:tcW w:w="985" w:type="pct"/>
            <w:vAlign w:val="center"/>
          </w:tcPr>
          <w:p w14:paraId="44EC3A2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357EB60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591A845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6954986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6D66D512">
            <w:pPr>
              <w:pStyle w:val="280"/>
              <w:spacing w:line="300" w:lineRule="exact"/>
              <w:rPr>
                <w:rFonts w:hint="eastAsia"/>
                <w:color w:val="000000" w:themeColor="text1"/>
                <w14:textFill>
                  <w14:solidFill>
                    <w14:schemeClr w14:val="tx1"/>
                  </w14:solidFill>
                </w14:textFill>
              </w:rPr>
            </w:pPr>
          </w:p>
        </w:tc>
      </w:tr>
      <w:tr w14:paraId="610885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Merge w:val="restart"/>
            <w:vAlign w:val="center"/>
          </w:tcPr>
          <w:p w14:paraId="7CB23AF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368" w:type="pct"/>
            <w:vMerge w:val="restart"/>
            <w:vAlign w:val="center"/>
          </w:tcPr>
          <w:p w14:paraId="5C8C5FEE">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井</w:t>
            </w:r>
          </w:p>
          <w:p w14:paraId="10491DC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控</w:t>
            </w:r>
          </w:p>
          <w:p w14:paraId="60083FD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系</w:t>
            </w:r>
          </w:p>
          <w:p w14:paraId="3786388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统</w:t>
            </w:r>
          </w:p>
        </w:tc>
        <w:tc>
          <w:tcPr>
            <w:tcW w:w="864" w:type="pct"/>
            <w:vAlign w:val="center"/>
          </w:tcPr>
          <w:p w14:paraId="333384EF">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双闸板防喷器</w:t>
            </w:r>
          </w:p>
        </w:tc>
        <w:tc>
          <w:tcPr>
            <w:tcW w:w="985" w:type="pct"/>
            <w:vAlign w:val="center"/>
          </w:tcPr>
          <w:p w14:paraId="5A7FA24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2FZ35-21</w:t>
            </w:r>
          </w:p>
        </w:tc>
        <w:tc>
          <w:tcPr>
            <w:tcW w:w="570" w:type="pct"/>
            <w:vAlign w:val="center"/>
          </w:tcPr>
          <w:p w14:paraId="6D80AB3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7C357D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2B0D2EB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33C67F2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2ECE5E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Merge w:val="continue"/>
            <w:vAlign w:val="center"/>
          </w:tcPr>
          <w:p w14:paraId="1EFC685B">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543C3B3B">
            <w:pPr>
              <w:pStyle w:val="280"/>
              <w:spacing w:line="300" w:lineRule="exact"/>
              <w:rPr>
                <w:rFonts w:hint="eastAsia"/>
                <w:color w:val="000000" w:themeColor="text1"/>
                <w14:textFill>
                  <w14:solidFill>
                    <w14:schemeClr w14:val="tx1"/>
                  </w14:solidFill>
                </w14:textFill>
              </w:rPr>
            </w:pPr>
          </w:p>
        </w:tc>
        <w:tc>
          <w:tcPr>
            <w:tcW w:w="864" w:type="pct"/>
            <w:vAlign w:val="center"/>
          </w:tcPr>
          <w:p w14:paraId="25B92DE9">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节流管汇</w:t>
            </w:r>
          </w:p>
        </w:tc>
        <w:tc>
          <w:tcPr>
            <w:tcW w:w="985" w:type="pct"/>
            <w:vAlign w:val="center"/>
          </w:tcPr>
          <w:p w14:paraId="4C23179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JG-21</w:t>
            </w:r>
          </w:p>
        </w:tc>
        <w:tc>
          <w:tcPr>
            <w:tcW w:w="570" w:type="pct"/>
            <w:vAlign w:val="center"/>
          </w:tcPr>
          <w:p w14:paraId="794BD9E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6DF491D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5A8CEF2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6BBF8E9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536E4E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Merge w:val="continue"/>
            <w:vAlign w:val="center"/>
          </w:tcPr>
          <w:p w14:paraId="3E196799">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6FA83E55">
            <w:pPr>
              <w:pStyle w:val="280"/>
              <w:spacing w:line="300" w:lineRule="exact"/>
              <w:rPr>
                <w:rFonts w:hint="eastAsia"/>
                <w:color w:val="000000" w:themeColor="text1"/>
                <w14:textFill>
                  <w14:solidFill>
                    <w14:schemeClr w14:val="tx1"/>
                  </w14:solidFill>
                </w14:textFill>
              </w:rPr>
            </w:pPr>
          </w:p>
        </w:tc>
        <w:tc>
          <w:tcPr>
            <w:tcW w:w="864" w:type="pct"/>
            <w:vAlign w:val="center"/>
          </w:tcPr>
          <w:p w14:paraId="246C365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压井管汇</w:t>
            </w:r>
          </w:p>
        </w:tc>
        <w:tc>
          <w:tcPr>
            <w:tcW w:w="985" w:type="pct"/>
            <w:vAlign w:val="center"/>
          </w:tcPr>
          <w:p w14:paraId="666DA45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YG-21</w:t>
            </w:r>
          </w:p>
        </w:tc>
        <w:tc>
          <w:tcPr>
            <w:tcW w:w="570" w:type="pct"/>
            <w:vAlign w:val="center"/>
          </w:tcPr>
          <w:p w14:paraId="174747D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249B1A6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6D51D15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76D7E4B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2A51E4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Merge w:val="continue"/>
            <w:vAlign w:val="center"/>
          </w:tcPr>
          <w:p w14:paraId="49B3F44D">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17B009B0">
            <w:pPr>
              <w:pStyle w:val="280"/>
              <w:spacing w:line="300" w:lineRule="exact"/>
              <w:rPr>
                <w:rFonts w:hint="eastAsia"/>
                <w:color w:val="000000" w:themeColor="text1"/>
                <w14:textFill>
                  <w14:solidFill>
                    <w14:schemeClr w14:val="tx1"/>
                  </w14:solidFill>
                </w14:textFill>
              </w:rPr>
            </w:pPr>
          </w:p>
        </w:tc>
        <w:tc>
          <w:tcPr>
            <w:tcW w:w="864" w:type="pct"/>
            <w:vAlign w:val="center"/>
          </w:tcPr>
          <w:p w14:paraId="5770650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控制装置</w:t>
            </w:r>
          </w:p>
        </w:tc>
        <w:tc>
          <w:tcPr>
            <w:tcW w:w="985" w:type="pct"/>
            <w:vAlign w:val="center"/>
          </w:tcPr>
          <w:p w14:paraId="0DDF967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FKQ3204</w:t>
            </w:r>
          </w:p>
        </w:tc>
        <w:tc>
          <w:tcPr>
            <w:tcW w:w="570" w:type="pct"/>
            <w:vAlign w:val="center"/>
          </w:tcPr>
          <w:p w14:paraId="559BB7B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51E467B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426C793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56738F6B">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35D68B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Merge w:val="restart"/>
            <w:vAlign w:val="center"/>
          </w:tcPr>
          <w:p w14:paraId="22B99F2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368" w:type="pct"/>
            <w:vMerge w:val="restart"/>
            <w:vAlign w:val="center"/>
          </w:tcPr>
          <w:p w14:paraId="461C9D2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仪器</w:t>
            </w:r>
          </w:p>
          <w:p w14:paraId="52C4A04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仪表</w:t>
            </w:r>
          </w:p>
        </w:tc>
        <w:tc>
          <w:tcPr>
            <w:tcW w:w="864" w:type="pct"/>
            <w:vAlign w:val="center"/>
          </w:tcPr>
          <w:p w14:paraId="5C46955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钻井参数仪表</w:t>
            </w:r>
          </w:p>
        </w:tc>
        <w:tc>
          <w:tcPr>
            <w:tcW w:w="985" w:type="pct"/>
            <w:vAlign w:val="center"/>
          </w:tcPr>
          <w:p w14:paraId="1ADC35FA">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无线随钻仪器</w:t>
            </w:r>
          </w:p>
        </w:tc>
        <w:tc>
          <w:tcPr>
            <w:tcW w:w="570" w:type="pct"/>
            <w:vAlign w:val="center"/>
          </w:tcPr>
          <w:p w14:paraId="0D0F659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22B99E1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45F377D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2849E4A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0F872A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Merge w:val="continue"/>
            <w:vAlign w:val="center"/>
          </w:tcPr>
          <w:p w14:paraId="02BA3D7B">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3DD536EE">
            <w:pPr>
              <w:pStyle w:val="280"/>
              <w:spacing w:line="300" w:lineRule="exact"/>
              <w:rPr>
                <w:rFonts w:hint="eastAsia"/>
                <w:color w:val="000000" w:themeColor="text1"/>
                <w14:textFill>
                  <w14:solidFill>
                    <w14:schemeClr w14:val="tx1"/>
                  </w14:solidFill>
                </w14:textFill>
              </w:rPr>
            </w:pPr>
          </w:p>
        </w:tc>
        <w:tc>
          <w:tcPr>
            <w:tcW w:w="864" w:type="pct"/>
            <w:vAlign w:val="center"/>
          </w:tcPr>
          <w:p w14:paraId="37A9187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测斜仪</w:t>
            </w:r>
          </w:p>
        </w:tc>
        <w:tc>
          <w:tcPr>
            <w:tcW w:w="985" w:type="pct"/>
            <w:vAlign w:val="center"/>
          </w:tcPr>
          <w:p w14:paraId="6D1D3D9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自浮单点</w:t>
            </w:r>
          </w:p>
        </w:tc>
        <w:tc>
          <w:tcPr>
            <w:tcW w:w="570" w:type="pct"/>
            <w:vAlign w:val="center"/>
          </w:tcPr>
          <w:p w14:paraId="15D09CF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7F22010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568F235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4C4BB5B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673416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38" w:hRule="atLeast"/>
          <w:jc w:val="center"/>
        </w:trPr>
        <w:tc>
          <w:tcPr>
            <w:tcW w:w="302" w:type="pct"/>
            <w:vMerge w:val="restart"/>
            <w:vAlign w:val="center"/>
          </w:tcPr>
          <w:p w14:paraId="4F638A9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368" w:type="pct"/>
            <w:vMerge w:val="restart"/>
            <w:vAlign w:val="center"/>
          </w:tcPr>
          <w:p w14:paraId="38C859A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防硫设备</w:t>
            </w:r>
          </w:p>
        </w:tc>
        <w:tc>
          <w:tcPr>
            <w:tcW w:w="864" w:type="pct"/>
            <w:vAlign w:val="center"/>
          </w:tcPr>
          <w:p w14:paraId="79237E14">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防爆排风扇</w:t>
            </w:r>
          </w:p>
        </w:tc>
        <w:tc>
          <w:tcPr>
            <w:tcW w:w="985" w:type="pct"/>
            <w:vAlign w:val="center"/>
          </w:tcPr>
          <w:p w14:paraId="61A8CA7D">
            <w:pPr>
              <w:pStyle w:val="280"/>
              <w:spacing w:line="300" w:lineRule="exact"/>
              <w:rPr>
                <w:rFonts w:hint="eastAsia"/>
                <w:color w:val="000000" w:themeColor="text1"/>
                <w14:textFill>
                  <w14:solidFill>
                    <w14:schemeClr w14:val="tx1"/>
                  </w14:solidFill>
                </w14:textFill>
              </w:rPr>
            </w:pPr>
          </w:p>
        </w:tc>
        <w:tc>
          <w:tcPr>
            <w:tcW w:w="570" w:type="pct"/>
            <w:vAlign w:val="center"/>
          </w:tcPr>
          <w:p w14:paraId="236CF5C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261CA68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342CA85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3041CBCC">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4台</w:t>
            </w:r>
          </w:p>
        </w:tc>
      </w:tr>
      <w:tr w14:paraId="15AC5B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Merge w:val="continue"/>
            <w:vAlign w:val="center"/>
          </w:tcPr>
          <w:p w14:paraId="5452A120">
            <w:pPr>
              <w:pStyle w:val="280"/>
              <w:spacing w:line="300" w:lineRule="exact"/>
              <w:rPr>
                <w:rFonts w:hint="eastAsia"/>
                <w:color w:val="000000" w:themeColor="text1"/>
                <w14:textFill>
                  <w14:solidFill>
                    <w14:schemeClr w14:val="tx1"/>
                  </w14:solidFill>
                </w14:textFill>
              </w:rPr>
            </w:pPr>
          </w:p>
        </w:tc>
        <w:tc>
          <w:tcPr>
            <w:tcW w:w="368" w:type="pct"/>
            <w:vMerge w:val="continue"/>
            <w:vAlign w:val="center"/>
          </w:tcPr>
          <w:p w14:paraId="00FC2A69">
            <w:pPr>
              <w:pStyle w:val="280"/>
              <w:spacing w:line="300" w:lineRule="exact"/>
              <w:rPr>
                <w:rFonts w:hint="eastAsia"/>
                <w:color w:val="000000" w:themeColor="text1"/>
                <w14:textFill>
                  <w14:solidFill>
                    <w14:schemeClr w14:val="tx1"/>
                  </w14:solidFill>
                </w14:textFill>
              </w:rPr>
            </w:pPr>
          </w:p>
        </w:tc>
        <w:tc>
          <w:tcPr>
            <w:tcW w:w="864" w:type="pct"/>
            <w:vAlign w:val="center"/>
          </w:tcPr>
          <w:p w14:paraId="64F3B33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硫化氢监测仪</w:t>
            </w:r>
          </w:p>
        </w:tc>
        <w:tc>
          <w:tcPr>
            <w:tcW w:w="985" w:type="pct"/>
            <w:vAlign w:val="center"/>
          </w:tcPr>
          <w:p w14:paraId="742E4FB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便携式</w:t>
            </w:r>
          </w:p>
        </w:tc>
        <w:tc>
          <w:tcPr>
            <w:tcW w:w="570" w:type="pct"/>
            <w:vAlign w:val="center"/>
          </w:tcPr>
          <w:p w14:paraId="2FB520E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52BB4C4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76691E6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39BFFF2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5380B4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Align w:val="center"/>
          </w:tcPr>
          <w:p w14:paraId="1048B3C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1233" w:type="pct"/>
            <w:gridSpan w:val="2"/>
            <w:vAlign w:val="center"/>
          </w:tcPr>
          <w:p w14:paraId="5024FF9A">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液压大钳</w:t>
            </w:r>
          </w:p>
        </w:tc>
        <w:tc>
          <w:tcPr>
            <w:tcW w:w="985" w:type="pct"/>
            <w:vAlign w:val="center"/>
          </w:tcPr>
          <w:p w14:paraId="366EA6E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4E053A8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39A3A57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560E835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05D18FA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047EB8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Align w:val="center"/>
          </w:tcPr>
          <w:p w14:paraId="0B98E97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1233" w:type="pct"/>
            <w:gridSpan w:val="2"/>
            <w:vAlign w:val="center"/>
          </w:tcPr>
          <w:p w14:paraId="0440593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钻井液不落地设备</w:t>
            </w:r>
          </w:p>
        </w:tc>
        <w:tc>
          <w:tcPr>
            <w:tcW w:w="985" w:type="pct"/>
            <w:vAlign w:val="center"/>
          </w:tcPr>
          <w:p w14:paraId="33AB393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4ABDFF1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75EF091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6E3C8FF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1" w:type="pct"/>
            <w:vAlign w:val="center"/>
          </w:tcPr>
          <w:p w14:paraId="246CFEFB">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1套</w:t>
            </w:r>
          </w:p>
        </w:tc>
      </w:tr>
      <w:tr w14:paraId="4E0070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02" w:type="pct"/>
            <w:vAlign w:val="center"/>
          </w:tcPr>
          <w:p w14:paraId="0C8568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1233" w:type="pct"/>
            <w:gridSpan w:val="2"/>
            <w:vAlign w:val="center"/>
          </w:tcPr>
          <w:p w14:paraId="74F73AB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柴油储罐</w:t>
            </w:r>
          </w:p>
        </w:tc>
        <w:tc>
          <w:tcPr>
            <w:tcW w:w="985" w:type="pct"/>
            <w:vAlign w:val="center"/>
          </w:tcPr>
          <w:p w14:paraId="4B94115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0" w:type="pct"/>
            <w:vAlign w:val="center"/>
          </w:tcPr>
          <w:p w14:paraId="0A6AEDF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03" w:type="pct"/>
            <w:vAlign w:val="center"/>
          </w:tcPr>
          <w:p w14:paraId="4336B8C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3" w:type="pct"/>
            <w:vAlign w:val="center"/>
          </w:tcPr>
          <w:p w14:paraId="255C552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最大储量20t</w:t>
            </w:r>
          </w:p>
        </w:tc>
        <w:tc>
          <w:tcPr>
            <w:tcW w:w="701" w:type="pct"/>
            <w:vAlign w:val="center"/>
          </w:tcPr>
          <w:p w14:paraId="623CB53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1座</w:t>
            </w:r>
          </w:p>
        </w:tc>
      </w:tr>
    </w:tbl>
    <w:p w14:paraId="01E975FD">
      <w:pPr>
        <w:pStyle w:val="120"/>
        <w:rPr>
          <w:rFonts w:hint="eastAsia"/>
          <w:color w:val="000000" w:themeColor="text1"/>
          <w14:textFill>
            <w14:solidFill>
              <w14:schemeClr w14:val="tx1"/>
            </w14:solidFill>
          </w14:textFill>
        </w:rPr>
      </w:pPr>
      <w:bookmarkStart w:id="253" w:name="_Hlk175249805"/>
      <w:r>
        <w:rPr>
          <w:rFonts w:hint="eastAsia"/>
          <w:color w:val="000000" w:themeColor="text1"/>
          <w14:textFill>
            <w14:solidFill>
              <w14:schemeClr w14:val="tx1"/>
            </w14:solidFill>
          </w14:textFill>
        </w:rPr>
        <w:t>4）钻井液体系</w:t>
      </w:r>
    </w:p>
    <w:p w14:paraId="74600BF3">
      <w:pPr>
        <w:pStyle w:val="120"/>
        <w:rPr>
          <w:rFonts w:hint="eastAsia"/>
          <w:color w:val="000000" w:themeColor="text1"/>
          <w14:textFill>
            <w14:solidFill>
              <w14:schemeClr w14:val="tx1"/>
            </w14:solidFill>
          </w14:textFill>
        </w:rPr>
      </w:pPr>
      <w:bookmarkStart w:id="254" w:name="_Hlk175138514"/>
      <w:r>
        <w:rPr>
          <w:rFonts w:hint="eastAsia"/>
          <w:color w:val="000000" w:themeColor="text1"/>
          <w14:textFill>
            <w14:solidFill>
              <w14:schemeClr w14:val="tx1"/>
            </w14:solidFill>
          </w14:textFill>
        </w:rPr>
        <w:t>本项目一开和二开钻井均使用水基钻井液体系，其中一开使用坂土-CMC钻井液体系（主要成分为坂土+Na</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+CMC+重晶石），二开使用钾钙基有机盐钻井液体系（主要成分为坂土、Na</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、重晶石、复配铵盐等），用量共计2170m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bookmarkEnd w:id="254"/>
      <w:r>
        <w:rPr>
          <w:rFonts w:hint="eastAsia"/>
          <w:color w:val="000000" w:themeColor="text1"/>
          <w14:textFill>
            <w14:solidFill>
              <w14:schemeClr w14:val="tx1"/>
            </w14:solidFill>
          </w14:textFill>
        </w:rPr>
        <w:t>各井钻井液体系及用量见表3.2-13。</w:t>
      </w:r>
    </w:p>
    <w:p w14:paraId="23B76D75">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表3.2-13  各井钻井液用量表</w:t>
      </w:r>
    </w:p>
    <w:bookmarkEnd w:id="253"/>
    <w:tbl>
      <w:tblPr>
        <w:tblStyle w:val="41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00"/>
        <w:gridCol w:w="1354"/>
        <w:gridCol w:w="1417"/>
        <w:gridCol w:w="1424"/>
        <w:gridCol w:w="2037"/>
        <w:gridCol w:w="1298"/>
      </w:tblGrid>
      <w:tr w14:paraId="713EC5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Align w:val="center"/>
          </w:tcPr>
          <w:p w14:paraId="4EEED59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井号</w:t>
            </w:r>
          </w:p>
        </w:tc>
        <w:tc>
          <w:tcPr>
            <w:tcW w:w="1354" w:type="dxa"/>
            <w:vAlign w:val="center"/>
          </w:tcPr>
          <w:p w14:paraId="3B8471D2">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钻井液性质</w:t>
            </w:r>
          </w:p>
        </w:tc>
        <w:tc>
          <w:tcPr>
            <w:tcW w:w="1417" w:type="dxa"/>
            <w:tcBorders>
              <w:bottom w:val="single" w:color="auto" w:sz="4" w:space="0"/>
            </w:tcBorders>
            <w:vAlign w:val="center"/>
          </w:tcPr>
          <w:p w14:paraId="630F6412">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开钻次序</w:t>
            </w:r>
          </w:p>
        </w:tc>
        <w:tc>
          <w:tcPr>
            <w:tcW w:w="1424" w:type="dxa"/>
            <w:tcBorders>
              <w:bottom w:val="single" w:color="auto" w:sz="4" w:space="0"/>
            </w:tcBorders>
            <w:vAlign w:val="center"/>
          </w:tcPr>
          <w:p w14:paraId="607EFE1F">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钻井液体系</w:t>
            </w:r>
          </w:p>
        </w:tc>
        <w:tc>
          <w:tcPr>
            <w:tcW w:w="2037" w:type="dxa"/>
            <w:vAlign w:val="center"/>
          </w:tcPr>
          <w:p w14:paraId="02E7E792">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钻井液用量（m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298" w:type="dxa"/>
            <w:vAlign w:val="center"/>
          </w:tcPr>
          <w:p w14:paraId="15AB8CA1">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合计（m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r>
      <w:tr w14:paraId="1D2B1F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restart"/>
            <w:vAlign w:val="center"/>
          </w:tcPr>
          <w:p w14:paraId="103E99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J6093A井</w:t>
            </w:r>
          </w:p>
        </w:tc>
        <w:tc>
          <w:tcPr>
            <w:tcW w:w="1354" w:type="dxa"/>
            <w:vMerge w:val="restart"/>
            <w:vAlign w:val="center"/>
          </w:tcPr>
          <w:p w14:paraId="4C8F2509">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水基钻井液</w:t>
            </w:r>
          </w:p>
        </w:tc>
        <w:tc>
          <w:tcPr>
            <w:tcW w:w="1417" w:type="dxa"/>
            <w:vAlign w:val="center"/>
          </w:tcPr>
          <w:p w14:paraId="2A8C9B58">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一开</w:t>
            </w:r>
          </w:p>
        </w:tc>
        <w:tc>
          <w:tcPr>
            <w:tcW w:w="1424" w:type="dxa"/>
            <w:tcBorders>
              <w:bottom w:val="single" w:color="auto" w:sz="4" w:space="0"/>
            </w:tcBorders>
            <w:vAlign w:val="center"/>
          </w:tcPr>
          <w:p w14:paraId="6F3046F9">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坂土-</w:t>
            </w:r>
            <w:r>
              <w:rPr>
                <w:rFonts w:hint="eastAsia"/>
                <w:color w:val="000000" w:themeColor="text1"/>
                <w14:textFill>
                  <w14:solidFill>
                    <w14:schemeClr w14:val="tx1"/>
                  </w14:solidFill>
                </w14:textFill>
              </w:rPr>
              <w:t>CMC</w:t>
            </w:r>
          </w:p>
        </w:tc>
        <w:tc>
          <w:tcPr>
            <w:tcW w:w="2037" w:type="dxa"/>
            <w:vAlign w:val="center"/>
          </w:tcPr>
          <w:p w14:paraId="2A1FAD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108</w:t>
            </w:r>
          </w:p>
        </w:tc>
        <w:tc>
          <w:tcPr>
            <w:tcW w:w="1298" w:type="dxa"/>
            <w:vMerge w:val="restart"/>
            <w:vAlign w:val="center"/>
          </w:tcPr>
          <w:p w14:paraId="1C55A8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282</w:t>
            </w:r>
          </w:p>
        </w:tc>
      </w:tr>
      <w:tr w14:paraId="0F822F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continue"/>
            <w:vAlign w:val="center"/>
          </w:tcPr>
          <w:p w14:paraId="1A5FDEE0">
            <w:pPr>
              <w:pStyle w:val="210"/>
              <w:rPr>
                <w:rFonts w:hint="eastAsia"/>
                <w:color w:val="000000" w:themeColor="text1"/>
                <w14:textFill>
                  <w14:solidFill>
                    <w14:schemeClr w14:val="tx1"/>
                  </w14:solidFill>
                </w14:textFill>
              </w:rPr>
            </w:pPr>
          </w:p>
        </w:tc>
        <w:tc>
          <w:tcPr>
            <w:tcW w:w="1354" w:type="dxa"/>
            <w:vMerge w:val="continue"/>
            <w:vAlign w:val="center"/>
          </w:tcPr>
          <w:p w14:paraId="6AF5FCE8">
            <w:pPr>
              <w:pStyle w:val="210"/>
              <w:rPr>
                <w:rFonts w:hint="eastAsia"/>
                <w:color w:val="000000" w:themeColor="text1"/>
                <w14:textFill>
                  <w14:solidFill>
                    <w14:schemeClr w14:val="tx1"/>
                  </w14:solidFill>
                </w14:textFill>
              </w:rPr>
            </w:pPr>
          </w:p>
        </w:tc>
        <w:tc>
          <w:tcPr>
            <w:tcW w:w="1417" w:type="dxa"/>
            <w:vAlign w:val="center"/>
          </w:tcPr>
          <w:p w14:paraId="79F43FB2">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二开</w:t>
            </w:r>
          </w:p>
        </w:tc>
        <w:tc>
          <w:tcPr>
            <w:tcW w:w="1424" w:type="dxa"/>
            <w:tcBorders>
              <w:top w:val="single" w:color="auto" w:sz="4" w:space="0"/>
            </w:tcBorders>
            <w:vAlign w:val="center"/>
          </w:tcPr>
          <w:p w14:paraId="2A3C93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钾钙基有机盐钻井液</w:t>
            </w:r>
          </w:p>
        </w:tc>
        <w:tc>
          <w:tcPr>
            <w:tcW w:w="2037" w:type="dxa"/>
            <w:vAlign w:val="center"/>
          </w:tcPr>
          <w:p w14:paraId="70FD82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174</w:t>
            </w:r>
          </w:p>
        </w:tc>
        <w:tc>
          <w:tcPr>
            <w:tcW w:w="1298" w:type="dxa"/>
            <w:vMerge w:val="continue"/>
            <w:vAlign w:val="center"/>
          </w:tcPr>
          <w:p w14:paraId="488ACA5D">
            <w:pPr>
              <w:pStyle w:val="210"/>
              <w:rPr>
                <w:rFonts w:hint="eastAsia"/>
                <w:color w:val="000000" w:themeColor="text1"/>
                <w14:textFill>
                  <w14:solidFill>
                    <w14:schemeClr w14:val="tx1"/>
                  </w14:solidFill>
                </w14:textFill>
              </w:rPr>
            </w:pPr>
          </w:p>
        </w:tc>
      </w:tr>
      <w:tr w14:paraId="6889AB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restart"/>
            <w:vAlign w:val="center"/>
          </w:tcPr>
          <w:p w14:paraId="1065E413">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J9100A井</w:t>
            </w:r>
          </w:p>
        </w:tc>
        <w:tc>
          <w:tcPr>
            <w:tcW w:w="1354" w:type="dxa"/>
            <w:vMerge w:val="restart"/>
            <w:vAlign w:val="center"/>
          </w:tcPr>
          <w:p w14:paraId="2FEB6FD1">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水基钻井液</w:t>
            </w:r>
          </w:p>
        </w:tc>
        <w:tc>
          <w:tcPr>
            <w:tcW w:w="1417" w:type="dxa"/>
            <w:vAlign w:val="center"/>
          </w:tcPr>
          <w:p w14:paraId="762D604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一开</w:t>
            </w:r>
          </w:p>
        </w:tc>
        <w:tc>
          <w:tcPr>
            <w:tcW w:w="1424" w:type="dxa"/>
            <w:tcBorders>
              <w:bottom w:val="single" w:color="auto" w:sz="4" w:space="0"/>
            </w:tcBorders>
            <w:vAlign w:val="center"/>
          </w:tcPr>
          <w:p w14:paraId="45D30B83">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坂土-</w:t>
            </w:r>
            <w:r>
              <w:rPr>
                <w:rFonts w:hint="eastAsia"/>
                <w:color w:val="000000" w:themeColor="text1"/>
                <w14:textFill>
                  <w14:solidFill>
                    <w14:schemeClr w14:val="tx1"/>
                  </w14:solidFill>
                </w14:textFill>
              </w:rPr>
              <w:t>CMC</w:t>
            </w:r>
          </w:p>
        </w:tc>
        <w:tc>
          <w:tcPr>
            <w:tcW w:w="2037" w:type="dxa"/>
            <w:vAlign w:val="center"/>
          </w:tcPr>
          <w:p w14:paraId="4C6D6F5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108</w:t>
            </w:r>
          </w:p>
        </w:tc>
        <w:tc>
          <w:tcPr>
            <w:tcW w:w="1298" w:type="dxa"/>
            <w:vMerge w:val="restart"/>
            <w:vAlign w:val="center"/>
          </w:tcPr>
          <w:p w14:paraId="1D5532C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243</w:t>
            </w:r>
          </w:p>
        </w:tc>
      </w:tr>
      <w:tr w14:paraId="586C36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continue"/>
            <w:vAlign w:val="center"/>
          </w:tcPr>
          <w:p w14:paraId="048231BE">
            <w:pPr>
              <w:pStyle w:val="210"/>
              <w:rPr>
                <w:rFonts w:hint="eastAsia"/>
                <w:color w:val="000000" w:themeColor="text1"/>
                <w14:textFill>
                  <w14:solidFill>
                    <w14:schemeClr w14:val="tx1"/>
                  </w14:solidFill>
                </w14:textFill>
              </w:rPr>
            </w:pPr>
          </w:p>
        </w:tc>
        <w:tc>
          <w:tcPr>
            <w:tcW w:w="1354" w:type="dxa"/>
            <w:vMerge w:val="continue"/>
            <w:vAlign w:val="center"/>
          </w:tcPr>
          <w:p w14:paraId="11BB01E5">
            <w:pPr>
              <w:pStyle w:val="210"/>
              <w:rPr>
                <w:rFonts w:hint="eastAsia"/>
                <w:color w:val="000000" w:themeColor="text1"/>
                <w14:textFill>
                  <w14:solidFill>
                    <w14:schemeClr w14:val="tx1"/>
                  </w14:solidFill>
                </w14:textFill>
              </w:rPr>
            </w:pPr>
          </w:p>
        </w:tc>
        <w:tc>
          <w:tcPr>
            <w:tcW w:w="1417" w:type="dxa"/>
            <w:vAlign w:val="center"/>
          </w:tcPr>
          <w:p w14:paraId="4E4466B0">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二开</w:t>
            </w:r>
          </w:p>
        </w:tc>
        <w:tc>
          <w:tcPr>
            <w:tcW w:w="1424" w:type="dxa"/>
            <w:tcBorders>
              <w:top w:val="single" w:color="auto" w:sz="4" w:space="0"/>
            </w:tcBorders>
            <w:vAlign w:val="center"/>
          </w:tcPr>
          <w:p w14:paraId="312446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钾钙基有机盐钻井液</w:t>
            </w:r>
          </w:p>
        </w:tc>
        <w:tc>
          <w:tcPr>
            <w:tcW w:w="2037" w:type="dxa"/>
            <w:vAlign w:val="center"/>
          </w:tcPr>
          <w:p w14:paraId="57A331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135</w:t>
            </w:r>
          </w:p>
        </w:tc>
        <w:tc>
          <w:tcPr>
            <w:tcW w:w="1298" w:type="dxa"/>
            <w:vMerge w:val="continue"/>
            <w:vAlign w:val="center"/>
          </w:tcPr>
          <w:p w14:paraId="2ABAB987">
            <w:pPr>
              <w:pStyle w:val="210"/>
              <w:rPr>
                <w:rFonts w:hint="eastAsia"/>
                <w:color w:val="000000" w:themeColor="text1"/>
                <w14:textFill>
                  <w14:solidFill>
                    <w14:schemeClr w14:val="tx1"/>
                  </w14:solidFill>
                </w14:textFill>
              </w:rPr>
            </w:pPr>
          </w:p>
        </w:tc>
      </w:tr>
      <w:tr w14:paraId="7564FA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restart"/>
            <w:vAlign w:val="center"/>
          </w:tcPr>
          <w:p w14:paraId="4A61770B">
            <w:pPr>
              <w:pStyle w:val="21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JD6110</w:t>
            </w:r>
          </w:p>
        </w:tc>
        <w:tc>
          <w:tcPr>
            <w:tcW w:w="1354" w:type="dxa"/>
            <w:vMerge w:val="restart"/>
            <w:vAlign w:val="center"/>
          </w:tcPr>
          <w:p w14:paraId="1820CC4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水基钻井液</w:t>
            </w:r>
          </w:p>
        </w:tc>
        <w:tc>
          <w:tcPr>
            <w:tcW w:w="1417" w:type="dxa"/>
            <w:vAlign w:val="center"/>
          </w:tcPr>
          <w:p w14:paraId="3D4A3748">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一开</w:t>
            </w:r>
          </w:p>
        </w:tc>
        <w:tc>
          <w:tcPr>
            <w:tcW w:w="1424" w:type="dxa"/>
            <w:tcBorders>
              <w:bottom w:val="single" w:color="auto" w:sz="4" w:space="0"/>
            </w:tcBorders>
            <w:vAlign w:val="center"/>
          </w:tcPr>
          <w:p w14:paraId="63379D6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坂土-</w:t>
            </w:r>
            <w:r>
              <w:rPr>
                <w:rFonts w:hint="eastAsia"/>
                <w:color w:val="000000" w:themeColor="text1"/>
                <w14:textFill>
                  <w14:solidFill>
                    <w14:schemeClr w14:val="tx1"/>
                  </w14:solidFill>
                </w14:textFill>
              </w:rPr>
              <w:t>CMC</w:t>
            </w:r>
          </w:p>
        </w:tc>
        <w:tc>
          <w:tcPr>
            <w:tcW w:w="2037" w:type="dxa"/>
            <w:vAlign w:val="center"/>
          </w:tcPr>
          <w:p w14:paraId="679F11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108</w:t>
            </w:r>
          </w:p>
        </w:tc>
        <w:tc>
          <w:tcPr>
            <w:tcW w:w="1298" w:type="dxa"/>
            <w:vMerge w:val="restart"/>
            <w:vAlign w:val="center"/>
          </w:tcPr>
          <w:p w14:paraId="5C5CF66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289</w:t>
            </w:r>
          </w:p>
        </w:tc>
      </w:tr>
      <w:tr w14:paraId="6AF667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continue"/>
            <w:vAlign w:val="center"/>
          </w:tcPr>
          <w:p w14:paraId="3DE40B22">
            <w:pPr>
              <w:pStyle w:val="210"/>
              <w:rPr>
                <w:rFonts w:hint="eastAsia"/>
                <w:color w:val="000000" w:themeColor="text1"/>
                <w14:textFill>
                  <w14:solidFill>
                    <w14:schemeClr w14:val="tx1"/>
                  </w14:solidFill>
                </w14:textFill>
              </w:rPr>
            </w:pPr>
          </w:p>
        </w:tc>
        <w:tc>
          <w:tcPr>
            <w:tcW w:w="1354" w:type="dxa"/>
            <w:vMerge w:val="continue"/>
            <w:vAlign w:val="center"/>
          </w:tcPr>
          <w:p w14:paraId="708BEE31">
            <w:pPr>
              <w:pStyle w:val="210"/>
              <w:rPr>
                <w:rFonts w:hint="eastAsia"/>
                <w:color w:val="000000" w:themeColor="text1"/>
                <w14:textFill>
                  <w14:solidFill>
                    <w14:schemeClr w14:val="tx1"/>
                  </w14:solidFill>
                </w14:textFill>
              </w:rPr>
            </w:pPr>
          </w:p>
        </w:tc>
        <w:tc>
          <w:tcPr>
            <w:tcW w:w="1417" w:type="dxa"/>
            <w:vAlign w:val="center"/>
          </w:tcPr>
          <w:p w14:paraId="433DBBA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二开</w:t>
            </w:r>
          </w:p>
        </w:tc>
        <w:tc>
          <w:tcPr>
            <w:tcW w:w="1424" w:type="dxa"/>
            <w:tcBorders>
              <w:top w:val="single" w:color="auto" w:sz="4" w:space="0"/>
            </w:tcBorders>
            <w:vAlign w:val="center"/>
          </w:tcPr>
          <w:p w14:paraId="32548DD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钾钙基有机盐钻井液</w:t>
            </w:r>
          </w:p>
        </w:tc>
        <w:tc>
          <w:tcPr>
            <w:tcW w:w="2037" w:type="dxa"/>
            <w:vAlign w:val="center"/>
          </w:tcPr>
          <w:p w14:paraId="70D3712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181</w:t>
            </w:r>
          </w:p>
        </w:tc>
        <w:tc>
          <w:tcPr>
            <w:tcW w:w="1298" w:type="dxa"/>
            <w:vMerge w:val="continue"/>
            <w:vAlign w:val="center"/>
          </w:tcPr>
          <w:p w14:paraId="7AAA1BB8">
            <w:pPr>
              <w:pStyle w:val="210"/>
              <w:rPr>
                <w:rFonts w:hint="eastAsia"/>
                <w:color w:val="000000" w:themeColor="text1"/>
                <w14:textFill>
                  <w14:solidFill>
                    <w14:schemeClr w14:val="tx1"/>
                  </w14:solidFill>
                </w14:textFill>
              </w:rPr>
            </w:pPr>
          </w:p>
        </w:tc>
      </w:tr>
      <w:tr w14:paraId="106AEB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restart"/>
            <w:vAlign w:val="center"/>
          </w:tcPr>
          <w:p w14:paraId="09F0EE8A">
            <w:pPr>
              <w:pStyle w:val="21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JD6089</w:t>
            </w:r>
          </w:p>
        </w:tc>
        <w:tc>
          <w:tcPr>
            <w:tcW w:w="1354" w:type="dxa"/>
            <w:vMerge w:val="restart"/>
            <w:vAlign w:val="center"/>
          </w:tcPr>
          <w:p w14:paraId="7AFBE026">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水基钻井液</w:t>
            </w:r>
          </w:p>
        </w:tc>
        <w:tc>
          <w:tcPr>
            <w:tcW w:w="1417" w:type="dxa"/>
            <w:vAlign w:val="center"/>
          </w:tcPr>
          <w:p w14:paraId="2BD2FE9A">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一开</w:t>
            </w:r>
          </w:p>
        </w:tc>
        <w:tc>
          <w:tcPr>
            <w:tcW w:w="1424" w:type="dxa"/>
            <w:tcBorders>
              <w:bottom w:val="single" w:color="auto" w:sz="4" w:space="0"/>
            </w:tcBorders>
            <w:vAlign w:val="center"/>
          </w:tcPr>
          <w:p w14:paraId="587E29E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坂土-</w:t>
            </w:r>
            <w:r>
              <w:rPr>
                <w:rFonts w:hint="eastAsia"/>
                <w:color w:val="000000" w:themeColor="text1"/>
                <w14:textFill>
                  <w14:solidFill>
                    <w14:schemeClr w14:val="tx1"/>
                  </w14:solidFill>
                </w14:textFill>
              </w:rPr>
              <w:t>CMC</w:t>
            </w:r>
          </w:p>
        </w:tc>
        <w:tc>
          <w:tcPr>
            <w:tcW w:w="2037" w:type="dxa"/>
            <w:vAlign w:val="center"/>
          </w:tcPr>
          <w:p w14:paraId="7B1A08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108</w:t>
            </w:r>
          </w:p>
        </w:tc>
        <w:tc>
          <w:tcPr>
            <w:tcW w:w="1298" w:type="dxa"/>
            <w:vMerge w:val="restart"/>
            <w:vAlign w:val="center"/>
          </w:tcPr>
          <w:p w14:paraId="30CF01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283</w:t>
            </w:r>
          </w:p>
        </w:tc>
      </w:tr>
      <w:tr w14:paraId="59ACA6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continue"/>
            <w:vAlign w:val="center"/>
          </w:tcPr>
          <w:p w14:paraId="70E647F5">
            <w:pPr>
              <w:pStyle w:val="210"/>
              <w:rPr>
                <w:rFonts w:hint="eastAsia"/>
                <w:color w:val="000000" w:themeColor="text1"/>
                <w14:textFill>
                  <w14:solidFill>
                    <w14:schemeClr w14:val="tx1"/>
                  </w14:solidFill>
                </w14:textFill>
              </w:rPr>
            </w:pPr>
          </w:p>
        </w:tc>
        <w:tc>
          <w:tcPr>
            <w:tcW w:w="1354" w:type="dxa"/>
            <w:vMerge w:val="continue"/>
            <w:vAlign w:val="center"/>
          </w:tcPr>
          <w:p w14:paraId="4D636C54">
            <w:pPr>
              <w:pStyle w:val="210"/>
              <w:rPr>
                <w:rFonts w:hint="eastAsia"/>
                <w:color w:val="000000" w:themeColor="text1"/>
                <w14:textFill>
                  <w14:solidFill>
                    <w14:schemeClr w14:val="tx1"/>
                  </w14:solidFill>
                </w14:textFill>
              </w:rPr>
            </w:pPr>
          </w:p>
        </w:tc>
        <w:tc>
          <w:tcPr>
            <w:tcW w:w="1417" w:type="dxa"/>
            <w:vAlign w:val="center"/>
          </w:tcPr>
          <w:p w14:paraId="7A3FA2C3">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二开</w:t>
            </w:r>
          </w:p>
        </w:tc>
        <w:tc>
          <w:tcPr>
            <w:tcW w:w="1424" w:type="dxa"/>
            <w:tcBorders>
              <w:top w:val="single" w:color="auto" w:sz="4" w:space="0"/>
            </w:tcBorders>
            <w:vAlign w:val="center"/>
          </w:tcPr>
          <w:p w14:paraId="7654014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钾钙基有机盐钻井液</w:t>
            </w:r>
          </w:p>
        </w:tc>
        <w:tc>
          <w:tcPr>
            <w:tcW w:w="2037" w:type="dxa"/>
            <w:vAlign w:val="center"/>
          </w:tcPr>
          <w:p w14:paraId="0FC21D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175</w:t>
            </w:r>
          </w:p>
        </w:tc>
        <w:tc>
          <w:tcPr>
            <w:tcW w:w="1298" w:type="dxa"/>
            <w:vMerge w:val="continue"/>
            <w:vAlign w:val="center"/>
          </w:tcPr>
          <w:p w14:paraId="24F1573E">
            <w:pPr>
              <w:pStyle w:val="210"/>
              <w:rPr>
                <w:rFonts w:hint="eastAsia"/>
                <w:color w:val="000000" w:themeColor="text1"/>
                <w14:textFill>
                  <w14:solidFill>
                    <w14:schemeClr w14:val="tx1"/>
                  </w14:solidFill>
                </w14:textFill>
              </w:rPr>
            </w:pPr>
          </w:p>
        </w:tc>
      </w:tr>
      <w:tr w14:paraId="7791F3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restart"/>
            <w:vAlign w:val="center"/>
          </w:tcPr>
          <w:p w14:paraId="4F78EF86">
            <w:pPr>
              <w:pStyle w:val="21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JD6167</w:t>
            </w:r>
          </w:p>
        </w:tc>
        <w:tc>
          <w:tcPr>
            <w:tcW w:w="1354" w:type="dxa"/>
            <w:vMerge w:val="restart"/>
            <w:vAlign w:val="center"/>
          </w:tcPr>
          <w:p w14:paraId="6D89B84D">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水基钻井液</w:t>
            </w:r>
          </w:p>
        </w:tc>
        <w:tc>
          <w:tcPr>
            <w:tcW w:w="1417" w:type="dxa"/>
            <w:vAlign w:val="center"/>
          </w:tcPr>
          <w:p w14:paraId="57704CE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一开</w:t>
            </w:r>
          </w:p>
        </w:tc>
        <w:tc>
          <w:tcPr>
            <w:tcW w:w="1424" w:type="dxa"/>
            <w:tcBorders>
              <w:bottom w:val="single" w:color="auto" w:sz="4" w:space="0"/>
            </w:tcBorders>
            <w:vAlign w:val="center"/>
          </w:tcPr>
          <w:p w14:paraId="0A42CED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坂土-</w:t>
            </w:r>
            <w:r>
              <w:rPr>
                <w:rFonts w:hint="eastAsia"/>
                <w:color w:val="000000" w:themeColor="text1"/>
                <w14:textFill>
                  <w14:solidFill>
                    <w14:schemeClr w14:val="tx1"/>
                  </w14:solidFill>
                </w14:textFill>
              </w:rPr>
              <w:t>CMC</w:t>
            </w:r>
          </w:p>
        </w:tc>
        <w:tc>
          <w:tcPr>
            <w:tcW w:w="2037" w:type="dxa"/>
            <w:vAlign w:val="center"/>
          </w:tcPr>
          <w:p w14:paraId="400542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108</w:t>
            </w:r>
          </w:p>
        </w:tc>
        <w:tc>
          <w:tcPr>
            <w:tcW w:w="1298" w:type="dxa"/>
            <w:vMerge w:val="restart"/>
            <w:vAlign w:val="center"/>
          </w:tcPr>
          <w:p w14:paraId="24C6BEC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292</w:t>
            </w:r>
          </w:p>
        </w:tc>
      </w:tr>
      <w:tr w14:paraId="0EF5F0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continue"/>
            <w:vAlign w:val="center"/>
          </w:tcPr>
          <w:p w14:paraId="3544829B">
            <w:pPr>
              <w:pStyle w:val="210"/>
              <w:rPr>
                <w:rFonts w:hint="eastAsia"/>
                <w:color w:val="000000" w:themeColor="text1"/>
                <w14:textFill>
                  <w14:solidFill>
                    <w14:schemeClr w14:val="tx1"/>
                  </w14:solidFill>
                </w14:textFill>
              </w:rPr>
            </w:pPr>
          </w:p>
        </w:tc>
        <w:tc>
          <w:tcPr>
            <w:tcW w:w="1354" w:type="dxa"/>
            <w:vMerge w:val="continue"/>
            <w:vAlign w:val="center"/>
          </w:tcPr>
          <w:p w14:paraId="205345C2">
            <w:pPr>
              <w:pStyle w:val="210"/>
              <w:rPr>
                <w:rFonts w:hint="eastAsia"/>
                <w:color w:val="000000" w:themeColor="text1"/>
                <w14:textFill>
                  <w14:solidFill>
                    <w14:schemeClr w14:val="tx1"/>
                  </w14:solidFill>
                </w14:textFill>
              </w:rPr>
            </w:pPr>
          </w:p>
        </w:tc>
        <w:tc>
          <w:tcPr>
            <w:tcW w:w="1417" w:type="dxa"/>
            <w:vAlign w:val="center"/>
          </w:tcPr>
          <w:p w14:paraId="35A7E7F6">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二开</w:t>
            </w:r>
          </w:p>
        </w:tc>
        <w:tc>
          <w:tcPr>
            <w:tcW w:w="1424" w:type="dxa"/>
            <w:tcBorders>
              <w:top w:val="single" w:color="auto" w:sz="4" w:space="0"/>
            </w:tcBorders>
            <w:vAlign w:val="center"/>
          </w:tcPr>
          <w:p w14:paraId="057AA2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钾钙基有机盐钻井液</w:t>
            </w:r>
          </w:p>
        </w:tc>
        <w:tc>
          <w:tcPr>
            <w:tcW w:w="2037" w:type="dxa"/>
            <w:vAlign w:val="center"/>
          </w:tcPr>
          <w:p w14:paraId="4CCA5B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184</w:t>
            </w:r>
          </w:p>
        </w:tc>
        <w:tc>
          <w:tcPr>
            <w:tcW w:w="1298" w:type="dxa"/>
            <w:vMerge w:val="continue"/>
            <w:vAlign w:val="center"/>
          </w:tcPr>
          <w:p w14:paraId="0A2A2C66">
            <w:pPr>
              <w:pStyle w:val="210"/>
              <w:rPr>
                <w:rFonts w:hint="eastAsia"/>
                <w:color w:val="000000" w:themeColor="text1"/>
                <w14:textFill>
                  <w14:solidFill>
                    <w14:schemeClr w14:val="tx1"/>
                  </w14:solidFill>
                </w14:textFill>
              </w:rPr>
            </w:pPr>
          </w:p>
        </w:tc>
      </w:tr>
      <w:tr w14:paraId="3E619B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restart"/>
            <w:vAlign w:val="center"/>
          </w:tcPr>
          <w:p w14:paraId="0C1E78A9">
            <w:pPr>
              <w:pStyle w:val="21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JD6167</w:t>
            </w:r>
          </w:p>
        </w:tc>
        <w:tc>
          <w:tcPr>
            <w:tcW w:w="1354" w:type="dxa"/>
            <w:vMerge w:val="restart"/>
            <w:vAlign w:val="center"/>
          </w:tcPr>
          <w:p w14:paraId="0807A92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水基钻井液</w:t>
            </w:r>
          </w:p>
        </w:tc>
        <w:tc>
          <w:tcPr>
            <w:tcW w:w="1417" w:type="dxa"/>
            <w:vAlign w:val="center"/>
          </w:tcPr>
          <w:p w14:paraId="28F070F8">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一开</w:t>
            </w:r>
          </w:p>
        </w:tc>
        <w:tc>
          <w:tcPr>
            <w:tcW w:w="1424" w:type="dxa"/>
            <w:tcBorders>
              <w:bottom w:val="single" w:color="auto" w:sz="4" w:space="0"/>
            </w:tcBorders>
            <w:vAlign w:val="center"/>
          </w:tcPr>
          <w:p w14:paraId="2B2A97F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坂土-</w:t>
            </w:r>
            <w:r>
              <w:rPr>
                <w:rFonts w:hint="eastAsia"/>
                <w:color w:val="000000" w:themeColor="text1"/>
                <w14:textFill>
                  <w14:solidFill>
                    <w14:schemeClr w14:val="tx1"/>
                  </w14:solidFill>
                </w14:textFill>
              </w:rPr>
              <w:t>CMC</w:t>
            </w:r>
          </w:p>
        </w:tc>
        <w:tc>
          <w:tcPr>
            <w:tcW w:w="2037" w:type="dxa"/>
            <w:vAlign w:val="center"/>
          </w:tcPr>
          <w:p w14:paraId="1C1579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108</w:t>
            </w:r>
          </w:p>
        </w:tc>
        <w:tc>
          <w:tcPr>
            <w:tcW w:w="1298" w:type="dxa"/>
            <w:vMerge w:val="restart"/>
            <w:vAlign w:val="center"/>
          </w:tcPr>
          <w:p w14:paraId="7EEBFD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286</w:t>
            </w:r>
          </w:p>
        </w:tc>
      </w:tr>
      <w:tr w14:paraId="2621E5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continue"/>
            <w:vAlign w:val="center"/>
          </w:tcPr>
          <w:p w14:paraId="419C9142">
            <w:pPr>
              <w:pStyle w:val="210"/>
              <w:rPr>
                <w:rFonts w:hint="eastAsia"/>
                <w:color w:val="000000" w:themeColor="text1"/>
                <w14:textFill>
                  <w14:solidFill>
                    <w14:schemeClr w14:val="tx1"/>
                  </w14:solidFill>
                </w14:textFill>
              </w:rPr>
            </w:pPr>
          </w:p>
        </w:tc>
        <w:tc>
          <w:tcPr>
            <w:tcW w:w="1354" w:type="dxa"/>
            <w:vMerge w:val="continue"/>
            <w:vAlign w:val="center"/>
          </w:tcPr>
          <w:p w14:paraId="2E7D7109">
            <w:pPr>
              <w:pStyle w:val="210"/>
              <w:rPr>
                <w:rFonts w:hint="eastAsia"/>
                <w:color w:val="000000" w:themeColor="text1"/>
                <w14:textFill>
                  <w14:solidFill>
                    <w14:schemeClr w14:val="tx1"/>
                  </w14:solidFill>
                </w14:textFill>
              </w:rPr>
            </w:pPr>
          </w:p>
        </w:tc>
        <w:tc>
          <w:tcPr>
            <w:tcW w:w="1417" w:type="dxa"/>
            <w:vAlign w:val="center"/>
          </w:tcPr>
          <w:p w14:paraId="1D663AD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二开</w:t>
            </w:r>
          </w:p>
        </w:tc>
        <w:tc>
          <w:tcPr>
            <w:tcW w:w="1424" w:type="dxa"/>
            <w:tcBorders>
              <w:top w:val="single" w:color="auto" w:sz="4" w:space="0"/>
            </w:tcBorders>
            <w:vAlign w:val="center"/>
          </w:tcPr>
          <w:p w14:paraId="75ED0C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钾钙基有机盐钻井液</w:t>
            </w:r>
          </w:p>
        </w:tc>
        <w:tc>
          <w:tcPr>
            <w:tcW w:w="2037" w:type="dxa"/>
            <w:vAlign w:val="center"/>
          </w:tcPr>
          <w:p w14:paraId="22149A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178</w:t>
            </w:r>
          </w:p>
        </w:tc>
        <w:tc>
          <w:tcPr>
            <w:tcW w:w="1298" w:type="dxa"/>
            <w:vMerge w:val="continue"/>
            <w:vAlign w:val="center"/>
          </w:tcPr>
          <w:p w14:paraId="0B786E08">
            <w:pPr>
              <w:pStyle w:val="210"/>
              <w:rPr>
                <w:rFonts w:hint="eastAsia"/>
                <w:color w:val="000000" w:themeColor="text1"/>
                <w14:textFill>
                  <w14:solidFill>
                    <w14:schemeClr w14:val="tx1"/>
                  </w14:solidFill>
                </w14:textFill>
              </w:rPr>
            </w:pPr>
          </w:p>
        </w:tc>
      </w:tr>
      <w:tr w14:paraId="614474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restart"/>
            <w:vAlign w:val="center"/>
          </w:tcPr>
          <w:p w14:paraId="7D71FD5D">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JD8399A</w:t>
            </w:r>
          </w:p>
        </w:tc>
        <w:tc>
          <w:tcPr>
            <w:tcW w:w="1354" w:type="dxa"/>
            <w:vMerge w:val="restart"/>
            <w:vAlign w:val="center"/>
          </w:tcPr>
          <w:p w14:paraId="1911D060">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水基钻井液</w:t>
            </w:r>
          </w:p>
        </w:tc>
        <w:tc>
          <w:tcPr>
            <w:tcW w:w="1417" w:type="dxa"/>
            <w:vAlign w:val="center"/>
          </w:tcPr>
          <w:p w14:paraId="5B73A27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一开</w:t>
            </w:r>
          </w:p>
        </w:tc>
        <w:tc>
          <w:tcPr>
            <w:tcW w:w="1424" w:type="dxa"/>
            <w:tcBorders>
              <w:bottom w:val="single" w:color="auto" w:sz="4" w:space="0"/>
            </w:tcBorders>
            <w:vAlign w:val="center"/>
          </w:tcPr>
          <w:p w14:paraId="7E2C2317">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坂土-</w:t>
            </w:r>
            <w:r>
              <w:rPr>
                <w:rFonts w:hint="eastAsia"/>
                <w:color w:val="000000" w:themeColor="text1"/>
                <w14:textFill>
                  <w14:solidFill>
                    <w14:schemeClr w14:val="tx1"/>
                  </w14:solidFill>
                </w14:textFill>
              </w:rPr>
              <w:t>CMC</w:t>
            </w:r>
          </w:p>
        </w:tc>
        <w:tc>
          <w:tcPr>
            <w:tcW w:w="2037" w:type="dxa"/>
            <w:vAlign w:val="center"/>
          </w:tcPr>
          <w:p w14:paraId="7E4B193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108</w:t>
            </w:r>
          </w:p>
        </w:tc>
        <w:tc>
          <w:tcPr>
            <w:tcW w:w="1298" w:type="dxa"/>
            <w:vMerge w:val="restart"/>
            <w:vAlign w:val="center"/>
          </w:tcPr>
          <w:p w14:paraId="221380E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253</w:t>
            </w:r>
          </w:p>
        </w:tc>
      </w:tr>
      <w:tr w14:paraId="0D6A64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continue"/>
            <w:vAlign w:val="center"/>
          </w:tcPr>
          <w:p w14:paraId="1A46C0F4">
            <w:pPr>
              <w:pStyle w:val="210"/>
              <w:rPr>
                <w:rFonts w:hint="eastAsia"/>
                <w:color w:val="000000" w:themeColor="text1"/>
                <w14:textFill>
                  <w14:solidFill>
                    <w14:schemeClr w14:val="tx1"/>
                  </w14:solidFill>
                </w14:textFill>
              </w:rPr>
            </w:pPr>
          </w:p>
        </w:tc>
        <w:tc>
          <w:tcPr>
            <w:tcW w:w="1354" w:type="dxa"/>
            <w:vMerge w:val="continue"/>
            <w:vAlign w:val="center"/>
          </w:tcPr>
          <w:p w14:paraId="27651919">
            <w:pPr>
              <w:pStyle w:val="210"/>
              <w:rPr>
                <w:rFonts w:hint="eastAsia"/>
                <w:color w:val="000000" w:themeColor="text1"/>
                <w14:textFill>
                  <w14:solidFill>
                    <w14:schemeClr w14:val="tx1"/>
                  </w14:solidFill>
                </w14:textFill>
              </w:rPr>
            </w:pPr>
          </w:p>
        </w:tc>
        <w:tc>
          <w:tcPr>
            <w:tcW w:w="1417" w:type="dxa"/>
            <w:vAlign w:val="center"/>
          </w:tcPr>
          <w:p w14:paraId="6C80A05B">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二开</w:t>
            </w:r>
          </w:p>
        </w:tc>
        <w:tc>
          <w:tcPr>
            <w:tcW w:w="1424" w:type="dxa"/>
            <w:tcBorders>
              <w:top w:val="single" w:color="auto" w:sz="4" w:space="0"/>
            </w:tcBorders>
            <w:vAlign w:val="center"/>
          </w:tcPr>
          <w:p w14:paraId="1D94BFD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钾钙基有机盐钻井液</w:t>
            </w:r>
          </w:p>
        </w:tc>
        <w:tc>
          <w:tcPr>
            <w:tcW w:w="2037" w:type="dxa"/>
            <w:vAlign w:val="center"/>
          </w:tcPr>
          <w:p w14:paraId="6E8F790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145</w:t>
            </w:r>
          </w:p>
        </w:tc>
        <w:tc>
          <w:tcPr>
            <w:tcW w:w="1298" w:type="dxa"/>
            <w:vMerge w:val="continue"/>
            <w:vAlign w:val="center"/>
          </w:tcPr>
          <w:p w14:paraId="11232C62">
            <w:pPr>
              <w:pStyle w:val="210"/>
              <w:rPr>
                <w:rFonts w:hint="eastAsia"/>
                <w:color w:val="000000" w:themeColor="text1"/>
                <w14:textFill>
                  <w14:solidFill>
                    <w14:schemeClr w14:val="tx1"/>
                  </w14:solidFill>
                </w14:textFill>
              </w:rPr>
            </w:pPr>
          </w:p>
        </w:tc>
      </w:tr>
      <w:tr w14:paraId="0FB032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restart"/>
            <w:vAlign w:val="center"/>
          </w:tcPr>
          <w:p w14:paraId="459D4AA0">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JD8664A</w:t>
            </w:r>
          </w:p>
        </w:tc>
        <w:tc>
          <w:tcPr>
            <w:tcW w:w="1354" w:type="dxa"/>
            <w:vMerge w:val="restart"/>
            <w:vAlign w:val="center"/>
          </w:tcPr>
          <w:p w14:paraId="3E44BFB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水基钻井液</w:t>
            </w:r>
          </w:p>
        </w:tc>
        <w:tc>
          <w:tcPr>
            <w:tcW w:w="1417" w:type="dxa"/>
            <w:vAlign w:val="center"/>
          </w:tcPr>
          <w:p w14:paraId="6E7B4596">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一开</w:t>
            </w:r>
          </w:p>
        </w:tc>
        <w:tc>
          <w:tcPr>
            <w:tcW w:w="1424" w:type="dxa"/>
            <w:tcBorders>
              <w:bottom w:val="single" w:color="auto" w:sz="4" w:space="0"/>
            </w:tcBorders>
            <w:vAlign w:val="center"/>
          </w:tcPr>
          <w:p w14:paraId="0A298C99">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坂土-</w:t>
            </w:r>
            <w:r>
              <w:rPr>
                <w:rFonts w:hint="eastAsia"/>
                <w:color w:val="000000" w:themeColor="text1"/>
                <w14:textFill>
                  <w14:solidFill>
                    <w14:schemeClr w14:val="tx1"/>
                  </w14:solidFill>
                </w14:textFill>
              </w:rPr>
              <w:t>CMC</w:t>
            </w:r>
          </w:p>
        </w:tc>
        <w:tc>
          <w:tcPr>
            <w:tcW w:w="2037" w:type="dxa"/>
            <w:vAlign w:val="center"/>
          </w:tcPr>
          <w:p w14:paraId="77037B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108</w:t>
            </w:r>
          </w:p>
        </w:tc>
        <w:tc>
          <w:tcPr>
            <w:tcW w:w="1298" w:type="dxa"/>
            <w:vMerge w:val="restart"/>
            <w:vAlign w:val="center"/>
          </w:tcPr>
          <w:p w14:paraId="5BB37C3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242</w:t>
            </w:r>
          </w:p>
        </w:tc>
      </w:tr>
      <w:tr w14:paraId="3DFBB6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00" w:type="dxa"/>
            <w:vMerge w:val="continue"/>
            <w:vAlign w:val="center"/>
          </w:tcPr>
          <w:p w14:paraId="75902163">
            <w:pPr>
              <w:pStyle w:val="210"/>
              <w:rPr>
                <w:rFonts w:hint="eastAsia"/>
                <w:color w:val="000000" w:themeColor="text1"/>
                <w14:textFill>
                  <w14:solidFill>
                    <w14:schemeClr w14:val="tx1"/>
                  </w14:solidFill>
                </w14:textFill>
              </w:rPr>
            </w:pPr>
          </w:p>
        </w:tc>
        <w:tc>
          <w:tcPr>
            <w:tcW w:w="1354" w:type="dxa"/>
            <w:vMerge w:val="continue"/>
            <w:vAlign w:val="center"/>
          </w:tcPr>
          <w:p w14:paraId="355DCED3">
            <w:pPr>
              <w:pStyle w:val="210"/>
              <w:rPr>
                <w:rFonts w:hint="eastAsia"/>
                <w:color w:val="000000" w:themeColor="text1"/>
                <w14:textFill>
                  <w14:solidFill>
                    <w14:schemeClr w14:val="tx1"/>
                  </w14:solidFill>
                </w14:textFill>
              </w:rPr>
            </w:pPr>
          </w:p>
        </w:tc>
        <w:tc>
          <w:tcPr>
            <w:tcW w:w="1417" w:type="dxa"/>
            <w:vAlign w:val="center"/>
          </w:tcPr>
          <w:p w14:paraId="6AD431D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二开</w:t>
            </w:r>
          </w:p>
        </w:tc>
        <w:tc>
          <w:tcPr>
            <w:tcW w:w="1424" w:type="dxa"/>
            <w:tcBorders>
              <w:top w:val="single" w:color="auto" w:sz="4" w:space="0"/>
            </w:tcBorders>
            <w:vAlign w:val="center"/>
          </w:tcPr>
          <w:p w14:paraId="6989FAD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钾钙基有机盐钻井液</w:t>
            </w:r>
          </w:p>
        </w:tc>
        <w:tc>
          <w:tcPr>
            <w:tcW w:w="2037" w:type="dxa"/>
            <w:vAlign w:val="center"/>
          </w:tcPr>
          <w:p w14:paraId="6D69319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134</w:t>
            </w:r>
          </w:p>
        </w:tc>
        <w:tc>
          <w:tcPr>
            <w:tcW w:w="1298" w:type="dxa"/>
            <w:vMerge w:val="continue"/>
            <w:vAlign w:val="center"/>
          </w:tcPr>
          <w:p w14:paraId="779F869A">
            <w:pPr>
              <w:pStyle w:val="210"/>
              <w:rPr>
                <w:rFonts w:hint="eastAsia"/>
                <w:color w:val="000000" w:themeColor="text1"/>
                <w14:textFill>
                  <w14:solidFill>
                    <w14:schemeClr w14:val="tx1"/>
                  </w14:solidFill>
                </w14:textFill>
              </w:rPr>
            </w:pPr>
          </w:p>
        </w:tc>
      </w:tr>
    </w:tbl>
    <w:p w14:paraId="7C9F1135">
      <w:pPr>
        <w:pStyle w:val="120"/>
        <w:rPr>
          <w:rFonts w:hint="eastAsia"/>
          <w:color w:val="000000" w:themeColor="text1"/>
          <w:kern w:val="0"/>
          <w:lang w:val="en-US"/>
          <w14:textFill>
            <w14:solidFill>
              <w14:schemeClr w14:val="tx1"/>
            </w14:solidFill>
          </w14:textFill>
        </w:rPr>
      </w:pPr>
      <w:r>
        <w:rPr>
          <w:rFonts w:hint="eastAsia"/>
          <w:color w:val="000000" w:themeColor="text1"/>
          <w:kern w:val="0"/>
          <w14:textFill>
            <w14:solidFill>
              <w14:schemeClr w14:val="tx1"/>
            </w14:solidFill>
          </w14:textFill>
        </w:rPr>
        <w:t>5）</w:t>
      </w:r>
      <w:r>
        <w:rPr>
          <w:rFonts w:hint="eastAsia"/>
          <w:color w:val="000000" w:themeColor="text1"/>
          <w:kern w:val="0"/>
          <w:lang w:val="en-US"/>
          <w14:textFill>
            <w14:solidFill>
              <w14:schemeClr w14:val="tx1"/>
            </w14:solidFill>
          </w14:textFill>
        </w:rPr>
        <w:t>钻井周期</w:t>
      </w:r>
    </w:p>
    <w:p w14:paraId="7D640B32">
      <w:pPr>
        <w:pStyle w:val="120"/>
        <w:rPr>
          <w:rFonts w:hint="eastAsia"/>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单井钻井期18天，施工人数35人。</w:t>
      </w:r>
    </w:p>
    <w:p w14:paraId="48284166">
      <w:pPr>
        <w:pStyle w:val="193"/>
        <w:ind w:firstLine="48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）钻井井场平面布置</w:t>
      </w:r>
    </w:p>
    <w:p w14:paraId="4B61CA3C">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钻井期井场布置有值班房、钳工房、录井房、发电房、钻井液不落地系统、放喷管线和应急放喷池（在井场一侧预留应急放喷池位置，应急放喷池仅在事故状态下开挖。井场旁有一辆挖机随时待命，一旦发生井喷，挖机可立即开挖放喷池,快速开挖至规定尺寸后，进行人工防渗层，防渗材料为HDPE防渗膜，渗透系数≤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cm/s），探临道路主要为井场至已建道路网，</w:t>
      </w:r>
      <w:r>
        <w:rPr>
          <w:rFonts w:hint="eastAsia"/>
          <w:color w:val="000000" w:themeColor="text1"/>
          <w14:textFill>
            <w14:solidFill>
              <w14:schemeClr w14:val="tx1"/>
            </w14:solidFill>
          </w14:textFill>
        </w:rPr>
        <w:t>施工期不设生活营地，钻井期施工人员住宿租赁吉木萨尔县金宗石油工程技术服务有限责任公司的员工宿舍。地面工程建设阶段施工人员食宿在吉木萨尔县。</w:t>
      </w:r>
      <w:r>
        <w:rPr>
          <w:color w:val="000000" w:themeColor="text1"/>
          <w14:textFill>
            <w14:solidFill>
              <w14:schemeClr w14:val="tx1"/>
            </w14:solidFill>
          </w14:textFill>
        </w:rPr>
        <w:t>钻井期施工材料均在井场内暂存，井场外不设材料堆放场地，</w:t>
      </w:r>
      <w:r>
        <w:rPr>
          <w:rFonts w:hint="eastAsia"/>
          <w:color w:val="000000" w:themeColor="text1"/>
          <w:lang w:val="en-US" w:eastAsia="zh-CN"/>
          <w14:textFill>
            <w14:solidFill>
              <w14:schemeClr w14:val="tx1"/>
            </w14:solidFill>
          </w14:textFill>
        </w:rPr>
        <w:t>钻井期</w:t>
      </w:r>
      <w:r>
        <w:rPr>
          <w:color w:val="000000" w:themeColor="text1"/>
          <w14:textFill>
            <w14:solidFill>
              <w14:schemeClr w14:val="tx1"/>
            </w14:solidFill>
          </w14:textFill>
        </w:rPr>
        <w:t>井场平面布置见图3.2-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w:t>
      </w:r>
    </w:p>
    <w:p w14:paraId="792B400A">
      <w:pPr>
        <w:pStyle w:val="112"/>
        <w:spacing w:line="240" w:lineRule="auto"/>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41645" cy="3617595"/>
            <wp:effectExtent l="0" t="0" r="1905" b="1905"/>
            <wp:docPr id="140"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descr="图片1"/>
                    <pic:cNvPicPr>
                      <a:picLocks noChangeAspect="1"/>
                    </pic:cNvPicPr>
                  </pic:nvPicPr>
                  <pic:blipFill>
                    <a:blip r:embed="rId36"/>
                    <a:stretch>
                      <a:fillRect/>
                    </a:stretch>
                  </pic:blipFill>
                  <pic:spPr>
                    <a:xfrm>
                      <a:off x="0" y="0"/>
                      <a:ext cx="5541645" cy="3617595"/>
                    </a:xfrm>
                    <a:prstGeom prst="rect">
                      <a:avLst/>
                    </a:prstGeom>
                  </pic:spPr>
                </pic:pic>
              </a:graphicData>
            </a:graphic>
          </wp:inline>
        </w:drawing>
      </w:r>
    </w:p>
    <w:p w14:paraId="0B44A550">
      <w:pPr>
        <w:pStyle w:val="112"/>
        <w:rPr>
          <w:rFonts w:hint="eastAsia"/>
          <w:color w:val="000000" w:themeColor="text1"/>
          <w14:textFill>
            <w14:solidFill>
              <w14:schemeClr w14:val="tx1"/>
            </w14:solidFill>
          </w14:textFill>
        </w:rPr>
      </w:pPr>
      <w:r>
        <w:rPr>
          <w:color w:val="000000" w:themeColor="text1"/>
          <w14:textFill>
            <w14:solidFill>
              <w14:schemeClr w14:val="tx1"/>
            </w14:solidFill>
          </w14:textFill>
        </w:rPr>
        <w:t>图3.2-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 xml:space="preserve">  钻井期井场平面布置示意图</w:t>
      </w:r>
    </w:p>
    <w:p w14:paraId="020E819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③储层改造工程</w:t>
      </w:r>
    </w:p>
    <w:p w14:paraId="018D49A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储层改造是为了提高油气井产量而对储层采取的一系列工程技术措施的总称；主要包括射孔、压裂。本项目单井压裂液（包括压裂液和酸化压裂液）用量为36000m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，8口井合计用量237.6×10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。射孔、压裂的主要设备见表3.2-14。</w:t>
      </w:r>
    </w:p>
    <w:p w14:paraId="244F6B6E">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表3.2-14  射孔、压裂工艺主要设备一览表</w:t>
      </w:r>
    </w:p>
    <w:p w14:paraId="15D92AAF">
      <w:pPr>
        <w:spacing w:line="32" w:lineRule="exact"/>
        <w:ind w:firstLine="480"/>
        <w:rPr>
          <w:color w:val="000000" w:themeColor="text1"/>
          <w14:textFill>
            <w14:solidFill>
              <w14:schemeClr w14:val="tx1"/>
            </w14:solidFill>
          </w14:textFill>
        </w:rPr>
      </w:pPr>
    </w:p>
    <w:tbl>
      <w:tblPr>
        <w:tblStyle w:val="51"/>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40"/>
        <w:gridCol w:w="3021"/>
        <w:gridCol w:w="2181"/>
        <w:gridCol w:w="2181"/>
      </w:tblGrid>
      <w:tr w14:paraId="348E9F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tcBorders>
              <w:top w:val="single" w:color="000000" w:sz="12" w:space="0"/>
              <w:left w:val="nil"/>
              <w:bottom w:val="single" w:color="000000" w:sz="2" w:space="0"/>
            </w:tcBorders>
            <w:vAlign w:val="center"/>
          </w:tcPr>
          <w:p w14:paraId="47472619">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阶段</w:t>
            </w:r>
          </w:p>
        </w:tc>
        <w:tc>
          <w:tcPr>
            <w:tcW w:w="1731" w:type="pct"/>
            <w:tcBorders>
              <w:top w:val="single" w:color="000000" w:sz="12" w:space="0"/>
              <w:bottom w:val="single" w:color="000000" w:sz="2" w:space="0"/>
            </w:tcBorders>
            <w:vAlign w:val="center"/>
          </w:tcPr>
          <w:p w14:paraId="0F8D56DA">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设备名称</w:t>
            </w:r>
          </w:p>
        </w:tc>
        <w:tc>
          <w:tcPr>
            <w:tcW w:w="1250" w:type="pct"/>
            <w:tcBorders>
              <w:top w:val="single" w:color="000000" w:sz="12" w:space="0"/>
              <w:bottom w:val="single" w:color="000000" w:sz="2" w:space="0"/>
            </w:tcBorders>
            <w:vAlign w:val="center"/>
          </w:tcPr>
          <w:p w14:paraId="3C49A92F">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主要型号</w:t>
            </w:r>
          </w:p>
        </w:tc>
        <w:tc>
          <w:tcPr>
            <w:tcW w:w="1250" w:type="pct"/>
            <w:tcBorders>
              <w:top w:val="single" w:color="000000" w:sz="12" w:space="0"/>
              <w:bottom w:val="single" w:color="000000" w:sz="2" w:space="0"/>
              <w:right w:val="nil"/>
            </w:tcBorders>
            <w:vAlign w:val="center"/>
          </w:tcPr>
          <w:p w14:paraId="70EC4E8E">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数量（台/座）</w:t>
            </w:r>
          </w:p>
        </w:tc>
      </w:tr>
      <w:tr w14:paraId="5C8CE9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restart"/>
            <w:tcBorders>
              <w:top w:val="single" w:color="000000" w:sz="2" w:space="0"/>
              <w:left w:val="nil"/>
              <w:bottom w:val="single" w:color="000000" w:sz="2" w:space="0"/>
            </w:tcBorders>
            <w:vAlign w:val="center"/>
          </w:tcPr>
          <w:p w14:paraId="5E8FFCD2">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储层改造</w:t>
            </w:r>
          </w:p>
        </w:tc>
        <w:tc>
          <w:tcPr>
            <w:tcW w:w="1731" w:type="pct"/>
            <w:tcBorders>
              <w:top w:val="single" w:color="000000" w:sz="2" w:space="0"/>
              <w:bottom w:val="single" w:color="000000" w:sz="2" w:space="0"/>
            </w:tcBorders>
            <w:vAlign w:val="center"/>
          </w:tcPr>
          <w:p w14:paraId="54E2E9BE">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压裂车</w:t>
            </w:r>
          </w:p>
        </w:tc>
        <w:tc>
          <w:tcPr>
            <w:tcW w:w="1250" w:type="pct"/>
            <w:tcBorders>
              <w:top w:val="single" w:color="000000" w:sz="2" w:space="0"/>
              <w:bottom w:val="single" w:color="000000" w:sz="2" w:space="0"/>
            </w:tcBorders>
            <w:vAlign w:val="center"/>
          </w:tcPr>
          <w:p w14:paraId="202DF59E">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2500 型</w:t>
            </w:r>
          </w:p>
        </w:tc>
        <w:tc>
          <w:tcPr>
            <w:tcW w:w="1250" w:type="pct"/>
            <w:tcBorders>
              <w:top w:val="single" w:color="000000" w:sz="2" w:space="0"/>
              <w:bottom w:val="single" w:color="000000" w:sz="2" w:space="0"/>
              <w:right w:val="nil"/>
            </w:tcBorders>
            <w:vAlign w:val="center"/>
          </w:tcPr>
          <w:p w14:paraId="1E346ED7">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20</w:t>
            </w:r>
          </w:p>
        </w:tc>
      </w:tr>
      <w:tr w14:paraId="34DC71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continue"/>
            <w:tcBorders>
              <w:top w:val="single" w:color="000000" w:sz="2" w:space="0"/>
              <w:left w:val="nil"/>
              <w:bottom w:val="single" w:color="000000" w:sz="2" w:space="0"/>
            </w:tcBorders>
            <w:vAlign w:val="center"/>
          </w:tcPr>
          <w:p w14:paraId="24ED54D6">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p>
        </w:tc>
        <w:tc>
          <w:tcPr>
            <w:tcW w:w="1731" w:type="pct"/>
            <w:tcBorders>
              <w:top w:val="single" w:color="000000" w:sz="2" w:space="0"/>
              <w:bottom w:val="single" w:color="000000" w:sz="2" w:space="0"/>
            </w:tcBorders>
            <w:vAlign w:val="center"/>
          </w:tcPr>
          <w:p w14:paraId="3FDC580E">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混砂车</w:t>
            </w:r>
          </w:p>
        </w:tc>
        <w:tc>
          <w:tcPr>
            <w:tcW w:w="1250" w:type="pct"/>
            <w:tcBorders>
              <w:top w:val="single" w:color="000000" w:sz="2" w:space="0"/>
              <w:bottom w:val="single" w:color="000000" w:sz="2" w:space="0"/>
            </w:tcBorders>
            <w:vAlign w:val="center"/>
          </w:tcPr>
          <w:p w14:paraId="032AE16A">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w:t>
            </w:r>
          </w:p>
        </w:tc>
        <w:tc>
          <w:tcPr>
            <w:tcW w:w="1250" w:type="pct"/>
            <w:tcBorders>
              <w:top w:val="single" w:color="000000" w:sz="2" w:space="0"/>
              <w:bottom w:val="single" w:color="000000" w:sz="2" w:space="0"/>
              <w:right w:val="nil"/>
            </w:tcBorders>
            <w:vAlign w:val="center"/>
          </w:tcPr>
          <w:p w14:paraId="1F164832">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w:t>
            </w:r>
          </w:p>
        </w:tc>
      </w:tr>
      <w:tr w14:paraId="7C9012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continue"/>
            <w:tcBorders>
              <w:top w:val="single" w:color="000000" w:sz="2" w:space="0"/>
              <w:left w:val="nil"/>
              <w:bottom w:val="single" w:color="000000" w:sz="2" w:space="0"/>
            </w:tcBorders>
            <w:vAlign w:val="center"/>
          </w:tcPr>
          <w:p w14:paraId="0808477C">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p>
        </w:tc>
        <w:tc>
          <w:tcPr>
            <w:tcW w:w="1731" w:type="pct"/>
            <w:tcBorders>
              <w:top w:val="single" w:color="000000" w:sz="2" w:space="0"/>
              <w:bottom w:val="single" w:color="000000" w:sz="2" w:space="0"/>
            </w:tcBorders>
            <w:vAlign w:val="center"/>
          </w:tcPr>
          <w:p w14:paraId="40AB159F">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仪表车</w:t>
            </w:r>
          </w:p>
        </w:tc>
        <w:tc>
          <w:tcPr>
            <w:tcW w:w="1250" w:type="pct"/>
            <w:tcBorders>
              <w:top w:val="single" w:color="000000" w:sz="2" w:space="0"/>
              <w:bottom w:val="single" w:color="000000" w:sz="2" w:space="0"/>
            </w:tcBorders>
            <w:vAlign w:val="center"/>
          </w:tcPr>
          <w:p w14:paraId="7E6949BA">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w:t>
            </w:r>
          </w:p>
        </w:tc>
        <w:tc>
          <w:tcPr>
            <w:tcW w:w="1250" w:type="pct"/>
            <w:tcBorders>
              <w:top w:val="single" w:color="000000" w:sz="2" w:space="0"/>
              <w:bottom w:val="single" w:color="000000" w:sz="2" w:space="0"/>
              <w:right w:val="nil"/>
            </w:tcBorders>
            <w:vAlign w:val="center"/>
          </w:tcPr>
          <w:p w14:paraId="283E6406">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r>
      <w:tr w14:paraId="684097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continue"/>
            <w:tcBorders>
              <w:top w:val="single" w:color="000000" w:sz="2" w:space="0"/>
              <w:left w:val="nil"/>
              <w:bottom w:val="single" w:color="000000" w:sz="2" w:space="0"/>
            </w:tcBorders>
            <w:vAlign w:val="center"/>
          </w:tcPr>
          <w:p w14:paraId="3E34974D">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p>
        </w:tc>
        <w:tc>
          <w:tcPr>
            <w:tcW w:w="1731" w:type="pct"/>
            <w:tcBorders>
              <w:top w:val="single" w:color="000000" w:sz="2" w:space="0"/>
              <w:bottom w:val="single" w:color="000000" w:sz="2" w:space="0"/>
            </w:tcBorders>
            <w:vAlign w:val="center"/>
          </w:tcPr>
          <w:p w14:paraId="029D2B56">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砂罐车</w:t>
            </w:r>
          </w:p>
        </w:tc>
        <w:tc>
          <w:tcPr>
            <w:tcW w:w="1250" w:type="pct"/>
            <w:tcBorders>
              <w:top w:val="single" w:color="000000" w:sz="2" w:space="0"/>
              <w:bottom w:val="single" w:color="000000" w:sz="2" w:space="0"/>
            </w:tcBorders>
            <w:vAlign w:val="center"/>
          </w:tcPr>
          <w:p w14:paraId="629424DB">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w:t>
            </w:r>
          </w:p>
        </w:tc>
        <w:tc>
          <w:tcPr>
            <w:tcW w:w="1250" w:type="pct"/>
            <w:tcBorders>
              <w:top w:val="single" w:color="000000" w:sz="2" w:space="0"/>
              <w:bottom w:val="single" w:color="000000" w:sz="2" w:space="0"/>
              <w:right w:val="nil"/>
            </w:tcBorders>
            <w:vAlign w:val="center"/>
          </w:tcPr>
          <w:p w14:paraId="6856E29D">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w:t>
            </w:r>
          </w:p>
        </w:tc>
      </w:tr>
      <w:tr w14:paraId="5A879E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continue"/>
            <w:tcBorders>
              <w:top w:val="single" w:color="000000" w:sz="2" w:space="0"/>
              <w:left w:val="nil"/>
              <w:bottom w:val="single" w:color="000000" w:sz="2" w:space="0"/>
            </w:tcBorders>
            <w:vAlign w:val="center"/>
          </w:tcPr>
          <w:p w14:paraId="111202DF">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p>
        </w:tc>
        <w:tc>
          <w:tcPr>
            <w:tcW w:w="1731" w:type="pct"/>
            <w:tcBorders>
              <w:top w:val="single" w:color="000000" w:sz="2" w:space="0"/>
              <w:bottom w:val="single" w:color="000000" w:sz="2" w:space="0"/>
            </w:tcBorders>
            <w:vAlign w:val="center"/>
          </w:tcPr>
          <w:p w14:paraId="7B04E453">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连续输砂橇</w:t>
            </w:r>
          </w:p>
        </w:tc>
        <w:tc>
          <w:tcPr>
            <w:tcW w:w="1250" w:type="pct"/>
            <w:tcBorders>
              <w:top w:val="single" w:color="000000" w:sz="2" w:space="0"/>
              <w:bottom w:val="single" w:color="000000" w:sz="2" w:space="0"/>
            </w:tcBorders>
            <w:vAlign w:val="center"/>
          </w:tcPr>
          <w:p w14:paraId="05B830A7">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w:t>
            </w:r>
          </w:p>
        </w:tc>
        <w:tc>
          <w:tcPr>
            <w:tcW w:w="1250" w:type="pct"/>
            <w:tcBorders>
              <w:top w:val="single" w:color="000000" w:sz="2" w:space="0"/>
              <w:bottom w:val="single" w:color="000000" w:sz="2" w:space="0"/>
              <w:right w:val="nil"/>
            </w:tcBorders>
            <w:vAlign w:val="center"/>
          </w:tcPr>
          <w:p w14:paraId="062F2ABF">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r>
      <w:tr w14:paraId="528B37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continue"/>
            <w:tcBorders>
              <w:top w:val="single" w:color="000000" w:sz="2" w:space="0"/>
              <w:left w:val="nil"/>
              <w:bottom w:val="single" w:color="000000" w:sz="2" w:space="0"/>
            </w:tcBorders>
            <w:vAlign w:val="center"/>
          </w:tcPr>
          <w:p w14:paraId="1FC8440D">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p>
        </w:tc>
        <w:tc>
          <w:tcPr>
            <w:tcW w:w="1731" w:type="pct"/>
            <w:tcBorders>
              <w:top w:val="single" w:color="000000" w:sz="2" w:space="0"/>
              <w:bottom w:val="single" w:color="000000" w:sz="2" w:space="0"/>
            </w:tcBorders>
            <w:vAlign w:val="center"/>
          </w:tcPr>
          <w:p w14:paraId="60E777F1">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柔性储水罐</w:t>
            </w:r>
          </w:p>
        </w:tc>
        <w:tc>
          <w:tcPr>
            <w:tcW w:w="1250" w:type="pct"/>
            <w:tcBorders>
              <w:top w:val="single" w:color="000000" w:sz="2" w:space="0"/>
              <w:bottom w:val="single" w:color="000000" w:sz="2" w:space="0"/>
            </w:tcBorders>
            <w:vAlign w:val="center"/>
          </w:tcPr>
          <w:p w14:paraId="2AF154DC">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200m</w:t>
            </w:r>
            <w:r>
              <w:rPr>
                <w:rFonts w:hint="eastAsia" w:ascii="宋体" w:hAnsi="宋体" w:cs="宋体"/>
                <w:color w:val="000000" w:themeColor="text1"/>
                <w:szCs w:val="21"/>
                <w:vertAlign w:val="superscript"/>
                <w14:textFill>
                  <w14:solidFill>
                    <w14:schemeClr w14:val="tx1"/>
                  </w14:solidFill>
                </w14:textFill>
              </w:rPr>
              <w:t>3</w:t>
            </w:r>
          </w:p>
        </w:tc>
        <w:tc>
          <w:tcPr>
            <w:tcW w:w="1250" w:type="pct"/>
            <w:tcBorders>
              <w:top w:val="single" w:color="000000" w:sz="2" w:space="0"/>
              <w:bottom w:val="single" w:color="000000" w:sz="2" w:space="0"/>
              <w:right w:val="nil"/>
            </w:tcBorders>
            <w:vAlign w:val="center"/>
          </w:tcPr>
          <w:p w14:paraId="07513C84">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8</w:t>
            </w:r>
          </w:p>
        </w:tc>
      </w:tr>
      <w:tr w14:paraId="6470FB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continue"/>
            <w:tcBorders>
              <w:top w:val="single" w:color="000000" w:sz="2" w:space="0"/>
              <w:left w:val="nil"/>
              <w:bottom w:val="single" w:color="000000" w:sz="2" w:space="0"/>
            </w:tcBorders>
            <w:vAlign w:val="center"/>
          </w:tcPr>
          <w:p w14:paraId="41CD74D3">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p>
        </w:tc>
        <w:tc>
          <w:tcPr>
            <w:tcW w:w="1731" w:type="pct"/>
            <w:tcBorders>
              <w:top w:val="single" w:color="000000" w:sz="2" w:space="0"/>
              <w:bottom w:val="single" w:color="000000" w:sz="2" w:space="0"/>
            </w:tcBorders>
            <w:vAlign w:val="center"/>
          </w:tcPr>
          <w:p w14:paraId="0207AC15">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地面储水池</w:t>
            </w:r>
          </w:p>
        </w:tc>
        <w:tc>
          <w:tcPr>
            <w:tcW w:w="1250" w:type="pct"/>
            <w:tcBorders>
              <w:top w:val="single" w:color="000000" w:sz="2" w:space="0"/>
              <w:bottom w:val="single" w:color="000000" w:sz="2" w:space="0"/>
            </w:tcBorders>
            <w:vAlign w:val="center"/>
          </w:tcPr>
          <w:p w14:paraId="7B61448B">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800m</w:t>
            </w:r>
            <w:r>
              <w:rPr>
                <w:rFonts w:hint="eastAsia" w:ascii="宋体" w:hAnsi="宋体" w:cs="宋体"/>
                <w:color w:val="000000" w:themeColor="text1"/>
                <w:szCs w:val="21"/>
                <w:vertAlign w:val="superscript"/>
                <w14:textFill>
                  <w14:solidFill>
                    <w14:schemeClr w14:val="tx1"/>
                  </w14:solidFill>
                </w14:textFill>
              </w:rPr>
              <w:t>3</w:t>
            </w:r>
          </w:p>
        </w:tc>
        <w:tc>
          <w:tcPr>
            <w:tcW w:w="1250" w:type="pct"/>
            <w:tcBorders>
              <w:top w:val="single" w:color="000000" w:sz="2" w:space="0"/>
              <w:bottom w:val="single" w:color="000000" w:sz="2" w:space="0"/>
              <w:right w:val="nil"/>
            </w:tcBorders>
            <w:vAlign w:val="center"/>
          </w:tcPr>
          <w:p w14:paraId="5D8F7B10">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r>
      <w:tr w14:paraId="68C971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restart"/>
            <w:tcBorders>
              <w:top w:val="single" w:color="000000" w:sz="2" w:space="0"/>
              <w:left w:val="nil"/>
              <w:bottom w:val="single" w:color="000000" w:sz="2" w:space="0"/>
            </w:tcBorders>
            <w:vAlign w:val="center"/>
          </w:tcPr>
          <w:p w14:paraId="5D63389D">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射孔</w:t>
            </w:r>
          </w:p>
        </w:tc>
        <w:tc>
          <w:tcPr>
            <w:tcW w:w="1731" w:type="pct"/>
            <w:tcBorders>
              <w:top w:val="single" w:color="000000" w:sz="2" w:space="0"/>
              <w:bottom w:val="single" w:color="000000" w:sz="2" w:space="0"/>
            </w:tcBorders>
            <w:vAlign w:val="center"/>
          </w:tcPr>
          <w:p w14:paraId="427FB6A0">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射孔车</w:t>
            </w:r>
          </w:p>
        </w:tc>
        <w:tc>
          <w:tcPr>
            <w:tcW w:w="1250" w:type="pct"/>
            <w:tcBorders>
              <w:top w:val="single" w:color="000000" w:sz="2" w:space="0"/>
              <w:bottom w:val="single" w:color="000000" w:sz="2" w:space="0"/>
            </w:tcBorders>
            <w:vAlign w:val="center"/>
          </w:tcPr>
          <w:p w14:paraId="388DFEED">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w:t>
            </w:r>
          </w:p>
        </w:tc>
        <w:tc>
          <w:tcPr>
            <w:tcW w:w="1250" w:type="pct"/>
            <w:tcBorders>
              <w:top w:val="single" w:color="000000" w:sz="2" w:space="0"/>
              <w:bottom w:val="single" w:color="000000" w:sz="2" w:space="0"/>
              <w:right w:val="nil"/>
            </w:tcBorders>
            <w:vAlign w:val="center"/>
          </w:tcPr>
          <w:p w14:paraId="3A79AC08">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r>
      <w:tr w14:paraId="0F581B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continue"/>
            <w:tcBorders>
              <w:top w:val="single" w:color="000000" w:sz="2" w:space="0"/>
              <w:left w:val="nil"/>
              <w:bottom w:val="single" w:color="000000" w:sz="2" w:space="0"/>
            </w:tcBorders>
            <w:vAlign w:val="center"/>
          </w:tcPr>
          <w:p w14:paraId="13232082">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p>
        </w:tc>
        <w:tc>
          <w:tcPr>
            <w:tcW w:w="1731" w:type="pct"/>
            <w:tcBorders>
              <w:top w:val="single" w:color="000000" w:sz="2" w:space="0"/>
              <w:bottom w:val="single" w:color="000000" w:sz="2" w:space="0"/>
            </w:tcBorders>
            <w:vAlign w:val="center"/>
          </w:tcPr>
          <w:p w14:paraId="45A2C530">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射孔工具车</w:t>
            </w:r>
          </w:p>
        </w:tc>
        <w:tc>
          <w:tcPr>
            <w:tcW w:w="1250" w:type="pct"/>
            <w:tcBorders>
              <w:top w:val="single" w:color="000000" w:sz="2" w:space="0"/>
              <w:bottom w:val="single" w:color="000000" w:sz="2" w:space="0"/>
            </w:tcBorders>
            <w:vAlign w:val="center"/>
          </w:tcPr>
          <w:p w14:paraId="1073917D">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w:t>
            </w:r>
          </w:p>
        </w:tc>
        <w:tc>
          <w:tcPr>
            <w:tcW w:w="1250" w:type="pct"/>
            <w:tcBorders>
              <w:top w:val="single" w:color="000000" w:sz="2" w:space="0"/>
              <w:bottom w:val="single" w:color="000000" w:sz="2" w:space="0"/>
              <w:right w:val="nil"/>
            </w:tcBorders>
            <w:vAlign w:val="center"/>
          </w:tcPr>
          <w:p w14:paraId="3CA13417">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r>
      <w:tr w14:paraId="2A54A3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continue"/>
            <w:tcBorders>
              <w:top w:val="single" w:color="000000" w:sz="2" w:space="0"/>
              <w:left w:val="nil"/>
              <w:bottom w:val="single" w:color="000000" w:sz="2" w:space="0"/>
            </w:tcBorders>
            <w:vAlign w:val="center"/>
          </w:tcPr>
          <w:p w14:paraId="421EA3CA">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p>
        </w:tc>
        <w:tc>
          <w:tcPr>
            <w:tcW w:w="1731" w:type="pct"/>
            <w:tcBorders>
              <w:top w:val="single" w:color="000000" w:sz="2" w:space="0"/>
              <w:bottom w:val="single" w:color="000000" w:sz="2" w:space="0"/>
            </w:tcBorders>
            <w:vAlign w:val="center"/>
          </w:tcPr>
          <w:p w14:paraId="2C7E5087">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BOP井口防喷器</w:t>
            </w:r>
          </w:p>
        </w:tc>
        <w:tc>
          <w:tcPr>
            <w:tcW w:w="1250" w:type="pct"/>
            <w:tcBorders>
              <w:top w:val="single" w:color="000000" w:sz="2" w:space="0"/>
              <w:bottom w:val="single" w:color="000000" w:sz="2" w:space="0"/>
            </w:tcBorders>
            <w:vAlign w:val="center"/>
          </w:tcPr>
          <w:p w14:paraId="04E42436">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105Mpa</w:t>
            </w:r>
          </w:p>
        </w:tc>
        <w:tc>
          <w:tcPr>
            <w:tcW w:w="1250" w:type="pct"/>
            <w:tcBorders>
              <w:top w:val="single" w:color="000000" w:sz="2" w:space="0"/>
              <w:bottom w:val="single" w:color="000000" w:sz="2" w:space="0"/>
              <w:right w:val="nil"/>
            </w:tcBorders>
            <w:vAlign w:val="center"/>
          </w:tcPr>
          <w:p w14:paraId="3F4DE4F0">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r>
      <w:tr w14:paraId="277EBD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68" w:type="pct"/>
            <w:vMerge w:val="continue"/>
            <w:tcBorders>
              <w:top w:val="single" w:color="000000" w:sz="2" w:space="0"/>
              <w:left w:val="nil"/>
              <w:bottom w:val="single" w:color="000000" w:sz="12" w:space="0"/>
            </w:tcBorders>
            <w:vAlign w:val="center"/>
          </w:tcPr>
          <w:p w14:paraId="0C09B231">
            <w:pPr>
              <w:adjustRightInd w:val="0"/>
              <w:snapToGrid w:val="0"/>
              <w:spacing w:line="300" w:lineRule="exact"/>
              <w:ind w:firstLine="480"/>
              <w:jc w:val="center"/>
              <w:rPr>
                <w:rFonts w:hint="eastAsia" w:ascii="宋体" w:hAnsi="宋体" w:cs="宋体"/>
                <w:color w:val="000000" w:themeColor="text1"/>
                <w:szCs w:val="21"/>
                <w:highlight w:val="yellow"/>
                <w14:textFill>
                  <w14:solidFill>
                    <w14:schemeClr w14:val="tx1"/>
                  </w14:solidFill>
                </w14:textFill>
              </w:rPr>
            </w:pPr>
          </w:p>
        </w:tc>
        <w:tc>
          <w:tcPr>
            <w:tcW w:w="1731" w:type="pct"/>
            <w:tcBorders>
              <w:top w:val="single" w:color="000000" w:sz="2" w:space="0"/>
              <w:bottom w:val="single" w:color="000000" w:sz="12" w:space="0"/>
            </w:tcBorders>
            <w:vAlign w:val="center"/>
          </w:tcPr>
          <w:p w14:paraId="6B05C6E2">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防喷管</w:t>
            </w:r>
          </w:p>
        </w:tc>
        <w:tc>
          <w:tcPr>
            <w:tcW w:w="1250" w:type="pct"/>
            <w:tcBorders>
              <w:top w:val="single" w:color="000000" w:sz="2" w:space="0"/>
              <w:bottom w:val="single" w:color="000000" w:sz="12" w:space="0"/>
            </w:tcBorders>
            <w:vAlign w:val="center"/>
          </w:tcPr>
          <w:p w14:paraId="57ABB812">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105Mpa</w:t>
            </w:r>
          </w:p>
        </w:tc>
        <w:tc>
          <w:tcPr>
            <w:tcW w:w="1250" w:type="pct"/>
            <w:tcBorders>
              <w:top w:val="single" w:color="000000" w:sz="2" w:space="0"/>
              <w:bottom w:val="single" w:color="000000" w:sz="12" w:space="0"/>
              <w:right w:val="nil"/>
            </w:tcBorders>
            <w:vAlign w:val="center"/>
          </w:tcPr>
          <w:p w14:paraId="71C180FF">
            <w:pPr>
              <w:adjustRightInd w:val="0"/>
              <w:snapToGrid w:val="0"/>
              <w:spacing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r>
    </w:tbl>
    <w:p w14:paraId="4438FC44">
      <w:pPr>
        <w:pStyle w:val="120"/>
        <w:rPr>
          <w:rFonts w:hint="eastAsia"/>
          <w:color w:val="000000" w:themeColor="text1"/>
          <w14:textFill>
            <w14:solidFill>
              <w14:schemeClr w14:val="tx1"/>
            </w14:solidFill>
          </w14:textFill>
        </w:rPr>
      </w:pPr>
      <w:bookmarkStart w:id="255" w:name="_Hlk168918639"/>
      <w:r>
        <w:rPr>
          <w:rFonts w:hint="eastAsia"/>
          <w:color w:val="000000" w:themeColor="text1"/>
          <w14:textFill>
            <w14:solidFill>
              <w14:schemeClr w14:val="tx1"/>
            </w14:solidFill>
          </w14:textFill>
        </w:rPr>
        <w:t>④井场</w:t>
      </w:r>
    </w:p>
    <w:p w14:paraId="5932A6F3">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新部署8口产能井，</w:t>
      </w:r>
      <w:r>
        <w:rPr>
          <w:rFonts w:hint="eastAsia"/>
          <w:snapToGrid w:val="0"/>
          <w:color w:val="000000" w:themeColor="text1"/>
          <w14:textFill>
            <w14:solidFill>
              <w14:schemeClr w14:val="tx1"/>
            </w14:solidFill>
          </w14:textFill>
        </w:rPr>
        <w:t>其中6口采油井，2口注水井，</w:t>
      </w:r>
      <w:r>
        <w:rPr>
          <w:rFonts w:hint="eastAsia"/>
          <w:color w:val="000000" w:themeColor="text1"/>
          <w:lang w:bidi="ar"/>
          <w14:textFill>
            <w14:solidFill>
              <w14:schemeClr w14:val="tx1"/>
            </w14:solidFill>
          </w14:textFill>
        </w:rPr>
        <w:t>8口井中，JD6110和JD6089、JD6167和JD6186、JD8399A和J9100A分别位于2井式平台井场内，其余2口井为单井井场，本次新建3座</w:t>
      </w:r>
      <w:r>
        <w:rPr>
          <w:color w:val="000000" w:themeColor="text1"/>
          <w:lang w:bidi="ar"/>
          <w14:textFill>
            <w14:solidFill>
              <w14:schemeClr w14:val="tx1"/>
            </w14:solidFill>
          </w14:textFill>
        </w:rPr>
        <w:t>2井式平台井场</w:t>
      </w:r>
      <w:r>
        <w:rPr>
          <w:rFonts w:hint="eastAsia"/>
          <w:color w:val="000000" w:themeColor="text1"/>
          <w:lang w:bidi="ar"/>
          <w14:textFill>
            <w14:solidFill>
              <w14:schemeClr w14:val="tx1"/>
            </w14:solidFill>
          </w14:textFill>
        </w:rPr>
        <w:t>、2座单井井场。</w:t>
      </w:r>
    </w:p>
    <w:p w14:paraId="073BA7D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bidi="ar"/>
          <w14:textFill>
            <w14:solidFill>
              <w14:schemeClr w14:val="tx1"/>
            </w14:solidFill>
          </w14:textFill>
        </w:rPr>
        <w:t>2井式平台井场</w:t>
      </w:r>
    </w:p>
    <w:p w14:paraId="16A2F512">
      <w:pPr>
        <w:pStyle w:val="120"/>
        <w:rPr>
          <w:rFonts w:hint="eastAsia" w:ascii="黑体" w:hAnsi="黑体" w:eastAsia="黑体"/>
          <w:color w:val="000000" w:themeColor="text1"/>
          <w14:textFill>
            <w14:solidFill>
              <w14:schemeClr w14:val="tx1"/>
            </w14:solidFill>
          </w14:textFill>
        </w:rPr>
      </w:pPr>
      <w:r>
        <w:rPr>
          <w:rFonts w:hint="eastAsia"/>
          <w:color w:val="000000" w:themeColor="text1"/>
          <w14:textFill>
            <w14:solidFill>
              <w14:schemeClr w14:val="tx1"/>
            </w14:solidFill>
          </w14:textFill>
        </w:rPr>
        <w:t>新建</w:t>
      </w:r>
      <w:r>
        <w:rPr>
          <w:rFonts w:hint="eastAsia"/>
          <w:color w:val="000000" w:themeColor="text1"/>
          <w:szCs w:val="21"/>
          <w14:textFill>
            <w14:solidFill>
              <w14:schemeClr w14:val="tx1"/>
            </w14:solidFill>
          </w14:textFill>
        </w:rPr>
        <w:t>2井式平台井场</w:t>
      </w:r>
      <w:r>
        <w:rPr>
          <w:rFonts w:hint="eastAsia"/>
          <w:color w:val="000000" w:themeColor="text1"/>
          <w:szCs w:val="21"/>
          <w:lang w:val="en-US"/>
          <w14:textFill>
            <w14:solidFill>
              <w14:schemeClr w14:val="tx1"/>
            </w14:solidFill>
          </w14:textFill>
        </w:rPr>
        <w:t>3</w:t>
      </w:r>
      <w:r>
        <w:rPr>
          <w:rFonts w:hint="eastAsia"/>
          <w:color w:val="000000" w:themeColor="text1"/>
          <w:szCs w:val="21"/>
          <w14:textFill>
            <w14:solidFill>
              <w14:schemeClr w14:val="tx1"/>
            </w14:solidFill>
          </w14:textFill>
        </w:rPr>
        <w:t>座，</w:t>
      </w:r>
      <w:r>
        <w:rPr>
          <w:rFonts w:hint="eastAsia"/>
          <w:color w:val="000000" w:themeColor="text1"/>
          <w:szCs w:val="21"/>
          <w:lang w:val="en-US"/>
          <w14:textFill>
            <w14:solidFill>
              <w14:schemeClr w14:val="tx1"/>
            </w14:solidFill>
          </w14:textFill>
        </w:rPr>
        <w:t>其中</w:t>
      </w:r>
      <w:r>
        <w:rPr>
          <w:rFonts w:hint="eastAsia"/>
          <w:snapToGrid w:val="0"/>
          <w:color w:val="000000" w:themeColor="text1"/>
          <w14:textFill>
            <w14:solidFill>
              <w14:schemeClr w14:val="tx1"/>
            </w14:solidFill>
          </w14:textFill>
        </w:rPr>
        <w:t>2井式采油平台</w:t>
      </w:r>
      <w:r>
        <w:rPr>
          <w:rFonts w:hint="eastAsia"/>
          <w:snapToGrid w:val="0"/>
          <w:color w:val="000000" w:themeColor="text1"/>
          <w:lang w:val="en-US"/>
          <w14:textFill>
            <w14:solidFill>
              <w14:schemeClr w14:val="tx1"/>
            </w14:solidFill>
          </w14:textFill>
        </w:rPr>
        <w:t>井场2</w:t>
      </w:r>
      <w:r>
        <w:rPr>
          <w:rFonts w:hint="eastAsia"/>
          <w:snapToGrid w:val="0"/>
          <w:color w:val="000000" w:themeColor="text1"/>
          <w14:textFill>
            <w14:solidFill>
              <w14:schemeClr w14:val="tx1"/>
            </w14:solidFill>
          </w14:textFill>
        </w:rPr>
        <w:t>座，</w:t>
      </w:r>
      <w:r>
        <w:rPr>
          <w:rFonts w:hint="eastAsia"/>
          <w:color w:val="000000" w:themeColor="text1"/>
          <w:szCs w:val="21"/>
          <w14:textFill>
            <w14:solidFill>
              <w14:schemeClr w14:val="tx1"/>
            </w14:solidFill>
          </w14:textFill>
        </w:rPr>
        <w:t>注</w:t>
      </w:r>
      <w:r>
        <w:rPr>
          <w:rFonts w:hint="eastAsia"/>
          <w:color w:val="000000" w:themeColor="text1"/>
          <w:szCs w:val="21"/>
          <w:lang w:val="en-US"/>
          <w14:textFill>
            <w14:solidFill>
              <w14:schemeClr w14:val="tx1"/>
            </w14:solidFill>
          </w14:textFill>
        </w:rPr>
        <w:t>水</w:t>
      </w:r>
      <w:r>
        <w:rPr>
          <w:rFonts w:hint="eastAsia"/>
          <w:color w:val="000000" w:themeColor="text1"/>
          <w:szCs w:val="21"/>
          <w14:textFill>
            <w14:solidFill>
              <w14:schemeClr w14:val="tx1"/>
            </w14:solidFill>
          </w14:textFill>
        </w:rPr>
        <w:t>井、采油井合建</w:t>
      </w:r>
      <w:r>
        <w:rPr>
          <w:rFonts w:hint="eastAsia"/>
          <w:snapToGrid w:val="0"/>
          <w:color w:val="000000" w:themeColor="text1"/>
          <w14:textFill>
            <w14:solidFill>
              <w14:schemeClr w14:val="tx1"/>
            </w14:solidFill>
          </w14:textFill>
        </w:rPr>
        <w:t>2井式平台</w:t>
      </w:r>
      <w:r>
        <w:rPr>
          <w:rFonts w:hint="eastAsia"/>
          <w:snapToGrid w:val="0"/>
          <w:color w:val="000000" w:themeColor="text1"/>
          <w:lang w:val="en-US"/>
          <w14:textFill>
            <w14:solidFill>
              <w14:schemeClr w14:val="tx1"/>
            </w14:solidFill>
          </w14:textFill>
        </w:rPr>
        <w:t>井场1座</w:t>
      </w:r>
      <w:r>
        <w:rPr>
          <w:rFonts w:hint="eastAsia"/>
          <w:color w:val="000000" w:themeColor="text1"/>
          <w14:textFill>
            <w14:solidFill>
              <w14:schemeClr w14:val="tx1"/>
            </w14:solidFill>
          </w14:textFill>
        </w:rPr>
        <w:t>。每座</w:t>
      </w:r>
      <w:r>
        <w:rPr>
          <w:rFonts w:hint="eastAsia"/>
          <w:color w:val="000000" w:themeColor="text1"/>
          <w:lang w:bidi="ar"/>
          <w14:textFill>
            <w14:solidFill>
              <w14:schemeClr w14:val="tx1"/>
            </w14:solidFill>
          </w14:textFill>
        </w:rPr>
        <w:t>2井式</w:t>
      </w:r>
      <w:r>
        <w:rPr>
          <w:rFonts w:hint="eastAsia"/>
          <w:color w:val="000000" w:themeColor="text1"/>
          <w14:textFill>
            <w14:solidFill>
              <w14:schemeClr w14:val="tx1"/>
            </w14:solidFill>
          </w14:textFill>
        </w:rPr>
        <w:t>平台</w:t>
      </w:r>
      <w:r>
        <w:rPr>
          <w:rFonts w:hint="eastAsia"/>
          <w:color w:val="000000" w:themeColor="text1"/>
          <w:lang w:val="en-US"/>
          <w14:textFill>
            <w14:solidFill>
              <w14:schemeClr w14:val="tx1"/>
            </w14:solidFill>
          </w14:textFill>
        </w:rPr>
        <w:t>井场</w:t>
      </w:r>
      <w:r>
        <w:rPr>
          <w:rFonts w:hint="eastAsia"/>
          <w:color w:val="000000" w:themeColor="text1"/>
          <w14:textFill>
            <w14:solidFill>
              <w14:schemeClr w14:val="tx1"/>
            </w14:solidFill>
          </w14:textFill>
        </w:rPr>
        <w:t>包含井号及井数见表3.2-15。</w:t>
      </w:r>
    </w:p>
    <w:p w14:paraId="04A060BA">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表3.2-15  每座平台井场包含井号及井数一览表</w:t>
      </w:r>
    </w:p>
    <w:tbl>
      <w:tblPr>
        <w:tblStyle w:val="440"/>
        <w:tblW w:w="907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01"/>
        <w:gridCol w:w="5729"/>
        <w:gridCol w:w="1649"/>
      </w:tblGrid>
      <w:tr w14:paraId="067459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1" w:type="dxa"/>
            <w:noWrap/>
            <w:vAlign w:val="center"/>
          </w:tcPr>
          <w:p w14:paraId="17AB60FE">
            <w:pPr>
              <w:pStyle w:val="280"/>
              <w:rPr>
                <w:rFonts w:hint="eastAsia"/>
                <w:color w:val="000000" w:themeColor="text1"/>
                <w:lang w:bidi="ar"/>
                <w14:textFill>
                  <w14:solidFill>
                    <w14:schemeClr w14:val="tx1"/>
                  </w14:solidFill>
                </w14:textFill>
              </w:rPr>
            </w:pPr>
            <w:bookmarkStart w:id="256" w:name="_Hlk168910245"/>
            <w:bookmarkStart w:id="257" w:name="_Hlk168998368"/>
            <w:r>
              <w:rPr>
                <w:rFonts w:hint="eastAsia"/>
                <w:color w:val="000000" w:themeColor="text1"/>
                <w:lang w:bidi="ar"/>
                <w14:textFill>
                  <w14:solidFill>
                    <w14:schemeClr w14:val="tx1"/>
                  </w14:solidFill>
                </w14:textFill>
              </w:rPr>
              <w:t>平台</w:t>
            </w:r>
            <w:bookmarkEnd w:id="256"/>
            <w:r>
              <w:rPr>
                <w:rFonts w:hint="eastAsia"/>
                <w:color w:val="000000" w:themeColor="text1"/>
                <w:lang w:bidi="ar"/>
                <w14:textFill>
                  <w14:solidFill>
                    <w14:schemeClr w14:val="tx1"/>
                  </w14:solidFill>
                </w14:textFill>
              </w:rPr>
              <w:t>号</w:t>
            </w:r>
          </w:p>
        </w:tc>
        <w:tc>
          <w:tcPr>
            <w:tcW w:w="5729" w:type="dxa"/>
            <w:vAlign w:val="center"/>
          </w:tcPr>
          <w:p w14:paraId="24B4A433">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井号</w:t>
            </w:r>
          </w:p>
        </w:tc>
        <w:tc>
          <w:tcPr>
            <w:tcW w:w="1649" w:type="dxa"/>
            <w:vAlign w:val="center"/>
          </w:tcPr>
          <w:p w14:paraId="410C0DA5">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井数</w:t>
            </w: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口</w:t>
            </w:r>
            <w:r>
              <w:rPr>
                <w:rFonts w:hint="eastAsia"/>
                <w:color w:val="000000" w:themeColor="text1"/>
                <w:lang w:bidi="ar"/>
                <w14:textFill>
                  <w14:solidFill>
                    <w14:schemeClr w14:val="tx1"/>
                  </w14:solidFill>
                </w14:textFill>
              </w:rPr>
              <w:t>）</w:t>
            </w:r>
          </w:p>
        </w:tc>
      </w:tr>
      <w:tr w14:paraId="7BBF86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1" w:type="dxa"/>
            <w:noWrap/>
            <w:vAlign w:val="center"/>
          </w:tcPr>
          <w:p w14:paraId="38AC4F91">
            <w:pPr>
              <w:pStyle w:val="280"/>
              <w:rPr>
                <w:rFonts w:hint="eastAsia"/>
                <w:color w:val="000000" w:themeColor="text1"/>
                <w:lang w:bidi="ar"/>
                <w14:textFill>
                  <w14:solidFill>
                    <w14:schemeClr w14:val="tx1"/>
                  </w14:solidFill>
                </w14:textFill>
              </w:rPr>
            </w:pPr>
            <w:bookmarkStart w:id="258" w:name="_Hlk169031496"/>
            <w:r>
              <w:rPr>
                <w:rFonts w:hint="eastAsia"/>
                <w:color w:val="000000" w:themeColor="text1"/>
                <w:lang w:bidi="ar"/>
                <w14:textFill>
                  <w14:solidFill>
                    <w14:schemeClr w14:val="tx1"/>
                  </w14:solidFill>
                </w14:textFill>
              </w:rPr>
              <w:t>平台</w:t>
            </w:r>
            <w:bookmarkEnd w:id="258"/>
            <w:r>
              <w:rPr>
                <w:rFonts w:hint="eastAsia"/>
                <w:color w:val="000000" w:themeColor="text1"/>
                <w:lang w:bidi="ar"/>
                <w14:textFill>
                  <w14:solidFill>
                    <w14:schemeClr w14:val="tx1"/>
                  </w14:solidFill>
                </w14:textFill>
              </w:rPr>
              <w:t>-1</w:t>
            </w:r>
          </w:p>
        </w:tc>
        <w:tc>
          <w:tcPr>
            <w:tcW w:w="5729" w:type="dxa"/>
            <w:vAlign w:val="center"/>
          </w:tcPr>
          <w:p w14:paraId="45754AA9">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JD6110（采油井）、JD6089（采油井）</w:t>
            </w:r>
          </w:p>
        </w:tc>
        <w:tc>
          <w:tcPr>
            <w:tcW w:w="1649" w:type="dxa"/>
            <w:vAlign w:val="center"/>
          </w:tcPr>
          <w:p w14:paraId="3FBE1F3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r>
      <w:tr w14:paraId="23ED7E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1" w:type="dxa"/>
            <w:noWrap/>
            <w:vAlign w:val="center"/>
          </w:tcPr>
          <w:p w14:paraId="7DA7E9B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平台-2</w:t>
            </w:r>
          </w:p>
        </w:tc>
        <w:tc>
          <w:tcPr>
            <w:tcW w:w="5729" w:type="dxa"/>
            <w:vAlign w:val="center"/>
          </w:tcPr>
          <w:p w14:paraId="2DBD231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JD6167（（采油井））、JD6186（（采油井））</w:t>
            </w:r>
          </w:p>
        </w:tc>
        <w:tc>
          <w:tcPr>
            <w:tcW w:w="1649" w:type="dxa"/>
            <w:vAlign w:val="center"/>
          </w:tcPr>
          <w:p w14:paraId="4BF8D41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r>
      <w:tr w14:paraId="2BFC49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1" w:type="dxa"/>
            <w:noWrap/>
            <w:vAlign w:val="center"/>
          </w:tcPr>
          <w:p w14:paraId="6912304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平台-3</w:t>
            </w:r>
          </w:p>
        </w:tc>
        <w:tc>
          <w:tcPr>
            <w:tcW w:w="5729" w:type="dxa"/>
            <w:vAlign w:val="center"/>
          </w:tcPr>
          <w:p w14:paraId="79D3D0E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J9100A（（采油井））、JD8399A（（注水井））</w:t>
            </w:r>
          </w:p>
        </w:tc>
        <w:tc>
          <w:tcPr>
            <w:tcW w:w="1649" w:type="dxa"/>
            <w:vAlign w:val="center"/>
          </w:tcPr>
          <w:p w14:paraId="4E01894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r>
      <w:bookmarkEnd w:id="255"/>
      <w:bookmarkEnd w:id="257"/>
    </w:tbl>
    <w:p w14:paraId="089D86A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2）单井采油井场</w:t>
      </w:r>
    </w:p>
    <w:p w14:paraId="1E428603">
      <w:pPr>
        <w:pStyle w:val="120"/>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新建1座单井采油井场（J6093A）。</w:t>
      </w:r>
    </w:p>
    <w:p w14:paraId="791BEB6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3）注水井场</w:t>
      </w:r>
    </w:p>
    <w:p w14:paraId="3F2348E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新建</w:t>
      </w:r>
      <w:r>
        <w:rPr>
          <w:rFonts w:hint="eastAsia"/>
          <w:color w:val="000000" w:themeColor="text1"/>
          <w:lang w:val="en-US"/>
          <w14:textFill>
            <w14:solidFill>
              <w14:schemeClr w14:val="tx1"/>
            </w14:solidFill>
          </w14:textFill>
        </w:rPr>
        <w:t>1</w:t>
      </w:r>
      <w:r>
        <w:rPr>
          <w:rFonts w:hint="eastAsia"/>
          <w:color w:val="000000" w:themeColor="text1"/>
          <w14:textFill>
            <w14:solidFill>
              <w14:schemeClr w14:val="tx1"/>
            </w14:solidFill>
          </w14:textFill>
        </w:rPr>
        <w:t>座25MPa注水井场（JD8664A</w:t>
      </w:r>
      <w:r>
        <w:rPr>
          <w:rFonts w:hint="eastAsia"/>
          <w:color w:val="000000" w:themeColor="text1"/>
          <w:lang w:val="en-US"/>
          <w14:textFill>
            <w14:solidFill>
              <w14:schemeClr w14:val="tx1"/>
            </w14:solidFill>
          </w14:textFill>
        </w:rPr>
        <w:t>井</w:t>
      </w:r>
      <w:r>
        <w:rPr>
          <w:rFonts w:hint="eastAsia"/>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w:t>
      </w:r>
    </w:p>
    <w:p w14:paraId="47B0A873">
      <w:pPr>
        <w:widowControl/>
        <w:adjustRightInd w:val="0"/>
        <w:snapToGrid w:val="0"/>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drawing>
          <wp:inline distT="0" distB="0" distL="114300" distR="114300">
            <wp:extent cx="5541645" cy="5346700"/>
            <wp:effectExtent l="9525" t="9525" r="11430" b="15875"/>
            <wp:docPr id="108" name="图片 108" descr="井位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井位分布图"/>
                    <pic:cNvPicPr>
                      <a:picLocks noChangeAspect="1"/>
                    </pic:cNvPicPr>
                  </pic:nvPicPr>
                  <pic:blipFill>
                    <a:blip r:embed="rId37"/>
                    <a:stretch>
                      <a:fillRect/>
                    </a:stretch>
                  </pic:blipFill>
                  <pic:spPr>
                    <a:xfrm>
                      <a:off x="0" y="0"/>
                      <a:ext cx="5541645" cy="5346700"/>
                    </a:xfrm>
                    <a:prstGeom prst="rect">
                      <a:avLst/>
                    </a:prstGeom>
                    <a:ln>
                      <a:solidFill>
                        <a:schemeClr val="tx1"/>
                      </a:solidFill>
                    </a:ln>
                  </pic:spPr>
                </pic:pic>
              </a:graphicData>
            </a:graphic>
          </wp:inline>
        </w:drawing>
      </w:r>
    </w:p>
    <w:p w14:paraId="5F3B1825">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图3.2-</w:t>
      </w:r>
      <w:r>
        <w:rPr>
          <w:rFonts w:hint="eastAsia" w:ascii="黑体" w:hAnsi="黑体" w:eastAsia="黑体"/>
          <w:color w:val="000000" w:themeColor="text1"/>
          <w:lang w:val="en-US" w:eastAsia="zh-CN"/>
          <w14:textFill>
            <w14:solidFill>
              <w14:schemeClr w14:val="tx1"/>
            </w14:solidFill>
          </w14:textFill>
        </w:rPr>
        <w:t>4</w:t>
      </w:r>
      <w:r>
        <w:rPr>
          <w:rFonts w:hint="eastAsia" w:ascii="黑体" w:hAnsi="黑体" w:eastAsia="黑体"/>
          <w:color w:val="000000" w:themeColor="text1"/>
          <w14:textFill>
            <w14:solidFill>
              <w14:schemeClr w14:val="tx1"/>
            </w14:solidFill>
          </w14:textFill>
        </w:rPr>
        <w:t xml:space="preserve">  拟部署采油井和注水井分布示意图</w:t>
      </w:r>
    </w:p>
    <w:p w14:paraId="791A3182">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p>
    <w:p w14:paraId="7CEA41E8">
      <w:pPr>
        <w:widowControl/>
        <w:adjustRightInd w:val="0"/>
        <w:snapToGrid w:val="0"/>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drawing>
          <wp:inline distT="0" distB="0" distL="114300" distR="114300">
            <wp:extent cx="5539740" cy="5158105"/>
            <wp:effectExtent l="0" t="0" r="3810" b="4445"/>
            <wp:docPr id="120" name="图片 120" descr="单井井场平面布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单井井场平面布置示意图"/>
                    <pic:cNvPicPr>
                      <a:picLocks noChangeAspect="1"/>
                    </pic:cNvPicPr>
                  </pic:nvPicPr>
                  <pic:blipFill>
                    <a:blip r:embed="rId38"/>
                    <a:stretch>
                      <a:fillRect/>
                    </a:stretch>
                  </pic:blipFill>
                  <pic:spPr>
                    <a:xfrm>
                      <a:off x="0" y="0"/>
                      <a:ext cx="5539740" cy="5158105"/>
                    </a:xfrm>
                    <a:prstGeom prst="rect">
                      <a:avLst/>
                    </a:prstGeom>
                  </pic:spPr>
                </pic:pic>
              </a:graphicData>
            </a:graphic>
          </wp:inline>
        </w:drawing>
      </w:r>
    </w:p>
    <w:p w14:paraId="41EF60E2">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图3.2-</w:t>
      </w:r>
      <w:r>
        <w:rPr>
          <w:rFonts w:hint="eastAsia" w:ascii="黑体" w:hAnsi="黑体" w:eastAsia="黑体"/>
          <w:color w:val="000000" w:themeColor="text1"/>
          <w:lang w:val="en-US" w:eastAsia="zh-CN"/>
          <w14:textFill>
            <w14:solidFill>
              <w14:schemeClr w14:val="tx1"/>
            </w14:solidFill>
          </w14:textFill>
        </w:rPr>
        <w:t>5</w:t>
      </w:r>
      <w:r>
        <w:rPr>
          <w:rFonts w:hint="eastAsia" w:ascii="黑体" w:hAnsi="黑体" w:eastAsia="黑体"/>
          <w:color w:val="000000" w:themeColor="text1"/>
          <w14:textFill>
            <w14:solidFill>
              <w14:schemeClr w14:val="tx1"/>
            </w14:solidFill>
          </w14:textFill>
        </w:rPr>
        <w:t xml:space="preserve">  拟部署单井采油井场平面布置示意图</w:t>
      </w:r>
    </w:p>
    <w:p w14:paraId="1764A4D5">
      <w:pPr>
        <w:widowControl/>
        <w:adjustRightInd w:val="0"/>
        <w:snapToGrid w:val="0"/>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drawing>
          <wp:inline distT="0" distB="0" distL="114300" distR="114300">
            <wp:extent cx="5535295" cy="5063490"/>
            <wp:effectExtent l="0" t="0" r="8255" b="3810"/>
            <wp:docPr id="119" name="图片 119" descr="注水井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注水井场"/>
                    <pic:cNvPicPr>
                      <a:picLocks noChangeAspect="1"/>
                    </pic:cNvPicPr>
                  </pic:nvPicPr>
                  <pic:blipFill>
                    <a:blip r:embed="rId39"/>
                    <a:stretch>
                      <a:fillRect/>
                    </a:stretch>
                  </pic:blipFill>
                  <pic:spPr>
                    <a:xfrm>
                      <a:off x="0" y="0"/>
                      <a:ext cx="5535295" cy="5063490"/>
                    </a:xfrm>
                    <a:prstGeom prst="rect">
                      <a:avLst/>
                    </a:prstGeom>
                  </pic:spPr>
                </pic:pic>
              </a:graphicData>
            </a:graphic>
          </wp:inline>
        </w:drawing>
      </w:r>
    </w:p>
    <w:p w14:paraId="0B1433FB">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图3.2-</w:t>
      </w:r>
      <w:r>
        <w:rPr>
          <w:rFonts w:hint="eastAsia" w:ascii="黑体" w:hAnsi="黑体" w:eastAsia="黑体"/>
          <w:color w:val="000000" w:themeColor="text1"/>
          <w:lang w:val="en-US" w:eastAsia="zh-CN"/>
          <w14:textFill>
            <w14:solidFill>
              <w14:schemeClr w14:val="tx1"/>
            </w14:solidFill>
          </w14:textFill>
        </w:rPr>
        <w:t>6</w:t>
      </w:r>
      <w:r>
        <w:rPr>
          <w:rFonts w:hint="eastAsia" w:ascii="黑体" w:hAnsi="黑体" w:eastAsia="黑体"/>
          <w:color w:val="000000" w:themeColor="text1"/>
          <w14:textFill>
            <w14:solidFill>
              <w14:schemeClr w14:val="tx1"/>
            </w14:solidFill>
          </w14:textFill>
        </w:rPr>
        <w:t xml:space="preserve">  拟部署单井注水井井场平面布置示意图</w:t>
      </w:r>
    </w:p>
    <w:p w14:paraId="211AEB4B">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p>
    <w:p w14:paraId="20C15E2F">
      <w:pPr>
        <w:widowControl/>
        <w:adjustRightInd w:val="0"/>
        <w:snapToGrid w:val="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drawing>
          <wp:inline distT="0" distB="0" distL="114300" distR="114300">
            <wp:extent cx="5231765" cy="6489065"/>
            <wp:effectExtent l="0" t="0" r="6985" b="6985"/>
            <wp:docPr id="117" name="图片 117" descr="2井式单井计量（加药）采油平台平面布置及管网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2井式单井计量（加药）采油平台平面布置及管网图"/>
                    <pic:cNvPicPr>
                      <a:picLocks noChangeAspect="1"/>
                    </pic:cNvPicPr>
                  </pic:nvPicPr>
                  <pic:blipFill>
                    <a:blip r:embed="rId40"/>
                    <a:stretch>
                      <a:fillRect/>
                    </a:stretch>
                  </pic:blipFill>
                  <pic:spPr>
                    <a:xfrm>
                      <a:off x="0" y="0"/>
                      <a:ext cx="5238238" cy="6497482"/>
                    </a:xfrm>
                    <a:prstGeom prst="rect">
                      <a:avLst/>
                    </a:prstGeom>
                  </pic:spPr>
                </pic:pic>
              </a:graphicData>
            </a:graphic>
          </wp:inline>
        </w:drawing>
      </w:r>
    </w:p>
    <w:p w14:paraId="354704EC">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图3.2-</w:t>
      </w:r>
      <w:r>
        <w:rPr>
          <w:rFonts w:hint="eastAsia" w:ascii="黑体" w:hAnsi="黑体" w:eastAsia="黑体"/>
          <w:color w:val="000000" w:themeColor="text1"/>
          <w:lang w:val="en-US" w:eastAsia="zh-CN"/>
          <w14:textFill>
            <w14:solidFill>
              <w14:schemeClr w14:val="tx1"/>
            </w14:solidFill>
          </w14:textFill>
        </w:rPr>
        <w:t>7</w:t>
      </w:r>
      <w:r>
        <w:rPr>
          <w:rFonts w:hint="eastAsia" w:ascii="黑体" w:hAnsi="黑体" w:eastAsia="黑体"/>
          <w:color w:val="000000" w:themeColor="text1"/>
          <w14:textFill>
            <w14:solidFill>
              <w14:schemeClr w14:val="tx1"/>
            </w14:solidFill>
          </w14:textFill>
        </w:rPr>
        <w:t xml:space="preserve">  拟部署2井式采油平台井场平面布置示意图</w:t>
      </w:r>
    </w:p>
    <w:p w14:paraId="00948F08">
      <w:pPr>
        <w:widowControl/>
        <w:adjustRightInd w:val="0"/>
        <w:snapToGrid w:val="0"/>
        <w:rPr>
          <w:rFonts w:hint="eastAsia" w:ascii="黑体" w:hAnsi="黑体" w:eastAsia="黑体"/>
          <w:color w:val="000000" w:themeColor="text1"/>
          <w14:textFill>
            <w14:solidFill>
              <w14:schemeClr w14:val="tx1"/>
            </w14:solidFill>
          </w14:textFill>
        </w:rPr>
      </w:pPr>
    </w:p>
    <w:p w14:paraId="5E3FC959">
      <w:pPr>
        <w:widowControl/>
        <w:adjustRightInd w:val="0"/>
        <w:snapToGrid w:val="0"/>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drawing>
          <wp:inline distT="0" distB="0" distL="114300" distR="114300">
            <wp:extent cx="5536565" cy="6867525"/>
            <wp:effectExtent l="0" t="0" r="6985" b="9525"/>
            <wp:docPr id="118" name="图片 118" descr="2井式单井计量（注水井）采油平台平面布置及管网图(分区防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井式单井计量（注水井）采油平台平面布置及管网图(分区防渗图)"/>
                    <pic:cNvPicPr>
                      <a:picLocks noChangeAspect="1"/>
                    </pic:cNvPicPr>
                  </pic:nvPicPr>
                  <pic:blipFill>
                    <a:blip r:embed="rId41"/>
                    <a:stretch>
                      <a:fillRect/>
                    </a:stretch>
                  </pic:blipFill>
                  <pic:spPr>
                    <a:xfrm>
                      <a:off x="0" y="0"/>
                      <a:ext cx="5536565" cy="6867525"/>
                    </a:xfrm>
                    <a:prstGeom prst="rect">
                      <a:avLst/>
                    </a:prstGeom>
                  </pic:spPr>
                </pic:pic>
              </a:graphicData>
            </a:graphic>
          </wp:inline>
        </w:drawing>
      </w:r>
    </w:p>
    <w:p w14:paraId="501C31F3">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图3.2-</w:t>
      </w:r>
      <w:r>
        <w:rPr>
          <w:rFonts w:hint="eastAsia" w:ascii="黑体" w:hAnsi="黑体" w:eastAsia="黑体"/>
          <w:color w:val="000000" w:themeColor="text1"/>
          <w:lang w:val="en-US" w:eastAsia="zh-CN"/>
          <w14:textFill>
            <w14:solidFill>
              <w14:schemeClr w14:val="tx1"/>
            </w14:solidFill>
          </w14:textFill>
        </w:rPr>
        <w:t>8</w:t>
      </w:r>
      <w:r>
        <w:rPr>
          <w:rFonts w:hint="eastAsia" w:ascii="黑体" w:hAnsi="黑体" w:eastAsia="黑体"/>
          <w:color w:val="000000" w:themeColor="text1"/>
          <w14:textFill>
            <w14:solidFill>
              <w14:schemeClr w14:val="tx1"/>
            </w14:solidFill>
          </w14:textFill>
        </w:rPr>
        <w:t xml:space="preserve">  拟部署2井式平台井场（采油井和注水井）平面布置示意图</w:t>
      </w:r>
    </w:p>
    <w:p w14:paraId="64B51BAE">
      <w:pPr>
        <w:pStyle w:val="120"/>
        <w:rPr>
          <w:rFonts w:hint="eastAsia"/>
          <w:color w:val="000000" w:themeColor="text1"/>
          <w14:textFill>
            <w14:solidFill>
              <w14:schemeClr w14:val="tx1"/>
            </w14:solidFill>
          </w14:textFill>
        </w:rPr>
      </w:pPr>
      <w:bookmarkStart w:id="259" w:name="_Hlk175137009"/>
      <w:r>
        <w:rPr>
          <w:rFonts w:hint="eastAsia"/>
          <w:color w:val="000000" w:themeColor="text1"/>
          <w:lang w:val="en-US"/>
          <w14:textFill>
            <w14:solidFill>
              <w14:schemeClr w14:val="tx1"/>
            </w14:solidFill>
          </w14:textFill>
        </w:rPr>
        <w:t>4）</w:t>
      </w:r>
      <w:r>
        <w:rPr>
          <w:rFonts w:hint="eastAsia"/>
          <w:color w:val="000000" w:themeColor="text1"/>
          <w14:textFill>
            <w14:solidFill>
              <w14:schemeClr w14:val="tx1"/>
            </w14:solidFill>
          </w14:textFill>
        </w:rPr>
        <w:t>井口装置</w:t>
      </w:r>
    </w:p>
    <w:p w14:paraId="12F3CB5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新建采油井6口，采用投捞式电潜螺杆泵生产，电机功率22kW，井口采用保温衣保温，缠绕200W电加热带</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主要用于井口防冻保温</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，同时设置热洗清蜡接口及安全标识牌。</w:t>
      </w:r>
    </w:p>
    <w:p w14:paraId="2DCC7603">
      <w:pPr>
        <w:pStyle w:val="12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新建2口注水井配套</w:t>
      </w:r>
      <w:r>
        <w:rPr>
          <w:rFonts w:hint="eastAsia"/>
          <w:snapToGrid w:val="0"/>
          <w:color w:val="000000" w:themeColor="text1"/>
          <w14:textFill>
            <w14:solidFill>
              <w14:schemeClr w14:val="tx1"/>
            </w14:solidFill>
          </w14:textFill>
        </w:rPr>
        <w:t>DN50 25MPa 注水井口，</w:t>
      </w:r>
      <w:r>
        <w:rPr>
          <w:rFonts w:hint="eastAsia"/>
          <w:color w:val="000000" w:themeColor="text1"/>
          <w14:textFill>
            <w14:solidFill>
              <w14:schemeClr w14:val="tx1"/>
            </w14:solidFill>
          </w14:textFill>
        </w:rPr>
        <w:t>设井口保温盒，压力表装于保温盒内</w:t>
      </w:r>
      <w:bookmarkEnd w:id="259"/>
      <w:r>
        <w:rPr>
          <w:rFonts w:hint="eastAsia"/>
          <w:color w:val="000000" w:themeColor="text1"/>
          <w14:textFill>
            <w14:solidFill>
              <w14:schemeClr w14:val="tx1"/>
            </w14:solidFill>
          </w14:textFill>
        </w:rPr>
        <w:t>。</w:t>
      </w:r>
    </w:p>
    <w:p w14:paraId="17D82DC7">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⑤</w:t>
      </w:r>
      <w:r>
        <w:rPr>
          <w:rFonts w:hint="eastAsia"/>
          <w:color w:val="000000" w:themeColor="text1"/>
          <w14:textFill>
            <w14:solidFill>
              <w14:schemeClr w14:val="tx1"/>
            </w14:solidFill>
          </w14:textFill>
        </w:rPr>
        <w:t>集输管线</w:t>
      </w:r>
    </w:p>
    <w:p w14:paraId="5B60F938">
      <w:pPr>
        <w:pStyle w:val="120"/>
        <w:rPr>
          <w:rFonts w:hint="eastAsia"/>
          <w:color w:val="000000" w:themeColor="text1"/>
          <w14:textFill>
            <w14:solidFill>
              <w14:schemeClr w14:val="tx1"/>
            </w14:solidFill>
          </w14:textFill>
        </w:rPr>
      </w:pPr>
      <w:bookmarkStart w:id="260" w:name="_Hlk168994381"/>
      <w:r>
        <w:rPr>
          <w:rFonts w:hint="eastAsia"/>
          <w:color w:val="000000" w:themeColor="text1"/>
          <w14:textFill>
            <w14:solidFill>
              <w14:schemeClr w14:val="tx1"/>
            </w14:solidFill>
          </w14:textFill>
        </w:rPr>
        <w:t>新建单井</w:t>
      </w:r>
      <w:r>
        <w:rPr>
          <w:rFonts w:hint="eastAsia"/>
          <w:color w:val="000000" w:themeColor="text1"/>
          <w:lang w:val="en-US"/>
          <w14:textFill>
            <w14:solidFill>
              <w14:schemeClr w14:val="tx1"/>
            </w14:solidFill>
          </w14:textFill>
        </w:rPr>
        <w:t>采油管线</w:t>
      </w:r>
      <w:r>
        <w:rPr>
          <w:rFonts w:hint="eastAsia"/>
          <w:color w:val="000000" w:themeColor="text1"/>
          <w14:textFill>
            <w14:solidFill>
              <w14:schemeClr w14:val="tx1"/>
            </w14:solidFill>
          </w14:textFill>
        </w:rPr>
        <w:t>采用DN50 2.5MPa柔性复合管（Ⅱ型），单井掺热水管道采用DN252.5MPa 柔性复合管（Ⅱ型），要求热洗温度≤90℃，热洗时间＜5小时，管道自带保温层，埋地敷设，管底埋深-1.</w:t>
      </w:r>
      <w:r>
        <w:rPr>
          <w:rFonts w:hint="eastAsia"/>
          <w:color w:val="000000" w:themeColor="text1"/>
          <w:lang w:val="en-US"/>
          <w14:textFill>
            <w14:solidFill>
              <w14:schemeClr w14:val="tx1"/>
            </w14:solidFill>
          </w14:textFill>
        </w:rPr>
        <w:t>7</w:t>
      </w:r>
      <w:r>
        <w:rPr>
          <w:rFonts w:hint="eastAsia"/>
          <w:color w:val="000000" w:themeColor="text1"/>
          <w14:textFill>
            <w14:solidFill>
              <w14:schemeClr w14:val="tx1"/>
            </w14:solidFill>
          </w14:textFill>
        </w:rPr>
        <w:t>m。DN50 2.5MPa单井</w:t>
      </w:r>
      <w:r>
        <w:rPr>
          <w:rFonts w:hint="eastAsia"/>
          <w:color w:val="000000" w:themeColor="text1"/>
          <w:lang w:val="en-US"/>
          <w14:textFill>
            <w14:solidFill>
              <w14:schemeClr w14:val="tx1"/>
            </w14:solidFill>
          </w14:textFill>
        </w:rPr>
        <w:t>采油管线</w:t>
      </w:r>
      <w:r>
        <w:rPr>
          <w:rFonts w:hint="eastAsia"/>
          <w:color w:val="000000" w:themeColor="text1"/>
          <w14:textFill>
            <w14:solidFill>
              <w14:schemeClr w14:val="tx1"/>
            </w14:solidFill>
          </w14:textFill>
        </w:rPr>
        <w:t>与DN25 2.5MPa单井掺热水管道同沟保温埋地敷设。</w:t>
      </w:r>
    </w:p>
    <w:p w14:paraId="3245AF9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本次新建单井注水管道选用DN50 25MPa 玻璃钢管（耐温70℃），不保温埋地敷设，管底埋深-1.80m。</w:t>
      </w:r>
    </w:p>
    <w:p w14:paraId="366DE9F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新建管线具体情况如下：</w:t>
      </w:r>
    </w:p>
    <w:bookmarkEnd w:id="260"/>
    <w:p w14:paraId="31B51507">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表3.2-16  各类管线建设情况一览表</w:t>
      </w:r>
    </w:p>
    <w:tbl>
      <w:tblPr>
        <w:tblStyle w:val="41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568"/>
        <w:gridCol w:w="1277"/>
        <w:gridCol w:w="851"/>
        <w:gridCol w:w="706"/>
        <w:gridCol w:w="631"/>
        <w:gridCol w:w="801"/>
        <w:gridCol w:w="836"/>
        <w:gridCol w:w="993"/>
        <w:gridCol w:w="850"/>
        <w:gridCol w:w="709"/>
        <w:gridCol w:w="508"/>
      </w:tblGrid>
      <w:tr w14:paraId="36FF80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25" w:type="pct"/>
            <w:vMerge w:val="restart"/>
            <w:vAlign w:val="center"/>
          </w:tcPr>
          <w:p w14:paraId="0AF469CA">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管线</w:t>
            </w:r>
          </w:p>
          <w:p w14:paraId="5D8B1F5B">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名称</w:t>
            </w:r>
          </w:p>
        </w:tc>
        <w:tc>
          <w:tcPr>
            <w:tcW w:w="731" w:type="pct"/>
            <w:vMerge w:val="restart"/>
            <w:vAlign w:val="center"/>
          </w:tcPr>
          <w:p w14:paraId="3D3ED002">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输送</w:t>
            </w:r>
          </w:p>
          <w:p w14:paraId="2DBEB06C">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介质</w:t>
            </w:r>
          </w:p>
        </w:tc>
        <w:tc>
          <w:tcPr>
            <w:tcW w:w="487" w:type="pct"/>
            <w:vMerge w:val="restart"/>
            <w:vAlign w:val="center"/>
          </w:tcPr>
          <w:p w14:paraId="0782F4F5">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管道</w:t>
            </w:r>
          </w:p>
          <w:p w14:paraId="45FC06B0">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材质</w:t>
            </w:r>
          </w:p>
        </w:tc>
        <w:tc>
          <w:tcPr>
            <w:tcW w:w="404" w:type="pct"/>
            <w:vMerge w:val="restart"/>
            <w:vAlign w:val="center"/>
          </w:tcPr>
          <w:p w14:paraId="709963CD">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管线长度（km）</w:t>
            </w:r>
          </w:p>
        </w:tc>
        <w:tc>
          <w:tcPr>
            <w:tcW w:w="361" w:type="pct"/>
            <w:vMerge w:val="restart"/>
            <w:vAlign w:val="center"/>
          </w:tcPr>
          <w:p w14:paraId="4796B5D2">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管线埋深（m）</w:t>
            </w:r>
          </w:p>
        </w:tc>
        <w:tc>
          <w:tcPr>
            <w:tcW w:w="459" w:type="pct"/>
            <w:vMerge w:val="restart"/>
            <w:vAlign w:val="center"/>
          </w:tcPr>
          <w:p w14:paraId="7BCA06FD">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管道规格（mm）</w:t>
            </w:r>
          </w:p>
        </w:tc>
        <w:tc>
          <w:tcPr>
            <w:tcW w:w="479" w:type="pct"/>
            <w:vMerge w:val="restart"/>
            <w:vAlign w:val="center"/>
          </w:tcPr>
          <w:p w14:paraId="107AFF9D">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管线保温材料类型</w:t>
            </w:r>
          </w:p>
        </w:tc>
        <w:tc>
          <w:tcPr>
            <w:tcW w:w="569" w:type="pct"/>
            <w:vMerge w:val="restart"/>
            <w:vAlign w:val="center"/>
          </w:tcPr>
          <w:p w14:paraId="59ACEC7F">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管线保温层厚度（mm）</w:t>
            </w:r>
          </w:p>
        </w:tc>
        <w:tc>
          <w:tcPr>
            <w:tcW w:w="487" w:type="pct"/>
            <w:vMerge w:val="restart"/>
            <w:vAlign w:val="center"/>
          </w:tcPr>
          <w:p w14:paraId="59F9A265">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管线设计压力（MPa）</w:t>
            </w:r>
          </w:p>
        </w:tc>
        <w:tc>
          <w:tcPr>
            <w:tcW w:w="406" w:type="pct"/>
            <w:vMerge w:val="restart"/>
            <w:vAlign w:val="center"/>
          </w:tcPr>
          <w:p w14:paraId="58D7E9DC">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管线设计温度（℃）</w:t>
            </w:r>
          </w:p>
        </w:tc>
        <w:tc>
          <w:tcPr>
            <w:tcW w:w="291" w:type="pct"/>
            <w:vMerge w:val="restart"/>
            <w:vAlign w:val="center"/>
          </w:tcPr>
          <w:p w14:paraId="6E338FB6">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管道</w:t>
            </w:r>
          </w:p>
          <w:p w14:paraId="4B1D1D72">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类型</w:t>
            </w:r>
          </w:p>
        </w:tc>
      </w:tr>
      <w:tr w14:paraId="43F563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25" w:type="pct"/>
            <w:vMerge w:val="continue"/>
            <w:vAlign w:val="center"/>
          </w:tcPr>
          <w:p w14:paraId="02F718CE">
            <w:pPr>
              <w:pStyle w:val="210"/>
              <w:rPr>
                <w:rFonts w:hint="eastAsia" w:ascii="宋体" w:hAnsi="宋体" w:eastAsia="宋体" w:cs="宋体"/>
                <w:color w:val="000000" w:themeColor="text1"/>
                <w:sz w:val="21"/>
                <w:szCs w:val="21"/>
                <w14:textFill>
                  <w14:solidFill>
                    <w14:schemeClr w14:val="tx1"/>
                  </w14:solidFill>
                </w14:textFill>
              </w:rPr>
            </w:pPr>
          </w:p>
        </w:tc>
        <w:tc>
          <w:tcPr>
            <w:tcW w:w="731" w:type="pct"/>
            <w:vMerge w:val="continue"/>
            <w:vAlign w:val="center"/>
          </w:tcPr>
          <w:p w14:paraId="5C7F48A9">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1A137396">
            <w:pPr>
              <w:pStyle w:val="210"/>
              <w:rPr>
                <w:rFonts w:hint="eastAsia" w:ascii="宋体" w:hAnsi="宋体" w:eastAsia="宋体" w:cs="宋体"/>
                <w:color w:val="000000" w:themeColor="text1"/>
                <w:sz w:val="21"/>
                <w:szCs w:val="21"/>
                <w14:textFill>
                  <w14:solidFill>
                    <w14:schemeClr w14:val="tx1"/>
                  </w14:solidFill>
                </w14:textFill>
              </w:rPr>
            </w:pPr>
          </w:p>
        </w:tc>
        <w:tc>
          <w:tcPr>
            <w:tcW w:w="404" w:type="pct"/>
            <w:vMerge w:val="continue"/>
            <w:vAlign w:val="center"/>
          </w:tcPr>
          <w:p w14:paraId="7745F317">
            <w:pPr>
              <w:pStyle w:val="210"/>
              <w:rPr>
                <w:rFonts w:hint="eastAsia" w:ascii="宋体" w:hAnsi="宋体" w:eastAsia="宋体" w:cs="宋体"/>
                <w:color w:val="000000" w:themeColor="text1"/>
                <w:sz w:val="21"/>
                <w:szCs w:val="21"/>
                <w14:textFill>
                  <w14:solidFill>
                    <w14:schemeClr w14:val="tx1"/>
                  </w14:solidFill>
                </w14:textFill>
              </w:rPr>
            </w:pPr>
          </w:p>
        </w:tc>
        <w:tc>
          <w:tcPr>
            <w:tcW w:w="361" w:type="pct"/>
            <w:vMerge w:val="continue"/>
            <w:vAlign w:val="center"/>
          </w:tcPr>
          <w:p w14:paraId="518BC2FF">
            <w:pPr>
              <w:pStyle w:val="210"/>
              <w:rPr>
                <w:rFonts w:hint="eastAsia" w:ascii="宋体" w:hAnsi="宋体" w:eastAsia="宋体" w:cs="宋体"/>
                <w:color w:val="000000" w:themeColor="text1"/>
                <w:sz w:val="21"/>
                <w:szCs w:val="21"/>
                <w14:textFill>
                  <w14:solidFill>
                    <w14:schemeClr w14:val="tx1"/>
                  </w14:solidFill>
                </w14:textFill>
              </w:rPr>
            </w:pPr>
          </w:p>
        </w:tc>
        <w:tc>
          <w:tcPr>
            <w:tcW w:w="459" w:type="pct"/>
            <w:vMerge w:val="continue"/>
            <w:vAlign w:val="center"/>
          </w:tcPr>
          <w:p w14:paraId="79C4A466">
            <w:pPr>
              <w:pStyle w:val="210"/>
              <w:rPr>
                <w:rFonts w:hint="eastAsia" w:ascii="宋体" w:hAnsi="宋体" w:eastAsia="宋体" w:cs="宋体"/>
                <w:color w:val="000000" w:themeColor="text1"/>
                <w:sz w:val="21"/>
                <w:szCs w:val="21"/>
                <w14:textFill>
                  <w14:solidFill>
                    <w14:schemeClr w14:val="tx1"/>
                  </w14:solidFill>
                </w14:textFill>
              </w:rPr>
            </w:pPr>
          </w:p>
        </w:tc>
        <w:tc>
          <w:tcPr>
            <w:tcW w:w="479" w:type="pct"/>
            <w:vMerge w:val="continue"/>
            <w:vAlign w:val="center"/>
          </w:tcPr>
          <w:p w14:paraId="07E3CF40">
            <w:pPr>
              <w:pStyle w:val="210"/>
              <w:rPr>
                <w:rFonts w:hint="eastAsia" w:ascii="宋体" w:hAnsi="宋体" w:eastAsia="宋体" w:cs="宋体"/>
                <w:color w:val="000000" w:themeColor="text1"/>
                <w:sz w:val="21"/>
                <w:szCs w:val="21"/>
                <w14:textFill>
                  <w14:solidFill>
                    <w14:schemeClr w14:val="tx1"/>
                  </w14:solidFill>
                </w14:textFill>
              </w:rPr>
            </w:pPr>
          </w:p>
        </w:tc>
        <w:tc>
          <w:tcPr>
            <w:tcW w:w="569" w:type="pct"/>
            <w:vMerge w:val="continue"/>
            <w:vAlign w:val="center"/>
          </w:tcPr>
          <w:p w14:paraId="499276D5">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12E5A625">
            <w:pPr>
              <w:pStyle w:val="210"/>
              <w:rPr>
                <w:rFonts w:hint="eastAsia" w:ascii="宋体" w:hAnsi="宋体" w:eastAsia="宋体" w:cs="宋体"/>
                <w:color w:val="000000" w:themeColor="text1"/>
                <w:sz w:val="21"/>
                <w:szCs w:val="21"/>
                <w14:textFill>
                  <w14:solidFill>
                    <w14:schemeClr w14:val="tx1"/>
                  </w14:solidFill>
                </w14:textFill>
              </w:rPr>
            </w:pPr>
          </w:p>
        </w:tc>
        <w:tc>
          <w:tcPr>
            <w:tcW w:w="406" w:type="pct"/>
            <w:vMerge w:val="continue"/>
            <w:vAlign w:val="center"/>
          </w:tcPr>
          <w:p w14:paraId="0F2387FA">
            <w:pPr>
              <w:pStyle w:val="210"/>
              <w:rPr>
                <w:rFonts w:hint="eastAsia" w:ascii="宋体" w:hAnsi="宋体" w:eastAsia="宋体" w:cs="宋体"/>
                <w:color w:val="000000" w:themeColor="text1"/>
                <w:sz w:val="21"/>
                <w:szCs w:val="21"/>
                <w14:textFill>
                  <w14:solidFill>
                    <w14:schemeClr w14:val="tx1"/>
                  </w14:solidFill>
                </w14:textFill>
              </w:rPr>
            </w:pPr>
          </w:p>
        </w:tc>
        <w:tc>
          <w:tcPr>
            <w:tcW w:w="291" w:type="pct"/>
            <w:vMerge w:val="continue"/>
            <w:vAlign w:val="center"/>
          </w:tcPr>
          <w:p w14:paraId="61242D94">
            <w:pPr>
              <w:pStyle w:val="210"/>
              <w:rPr>
                <w:rFonts w:hint="eastAsia" w:ascii="宋体" w:hAnsi="宋体" w:eastAsia="宋体" w:cs="宋体"/>
                <w:color w:val="000000" w:themeColor="text1"/>
                <w:sz w:val="21"/>
                <w:szCs w:val="21"/>
                <w14:textFill>
                  <w14:solidFill>
                    <w14:schemeClr w14:val="tx1"/>
                  </w14:solidFill>
                </w14:textFill>
              </w:rPr>
            </w:pPr>
          </w:p>
        </w:tc>
      </w:tr>
      <w:tr w14:paraId="64A1DC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25" w:type="pct"/>
            <w:vMerge w:val="continue"/>
            <w:vAlign w:val="center"/>
          </w:tcPr>
          <w:p w14:paraId="37FAE6CF">
            <w:pPr>
              <w:pStyle w:val="210"/>
              <w:rPr>
                <w:rFonts w:hint="eastAsia" w:ascii="宋体" w:hAnsi="宋体" w:eastAsia="宋体" w:cs="宋体"/>
                <w:color w:val="000000" w:themeColor="text1"/>
                <w:sz w:val="21"/>
                <w:szCs w:val="21"/>
                <w14:textFill>
                  <w14:solidFill>
                    <w14:schemeClr w14:val="tx1"/>
                  </w14:solidFill>
                </w14:textFill>
              </w:rPr>
            </w:pPr>
          </w:p>
        </w:tc>
        <w:tc>
          <w:tcPr>
            <w:tcW w:w="731" w:type="pct"/>
            <w:vMerge w:val="continue"/>
            <w:vAlign w:val="center"/>
          </w:tcPr>
          <w:p w14:paraId="2F756133">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451EBEBD">
            <w:pPr>
              <w:pStyle w:val="210"/>
              <w:rPr>
                <w:rFonts w:hint="eastAsia" w:ascii="宋体" w:hAnsi="宋体" w:eastAsia="宋体" w:cs="宋体"/>
                <w:color w:val="000000" w:themeColor="text1"/>
                <w:sz w:val="21"/>
                <w:szCs w:val="21"/>
                <w14:textFill>
                  <w14:solidFill>
                    <w14:schemeClr w14:val="tx1"/>
                  </w14:solidFill>
                </w14:textFill>
              </w:rPr>
            </w:pPr>
          </w:p>
        </w:tc>
        <w:tc>
          <w:tcPr>
            <w:tcW w:w="404" w:type="pct"/>
            <w:vMerge w:val="continue"/>
            <w:vAlign w:val="center"/>
          </w:tcPr>
          <w:p w14:paraId="47883100">
            <w:pPr>
              <w:pStyle w:val="210"/>
              <w:rPr>
                <w:rFonts w:hint="eastAsia" w:ascii="宋体" w:hAnsi="宋体" w:eastAsia="宋体" w:cs="宋体"/>
                <w:color w:val="000000" w:themeColor="text1"/>
                <w:sz w:val="21"/>
                <w:szCs w:val="21"/>
                <w14:textFill>
                  <w14:solidFill>
                    <w14:schemeClr w14:val="tx1"/>
                  </w14:solidFill>
                </w14:textFill>
              </w:rPr>
            </w:pPr>
          </w:p>
        </w:tc>
        <w:tc>
          <w:tcPr>
            <w:tcW w:w="361" w:type="pct"/>
            <w:vMerge w:val="continue"/>
            <w:vAlign w:val="center"/>
          </w:tcPr>
          <w:p w14:paraId="4ECCACC2">
            <w:pPr>
              <w:pStyle w:val="210"/>
              <w:rPr>
                <w:rFonts w:hint="eastAsia" w:ascii="宋体" w:hAnsi="宋体" w:eastAsia="宋体" w:cs="宋体"/>
                <w:color w:val="000000" w:themeColor="text1"/>
                <w:sz w:val="21"/>
                <w:szCs w:val="21"/>
                <w14:textFill>
                  <w14:solidFill>
                    <w14:schemeClr w14:val="tx1"/>
                  </w14:solidFill>
                </w14:textFill>
              </w:rPr>
            </w:pPr>
          </w:p>
        </w:tc>
        <w:tc>
          <w:tcPr>
            <w:tcW w:w="459" w:type="pct"/>
            <w:vMerge w:val="continue"/>
            <w:vAlign w:val="center"/>
          </w:tcPr>
          <w:p w14:paraId="1D0C6D90">
            <w:pPr>
              <w:pStyle w:val="210"/>
              <w:rPr>
                <w:rFonts w:hint="eastAsia" w:ascii="宋体" w:hAnsi="宋体" w:eastAsia="宋体" w:cs="宋体"/>
                <w:color w:val="000000" w:themeColor="text1"/>
                <w:sz w:val="21"/>
                <w:szCs w:val="21"/>
                <w14:textFill>
                  <w14:solidFill>
                    <w14:schemeClr w14:val="tx1"/>
                  </w14:solidFill>
                </w14:textFill>
              </w:rPr>
            </w:pPr>
          </w:p>
        </w:tc>
        <w:tc>
          <w:tcPr>
            <w:tcW w:w="479" w:type="pct"/>
            <w:vMerge w:val="continue"/>
            <w:vAlign w:val="center"/>
          </w:tcPr>
          <w:p w14:paraId="00D3F40D">
            <w:pPr>
              <w:pStyle w:val="210"/>
              <w:rPr>
                <w:rFonts w:hint="eastAsia" w:ascii="宋体" w:hAnsi="宋体" w:eastAsia="宋体" w:cs="宋体"/>
                <w:color w:val="000000" w:themeColor="text1"/>
                <w:sz w:val="21"/>
                <w:szCs w:val="21"/>
                <w14:textFill>
                  <w14:solidFill>
                    <w14:schemeClr w14:val="tx1"/>
                  </w14:solidFill>
                </w14:textFill>
              </w:rPr>
            </w:pPr>
          </w:p>
        </w:tc>
        <w:tc>
          <w:tcPr>
            <w:tcW w:w="569" w:type="pct"/>
            <w:vMerge w:val="continue"/>
            <w:vAlign w:val="center"/>
          </w:tcPr>
          <w:p w14:paraId="5E4635D1">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468B7B60">
            <w:pPr>
              <w:pStyle w:val="210"/>
              <w:rPr>
                <w:rFonts w:hint="eastAsia" w:ascii="宋体" w:hAnsi="宋体" w:eastAsia="宋体" w:cs="宋体"/>
                <w:color w:val="000000" w:themeColor="text1"/>
                <w:sz w:val="21"/>
                <w:szCs w:val="21"/>
                <w14:textFill>
                  <w14:solidFill>
                    <w14:schemeClr w14:val="tx1"/>
                  </w14:solidFill>
                </w14:textFill>
              </w:rPr>
            </w:pPr>
          </w:p>
        </w:tc>
        <w:tc>
          <w:tcPr>
            <w:tcW w:w="406" w:type="pct"/>
            <w:vMerge w:val="continue"/>
            <w:vAlign w:val="center"/>
          </w:tcPr>
          <w:p w14:paraId="7008FF1E">
            <w:pPr>
              <w:pStyle w:val="210"/>
              <w:rPr>
                <w:rFonts w:hint="eastAsia" w:ascii="宋体" w:hAnsi="宋体" w:eastAsia="宋体" w:cs="宋体"/>
                <w:color w:val="000000" w:themeColor="text1"/>
                <w:sz w:val="21"/>
                <w:szCs w:val="21"/>
                <w14:textFill>
                  <w14:solidFill>
                    <w14:schemeClr w14:val="tx1"/>
                  </w14:solidFill>
                </w14:textFill>
              </w:rPr>
            </w:pPr>
          </w:p>
        </w:tc>
        <w:tc>
          <w:tcPr>
            <w:tcW w:w="291" w:type="pct"/>
            <w:vMerge w:val="continue"/>
            <w:vAlign w:val="center"/>
          </w:tcPr>
          <w:p w14:paraId="24301BA9">
            <w:pPr>
              <w:pStyle w:val="210"/>
              <w:rPr>
                <w:rFonts w:hint="eastAsia" w:ascii="宋体" w:hAnsi="宋体" w:eastAsia="宋体" w:cs="宋体"/>
                <w:color w:val="000000" w:themeColor="text1"/>
                <w:sz w:val="21"/>
                <w:szCs w:val="21"/>
                <w14:textFill>
                  <w14:solidFill>
                    <w14:schemeClr w14:val="tx1"/>
                  </w14:solidFill>
                </w14:textFill>
              </w:rPr>
            </w:pPr>
          </w:p>
        </w:tc>
      </w:tr>
      <w:tr w14:paraId="0CC257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25" w:type="pct"/>
            <w:vAlign w:val="center"/>
          </w:tcPr>
          <w:p w14:paraId="308DD290">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单井</w:t>
            </w:r>
            <w:r>
              <w:rPr>
                <w:rFonts w:hint="eastAsia" w:ascii="宋体" w:hAnsi="宋体" w:eastAsia="宋体" w:cs="宋体"/>
                <w:color w:val="000000" w:themeColor="text1"/>
                <w:sz w:val="21"/>
                <w:szCs w:val="21"/>
                <w:lang w:val="en-US" w:eastAsia="zh-CN"/>
                <w14:textFill>
                  <w14:solidFill>
                    <w14:schemeClr w14:val="tx1"/>
                  </w14:solidFill>
                </w14:textFill>
              </w:rPr>
              <w:t>采油</w:t>
            </w:r>
            <w:r>
              <w:rPr>
                <w:rFonts w:hint="eastAsia" w:ascii="宋体" w:hAnsi="宋体" w:eastAsia="宋体" w:cs="宋体"/>
                <w:color w:val="000000" w:themeColor="text1"/>
                <w:sz w:val="21"/>
                <w:szCs w:val="21"/>
                <w14:textFill>
                  <w14:solidFill>
                    <w14:schemeClr w14:val="tx1"/>
                  </w14:solidFill>
                </w14:textFill>
              </w:rPr>
              <w:t>管道</w:t>
            </w:r>
          </w:p>
        </w:tc>
        <w:tc>
          <w:tcPr>
            <w:tcW w:w="731" w:type="pct"/>
            <w:vAlign w:val="center"/>
          </w:tcPr>
          <w:p w14:paraId="4BD3AE8F">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油气水</w:t>
            </w:r>
          </w:p>
        </w:tc>
        <w:tc>
          <w:tcPr>
            <w:tcW w:w="487" w:type="pct"/>
            <w:vAlign w:val="center"/>
          </w:tcPr>
          <w:p w14:paraId="12DC9266">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柔性复合管（Ⅱ型）</w:t>
            </w:r>
          </w:p>
        </w:tc>
        <w:tc>
          <w:tcPr>
            <w:tcW w:w="404" w:type="pct"/>
            <w:vAlign w:val="center"/>
          </w:tcPr>
          <w:p w14:paraId="32E8FC7E">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1.82</w:t>
            </w:r>
          </w:p>
        </w:tc>
        <w:tc>
          <w:tcPr>
            <w:tcW w:w="361" w:type="pct"/>
            <w:vAlign w:val="center"/>
          </w:tcPr>
          <w:p w14:paraId="2F2B3269">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-1.7</w:t>
            </w:r>
          </w:p>
        </w:tc>
        <w:tc>
          <w:tcPr>
            <w:tcW w:w="459" w:type="pct"/>
            <w:vAlign w:val="center"/>
          </w:tcPr>
          <w:p w14:paraId="2739A84F">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DN50</w:t>
            </w:r>
          </w:p>
        </w:tc>
        <w:tc>
          <w:tcPr>
            <w:tcW w:w="479" w:type="pct"/>
            <w:vAlign w:val="center"/>
          </w:tcPr>
          <w:p w14:paraId="69FAA115">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聚氨酯泡沫塑料</w:t>
            </w:r>
          </w:p>
        </w:tc>
        <w:tc>
          <w:tcPr>
            <w:tcW w:w="569" w:type="pct"/>
            <w:vAlign w:val="center"/>
          </w:tcPr>
          <w:p w14:paraId="4F02A048">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30</w:t>
            </w:r>
          </w:p>
        </w:tc>
        <w:tc>
          <w:tcPr>
            <w:tcW w:w="487" w:type="pct"/>
            <w:vAlign w:val="center"/>
          </w:tcPr>
          <w:p w14:paraId="32CBDB73">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2.5</w:t>
            </w:r>
          </w:p>
        </w:tc>
        <w:tc>
          <w:tcPr>
            <w:tcW w:w="406" w:type="pct"/>
            <w:vAlign w:val="center"/>
          </w:tcPr>
          <w:p w14:paraId="51AE96D4">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70</w:t>
            </w:r>
          </w:p>
        </w:tc>
        <w:tc>
          <w:tcPr>
            <w:tcW w:w="291" w:type="pct"/>
            <w:vAlign w:val="center"/>
          </w:tcPr>
          <w:p w14:paraId="31DD2ADE">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Ⅱ</w:t>
            </w:r>
          </w:p>
        </w:tc>
      </w:tr>
      <w:tr w14:paraId="7A6ED1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25" w:type="pct"/>
            <w:vMerge w:val="restart"/>
            <w:vAlign w:val="center"/>
          </w:tcPr>
          <w:p w14:paraId="16923D61">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单井掺水管道</w:t>
            </w:r>
          </w:p>
        </w:tc>
        <w:tc>
          <w:tcPr>
            <w:tcW w:w="731" w:type="pct"/>
            <w:vMerge w:val="restart"/>
            <w:vAlign w:val="center"/>
          </w:tcPr>
          <w:p w14:paraId="034979CD">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加热后的吉祥联合站采出水处理系统处理达标净化水</w:t>
            </w:r>
          </w:p>
        </w:tc>
        <w:tc>
          <w:tcPr>
            <w:tcW w:w="487" w:type="pct"/>
            <w:vMerge w:val="restart"/>
            <w:vAlign w:val="center"/>
          </w:tcPr>
          <w:p w14:paraId="34D24C7E">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柔性复合管（Ⅱ型）</w:t>
            </w:r>
          </w:p>
        </w:tc>
        <w:tc>
          <w:tcPr>
            <w:tcW w:w="404" w:type="pct"/>
            <w:vMerge w:val="restart"/>
            <w:vAlign w:val="center"/>
          </w:tcPr>
          <w:p w14:paraId="02CD5F43">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1.82</w:t>
            </w:r>
          </w:p>
        </w:tc>
        <w:tc>
          <w:tcPr>
            <w:tcW w:w="361" w:type="pct"/>
            <w:vMerge w:val="restart"/>
            <w:vAlign w:val="center"/>
          </w:tcPr>
          <w:p w14:paraId="1BCC3D85">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-1.7</w:t>
            </w:r>
          </w:p>
        </w:tc>
        <w:tc>
          <w:tcPr>
            <w:tcW w:w="459" w:type="pct"/>
            <w:vMerge w:val="restart"/>
            <w:vAlign w:val="center"/>
          </w:tcPr>
          <w:p w14:paraId="0560E94B">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DN25</w:t>
            </w:r>
          </w:p>
        </w:tc>
        <w:tc>
          <w:tcPr>
            <w:tcW w:w="479" w:type="pct"/>
            <w:vMerge w:val="restart"/>
            <w:vAlign w:val="center"/>
          </w:tcPr>
          <w:p w14:paraId="71E2A1C8">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聚氨酯泡沫塑料</w:t>
            </w:r>
          </w:p>
        </w:tc>
        <w:tc>
          <w:tcPr>
            <w:tcW w:w="569" w:type="pct"/>
            <w:vMerge w:val="restart"/>
            <w:vAlign w:val="center"/>
          </w:tcPr>
          <w:p w14:paraId="1E65770F">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30</w:t>
            </w:r>
          </w:p>
        </w:tc>
        <w:tc>
          <w:tcPr>
            <w:tcW w:w="487" w:type="pct"/>
            <w:vMerge w:val="restart"/>
            <w:vAlign w:val="center"/>
          </w:tcPr>
          <w:p w14:paraId="3595489A">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2.5</w:t>
            </w:r>
          </w:p>
        </w:tc>
        <w:tc>
          <w:tcPr>
            <w:tcW w:w="406" w:type="pct"/>
            <w:vMerge w:val="restart"/>
            <w:vAlign w:val="center"/>
          </w:tcPr>
          <w:p w14:paraId="3B0F00BB">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70</w:t>
            </w:r>
          </w:p>
        </w:tc>
        <w:tc>
          <w:tcPr>
            <w:tcW w:w="291" w:type="pct"/>
            <w:vMerge w:val="restart"/>
            <w:vAlign w:val="center"/>
          </w:tcPr>
          <w:p w14:paraId="499BD608">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Ⅱ</w:t>
            </w:r>
          </w:p>
        </w:tc>
      </w:tr>
      <w:tr w14:paraId="3A9069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25" w:type="pct"/>
            <w:vMerge w:val="continue"/>
            <w:vAlign w:val="center"/>
          </w:tcPr>
          <w:p w14:paraId="0864A78D">
            <w:pPr>
              <w:pStyle w:val="210"/>
              <w:rPr>
                <w:rFonts w:hint="eastAsia" w:ascii="宋体" w:hAnsi="宋体" w:eastAsia="宋体" w:cs="宋体"/>
                <w:color w:val="000000" w:themeColor="text1"/>
                <w:sz w:val="21"/>
                <w:szCs w:val="21"/>
                <w14:textFill>
                  <w14:solidFill>
                    <w14:schemeClr w14:val="tx1"/>
                  </w14:solidFill>
                </w14:textFill>
              </w:rPr>
            </w:pPr>
          </w:p>
        </w:tc>
        <w:tc>
          <w:tcPr>
            <w:tcW w:w="731" w:type="pct"/>
            <w:vMerge w:val="continue"/>
            <w:vAlign w:val="center"/>
          </w:tcPr>
          <w:p w14:paraId="187C902F">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7DB42B3E">
            <w:pPr>
              <w:pStyle w:val="210"/>
              <w:rPr>
                <w:rFonts w:hint="eastAsia" w:ascii="宋体" w:hAnsi="宋体" w:eastAsia="宋体" w:cs="宋体"/>
                <w:color w:val="000000" w:themeColor="text1"/>
                <w:sz w:val="21"/>
                <w:szCs w:val="21"/>
                <w14:textFill>
                  <w14:solidFill>
                    <w14:schemeClr w14:val="tx1"/>
                  </w14:solidFill>
                </w14:textFill>
              </w:rPr>
            </w:pPr>
          </w:p>
        </w:tc>
        <w:tc>
          <w:tcPr>
            <w:tcW w:w="404" w:type="pct"/>
            <w:vMerge w:val="continue"/>
            <w:vAlign w:val="center"/>
          </w:tcPr>
          <w:p w14:paraId="03EBF75E">
            <w:pPr>
              <w:pStyle w:val="210"/>
              <w:rPr>
                <w:rFonts w:hint="eastAsia" w:ascii="宋体" w:hAnsi="宋体" w:eastAsia="宋体" w:cs="宋体"/>
                <w:color w:val="000000" w:themeColor="text1"/>
                <w:sz w:val="21"/>
                <w:szCs w:val="21"/>
                <w14:textFill>
                  <w14:solidFill>
                    <w14:schemeClr w14:val="tx1"/>
                  </w14:solidFill>
                </w14:textFill>
              </w:rPr>
            </w:pPr>
          </w:p>
        </w:tc>
        <w:tc>
          <w:tcPr>
            <w:tcW w:w="361" w:type="pct"/>
            <w:vMerge w:val="continue"/>
            <w:vAlign w:val="center"/>
          </w:tcPr>
          <w:p w14:paraId="0E7D7EC8">
            <w:pPr>
              <w:pStyle w:val="210"/>
              <w:rPr>
                <w:rFonts w:hint="eastAsia" w:ascii="宋体" w:hAnsi="宋体" w:eastAsia="宋体" w:cs="宋体"/>
                <w:color w:val="000000" w:themeColor="text1"/>
                <w:sz w:val="21"/>
                <w:szCs w:val="21"/>
                <w14:textFill>
                  <w14:solidFill>
                    <w14:schemeClr w14:val="tx1"/>
                  </w14:solidFill>
                </w14:textFill>
              </w:rPr>
            </w:pPr>
          </w:p>
        </w:tc>
        <w:tc>
          <w:tcPr>
            <w:tcW w:w="459" w:type="pct"/>
            <w:vMerge w:val="continue"/>
            <w:vAlign w:val="center"/>
          </w:tcPr>
          <w:p w14:paraId="7F7589E1">
            <w:pPr>
              <w:pStyle w:val="210"/>
              <w:rPr>
                <w:rFonts w:hint="eastAsia" w:ascii="宋体" w:hAnsi="宋体" w:eastAsia="宋体" w:cs="宋体"/>
                <w:color w:val="000000" w:themeColor="text1"/>
                <w:sz w:val="21"/>
                <w:szCs w:val="21"/>
                <w14:textFill>
                  <w14:solidFill>
                    <w14:schemeClr w14:val="tx1"/>
                  </w14:solidFill>
                </w14:textFill>
              </w:rPr>
            </w:pPr>
          </w:p>
        </w:tc>
        <w:tc>
          <w:tcPr>
            <w:tcW w:w="479" w:type="pct"/>
            <w:vMerge w:val="continue"/>
            <w:vAlign w:val="center"/>
          </w:tcPr>
          <w:p w14:paraId="5B378B07">
            <w:pPr>
              <w:pStyle w:val="210"/>
              <w:rPr>
                <w:rFonts w:hint="eastAsia" w:ascii="宋体" w:hAnsi="宋体" w:eastAsia="宋体" w:cs="宋体"/>
                <w:color w:val="000000" w:themeColor="text1"/>
                <w:sz w:val="21"/>
                <w:szCs w:val="21"/>
                <w14:textFill>
                  <w14:solidFill>
                    <w14:schemeClr w14:val="tx1"/>
                  </w14:solidFill>
                </w14:textFill>
              </w:rPr>
            </w:pPr>
          </w:p>
        </w:tc>
        <w:tc>
          <w:tcPr>
            <w:tcW w:w="569" w:type="pct"/>
            <w:vMerge w:val="continue"/>
            <w:vAlign w:val="center"/>
          </w:tcPr>
          <w:p w14:paraId="7CDD62FB">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542B3669">
            <w:pPr>
              <w:pStyle w:val="210"/>
              <w:rPr>
                <w:rFonts w:hint="eastAsia" w:ascii="宋体" w:hAnsi="宋体" w:eastAsia="宋体" w:cs="宋体"/>
                <w:color w:val="000000" w:themeColor="text1"/>
                <w:sz w:val="21"/>
                <w:szCs w:val="21"/>
                <w14:textFill>
                  <w14:solidFill>
                    <w14:schemeClr w14:val="tx1"/>
                  </w14:solidFill>
                </w14:textFill>
              </w:rPr>
            </w:pPr>
          </w:p>
        </w:tc>
        <w:tc>
          <w:tcPr>
            <w:tcW w:w="406" w:type="pct"/>
            <w:vMerge w:val="continue"/>
            <w:vAlign w:val="center"/>
          </w:tcPr>
          <w:p w14:paraId="18D34478">
            <w:pPr>
              <w:pStyle w:val="210"/>
              <w:rPr>
                <w:rFonts w:hint="eastAsia" w:ascii="宋体" w:hAnsi="宋体" w:eastAsia="宋体" w:cs="宋体"/>
                <w:color w:val="000000" w:themeColor="text1"/>
                <w:sz w:val="21"/>
                <w:szCs w:val="21"/>
                <w14:textFill>
                  <w14:solidFill>
                    <w14:schemeClr w14:val="tx1"/>
                  </w14:solidFill>
                </w14:textFill>
              </w:rPr>
            </w:pPr>
          </w:p>
        </w:tc>
        <w:tc>
          <w:tcPr>
            <w:tcW w:w="291" w:type="pct"/>
            <w:vMerge w:val="continue"/>
            <w:vAlign w:val="center"/>
          </w:tcPr>
          <w:p w14:paraId="7BF67FC4">
            <w:pPr>
              <w:pStyle w:val="210"/>
              <w:rPr>
                <w:rFonts w:hint="eastAsia" w:ascii="宋体" w:hAnsi="宋体" w:eastAsia="宋体" w:cs="宋体"/>
                <w:color w:val="000000" w:themeColor="text1"/>
                <w:sz w:val="21"/>
                <w:szCs w:val="21"/>
                <w14:textFill>
                  <w14:solidFill>
                    <w14:schemeClr w14:val="tx1"/>
                  </w14:solidFill>
                </w14:textFill>
              </w:rPr>
            </w:pPr>
          </w:p>
        </w:tc>
      </w:tr>
      <w:tr w14:paraId="480C6B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25" w:type="pct"/>
            <w:vMerge w:val="continue"/>
            <w:vAlign w:val="center"/>
          </w:tcPr>
          <w:p w14:paraId="51330C34">
            <w:pPr>
              <w:pStyle w:val="210"/>
              <w:rPr>
                <w:rFonts w:hint="eastAsia" w:ascii="宋体" w:hAnsi="宋体" w:eastAsia="宋体" w:cs="宋体"/>
                <w:color w:val="000000" w:themeColor="text1"/>
                <w:sz w:val="21"/>
                <w:szCs w:val="21"/>
                <w14:textFill>
                  <w14:solidFill>
                    <w14:schemeClr w14:val="tx1"/>
                  </w14:solidFill>
                </w14:textFill>
              </w:rPr>
            </w:pPr>
          </w:p>
        </w:tc>
        <w:tc>
          <w:tcPr>
            <w:tcW w:w="731" w:type="pct"/>
            <w:vMerge w:val="continue"/>
            <w:vAlign w:val="center"/>
          </w:tcPr>
          <w:p w14:paraId="2E68187C">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6A800E9B">
            <w:pPr>
              <w:pStyle w:val="210"/>
              <w:rPr>
                <w:rFonts w:hint="eastAsia" w:ascii="宋体" w:hAnsi="宋体" w:eastAsia="宋体" w:cs="宋体"/>
                <w:color w:val="000000" w:themeColor="text1"/>
                <w:sz w:val="21"/>
                <w:szCs w:val="21"/>
                <w14:textFill>
                  <w14:solidFill>
                    <w14:schemeClr w14:val="tx1"/>
                  </w14:solidFill>
                </w14:textFill>
              </w:rPr>
            </w:pPr>
          </w:p>
        </w:tc>
        <w:tc>
          <w:tcPr>
            <w:tcW w:w="404" w:type="pct"/>
            <w:vMerge w:val="continue"/>
            <w:vAlign w:val="center"/>
          </w:tcPr>
          <w:p w14:paraId="4DBD4E0A">
            <w:pPr>
              <w:pStyle w:val="210"/>
              <w:rPr>
                <w:rFonts w:hint="eastAsia" w:ascii="宋体" w:hAnsi="宋体" w:eastAsia="宋体" w:cs="宋体"/>
                <w:color w:val="000000" w:themeColor="text1"/>
                <w:sz w:val="21"/>
                <w:szCs w:val="21"/>
                <w14:textFill>
                  <w14:solidFill>
                    <w14:schemeClr w14:val="tx1"/>
                  </w14:solidFill>
                </w14:textFill>
              </w:rPr>
            </w:pPr>
          </w:p>
        </w:tc>
        <w:tc>
          <w:tcPr>
            <w:tcW w:w="361" w:type="pct"/>
            <w:vMerge w:val="continue"/>
            <w:vAlign w:val="center"/>
          </w:tcPr>
          <w:p w14:paraId="7267A787">
            <w:pPr>
              <w:pStyle w:val="210"/>
              <w:rPr>
                <w:rFonts w:hint="eastAsia" w:ascii="宋体" w:hAnsi="宋体" w:eastAsia="宋体" w:cs="宋体"/>
                <w:color w:val="000000" w:themeColor="text1"/>
                <w:sz w:val="21"/>
                <w:szCs w:val="21"/>
                <w14:textFill>
                  <w14:solidFill>
                    <w14:schemeClr w14:val="tx1"/>
                  </w14:solidFill>
                </w14:textFill>
              </w:rPr>
            </w:pPr>
          </w:p>
        </w:tc>
        <w:tc>
          <w:tcPr>
            <w:tcW w:w="459" w:type="pct"/>
            <w:vMerge w:val="continue"/>
            <w:vAlign w:val="center"/>
          </w:tcPr>
          <w:p w14:paraId="0D92D457">
            <w:pPr>
              <w:pStyle w:val="210"/>
              <w:rPr>
                <w:rFonts w:hint="eastAsia" w:ascii="宋体" w:hAnsi="宋体" w:eastAsia="宋体" w:cs="宋体"/>
                <w:color w:val="000000" w:themeColor="text1"/>
                <w:sz w:val="21"/>
                <w:szCs w:val="21"/>
                <w14:textFill>
                  <w14:solidFill>
                    <w14:schemeClr w14:val="tx1"/>
                  </w14:solidFill>
                </w14:textFill>
              </w:rPr>
            </w:pPr>
          </w:p>
        </w:tc>
        <w:tc>
          <w:tcPr>
            <w:tcW w:w="479" w:type="pct"/>
            <w:vMerge w:val="continue"/>
            <w:vAlign w:val="center"/>
          </w:tcPr>
          <w:p w14:paraId="54E8CF77">
            <w:pPr>
              <w:pStyle w:val="210"/>
              <w:rPr>
                <w:rFonts w:hint="eastAsia" w:ascii="宋体" w:hAnsi="宋体" w:eastAsia="宋体" w:cs="宋体"/>
                <w:color w:val="000000" w:themeColor="text1"/>
                <w:sz w:val="21"/>
                <w:szCs w:val="21"/>
                <w14:textFill>
                  <w14:solidFill>
                    <w14:schemeClr w14:val="tx1"/>
                  </w14:solidFill>
                </w14:textFill>
              </w:rPr>
            </w:pPr>
          </w:p>
        </w:tc>
        <w:tc>
          <w:tcPr>
            <w:tcW w:w="569" w:type="pct"/>
            <w:vMerge w:val="continue"/>
            <w:vAlign w:val="center"/>
          </w:tcPr>
          <w:p w14:paraId="026BFB79">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039B1260">
            <w:pPr>
              <w:pStyle w:val="210"/>
              <w:rPr>
                <w:rFonts w:hint="eastAsia" w:ascii="宋体" w:hAnsi="宋体" w:eastAsia="宋体" w:cs="宋体"/>
                <w:color w:val="000000" w:themeColor="text1"/>
                <w:sz w:val="21"/>
                <w:szCs w:val="21"/>
                <w14:textFill>
                  <w14:solidFill>
                    <w14:schemeClr w14:val="tx1"/>
                  </w14:solidFill>
                </w14:textFill>
              </w:rPr>
            </w:pPr>
          </w:p>
        </w:tc>
        <w:tc>
          <w:tcPr>
            <w:tcW w:w="406" w:type="pct"/>
            <w:vMerge w:val="continue"/>
            <w:vAlign w:val="center"/>
          </w:tcPr>
          <w:p w14:paraId="6F1C8FF1">
            <w:pPr>
              <w:pStyle w:val="210"/>
              <w:rPr>
                <w:rFonts w:hint="eastAsia" w:ascii="宋体" w:hAnsi="宋体" w:eastAsia="宋体" w:cs="宋体"/>
                <w:color w:val="000000" w:themeColor="text1"/>
                <w:sz w:val="21"/>
                <w:szCs w:val="21"/>
                <w14:textFill>
                  <w14:solidFill>
                    <w14:schemeClr w14:val="tx1"/>
                  </w14:solidFill>
                </w14:textFill>
              </w:rPr>
            </w:pPr>
          </w:p>
        </w:tc>
        <w:tc>
          <w:tcPr>
            <w:tcW w:w="291" w:type="pct"/>
            <w:vMerge w:val="continue"/>
            <w:vAlign w:val="center"/>
          </w:tcPr>
          <w:p w14:paraId="35CB01AF">
            <w:pPr>
              <w:pStyle w:val="210"/>
              <w:rPr>
                <w:rFonts w:hint="eastAsia" w:ascii="宋体" w:hAnsi="宋体" w:eastAsia="宋体" w:cs="宋体"/>
                <w:color w:val="000000" w:themeColor="text1"/>
                <w:sz w:val="21"/>
                <w:szCs w:val="21"/>
                <w14:textFill>
                  <w14:solidFill>
                    <w14:schemeClr w14:val="tx1"/>
                  </w14:solidFill>
                </w14:textFill>
              </w:rPr>
            </w:pPr>
          </w:p>
        </w:tc>
      </w:tr>
      <w:tr w14:paraId="0795A5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25" w:type="pct"/>
            <w:vMerge w:val="restart"/>
            <w:vAlign w:val="center"/>
          </w:tcPr>
          <w:p w14:paraId="1F94EBF1">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单井注水管道</w:t>
            </w:r>
          </w:p>
        </w:tc>
        <w:tc>
          <w:tcPr>
            <w:tcW w:w="731" w:type="pct"/>
            <w:vMerge w:val="restart"/>
            <w:vAlign w:val="center"/>
          </w:tcPr>
          <w:p w14:paraId="2F2C40A9">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吉祥联合站采出水处理系统处理达标的净化水</w:t>
            </w:r>
          </w:p>
        </w:tc>
        <w:tc>
          <w:tcPr>
            <w:tcW w:w="487" w:type="pct"/>
            <w:vMerge w:val="restart"/>
            <w:vAlign w:val="center"/>
          </w:tcPr>
          <w:p w14:paraId="4FB97181">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玻璃钢管（耐温70℃）</w:t>
            </w:r>
          </w:p>
        </w:tc>
        <w:tc>
          <w:tcPr>
            <w:tcW w:w="404" w:type="pct"/>
            <w:vMerge w:val="restart"/>
            <w:vAlign w:val="center"/>
          </w:tcPr>
          <w:p w14:paraId="1844411A">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1.92</w:t>
            </w:r>
          </w:p>
        </w:tc>
        <w:tc>
          <w:tcPr>
            <w:tcW w:w="361" w:type="pct"/>
            <w:vMerge w:val="restart"/>
            <w:vAlign w:val="center"/>
          </w:tcPr>
          <w:p w14:paraId="0D8230C1">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-1.8</w:t>
            </w:r>
          </w:p>
        </w:tc>
        <w:tc>
          <w:tcPr>
            <w:tcW w:w="459" w:type="pct"/>
            <w:vMerge w:val="restart"/>
            <w:vAlign w:val="center"/>
          </w:tcPr>
          <w:p w14:paraId="56951954">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DN50</w:t>
            </w:r>
          </w:p>
        </w:tc>
        <w:tc>
          <w:tcPr>
            <w:tcW w:w="479" w:type="pct"/>
            <w:vMerge w:val="restart"/>
            <w:vAlign w:val="center"/>
          </w:tcPr>
          <w:p w14:paraId="30F994B7">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w:t>
            </w:r>
          </w:p>
        </w:tc>
        <w:tc>
          <w:tcPr>
            <w:tcW w:w="569" w:type="pct"/>
            <w:vMerge w:val="restart"/>
            <w:vAlign w:val="center"/>
          </w:tcPr>
          <w:p w14:paraId="71CB0B37">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w:t>
            </w:r>
          </w:p>
        </w:tc>
        <w:tc>
          <w:tcPr>
            <w:tcW w:w="487" w:type="pct"/>
            <w:vMerge w:val="restart"/>
            <w:vAlign w:val="center"/>
          </w:tcPr>
          <w:p w14:paraId="157A3BE9">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25</w:t>
            </w:r>
          </w:p>
        </w:tc>
        <w:tc>
          <w:tcPr>
            <w:tcW w:w="406" w:type="pct"/>
            <w:vMerge w:val="restart"/>
            <w:vAlign w:val="center"/>
          </w:tcPr>
          <w:p w14:paraId="0D592819">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70</w:t>
            </w:r>
          </w:p>
        </w:tc>
        <w:tc>
          <w:tcPr>
            <w:tcW w:w="291" w:type="pct"/>
            <w:vMerge w:val="restart"/>
            <w:vAlign w:val="center"/>
          </w:tcPr>
          <w:p w14:paraId="30640161">
            <w:pPr>
              <w:pStyle w:val="21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Ⅲ</w:t>
            </w:r>
          </w:p>
        </w:tc>
      </w:tr>
      <w:tr w14:paraId="1AC6D4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25" w:type="pct"/>
            <w:vMerge w:val="continue"/>
            <w:vAlign w:val="center"/>
          </w:tcPr>
          <w:p w14:paraId="13087E34">
            <w:pPr>
              <w:pStyle w:val="210"/>
              <w:rPr>
                <w:rFonts w:hint="eastAsia" w:ascii="宋体" w:hAnsi="宋体" w:eastAsia="宋体" w:cs="宋体"/>
                <w:color w:val="000000" w:themeColor="text1"/>
                <w:sz w:val="21"/>
                <w:szCs w:val="21"/>
                <w14:textFill>
                  <w14:solidFill>
                    <w14:schemeClr w14:val="tx1"/>
                  </w14:solidFill>
                </w14:textFill>
              </w:rPr>
            </w:pPr>
          </w:p>
        </w:tc>
        <w:tc>
          <w:tcPr>
            <w:tcW w:w="731" w:type="pct"/>
            <w:vMerge w:val="continue"/>
            <w:vAlign w:val="center"/>
          </w:tcPr>
          <w:p w14:paraId="47DE5AD8">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384FF506">
            <w:pPr>
              <w:pStyle w:val="210"/>
              <w:rPr>
                <w:rFonts w:hint="eastAsia" w:ascii="宋体" w:hAnsi="宋体" w:eastAsia="宋体" w:cs="宋体"/>
                <w:color w:val="000000" w:themeColor="text1"/>
                <w:sz w:val="21"/>
                <w:szCs w:val="21"/>
                <w14:textFill>
                  <w14:solidFill>
                    <w14:schemeClr w14:val="tx1"/>
                  </w14:solidFill>
                </w14:textFill>
              </w:rPr>
            </w:pPr>
          </w:p>
        </w:tc>
        <w:tc>
          <w:tcPr>
            <w:tcW w:w="404" w:type="pct"/>
            <w:vMerge w:val="continue"/>
            <w:vAlign w:val="center"/>
          </w:tcPr>
          <w:p w14:paraId="6E77B7E0">
            <w:pPr>
              <w:pStyle w:val="210"/>
              <w:rPr>
                <w:rFonts w:hint="eastAsia" w:ascii="宋体" w:hAnsi="宋体" w:eastAsia="宋体" w:cs="宋体"/>
                <w:color w:val="000000" w:themeColor="text1"/>
                <w:sz w:val="21"/>
                <w:szCs w:val="21"/>
                <w14:textFill>
                  <w14:solidFill>
                    <w14:schemeClr w14:val="tx1"/>
                  </w14:solidFill>
                </w14:textFill>
              </w:rPr>
            </w:pPr>
          </w:p>
        </w:tc>
        <w:tc>
          <w:tcPr>
            <w:tcW w:w="361" w:type="pct"/>
            <w:vMerge w:val="continue"/>
            <w:vAlign w:val="center"/>
          </w:tcPr>
          <w:p w14:paraId="01D5FE45">
            <w:pPr>
              <w:pStyle w:val="210"/>
              <w:rPr>
                <w:rFonts w:hint="eastAsia" w:ascii="宋体" w:hAnsi="宋体" w:eastAsia="宋体" w:cs="宋体"/>
                <w:color w:val="000000" w:themeColor="text1"/>
                <w:sz w:val="21"/>
                <w:szCs w:val="21"/>
                <w14:textFill>
                  <w14:solidFill>
                    <w14:schemeClr w14:val="tx1"/>
                  </w14:solidFill>
                </w14:textFill>
              </w:rPr>
            </w:pPr>
          </w:p>
        </w:tc>
        <w:tc>
          <w:tcPr>
            <w:tcW w:w="459" w:type="pct"/>
            <w:vMerge w:val="continue"/>
            <w:vAlign w:val="center"/>
          </w:tcPr>
          <w:p w14:paraId="09885424">
            <w:pPr>
              <w:pStyle w:val="210"/>
              <w:rPr>
                <w:rFonts w:hint="eastAsia" w:ascii="宋体" w:hAnsi="宋体" w:eastAsia="宋体" w:cs="宋体"/>
                <w:color w:val="000000" w:themeColor="text1"/>
                <w:sz w:val="21"/>
                <w:szCs w:val="21"/>
                <w14:textFill>
                  <w14:solidFill>
                    <w14:schemeClr w14:val="tx1"/>
                  </w14:solidFill>
                </w14:textFill>
              </w:rPr>
            </w:pPr>
          </w:p>
        </w:tc>
        <w:tc>
          <w:tcPr>
            <w:tcW w:w="479" w:type="pct"/>
            <w:vMerge w:val="continue"/>
            <w:vAlign w:val="center"/>
          </w:tcPr>
          <w:p w14:paraId="4E10AFF6">
            <w:pPr>
              <w:pStyle w:val="210"/>
              <w:rPr>
                <w:rFonts w:hint="eastAsia" w:ascii="宋体" w:hAnsi="宋体" w:eastAsia="宋体" w:cs="宋体"/>
                <w:color w:val="000000" w:themeColor="text1"/>
                <w:sz w:val="21"/>
                <w:szCs w:val="21"/>
                <w14:textFill>
                  <w14:solidFill>
                    <w14:schemeClr w14:val="tx1"/>
                  </w14:solidFill>
                </w14:textFill>
              </w:rPr>
            </w:pPr>
          </w:p>
        </w:tc>
        <w:tc>
          <w:tcPr>
            <w:tcW w:w="569" w:type="pct"/>
            <w:vMerge w:val="continue"/>
            <w:vAlign w:val="center"/>
          </w:tcPr>
          <w:p w14:paraId="713B5AC1">
            <w:pPr>
              <w:pStyle w:val="210"/>
              <w:rPr>
                <w:rFonts w:hint="eastAsia" w:ascii="宋体" w:hAnsi="宋体" w:eastAsia="宋体" w:cs="宋体"/>
                <w:color w:val="000000" w:themeColor="text1"/>
                <w:sz w:val="21"/>
                <w:szCs w:val="21"/>
                <w14:textFill>
                  <w14:solidFill>
                    <w14:schemeClr w14:val="tx1"/>
                  </w14:solidFill>
                </w14:textFill>
              </w:rPr>
            </w:pPr>
          </w:p>
        </w:tc>
        <w:tc>
          <w:tcPr>
            <w:tcW w:w="487" w:type="pct"/>
            <w:vMerge w:val="continue"/>
            <w:vAlign w:val="center"/>
          </w:tcPr>
          <w:p w14:paraId="0D158C56">
            <w:pPr>
              <w:pStyle w:val="210"/>
              <w:rPr>
                <w:rFonts w:hint="eastAsia" w:ascii="宋体" w:hAnsi="宋体" w:eastAsia="宋体" w:cs="宋体"/>
                <w:color w:val="000000" w:themeColor="text1"/>
                <w:sz w:val="21"/>
                <w:szCs w:val="21"/>
                <w14:textFill>
                  <w14:solidFill>
                    <w14:schemeClr w14:val="tx1"/>
                  </w14:solidFill>
                </w14:textFill>
              </w:rPr>
            </w:pPr>
          </w:p>
        </w:tc>
        <w:tc>
          <w:tcPr>
            <w:tcW w:w="406" w:type="pct"/>
            <w:vMerge w:val="continue"/>
            <w:vAlign w:val="center"/>
          </w:tcPr>
          <w:p w14:paraId="0EB57A37">
            <w:pPr>
              <w:pStyle w:val="210"/>
              <w:rPr>
                <w:rFonts w:hint="eastAsia" w:ascii="宋体" w:hAnsi="宋体" w:eastAsia="宋体" w:cs="宋体"/>
                <w:color w:val="000000" w:themeColor="text1"/>
                <w:sz w:val="21"/>
                <w:szCs w:val="21"/>
                <w14:textFill>
                  <w14:solidFill>
                    <w14:schemeClr w14:val="tx1"/>
                  </w14:solidFill>
                </w14:textFill>
              </w:rPr>
            </w:pPr>
          </w:p>
        </w:tc>
        <w:tc>
          <w:tcPr>
            <w:tcW w:w="291" w:type="pct"/>
            <w:vMerge w:val="continue"/>
            <w:vAlign w:val="center"/>
          </w:tcPr>
          <w:p w14:paraId="631E4195">
            <w:pPr>
              <w:pStyle w:val="210"/>
              <w:rPr>
                <w:rFonts w:hint="eastAsia" w:ascii="宋体" w:hAnsi="宋体" w:eastAsia="宋体" w:cs="宋体"/>
                <w:color w:val="000000" w:themeColor="text1"/>
                <w:sz w:val="21"/>
                <w:szCs w:val="21"/>
                <w14:textFill>
                  <w14:solidFill>
                    <w14:schemeClr w14:val="tx1"/>
                  </w14:solidFill>
                </w14:textFill>
              </w:rPr>
            </w:pPr>
          </w:p>
        </w:tc>
      </w:tr>
    </w:tbl>
    <w:p w14:paraId="58CF8D78">
      <w:pPr>
        <w:pStyle w:val="120"/>
        <w:rPr>
          <w:rFonts w:hint="eastAsia"/>
          <w:color w:val="000000" w:themeColor="text1"/>
          <w:lang w:val="en-US"/>
          <w14:textFill>
            <w14:solidFill>
              <w14:schemeClr w14:val="tx1"/>
            </w14:solidFill>
          </w14:textFill>
        </w:rPr>
      </w:pPr>
      <w:r>
        <w:rPr>
          <w:rFonts w:hint="eastAsia"/>
          <w:color w:val="000000" w:themeColor="text1"/>
          <w14:textFill>
            <w14:solidFill>
              <w14:schemeClr w14:val="tx1"/>
            </w14:solidFill>
          </w14:textFill>
        </w:rPr>
        <w:t>拟部署井位置及各类管线走向见图3.2-</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w:t>
      </w:r>
    </w:p>
    <w:p w14:paraId="2D731FD1">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p>
    <w:p w14:paraId="34986BFE">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7" w:charSpace="0"/>
        </w:sectPr>
      </w:pPr>
    </w:p>
    <w:p w14:paraId="5673CBA9">
      <w:pPr>
        <w:widowControl/>
        <w:adjustRightInd w:val="0"/>
        <w:snapToGrid w:val="0"/>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drawing>
          <wp:inline distT="0" distB="0" distL="114300" distR="114300">
            <wp:extent cx="8849995" cy="5013960"/>
            <wp:effectExtent l="9525" t="9525" r="17780" b="24765"/>
            <wp:docPr id="115" name="图片 115" descr="管线走向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管线走向图"/>
                    <pic:cNvPicPr>
                      <a:picLocks noChangeAspect="1"/>
                    </pic:cNvPicPr>
                  </pic:nvPicPr>
                  <pic:blipFill>
                    <a:blip r:embed="rId42"/>
                    <a:stretch>
                      <a:fillRect/>
                    </a:stretch>
                  </pic:blipFill>
                  <pic:spPr>
                    <a:xfrm>
                      <a:off x="0" y="0"/>
                      <a:ext cx="8849995" cy="5013960"/>
                    </a:xfrm>
                    <a:prstGeom prst="rect">
                      <a:avLst/>
                    </a:prstGeom>
                    <a:ln>
                      <a:solidFill>
                        <a:schemeClr val="tx1"/>
                      </a:solidFill>
                    </a:ln>
                  </pic:spPr>
                </pic:pic>
              </a:graphicData>
            </a:graphic>
          </wp:inline>
        </w:drawing>
      </w:r>
    </w:p>
    <w:p w14:paraId="3358EAD0">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sectPr>
          <w:pgSz w:w="16838" w:h="11906" w:orient="landscape"/>
          <w:pgMar w:top="1588" w:right="1418" w:bottom="1588" w:left="1418" w:header="1020" w:footer="1020" w:gutter="0"/>
          <w:cols w:space="720" w:num="1"/>
          <w:docGrid w:type="lines" w:linePitch="317" w:charSpace="0"/>
        </w:sectPr>
      </w:pPr>
      <w:r>
        <w:rPr>
          <w:rFonts w:hint="eastAsia" w:ascii="黑体" w:hAnsi="黑体" w:eastAsia="黑体"/>
          <w:color w:val="000000" w:themeColor="text1"/>
          <w14:textFill>
            <w14:solidFill>
              <w14:schemeClr w14:val="tx1"/>
            </w14:solidFill>
          </w14:textFill>
        </w:rPr>
        <w:t>图3.2-</w:t>
      </w:r>
      <w:r>
        <w:rPr>
          <w:rFonts w:hint="eastAsia" w:ascii="黑体" w:hAnsi="黑体" w:eastAsia="黑体"/>
          <w:color w:val="000000" w:themeColor="text1"/>
          <w:lang w:val="en-US" w:eastAsia="zh-CN"/>
          <w14:textFill>
            <w14:solidFill>
              <w14:schemeClr w14:val="tx1"/>
            </w14:solidFill>
          </w14:textFill>
        </w:rPr>
        <w:t>9</w:t>
      </w:r>
      <w:r>
        <w:rPr>
          <w:rFonts w:hint="eastAsia" w:ascii="黑体" w:hAnsi="黑体" w:eastAsia="黑体"/>
          <w:color w:val="000000" w:themeColor="text1"/>
          <w14:textFill>
            <w14:solidFill>
              <w14:schemeClr w14:val="tx1"/>
            </w14:solidFill>
          </w14:textFill>
        </w:rPr>
        <w:t xml:space="preserve">  拟部署井位置和各类管线走向示意图</w:t>
      </w:r>
    </w:p>
    <w:p w14:paraId="7534EDEC">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⑥</w:t>
      </w:r>
      <w:r>
        <w:rPr>
          <w:rFonts w:hint="eastAsia"/>
          <w:color w:val="000000" w:themeColor="text1"/>
          <w14:textFill>
            <w14:solidFill>
              <w14:schemeClr w14:val="tx1"/>
            </w14:solidFill>
          </w14:textFill>
        </w:rPr>
        <w:t>各井进站情况</w:t>
      </w:r>
    </w:p>
    <w:p w14:paraId="0A98781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各井进站情况见表3.2-17。</w:t>
      </w:r>
    </w:p>
    <w:p w14:paraId="1642C512">
      <w:pPr>
        <w:widowControl/>
        <w:adjustRightInd w:val="0"/>
        <w:snapToGrid w:val="0"/>
        <w:spacing w:line="500" w:lineRule="exact"/>
        <w:ind w:firstLine="480"/>
        <w:jc w:val="center"/>
        <w:rPr>
          <w:rFonts w:hint="eastAsia"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表3.2-17  各井进站情况一览表</w:t>
      </w:r>
    </w:p>
    <w:tbl>
      <w:tblPr>
        <w:tblStyle w:val="41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80"/>
        <w:gridCol w:w="2180"/>
        <w:gridCol w:w="2180"/>
        <w:gridCol w:w="2180"/>
      </w:tblGrid>
      <w:tr w14:paraId="670D6D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80" w:type="dxa"/>
            <w:vMerge w:val="restart"/>
            <w:vAlign w:val="center"/>
          </w:tcPr>
          <w:p w14:paraId="1A8F136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站号</w:t>
            </w:r>
          </w:p>
        </w:tc>
        <w:tc>
          <w:tcPr>
            <w:tcW w:w="4360" w:type="dxa"/>
            <w:gridSpan w:val="2"/>
            <w:vAlign w:val="center"/>
          </w:tcPr>
          <w:p w14:paraId="7DE8951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空头数</w:t>
            </w:r>
          </w:p>
        </w:tc>
        <w:tc>
          <w:tcPr>
            <w:tcW w:w="2180" w:type="dxa"/>
            <w:vMerge w:val="restart"/>
            <w:vAlign w:val="center"/>
          </w:tcPr>
          <w:p w14:paraId="3639EB8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拟接入井</w:t>
            </w:r>
          </w:p>
        </w:tc>
      </w:tr>
      <w:tr w14:paraId="632B09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80" w:type="dxa"/>
            <w:vMerge w:val="continue"/>
            <w:vAlign w:val="center"/>
          </w:tcPr>
          <w:p w14:paraId="093AA141">
            <w:pPr>
              <w:pStyle w:val="280"/>
              <w:spacing w:line="300" w:lineRule="exact"/>
              <w:rPr>
                <w:rFonts w:hint="eastAsia"/>
                <w:color w:val="000000" w:themeColor="text1"/>
                <w14:textFill>
                  <w14:solidFill>
                    <w14:schemeClr w14:val="tx1"/>
                  </w14:solidFill>
                </w14:textFill>
              </w:rPr>
            </w:pPr>
          </w:p>
        </w:tc>
        <w:tc>
          <w:tcPr>
            <w:tcW w:w="2180" w:type="dxa"/>
            <w:vAlign w:val="center"/>
          </w:tcPr>
          <w:p w14:paraId="2948E22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油井空头（个）</w:t>
            </w:r>
          </w:p>
        </w:tc>
        <w:tc>
          <w:tcPr>
            <w:tcW w:w="2180" w:type="dxa"/>
            <w:vAlign w:val="center"/>
          </w:tcPr>
          <w:p w14:paraId="6C19AE9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掺水空头（个）</w:t>
            </w:r>
          </w:p>
        </w:tc>
        <w:tc>
          <w:tcPr>
            <w:tcW w:w="2180" w:type="dxa"/>
            <w:vMerge w:val="continue"/>
            <w:vAlign w:val="center"/>
          </w:tcPr>
          <w:p w14:paraId="304BB351">
            <w:pPr>
              <w:pStyle w:val="280"/>
              <w:spacing w:line="300" w:lineRule="exact"/>
              <w:rPr>
                <w:rFonts w:hint="eastAsia"/>
                <w:color w:val="000000" w:themeColor="text1"/>
                <w14:textFill>
                  <w14:solidFill>
                    <w14:schemeClr w14:val="tx1"/>
                  </w14:solidFill>
                </w14:textFill>
              </w:rPr>
            </w:pPr>
          </w:p>
        </w:tc>
      </w:tr>
      <w:tr w14:paraId="6BE4B4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80" w:type="dxa"/>
            <w:vAlign w:val="center"/>
          </w:tcPr>
          <w:p w14:paraId="0529EC8D">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号计量站</w:t>
            </w:r>
          </w:p>
        </w:tc>
        <w:tc>
          <w:tcPr>
            <w:tcW w:w="2180" w:type="dxa"/>
            <w:vAlign w:val="center"/>
          </w:tcPr>
          <w:p w14:paraId="346489F5">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9</w:t>
            </w:r>
          </w:p>
        </w:tc>
        <w:tc>
          <w:tcPr>
            <w:tcW w:w="2180" w:type="dxa"/>
            <w:vAlign w:val="center"/>
          </w:tcPr>
          <w:p w14:paraId="100D405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9</w:t>
            </w:r>
          </w:p>
        </w:tc>
        <w:tc>
          <w:tcPr>
            <w:tcW w:w="2180" w:type="dxa"/>
            <w:vAlign w:val="center"/>
          </w:tcPr>
          <w:p w14:paraId="676A1641">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JD6110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JD6089</w:t>
            </w:r>
          </w:p>
        </w:tc>
      </w:tr>
      <w:tr w14:paraId="293F53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80" w:type="dxa"/>
            <w:vAlign w:val="center"/>
          </w:tcPr>
          <w:p w14:paraId="3FFABEA0">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6</w:t>
            </w:r>
            <w:r>
              <w:rPr>
                <w:rFonts w:hint="eastAsia"/>
                <w:color w:val="000000" w:themeColor="text1"/>
                <w14:textFill>
                  <w14:solidFill>
                    <w14:schemeClr w14:val="tx1"/>
                  </w14:solidFill>
                </w14:textFill>
              </w:rPr>
              <w:t>号计量站</w:t>
            </w:r>
          </w:p>
        </w:tc>
        <w:tc>
          <w:tcPr>
            <w:tcW w:w="2180" w:type="dxa"/>
            <w:vAlign w:val="center"/>
          </w:tcPr>
          <w:p w14:paraId="116FD93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180" w:type="dxa"/>
            <w:vAlign w:val="center"/>
          </w:tcPr>
          <w:p w14:paraId="0AECEBB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180" w:type="dxa"/>
            <w:vAlign w:val="center"/>
          </w:tcPr>
          <w:p w14:paraId="3E1AE7E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JD6167</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JD6186</w:t>
            </w:r>
          </w:p>
        </w:tc>
      </w:tr>
      <w:tr w14:paraId="018946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80" w:type="dxa"/>
            <w:vAlign w:val="center"/>
          </w:tcPr>
          <w:p w14:paraId="7D6F38A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号计量站</w:t>
            </w:r>
          </w:p>
        </w:tc>
        <w:tc>
          <w:tcPr>
            <w:tcW w:w="2180" w:type="dxa"/>
            <w:vAlign w:val="center"/>
          </w:tcPr>
          <w:p w14:paraId="2EDD859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2180" w:type="dxa"/>
            <w:vAlign w:val="center"/>
          </w:tcPr>
          <w:p w14:paraId="035B7FD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2180" w:type="dxa"/>
            <w:vAlign w:val="center"/>
          </w:tcPr>
          <w:p w14:paraId="6843866F">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J6093A</w:t>
            </w:r>
          </w:p>
        </w:tc>
      </w:tr>
      <w:tr w14:paraId="7EAB2A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80" w:type="dxa"/>
            <w:vAlign w:val="center"/>
          </w:tcPr>
          <w:p w14:paraId="0A6D6D8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14</w:t>
            </w:r>
            <w:r>
              <w:rPr>
                <w:rFonts w:hint="eastAsia"/>
                <w:color w:val="000000" w:themeColor="text1"/>
                <w14:textFill>
                  <w14:solidFill>
                    <w14:schemeClr w14:val="tx1"/>
                  </w14:solidFill>
                </w14:textFill>
              </w:rPr>
              <w:t>号计量站</w:t>
            </w:r>
          </w:p>
        </w:tc>
        <w:tc>
          <w:tcPr>
            <w:tcW w:w="2180" w:type="dxa"/>
            <w:vAlign w:val="center"/>
          </w:tcPr>
          <w:p w14:paraId="230FAC1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180" w:type="dxa"/>
            <w:vAlign w:val="center"/>
          </w:tcPr>
          <w:p w14:paraId="2B49976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180" w:type="dxa"/>
            <w:vAlign w:val="center"/>
          </w:tcPr>
          <w:p w14:paraId="41413C18">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J9100A</w:t>
            </w:r>
            <w:r>
              <w:rPr>
                <w:rFonts w:hint="eastAsia"/>
                <w:color w:val="000000" w:themeColor="text1"/>
                <w14:textFill>
                  <w14:solidFill>
                    <w14:schemeClr w14:val="tx1"/>
                  </w14:solidFill>
                </w14:textFill>
              </w:rPr>
              <w:t>、</w:t>
            </w:r>
            <w:r>
              <w:rPr>
                <w:rFonts w:hint="eastAsia"/>
                <w:color w:val="000000" w:themeColor="text1"/>
                <w:lang w:bidi="ar"/>
                <w14:textFill>
                  <w14:solidFill>
                    <w14:schemeClr w14:val="tx1"/>
                  </w14:solidFill>
                </w14:textFill>
              </w:rPr>
              <w:t>JD8399A</w:t>
            </w:r>
          </w:p>
        </w:tc>
      </w:tr>
      <w:tr w14:paraId="03A8A8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80" w:type="dxa"/>
            <w:vAlign w:val="center"/>
          </w:tcPr>
          <w:p w14:paraId="0785187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19号计量站</w:t>
            </w:r>
          </w:p>
        </w:tc>
        <w:tc>
          <w:tcPr>
            <w:tcW w:w="2180" w:type="dxa"/>
            <w:vAlign w:val="center"/>
          </w:tcPr>
          <w:p w14:paraId="180754D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180" w:type="dxa"/>
            <w:vAlign w:val="center"/>
          </w:tcPr>
          <w:p w14:paraId="6C4E488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180" w:type="dxa"/>
            <w:vAlign w:val="center"/>
          </w:tcPr>
          <w:p w14:paraId="1241DC2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JD8664A</w:t>
            </w:r>
          </w:p>
        </w:tc>
      </w:tr>
    </w:tbl>
    <w:p w14:paraId="79DB2B8C">
      <w:pPr>
        <w:pStyle w:val="120"/>
        <w:adjustRightInd w:val="0"/>
        <w:snapToGrid w:val="0"/>
        <w:spacing w:line="240" w:lineRule="auto"/>
        <w:ind w:left="0" w:leftChars="0" w:firstLine="0" w:firstLineChars="0"/>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备注：本次拟建的8口产能井均接入井区已建计量站，其中6口采油井通过新建单井采油管线分别就近接入计量站油井空头，与单井采油管线同沟敷设的单井掺热水管线分别就近接入计量站掺水空头；吉祥联合站采出水处理系统处理的达标净化水一部分在吉祥联合站内加热后，通过</w:t>
      </w:r>
      <w:r>
        <w:rPr>
          <w:rFonts w:hint="eastAsia" w:ascii="宋体" w:hAnsi="宋体" w:eastAsia="宋体" w:cs="Times New Roman"/>
          <w:b/>
          <w:bCs/>
          <w:color w:val="000000" w:themeColor="text1"/>
          <w:sz w:val="21"/>
          <w:szCs w:val="21"/>
          <w:lang w:val="en-US" w:eastAsia="zh-CN"/>
          <w14:textFill>
            <w14:solidFill>
              <w14:schemeClr w14:val="tx1"/>
            </w14:solidFill>
          </w14:textFill>
        </w:rPr>
        <w:t>已建掺水管线管输至计量站，再通过新建单井掺热水管线将加热后的净化水管输至采油井口，在采油井口通过设置的阀门和管线与井口采出液进行混掺，混掺后的采出液与净化水一并通过单井采油管线输送至计量站，在计量站</w:t>
      </w:r>
      <w:r>
        <w:rPr>
          <w:rFonts w:hint="eastAsia"/>
          <w:b/>
          <w:bCs/>
          <w:color w:val="000000" w:themeColor="text1"/>
          <w:sz w:val="21"/>
          <w:szCs w:val="21"/>
          <w:lang w:val="en-US" w:eastAsia="zh-CN"/>
          <w14:textFill>
            <w14:solidFill>
              <w14:schemeClr w14:val="tx1"/>
            </w14:solidFill>
          </w14:textFill>
        </w:rPr>
        <w:t>进行计量后，通过计量站和吉祥联合站之间已建集输管线，将井口采出物管输至吉祥联合站进行处理。</w:t>
      </w:r>
      <w:r>
        <w:rPr>
          <w:rFonts w:hint="eastAsia" w:ascii="宋体" w:hAnsi="宋体" w:eastAsia="宋体" w:cs="Times New Roman"/>
          <w:b/>
          <w:bCs/>
          <w:color w:val="000000" w:themeColor="text1"/>
          <w:sz w:val="21"/>
          <w:szCs w:val="21"/>
          <w:lang w:val="en-US" w:eastAsia="zh-CN"/>
          <w14:textFill>
            <w14:solidFill>
              <w14:schemeClr w14:val="tx1"/>
            </w14:solidFill>
          </w14:textFill>
        </w:rPr>
        <w:t>吉祥联合站</w:t>
      </w:r>
      <w:r>
        <w:rPr>
          <w:rFonts w:hint="eastAsia"/>
          <w:b/>
          <w:bCs/>
          <w:color w:val="000000" w:themeColor="text1"/>
          <w:sz w:val="21"/>
          <w:szCs w:val="21"/>
          <w:lang w:val="en-US" w:eastAsia="zh-CN"/>
          <w14:textFill>
            <w14:solidFill>
              <w14:schemeClr w14:val="tx1"/>
            </w14:solidFill>
          </w14:textFill>
        </w:rPr>
        <w:t>采出水处理系统处理的达标净化水（未加热）通过已建注水管线管输至计量站配水装置，再通过本次新建的单井注水管线将达标净化水管输至注水井口，最终回注油藏。由于计量站在建设时，与之配套的油气集输管线和掺水管线均按照计量站满负荷运行设计，目前本项目拟接入计量站油井和掺水均有空头，本项目实施后，计量站仍有空头，未达到满负荷运行，故已建油气集输管线和掺水管线输送规模可以满足本项目需求。</w:t>
      </w:r>
    </w:p>
    <w:p w14:paraId="0737ED2F">
      <w:pPr>
        <w:pStyle w:val="120"/>
        <w:adjustRightInd w:val="0"/>
        <w:snapToGrid w:val="0"/>
        <w:ind w:firstLine="480"/>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储运工程</w:t>
      </w:r>
    </w:p>
    <w:p w14:paraId="7AF52F89">
      <w:pPr>
        <w:pStyle w:val="120"/>
        <w:adjustRightInd w:val="0"/>
        <w:snapToGrid w:val="0"/>
        <w:ind w:firstLine="480"/>
        <w:rPr>
          <w:rFonts w:hint="eastAsia"/>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施工期水基</w:t>
      </w:r>
      <w:r>
        <w:rPr>
          <w:rFonts w:hint="eastAsia" w:ascii="宋体" w:hAnsi="宋体" w:cs="宋体"/>
          <w:color w:val="000000" w:themeColor="text1"/>
          <w:sz w:val="24"/>
          <w:szCs w:val="24"/>
          <w14:textFill>
            <w14:solidFill>
              <w14:schemeClr w14:val="tx1"/>
            </w14:solidFill>
          </w14:textFill>
        </w:rPr>
        <w:t>钻井液、水基钻井岩屑</w:t>
      </w:r>
      <w:r>
        <w:rPr>
          <w:rFonts w:hint="eastAsia" w:ascii="宋体" w:hAnsi="宋体" w:cs="宋体"/>
          <w:color w:val="000000" w:themeColor="text1"/>
          <w:sz w:val="24"/>
          <w:szCs w:val="24"/>
          <w:lang w:val="en-US" w:eastAsia="zh-CN"/>
          <w14:textFill>
            <w14:solidFill>
              <w14:schemeClr w14:val="tx1"/>
            </w14:solidFill>
          </w14:textFill>
        </w:rPr>
        <w:t>和</w:t>
      </w:r>
      <w:r>
        <w:rPr>
          <w:rFonts w:hint="eastAsia" w:ascii="宋体" w:hAnsi="宋体" w:cs="宋体"/>
          <w:color w:val="000000" w:themeColor="text1"/>
          <w:sz w:val="24"/>
          <w:szCs w:val="24"/>
          <w14:textFill>
            <w14:solidFill>
              <w14:schemeClr w14:val="tx1"/>
            </w14:solidFill>
          </w14:textFill>
        </w:rPr>
        <w:t>柴油等均为罐装，储罐区底部铺设有防渗膜；其他施工材料在井场专门区域（材料房、材料爬犁、化工爬犁）堆放。钻井井场设置柴油储罐区（1座</w:t>
      </w:r>
      <w:r>
        <w:rPr>
          <w:rFonts w:ascii="宋体" w:hAnsi="宋体" w:cs="宋体"/>
          <w:color w:val="000000" w:themeColor="text1"/>
          <w:sz w:val="24"/>
          <w:szCs w:val="24"/>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0m</w:t>
      </w:r>
      <w:r>
        <w:rPr>
          <w:rFonts w:ascii="宋体" w:hAnsi="宋体" w:cs="宋体"/>
          <w:color w:val="000000" w:themeColor="text1"/>
          <w:sz w:val="24"/>
          <w:szCs w:val="24"/>
          <w:vertAlign w:val="superscript"/>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柴油储罐）、1座2</w:t>
      </w:r>
      <w:r>
        <w:rPr>
          <w:rFonts w:ascii="宋体" w:hAnsi="宋体" w:cs="宋体"/>
          <w:color w:val="000000" w:themeColor="text1"/>
          <w:sz w:val="24"/>
          <w:szCs w:val="24"/>
          <w14:textFill>
            <w14:solidFill>
              <w14:schemeClr w14:val="tx1"/>
            </w14:solidFill>
          </w14:textFill>
        </w:rPr>
        <w:t>0</w:t>
      </w:r>
      <w:r>
        <w:rPr>
          <w:rFonts w:hint="eastAsia" w:ascii="宋体" w:hAnsi="宋体" w:cs="宋体"/>
          <w:color w:val="000000" w:themeColor="text1"/>
          <w:sz w:val="24"/>
          <w:szCs w:val="24"/>
          <w14:textFill>
            <w14:solidFill>
              <w14:schemeClr w14:val="tx1"/>
            </w14:solidFill>
          </w14:textFill>
        </w:rPr>
        <w:t>m</w:t>
      </w:r>
      <w:r>
        <w:rPr>
          <w:rFonts w:ascii="宋体" w:hAnsi="宋体" w:cs="宋体"/>
          <w:color w:val="000000" w:themeColor="text1"/>
          <w:sz w:val="24"/>
          <w:szCs w:val="24"/>
          <w:vertAlign w:val="superscript"/>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的储水罐，设置钻井液储罐区（</w:t>
      </w:r>
      <w:r>
        <w:rPr>
          <w:rFonts w:hint="eastAsia" w:ascii="宋体" w:hAnsi="宋体" w:cs="宋体"/>
          <w:color w:val="000000" w:themeColor="text1"/>
          <w:sz w:val="24"/>
          <w:szCs w:val="24"/>
          <w:lang w:val="en-US" w:eastAsia="zh-CN"/>
          <w14:textFill>
            <w14:solidFill>
              <w14:schemeClr w14:val="tx1"/>
            </w14:solidFill>
          </w14:textFill>
        </w:rPr>
        <w:t>4</w:t>
      </w:r>
      <w:r>
        <w:rPr>
          <w:rFonts w:hint="eastAsia" w:ascii="宋体" w:hAnsi="宋体" w:cs="宋体"/>
          <w:color w:val="000000" w:themeColor="text1"/>
          <w:sz w:val="24"/>
          <w:szCs w:val="24"/>
          <w14:textFill>
            <w14:solidFill>
              <w14:schemeClr w14:val="tx1"/>
            </w14:solidFill>
          </w14:textFill>
        </w:rPr>
        <w:t>座5</w:t>
      </w:r>
      <w:r>
        <w:rPr>
          <w:rFonts w:ascii="宋体" w:hAnsi="宋体" w:cs="宋体"/>
          <w:color w:val="000000" w:themeColor="text1"/>
          <w:sz w:val="24"/>
          <w:szCs w:val="24"/>
          <w14:textFill>
            <w14:solidFill>
              <w14:schemeClr w14:val="tx1"/>
            </w14:solidFill>
          </w14:textFill>
        </w:rPr>
        <w:t>0</w:t>
      </w:r>
      <w:r>
        <w:rPr>
          <w:rFonts w:hint="eastAsia" w:ascii="宋体" w:hAnsi="宋体" w:cs="宋体"/>
          <w:color w:val="000000" w:themeColor="text1"/>
          <w:sz w:val="24"/>
          <w:szCs w:val="24"/>
          <w14:textFill>
            <w14:solidFill>
              <w14:schemeClr w14:val="tx1"/>
            </w14:solidFill>
          </w14:textFill>
        </w:rPr>
        <w:t>m</w:t>
      </w:r>
      <w:r>
        <w:rPr>
          <w:rFonts w:ascii="宋体" w:hAnsi="宋体" w:cs="宋体"/>
          <w:color w:val="000000" w:themeColor="text1"/>
          <w:sz w:val="24"/>
          <w:szCs w:val="24"/>
          <w:vertAlign w:val="superscript"/>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的钻井液储罐，容积不小于</w:t>
      </w:r>
      <w:r>
        <w:rPr>
          <w:rFonts w:hint="eastAsia" w:ascii="宋体" w:hAnsi="宋体" w:cs="宋体"/>
          <w:color w:val="000000" w:themeColor="text1"/>
          <w:sz w:val="24"/>
          <w:szCs w:val="24"/>
          <w:lang w:val="en-US" w:eastAsia="zh-CN"/>
          <w14:textFill>
            <w14:solidFill>
              <w14:schemeClr w14:val="tx1"/>
            </w14:solidFill>
          </w14:textFill>
        </w:rPr>
        <w:t>20</w:t>
      </w:r>
      <w:r>
        <w:rPr>
          <w:rFonts w:hint="eastAsia" w:ascii="宋体" w:hAnsi="宋体" w:cs="宋体"/>
          <w:color w:val="000000" w:themeColor="text1"/>
          <w:sz w:val="24"/>
          <w:szCs w:val="24"/>
          <w14:textFill>
            <w14:solidFill>
              <w14:schemeClr w14:val="tx1"/>
            </w14:solidFill>
          </w14:textFill>
        </w:rPr>
        <w:t>0m</w:t>
      </w:r>
      <w:r>
        <w:rPr>
          <w:rFonts w:ascii="宋体" w:hAnsi="宋体" w:cs="宋体"/>
          <w:color w:val="000000" w:themeColor="text1"/>
          <w:sz w:val="24"/>
          <w:szCs w:val="24"/>
          <w:vertAlign w:val="superscript"/>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w:t>
      </w:r>
      <w:r>
        <w:rPr>
          <w:rFonts w:hint="eastAsia" w:ascii="宋体" w:hAnsi="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14:textFill>
            <w14:solidFill>
              <w14:schemeClr w14:val="tx1"/>
            </w14:solidFill>
          </w14:textFill>
        </w:rPr>
        <w:t>4座2</w:t>
      </w:r>
      <w:r>
        <w:rPr>
          <w:rFonts w:ascii="宋体" w:hAnsi="宋体" w:cs="宋体"/>
          <w:color w:val="000000" w:themeColor="text1"/>
          <w:sz w:val="24"/>
          <w:szCs w:val="24"/>
          <w14:textFill>
            <w14:solidFill>
              <w14:schemeClr w14:val="tx1"/>
            </w14:solidFill>
          </w14:textFill>
        </w:rPr>
        <w:t>5</w:t>
      </w:r>
      <w:r>
        <w:rPr>
          <w:rFonts w:hint="eastAsia" w:ascii="宋体" w:hAnsi="宋体" w:cs="宋体"/>
          <w:color w:val="000000" w:themeColor="text1"/>
          <w:sz w:val="24"/>
          <w:szCs w:val="24"/>
          <w14:textFill>
            <w14:solidFill>
              <w14:schemeClr w14:val="tx1"/>
            </w14:solidFill>
          </w14:textFill>
        </w:rPr>
        <w:t>m</w:t>
      </w:r>
      <w:r>
        <w:rPr>
          <w:rFonts w:ascii="宋体" w:hAnsi="宋体" w:cs="宋体"/>
          <w:color w:val="000000" w:themeColor="text1"/>
          <w:sz w:val="24"/>
          <w:szCs w:val="24"/>
          <w:vertAlign w:val="superscript"/>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的水基</w:t>
      </w:r>
      <w:r>
        <w:rPr>
          <w:rFonts w:hint="eastAsia" w:ascii="宋体" w:hAnsi="宋体" w:cs="宋体"/>
          <w:color w:val="000000" w:themeColor="text1"/>
          <w:sz w:val="24"/>
          <w:szCs w:val="24"/>
          <w:lang w:val="en-US" w:eastAsia="zh-CN"/>
          <w14:textFill>
            <w14:solidFill>
              <w14:schemeClr w14:val="tx1"/>
            </w14:solidFill>
          </w14:textFill>
        </w:rPr>
        <w:t>钻井</w:t>
      </w:r>
      <w:r>
        <w:rPr>
          <w:rFonts w:hint="eastAsia" w:ascii="宋体" w:hAnsi="宋体" w:cs="宋体"/>
          <w:color w:val="000000" w:themeColor="text1"/>
          <w:sz w:val="24"/>
          <w:szCs w:val="24"/>
          <w14:textFill>
            <w14:solidFill>
              <w14:schemeClr w14:val="tx1"/>
            </w14:solidFill>
          </w14:textFill>
        </w:rPr>
        <w:t>岩屑储罐</w:t>
      </w:r>
      <w:r>
        <w:rPr>
          <w:rFonts w:hint="eastAsia" w:ascii="宋体" w:hAnsi="宋体" w:cs="宋体"/>
          <w:color w:val="000000" w:themeColor="text1"/>
          <w:sz w:val="24"/>
          <w:szCs w:val="24"/>
          <w:lang w:val="en-US" w:eastAsia="zh-CN"/>
          <w14:textFill>
            <w14:solidFill>
              <w14:schemeClr w14:val="tx1"/>
            </w14:solidFill>
          </w14:textFill>
        </w:rPr>
        <w:t>和</w:t>
      </w:r>
      <w:r>
        <w:rPr>
          <w:rFonts w:hint="eastAsia" w:ascii="宋体" w:hAnsi="宋体" w:cs="宋体"/>
          <w:color w:val="000000" w:themeColor="text1"/>
          <w:sz w:val="24"/>
          <w:szCs w:val="24"/>
          <w14:textFill>
            <w14:solidFill>
              <w14:schemeClr w14:val="tx1"/>
            </w14:solidFill>
          </w14:textFill>
        </w:rPr>
        <w:t>1座20m</w:t>
      </w:r>
      <w:r>
        <w:rPr>
          <w:rFonts w:ascii="宋体" w:hAnsi="宋体" w:cs="宋体"/>
          <w:color w:val="000000" w:themeColor="text1"/>
          <w:sz w:val="24"/>
          <w:szCs w:val="24"/>
          <w:vertAlign w:val="superscript"/>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的</w:t>
      </w:r>
      <w:r>
        <w:rPr>
          <w:rFonts w:hint="eastAsia" w:ascii="宋体" w:hAnsi="宋体" w:cs="宋体"/>
          <w:color w:val="000000" w:themeColor="text1"/>
          <w:sz w:val="24"/>
          <w:szCs w:val="24"/>
          <w:lang w:val="en-US" w:eastAsia="zh-CN"/>
          <w14:textFill>
            <w14:solidFill>
              <w14:schemeClr w14:val="tx1"/>
            </w14:solidFill>
          </w14:textFill>
        </w:rPr>
        <w:t>压裂返排液</w:t>
      </w:r>
      <w:r>
        <w:rPr>
          <w:rFonts w:hint="eastAsia" w:ascii="宋体" w:hAnsi="宋体" w:cs="宋体"/>
          <w:color w:val="000000" w:themeColor="text1"/>
          <w:sz w:val="24"/>
          <w:szCs w:val="24"/>
          <w14:textFill>
            <w14:solidFill>
              <w14:schemeClr w14:val="tx1"/>
            </w14:solidFill>
          </w14:textFill>
        </w:rPr>
        <w:t>储罐</w:t>
      </w:r>
      <w:r>
        <w:rPr>
          <w:rFonts w:hint="eastAsia" w:ascii="宋体" w:hAnsi="宋体" w:cs="宋体"/>
          <w:color w:val="000000" w:themeColor="text1"/>
          <w:sz w:val="24"/>
          <w:szCs w:val="24"/>
          <w:lang w:eastAsia="zh-CN"/>
          <w14:textFill>
            <w14:solidFill>
              <w14:schemeClr w14:val="tx1"/>
            </w14:solidFill>
          </w14:textFill>
        </w:rPr>
        <w:t>。</w:t>
      </w:r>
    </w:p>
    <w:p w14:paraId="0E88CAC7">
      <w:pPr>
        <w:pStyle w:val="120"/>
        <w:adjustRightInd w:val="0"/>
        <w:snapToGrid w:val="0"/>
        <w:ind w:firstLine="480"/>
        <w:rPr>
          <w:rFonts w:hint="eastAsia"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bidi="ar"/>
          <w14:textFill>
            <w14:solidFill>
              <w14:schemeClr w14:val="tx1"/>
            </w14:solidFill>
          </w14:textFill>
        </w:rPr>
        <w:t>运营期</w:t>
      </w:r>
      <w:r>
        <w:rPr>
          <w:rFonts w:hint="eastAsia" w:ascii="宋体" w:hAnsi="宋体" w:cs="宋体"/>
          <w:color w:val="000000" w:themeColor="text1"/>
          <w:sz w:val="24"/>
          <w:szCs w:val="24"/>
          <w:lang w:val="en-US" w:eastAsia="zh-CN"/>
          <w14:textFill>
            <w14:solidFill>
              <w14:schemeClr w14:val="tx1"/>
            </w14:solidFill>
          </w14:textFill>
        </w:rPr>
        <w:t>井下作业过程中带罐作业，</w:t>
      </w:r>
      <w:r>
        <w:rPr>
          <w:rFonts w:hint="eastAsia" w:ascii="宋体" w:hAnsi="宋体" w:cs="宋体"/>
          <w:color w:val="000000" w:themeColor="text1"/>
          <w:sz w:val="24"/>
          <w:szCs w:val="24"/>
          <w14:textFill>
            <w14:solidFill>
              <w14:schemeClr w14:val="tx1"/>
            </w14:solidFill>
          </w14:textFill>
        </w:rPr>
        <w:t>设置1座</w:t>
      </w:r>
      <w:r>
        <w:rPr>
          <w:rFonts w:hint="eastAsia" w:ascii="宋体" w:hAnsi="宋体" w:cs="宋体"/>
          <w:color w:val="000000" w:themeColor="text1"/>
          <w:sz w:val="24"/>
          <w:szCs w:val="24"/>
          <w:lang w:val="en-US" w:eastAsia="zh-CN"/>
          <w14:textFill>
            <w14:solidFill>
              <w14:schemeClr w14:val="tx1"/>
            </w14:solidFill>
          </w14:textFill>
        </w:rPr>
        <w:t>30</w:t>
      </w:r>
      <w:r>
        <w:rPr>
          <w:rFonts w:hint="eastAsia" w:ascii="宋体" w:hAnsi="宋体" w:cs="宋体"/>
          <w:color w:val="000000" w:themeColor="text1"/>
          <w:sz w:val="24"/>
          <w:szCs w:val="24"/>
          <w14:textFill>
            <w14:solidFill>
              <w14:schemeClr w14:val="tx1"/>
            </w14:solidFill>
          </w14:textFill>
        </w:rPr>
        <w:t>m</w:t>
      </w:r>
      <w:r>
        <w:rPr>
          <w:rFonts w:ascii="宋体" w:hAnsi="宋体" w:cs="宋体"/>
          <w:color w:val="000000" w:themeColor="text1"/>
          <w:sz w:val="24"/>
          <w:szCs w:val="24"/>
          <w:vertAlign w:val="superscript"/>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的</w:t>
      </w:r>
      <w:r>
        <w:rPr>
          <w:rFonts w:hint="eastAsia" w:ascii="宋体" w:hAnsi="宋体" w:cs="宋体"/>
          <w:color w:val="000000" w:themeColor="text1"/>
          <w:sz w:val="24"/>
          <w:szCs w:val="24"/>
          <w:lang w:val="en-US" w:eastAsia="zh-CN"/>
          <w14:textFill>
            <w14:solidFill>
              <w14:schemeClr w14:val="tx1"/>
            </w14:solidFill>
          </w14:textFill>
        </w:rPr>
        <w:t>罐车，用来暂存</w:t>
      </w:r>
      <w:r>
        <w:rPr>
          <w:rFonts w:hint="eastAsia"/>
          <w:color w:val="000000" w:themeColor="text1"/>
          <w:sz w:val="24"/>
          <w:szCs w:val="24"/>
          <w:lang w:bidi="ar"/>
          <w14:textFill>
            <w14:solidFill>
              <w14:schemeClr w14:val="tx1"/>
            </w14:solidFill>
          </w14:textFill>
        </w:rPr>
        <w:t>洗井废水</w:t>
      </w:r>
      <w:r>
        <w:rPr>
          <w:rFonts w:hint="eastAsia"/>
          <w:color w:val="000000" w:themeColor="text1"/>
          <w:sz w:val="24"/>
          <w:szCs w:val="24"/>
          <w:lang w:val="en-US" w:eastAsia="zh-CN" w:bidi="ar"/>
          <w14:textFill>
            <w14:solidFill>
              <w14:schemeClr w14:val="tx1"/>
            </w14:solidFill>
          </w14:textFill>
        </w:rPr>
        <w:t>和</w:t>
      </w:r>
      <w:r>
        <w:rPr>
          <w:rFonts w:hint="eastAsia"/>
          <w:color w:val="000000" w:themeColor="text1"/>
          <w:sz w:val="24"/>
          <w:szCs w:val="24"/>
          <w:lang w:bidi="ar"/>
          <w14:textFill>
            <w14:solidFill>
              <w14:schemeClr w14:val="tx1"/>
            </w14:solidFill>
          </w14:textFill>
        </w:rPr>
        <w:t>井下作业废液</w:t>
      </w:r>
      <w:r>
        <w:rPr>
          <w:rFonts w:hint="eastAsia" w:cs="宋体"/>
          <w:color w:val="000000" w:themeColor="text1"/>
          <w:sz w:val="24"/>
          <w:szCs w:val="24"/>
          <w:lang w:eastAsia="zh-CN"/>
          <w14:textFill>
            <w14:solidFill>
              <w14:schemeClr w14:val="tx1"/>
            </w14:solidFill>
          </w14:textFill>
        </w:rPr>
        <w:t>。</w:t>
      </w:r>
    </w:p>
    <w:p w14:paraId="786477B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）公</w:t>
      </w:r>
      <w:r>
        <w:rPr>
          <w:rFonts w:hint="eastAsia"/>
          <w:color w:val="000000" w:themeColor="text1"/>
          <w:lang w:val="en-US" w:eastAsia="zh-CN"/>
          <w14:textFill>
            <w14:solidFill>
              <w14:schemeClr w14:val="tx1"/>
            </w14:solidFill>
          </w14:textFill>
        </w:rPr>
        <w:t>用</w:t>
      </w:r>
      <w:r>
        <w:rPr>
          <w:rFonts w:hint="eastAsia"/>
          <w:color w:val="000000" w:themeColor="text1"/>
          <w14:textFill>
            <w14:solidFill>
              <w14:schemeClr w14:val="tx1"/>
            </w14:solidFill>
          </w14:textFill>
        </w:rPr>
        <w:t>工程</w:t>
      </w:r>
    </w:p>
    <w:p w14:paraId="415274F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①供配电</w:t>
      </w:r>
    </w:p>
    <w:p w14:paraId="135ED3F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油井场用电负荷等级为二级，其余为三级负荷，电压等级为0.38/0.22kV，电源引自就近新建10kV线路，新建10kV架空线路约5km，导线采用3×JKLGYJ-120/25。10kV线路电杆主导杆型采用梢径190mm、长12m的锥形非预应力砼电杆，跨越杆采用梢径190mm、长15m的锥形非预应力砼电杆。电力消耗59.46×</w:t>
      </w:r>
      <w:r>
        <w:rPr>
          <w:color w:val="000000" w:themeColor="text1"/>
          <w:lang w:val="en-US"/>
          <w14:textFill>
            <w14:solidFill>
              <w14:schemeClr w14:val="tx1"/>
            </w14:solidFill>
          </w14:textFill>
        </w:rPr>
        <w:t>10</w:t>
      </w:r>
      <w:r>
        <w:rPr>
          <w:color w:val="000000" w:themeColor="text1"/>
          <w:vertAlign w:val="superscript"/>
          <w:lang w:val="en-US"/>
          <w14:textFill>
            <w14:solidFill>
              <w14:schemeClr w14:val="tx1"/>
            </w14:solidFill>
          </w14:textFill>
        </w:rPr>
        <w:t>4</w:t>
      </w:r>
      <w:r>
        <w:rPr>
          <w:color w:val="000000" w:themeColor="text1"/>
          <w:lang w:val="en-US"/>
          <w14:textFill>
            <w14:solidFill>
              <w14:schemeClr w14:val="tx1"/>
            </w14:solidFill>
          </w14:textFill>
        </w:rPr>
        <w:t>kW</w:t>
      </w:r>
      <w:r>
        <w:rPr>
          <w:rFonts w:ascii="Times New Roman" w:hAnsi="Times New Roman"/>
          <w:color w:val="000000" w:themeColor="text1"/>
          <w:lang w:val="en-US"/>
          <w14:textFill>
            <w14:solidFill>
              <w14:schemeClr w14:val="tx1"/>
            </w14:solidFill>
          </w14:textFill>
        </w:rPr>
        <w:t>▪</w:t>
      </w:r>
      <w:r>
        <w:rPr>
          <w:color w:val="000000" w:themeColor="text1"/>
          <w:lang w:val="en-US"/>
          <w14:textFill>
            <w14:solidFill>
              <w14:schemeClr w14:val="tx1"/>
            </w14:solidFill>
          </w14:textFill>
        </w:rPr>
        <w:t>h</w:t>
      </w:r>
      <w:r>
        <w:rPr>
          <w:rFonts w:hint="eastAsia"/>
          <w:color w:val="000000" w:themeColor="text1"/>
          <w14:textFill>
            <w14:solidFill>
              <w14:schemeClr w14:val="tx1"/>
            </w14:solidFill>
          </w14:textFill>
        </w:rPr>
        <w:t>。</w:t>
      </w:r>
    </w:p>
    <w:p w14:paraId="37F6A49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根据油井布置形式，采用单变压器带单井、单变压器带多井的形式，变压器电源引自油区10kV架空线路。每座平台井采用</w:t>
      </w:r>
      <w:r>
        <w:rPr>
          <w:rFonts w:hint="eastAsia"/>
          <w:color w:val="000000" w:themeColor="text1"/>
          <w:lang w:val="en-US"/>
          <w14:textFill>
            <w14:solidFill>
              <w14:schemeClr w14:val="tx1"/>
            </w14:solidFill>
          </w14:textFill>
        </w:rPr>
        <w:t>1</w:t>
      </w:r>
      <w:r>
        <w:rPr>
          <w:rFonts w:hint="eastAsia"/>
          <w:color w:val="000000" w:themeColor="text1"/>
          <w14:textFill>
            <w14:solidFill>
              <w14:schemeClr w14:val="tx1"/>
            </w14:solidFill>
          </w14:textFill>
        </w:rPr>
        <w:t>座63kVA杆架式变电站负责为该站用电负荷供电，共</w:t>
      </w:r>
      <w:r>
        <w:rPr>
          <w:rFonts w:hint="eastAsia"/>
          <w:color w:val="000000" w:themeColor="text1"/>
          <w:lang w:val="en-US"/>
          <w14:textFill>
            <w14:solidFill>
              <w14:schemeClr w14:val="tx1"/>
            </w14:solidFill>
          </w14:textFill>
        </w:rPr>
        <w:t>3</w:t>
      </w:r>
      <w:r>
        <w:rPr>
          <w:rFonts w:hint="eastAsia"/>
          <w:color w:val="000000" w:themeColor="text1"/>
          <w14:textFill>
            <w14:solidFill>
              <w14:schemeClr w14:val="tx1"/>
            </w14:solidFill>
          </w14:textFill>
        </w:rPr>
        <w:t>座63kVA杆架式变电站。</w:t>
      </w:r>
    </w:p>
    <w:p w14:paraId="0C140F7E">
      <w:pPr>
        <w:pStyle w:val="120"/>
        <w:rPr>
          <w:rFonts w:hint="eastAsia"/>
          <w:color w:val="000000" w:themeColor="text1"/>
          <w:lang w:val="en-US"/>
          <w14:textFill>
            <w14:solidFill>
              <w14:schemeClr w14:val="tx1"/>
            </w14:solidFill>
          </w14:textFill>
        </w:rPr>
      </w:pPr>
      <w:r>
        <w:rPr>
          <w:rFonts w:hint="eastAsia"/>
          <w:color w:val="000000" w:themeColor="text1"/>
          <w14:textFill>
            <w14:solidFill>
              <w14:schemeClr w14:val="tx1"/>
            </w14:solidFill>
          </w14:textFill>
        </w:rPr>
        <w:t>新建单口采油井采用1座30kVA杆架式变电站负责为新增用电负荷供电。</w:t>
      </w:r>
    </w:p>
    <w:p w14:paraId="78A30CD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②给排水</w:t>
      </w:r>
    </w:p>
    <w:p w14:paraId="222FA909">
      <w:pPr>
        <w:pStyle w:val="12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施工期给水主要为管道试压用水、混凝土养护用水</w:t>
      </w:r>
      <w:r>
        <w:rPr>
          <w:rFonts w:hint="eastAsia"/>
          <w:color w:val="000000" w:themeColor="text1"/>
          <w:lang w:val="en-US" w:bidi="ar"/>
          <w14:textFill>
            <w14:solidFill>
              <w14:schemeClr w14:val="tx1"/>
            </w14:solidFill>
          </w14:textFill>
        </w:rPr>
        <w:t>和</w:t>
      </w:r>
      <w:r>
        <w:rPr>
          <w:rFonts w:hint="eastAsia"/>
          <w:color w:val="000000" w:themeColor="text1"/>
          <w:lang w:bidi="ar"/>
          <w14:textFill>
            <w14:solidFill>
              <w14:schemeClr w14:val="tx1"/>
            </w14:solidFill>
          </w14:textFill>
        </w:rPr>
        <w:t>钻井用水</w:t>
      </w:r>
      <w:r>
        <w:rPr>
          <w:rFonts w:hint="eastAsia"/>
          <w:color w:val="000000" w:themeColor="text1"/>
          <w14:textFill>
            <w14:solidFill>
              <w14:schemeClr w14:val="tx1"/>
            </w14:solidFill>
          </w14:textFill>
        </w:rPr>
        <w:t>。井区位于荒漠地区，周围无成熟的供水管网，用水由罐车从</w:t>
      </w:r>
      <w:r>
        <w:rPr>
          <w:rFonts w:hint="eastAsia"/>
          <w:color w:val="000000" w:themeColor="text1"/>
          <w:lang w:val="en-US"/>
          <w14:textFill>
            <w14:solidFill>
              <w14:schemeClr w14:val="tx1"/>
            </w14:solidFill>
          </w14:textFill>
        </w:rPr>
        <w:t>吉木萨尔县县城</w:t>
      </w:r>
      <w:r>
        <w:rPr>
          <w:rFonts w:hint="eastAsia"/>
          <w:color w:val="000000" w:themeColor="text1"/>
          <w14:textFill>
            <w14:solidFill>
              <w14:schemeClr w14:val="tx1"/>
            </w14:solidFill>
          </w14:textFill>
        </w:rPr>
        <w:t>拉运至用水场地。</w:t>
      </w:r>
      <w:r>
        <w:rPr>
          <w:rFonts w:hint="eastAsia"/>
          <w:color w:val="000000" w:themeColor="text1"/>
          <w:lang w:bidi="ar"/>
          <w14:textFill>
            <w14:solidFill>
              <w14:schemeClr w14:val="tx1"/>
            </w14:solidFill>
          </w14:textFill>
        </w:rPr>
        <w:t>运营期用水主要为井下作业用水，井区位于荒漠地区，周围无成熟的供水管网，用水由罐车</w:t>
      </w:r>
      <w:r>
        <w:rPr>
          <w:rFonts w:hint="eastAsia"/>
          <w:color w:val="000000" w:themeColor="text1"/>
          <w:lang w:val="en-US" w:bidi="ar"/>
          <w14:textFill>
            <w14:solidFill>
              <w14:schemeClr w14:val="tx1"/>
            </w14:solidFill>
          </w14:textFill>
        </w:rPr>
        <w:t>从吉木萨尔县县城</w:t>
      </w:r>
      <w:r>
        <w:rPr>
          <w:rFonts w:hint="eastAsia"/>
          <w:color w:val="000000" w:themeColor="text1"/>
          <w:lang w:bidi="ar"/>
          <w14:textFill>
            <w14:solidFill>
              <w14:schemeClr w14:val="tx1"/>
            </w14:solidFill>
          </w14:textFill>
        </w:rPr>
        <w:t>拉运至项目区。退役期管道清洗用水采用</w:t>
      </w:r>
      <w:r>
        <w:rPr>
          <w:rFonts w:hint="eastAsia"/>
          <w:color w:val="000000" w:themeColor="text1"/>
          <w:lang w:val="en-US" w:bidi="ar"/>
          <w14:textFill>
            <w14:solidFill>
              <w14:schemeClr w14:val="tx1"/>
            </w14:solidFill>
          </w14:textFill>
        </w:rPr>
        <w:t>吉祥联合站</w:t>
      </w:r>
      <w:r>
        <w:rPr>
          <w:rFonts w:hint="eastAsia"/>
          <w:color w:val="000000" w:themeColor="text1"/>
          <w:lang w:bidi="ar"/>
          <w14:textFill>
            <w14:solidFill>
              <w14:schemeClr w14:val="tx1"/>
            </w14:solidFill>
          </w14:textFill>
        </w:rPr>
        <w:t>采出水处理</w:t>
      </w:r>
      <w:r>
        <w:rPr>
          <w:rFonts w:hint="eastAsia"/>
          <w:color w:val="000000" w:themeColor="text1"/>
          <w:lang w:val="en-US" w:bidi="ar"/>
          <w14:textFill>
            <w14:solidFill>
              <w14:schemeClr w14:val="tx1"/>
            </w14:solidFill>
          </w14:textFill>
        </w:rPr>
        <w:t>系统</w:t>
      </w:r>
      <w:r>
        <w:rPr>
          <w:rFonts w:hint="eastAsia"/>
          <w:color w:val="000000" w:themeColor="text1"/>
          <w:lang w:bidi="ar"/>
          <w14:textFill>
            <w14:solidFill>
              <w14:schemeClr w14:val="tx1"/>
            </w14:solidFill>
          </w14:textFill>
        </w:rPr>
        <w:t>处理达标水以及清水，由罐车拉运。</w:t>
      </w:r>
    </w:p>
    <w:p w14:paraId="19748288">
      <w:pPr>
        <w:pStyle w:val="12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施工期排水主要为混凝土养护废水、管道试压废水、钻井废水</w:t>
      </w:r>
      <w:r>
        <w:rPr>
          <w:rFonts w:hint="eastAsia"/>
          <w:color w:val="000000" w:themeColor="text1"/>
          <w:lang w:val="en-US" w:bidi="ar"/>
          <w14:textFill>
            <w14:solidFill>
              <w14:schemeClr w14:val="tx1"/>
            </w14:solidFill>
          </w14:textFill>
        </w:rPr>
        <w:t>和</w:t>
      </w:r>
      <w:r>
        <w:rPr>
          <w:rFonts w:hint="eastAsia"/>
          <w:color w:val="000000" w:themeColor="text1"/>
          <w:lang w:bidi="ar"/>
          <w14:textFill>
            <w14:solidFill>
              <w14:schemeClr w14:val="tx1"/>
            </w14:solidFill>
          </w14:textFill>
        </w:rPr>
        <w:t>压裂返排液。管道试压废水和混凝土养护废水的污染物主要为悬浮物，管道试压废水用于项目区的洒水抑尘，混凝土养护废水主要靠自然蒸发处理；钻井废水通过不落地系统处理后，回用于钻井液配制、循环利用，不外排；</w:t>
      </w:r>
      <w:r>
        <w:rPr>
          <w:rFonts w:hint="eastAsia"/>
          <w:color w:val="000000" w:themeColor="text1"/>
          <w14:textFill>
            <w14:solidFill>
              <w14:schemeClr w14:val="tx1"/>
            </w14:solidFill>
          </w14:textFill>
        </w:rPr>
        <w:t>储层改造过程产生的</w:t>
      </w:r>
      <w:r>
        <w:rPr>
          <w:rFonts w:hint="eastAsia"/>
          <w:color w:val="000000" w:themeColor="text1"/>
          <w:lang w:bidi="ar"/>
          <w14:textFill>
            <w14:solidFill>
              <w14:schemeClr w14:val="tx1"/>
            </w14:solidFill>
          </w14:textFill>
        </w:rPr>
        <w:t>压裂返排液由罐车拉运至吉祥联合站采出水处理系统处理达标后</w:t>
      </w:r>
      <w:r>
        <w:rPr>
          <w:rFonts w:hint="eastAsia"/>
          <w:color w:val="000000" w:themeColor="text1"/>
          <w:lang w:val="en-US" w:bidi="ar"/>
          <w14:textFill>
            <w14:solidFill>
              <w14:schemeClr w14:val="tx1"/>
            </w14:solidFill>
          </w14:textFill>
        </w:rPr>
        <w:t>回注油藏</w:t>
      </w:r>
      <w:r>
        <w:rPr>
          <w:rFonts w:hint="eastAsia"/>
          <w:color w:val="000000" w:themeColor="text1"/>
          <w:lang w:bidi="ar"/>
          <w14:textFill>
            <w14:solidFill>
              <w14:schemeClr w14:val="tx1"/>
            </w14:solidFill>
          </w14:textFill>
        </w:rPr>
        <w:t>，不外排</w:t>
      </w:r>
      <w:r>
        <w:rPr>
          <w:rFonts w:hint="eastAsia"/>
          <w:color w:val="000000" w:themeColor="text1"/>
          <w14:textFill>
            <w14:solidFill>
              <w14:schemeClr w14:val="tx1"/>
            </w14:solidFill>
          </w14:textFill>
        </w:rPr>
        <w:t>。</w:t>
      </w:r>
    </w:p>
    <w:p w14:paraId="25C0611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运营期排水主要为洗井废水、井下作业废液，洗井废水和井下作业废液由罐车拉运至吉祥联合站采出水处理系统处理，经处理达标后回注油藏，不外排。</w:t>
      </w:r>
      <w:r>
        <w:rPr>
          <w:rFonts w:hint="eastAsia"/>
          <w:color w:val="000000" w:themeColor="text1"/>
          <w:lang w:bidi="ar"/>
          <w14:textFill>
            <w14:solidFill>
              <w14:schemeClr w14:val="tx1"/>
            </w14:solidFill>
          </w14:textFill>
        </w:rPr>
        <w:t>退役期管道清洗废水由罐车拉运至</w:t>
      </w:r>
      <w:r>
        <w:rPr>
          <w:rFonts w:hint="eastAsia"/>
          <w:color w:val="000000" w:themeColor="text1"/>
          <w14:textFill>
            <w14:solidFill>
              <w14:schemeClr w14:val="tx1"/>
            </w14:solidFill>
          </w14:textFill>
        </w:rPr>
        <w:t>吉祥联合站采出水处理系统处理，经处理达标后回注油藏。</w:t>
      </w:r>
    </w:p>
    <w:p w14:paraId="6059865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③仪表自动化</w:t>
      </w:r>
    </w:p>
    <w:p w14:paraId="6583D9C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新增采油井和注水井井口仪表采用“Lora+”无线仪表，井口监控数据通过“Lora+”无线网络就近传输至1号、2号、6号、14号以及</w:t>
      </w:r>
      <w:r>
        <w:rPr>
          <w:rFonts w:hint="eastAsia"/>
          <w:color w:val="000000" w:themeColor="text1"/>
          <w:lang w:val="en-US"/>
          <w14:textFill>
            <w14:solidFill>
              <w14:schemeClr w14:val="tx1"/>
            </w14:solidFill>
          </w14:textFill>
        </w:rPr>
        <w:t>19号</w:t>
      </w:r>
      <w:r>
        <w:rPr>
          <w:rFonts w:hint="eastAsia"/>
          <w:color w:val="000000" w:themeColor="text1"/>
          <w14:textFill>
            <w14:solidFill>
              <w14:schemeClr w14:val="tx1"/>
            </w14:solidFill>
          </w14:textFill>
        </w:rPr>
        <w:t>计量站已建的“Lora+”基站，“Lora+”基站数据再通过已建链路（5.8G 网桥或光缆）上传至吉庆油田作业区已建生产监控系统，实现新增数据的共享显示、记录及远程监控功能。</w:t>
      </w:r>
    </w:p>
    <w:p w14:paraId="0E45774A">
      <w:pPr>
        <w:pStyle w:val="12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④</w:t>
      </w:r>
      <w:r>
        <w:rPr>
          <w:rFonts w:hint="eastAsia"/>
          <w:color w:val="000000" w:themeColor="text1"/>
          <w14:textFill>
            <w14:solidFill>
              <w14:schemeClr w14:val="tx1"/>
            </w14:solidFill>
          </w14:textFill>
        </w:rPr>
        <w:t>道路</w:t>
      </w:r>
    </w:p>
    <w:p w14:paraId="6765F9AE">
      <w:pPr>
        <w:pStyle w:val="120"/>
        <w:adjustRightInd w:val="0"/>
        <w:snapToGrid w:val="0"/>
        <w:ind w:firstLine="480"/>
        <w:rPr>
          <w:rFonts w:hint="eastAsia" w:cs="宋体"/>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新建约</w:t>
      </w:r>
      <w:r>
        <w:rPr>
          <w:rFonts w:hint="eastAsia"/>
          <w:color w:val="000000" w:themeColor="text1"/>
          <w:lang w:val="en-US"/>
          <w14:textFill>
            <w14:solidFill>
              <w14:schemeClr w14:val="tx1"/>
            </w14:solidFill>
          </w14:textFill>
        </w:rPr>
        <w:t>236</w:t>
      </w:r>
      <w:r>
        <w:rPr>
          <w:rFonts w:hint="eastAsia"/>
          <w:color w:val="000000" w:themeColor="text1"/>
          <w14:textFill>
            <w14:solidFill>
              <w14:schemeClr w14:val="tx1"/>
            </w14:solidFill>
          </w14:textFill>
        </w:rPr>
        <w:t>m</w:t>
      </w:r>
      <w:r>
        <w:rPr>
          <w:rFonts w:hint="eastAsia"/>
          <w:color w:val="000000" w:themeColor="text1"/>
          <w:lang w:val="en-US" w:eastAsia="zh-CN"/>
          <w14:textFill>
            <w14:solidFill>
              <w14:schemeClr w14:val="tx1"/>
            </w14:solidFill>
          </w14:textFill>
        </w:rPr>
        <w:t>巡检</w:t>
      </w:r>
      <w:r>
        <w:rPr>
          <w:rFonts w:hint="eastAsia"/>
          <w:color w:val="000000" w:themeColor="text1"/>
          <w14:textFill>
            <w14:solidFill>
              <w14:schemeClr w14:val="tx1"/>
            </w14:solidFill>
          </w14:textFill>
        </w:rPr>
        <w:t>道路，</w:t>
      </w:r>
      <w:r>
        <w:rPr>
          <w:rFonts w:hint="eastAsia" w:cs="宋体"/>
          <w:snapToGrid w:val="0"/>
          <w:color w:val="000000" w:themeColor="text1"/>
          <w14:textFill>
            <w14:solidFill>
              <w14:schemeClr w14:val="tx1"/>
            </w14:solidFill>
          </w14:textFill>
        </w:rPr>
        <w:t>新建巡检道路均利用勘探期建设的单井探临道路路面，不进行重新选线，将原来的探临道路路面结构和路肩等进行重新建设。采用四级公路单车道标准，</w:t>
      </w:r>
      <w:r>
        <w:rPr>
          <w:rFonts w:hint="eastAsia"/>
          <w:color w:val="000000" w:themeColor="text1"/>
          <w14:textFill>
            <w14:solidFill>
              <w14:schemeClr w14:val="tx1"/>
            </w14:solidFill>
          </w14:textFill>
        </w:rPr>
        <w:t>路宽4.5m，</w:t>
      </w:r>
      <w:r>
        <w:rPr>
          <w:rFonts w:hint="eastAsia"/>
          <w:color w:val="000000" w:themeColor="text1"/>
          <w:szCs w:val="21"/>
          <w14:textFill>
            <w14:solidFill>
              <w14:schemeClr w14:val="tx1"/>
            </w14:solidFill>
          </w14:textFill>
        </w:rPr>
        <w:t>设计速度20km/h，采用天然砂砾加固路面</w:t>
      </w:r>
      <w:r>
        <w:rPr>
          <w:rFonts w:hint="eastAsia"/>
          <w:color w:val="000000" w:themeColor="text1"/>
          <w14:textFill>
            <w14:solidFill>
              <w14:schemeClr w14:val="tx1"/>
            </w14:solidFill>
          </w14:textFill>
        </w:rPr>
        <w:t>。</w:t>
      </w:r>
      <w:r>
        <w:rPr>
          <w:rFonts w:hint="eastAsia"/>
          <w:color w:val="000000" w:themeColor="text1"/>
          <w:szCs w:val="21"/>
          <w14:textFill>
            <w14:solidFill>
              <w14:schemeClr w14:val="tx1"/>
            </w14:solidFill>
          </w14:textFill>
        </w:rPr>
        <w:t>路面用砂砾从附近料场购买拉运至项目区，不自行设置取料</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土</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场。</w:t>
      </w:r>
    </w:p>
    <w:p w14:paraId="4300767F">
      <w:pPr>
        <w:pStyle w:val="120"/>
        <w:rPr>
          <w:rFonts w:hint="eastAsia"/>
          <w:color w:val="000000" w:themeColor="text1"/>
          <w14:textFill>
            <w14:solidFill>
              <w14:schemeClr w14:val="tx1"/>
            </w14:solidFill>
          </w14:textFill>
        </w:rPr>
      </w:pPr>
      <w:bookmarkStart w:id="261" w:name="_Hlk33456988"/>
      <w:bookmarkStart w:id="262" w:name="_Ref494273744"/>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）环保工程</w:t>
      </w:r>
    </w:p>
    <w:p w14:paraId="03CEC1D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保工程主要为施工期材料及临时土方采用防尘布覆盖，逸散性材料运输采用苫布遮盖；运营期井口设置除硫加药装置；井场内投捞式电潜螺杆泵设置的基础减振，井下作业时各机泵设置的基础减振。井下作业时带罐作业；井场内的防渗措施以及井下作业过程中铺设的防渗材料；安装防喷器和井控装置，配备的消防器材。</w:t>
      </w:r>
    </w:p>
    <w:p w14:paraId="2DEF8843">
      <w:pPr>
        <w:pStyle w:val="193"/>
        <w:rPr>
          <w:rFonts w:hint="eastAsia"/>
          <w:color w:val="000000" w:themeColor="text1"/>
          <w14:textFill>
            <w14:solidFill>
              <w14:schemeClr w14:val="tx1"/>
            </w14:solidFill>
          </w14:textFill>
        </w:rPr>
      </w:pPr>
      <w:bookmarkStart w:id="263" w:name="_Hlk175250022"/>
      <w:bookmarkStart w:id="264" w:name="_Hlk147581420"/>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）依托工程</w:t>
      </w:r>
    </w:p>
    <w:p w14:paraId="594B316E">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原油依托吉祥联合站原油处理系统处理，原油处理系统分离出的采出水、洗井废水和井下作业废液依托吉祥联合站采出水处理系统处理，伴生气依托吉祥联合站内的伴生气处理装置处理，废润滑油、废润滑油油桶、含油废抹布劳保用品和沾油废防渗材料交由有相应危险废物处置资质的单位回收处置。各依托工程环保手续见表3.2-18，各依托工程</w:t>
      </w:r>
      <w:r>
        <w:rPr>
          <w:rFonts w:hint="eastAsia"/>
          <w:color w:val="000000" w:themeColor="text1"/>
          <w:lang w:val="en-US" w:eastAsia="zh-CN"/>
          <w14:textFill>
            <w14:solidFill>
              <w14:schemeClr w14:val="tx1"/>
            </w14:solidFill>
          </w14:textFill>
        </w:rPr>
        <w:t>与本项目的相对位置关系见图3.2-10和图3.2-11。</w:t>
      </w:r>
      <w:r>
        <w:rPr>
          <w:rFonts w:hint="eastAsia"/>
          <w:color w:val="000000" w:themeColor="text1"/>
          <w14:textFill>
            <w14:solidFill>
              <w14:schemeClr w14:val="tx1"/>
            </w14:solidFill>
          </w14:textFill>
        </w:rPr>
        <w:t>依托可行性分析如下：</w:t>
      </w:r>
      <w:bookmarkStart w:id="265" w:name="_Ref160048321"/>
    </w:p>
    <w:p w14:paraId="34B4208E">
      <w:pPr>
        <w:pStyle w:val="19"/>
        <w:rPr>
          <w:rFonts w:hint="eastAsia"/>
          <w:color w:val="000000" w:themeColor="text1"/>
          <w14:textFill>
            <w14:solidFill>
              <w14:schemeClr w14:val="tx1"/>
            </w14:solidFill>
          </w14:textFill>
        </w:rPr>
      </w:pPr>
      <w:r>
        <w:rPr>
          <w:color w:val="000000" w:themeColor="text1"/>
          <w14:textFill>
            <w14:solidFill>
              <w14:schemeClr w14:val="tx1"/>
            </w14:solidFill>
          </w14:textFill>
        </w:rPr>
        <w:t>表</w:t>
      </w:r>
      <w:bookmarkEnd w:id="265"/>
      <w:r>
        <w:rPr>
          <w:rFonts w:hint="eastAsia"/>
          <w:color w:val="000000" w:themeColor="text1"/>
          <w14:textFill>
            <w14:solidFill>
              <w14:schemeClr w14:val="tx1"/>
            </w14:solidFill>
          </w14:textFill>
        </w:rPr>
        <w:t>3.2-18</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项目依托工程环保手续履行情况一览表</w:t>
      </w:r>
    </w:p>
    <w:tbl>
      <w:tblPr>
        <w:tblStyle w:val="51"/>
        <w:tblW w:w="487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2925"/>
        <w:gridCol w:w="2196"/>
        <w:gridCol w:w="1607"/>
      </w:tblGrid>
      <w:tr w14:paraId="184F4B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9" w:type="pct"/>
            <w:vAlign w:val="center"/>
          </w:tcPr>
          <w:p w14:paraId="7D51A805">
            <w:pPr>
              <w:pStyle w:val="280"/>
              <w:rPr>
                <w:rFonts w:hint="eastAsia"/>
                <w:color w:val="000000" w:themeColor="text1"/>
                <w14:textFill>
                  <w14:solidFill>
                    <w14:schemeClr w14:val="tx1"/>
                  </w14:solidFill>
                </w14:textFill>
              </w:rPr>
            </w:pPr>
            <w:bookmarkStart w:id="266" w:name="_Hlk175847338"/>
            <w:r>
              <w:rPr>
                <w:rFonts w:hint="eastAsia"/>
                <w:color w:val="000000" w:themeColor="text1"/>
                <w14:textFill>
                  <w14:solidFill>
                    <w14:schemeClr w14:val="tx1"/>
                  </w14:solidFill>
                </w14:textFill>
              </w:rPr>
              <w:t>类别</w:t>
            </w:r>
          </w:p>
        </w:tc>
        <w:tc>
          <w:tcPr>
            <w:tcW w:w="1717" w:type="pct"/>
            <w:tcMar>
              <w:left w:w="0" w:type="dxa"/>
              <w:right w:w="0" w:type="dxa"/>
            </w:tcMar>
            <w:vAlign w:val="center"/>
          </w:tcPr>
          <w:p w14:paraId="40A7D0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环评文件名称</w:t>
            </w:r>
          </w:p>
        </w:tc>
        <w:tc>
          <w:tcPr>
            <w:tcW w:w="1289" w:type="pct"/>
            <w:tcMar>
              <w:left w:w="0" w:type="dxa"/>
              <w:right w:w="0" w:type="dxa"/>
            </w:tcMar>
            <w:vAlign w:val="center"/>
          </w:tcPr>
          <w:p w14:paraId="00E7AB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环评批复机关、文号及时间</w:t>
            </w:r>
          </w:p>
        </w:tc>
        <w:tc>
          <w:tcPr>
            <w:tcW w:w="943" w:type="pct"/>
            <w:tcMar>
              <w:left w:w="0" w:type="dxa"/>
              <w:right w:w="0" w:type="dxa"/>
            </w:tcMar>
            <w:vAlign w:val="center"/>
          </w:tcPr>
          <w:p w14:paraId="52AED5D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验收批复机关、文号及时间</w:t>
            </w:r>
          </w:p>
        </w:tc>
      </w:tr>
      <w:tr w14:paraId="15FA1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9" w:type="pct"/>
            <w:vAlign w:val="center"/>
          </w:tcPr>
          <w:p w14:paraId="350FD5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原油、伴生气、采出水、洗井废水和井下作业废液</w:t>
            </w:r>
          </w:p>
        </w:tc>
        <w:tc>
          <w:tcPr>
            <w:tcW w:w="1717" w:type="pct"/>
            <w:tcMar>
              <w:left w:w="0" w:type="dxa"/>
              <w:right w:w="0" w:type="dxa"/>
            </w:tcMar>
            <w:vAlign w:val="center"/>
          </w:tcPr>
          <w:p w14:paraId="3B76AB1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吉7井区梧桐沟组油藏65口井加密开发工程及吉7井区集中拉油注水站改造项目</w:t>
            </w:r>
          </w:p>
        </w:tc>
        <w:tc>
          <w:tcPr>
            <w:tcW w:w="1289" w:type="pct"/>
            <w:tcMar>
              <w:left w:w="0" w:type="dxa"/>
              <w:right w:w="0" w:type="dxa"/>
            </w:tcMar>
            <w:vAlign w:val="center"/>
          </w:tcPr>
          <w:p w14:paraId="528F3D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昌吉回族自治州生态环境局</w:t>
            </w:r>
          </w:p>
          <w:p w14:paraId="5C3AC3B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昌州环评〔2018〕76号</w:t>
            </w:r>
          </w:p>
          <w:p w14:paraId="46E289A4">
            <w:pPr>
              <w:pStyle w:val="28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2018</w:t>
            </w:r>
            <w:r>
              <w:rPr>
                <w:rFonts w:hint="eastAsia"/>
                <w:color w:val="000000" w:themeColor="text1"/>
                <w:lang w:val="en-US" w:eastAsia="zh-CN"/>
                <w14:textFill>
                  <w14:solidFill>
                    <w14:schemeClr w14:val="tx1"/>
                  </w14:solidFill>
                </w14:textFill>
              </w:rPr>
              <w:t>年</w:t>
            </w:r>
            <w:r>
              <w:rPr>
                <w:color w:val="000000" w:themeColor="text1"/>
                <w14:textFill>
                  <w14:solidFill>
                    <w14:schemeClr w14:val="tx1"/>
                  </w14:solidFill>
                </w14:textFill>
              </w:rPr>
              <w:t>12</w:t>
            </w:r>
            <w:r>
              <w:rPr>
                <w:rFonts w:hint="eastAsia"/>
                <w:color w:val="000000" w:themeColor="text1"/>
                <w:lang w:val="en-US" w:eastAsia="zh-CN"/>
                <w14:textFill>
                  <w14:solidFill>
                    <w14:schemeClr w14:val="tx1"/>
                  </w14:solidFill>
                </w14:textFill>
              </w:rPr>
              <w:t>月</w:t>
            </w:r>
            <w:r>
              <w:rPr>
                <w:color w:val="000000" w:themeColor="text1"/>
                <w14:textFill>
                  <w14:solidFill>
                    <w14:schemeClr w14:val="tx1"/>
                  </w14:solidFill>
                </w14:textFill>
              </w:rPr>
              <w:t>24</w:t>
            </w:r>
            <w:r>
              <w:rPr>
                <w:rFonts w:hint="eastAsia"/>
                <w:color w:val="000000" w:themeColor="text1"/>
                <w:lang w:val="en-US" w:eastAsia="zh-CN"/>
                <w14:textFill>
                  <w14:solidFill>
                    <w14:schemeClr w14:val="tx1"/>
                  </w14:solidFill>
                </w14:textFill>
              </w:rPr>
              <w:t>日</w:t>
            </w:r>
          </w:p>
        </w:tc>
        <w:tc>
          <w:tcPr>
            <w:tcW w:w="943" w:type="pct"/>
            <w:tcMar>
              <w:left w:w="0" w:type="dxa"/>
              <w:right w:w="0" w:type="dxa"/>
            </w:tcMar>
            <w:vAlign w:val="center"/>
          </w:tcPr>
          <w:p w14:paraId="55721E1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2019</w:t>
            </w:r>
            <w:r>
              <w:rPr>
                <w:rFonts w:hint="eastAsia"/>
                <w:color w:val="000000" w:themeColor="text1"/>
                <w:lang w:val="en-US" w:eastAsia="zh-CN"/>
                <w14:textFill>
                  <w14:solidFill>
                    <w14:schemeClr w14:val="tx1"/>
                  </w14:solidFill>
                </w14:textFill>
              </w:rPr>
              <w:t>年</w:t>
            </w:r>
            <w:r>
              <w:rPr>
                <w:rFonts w:hint="eastAsia"/>
                <w:color w:val="000000" w:themeColor="text1"/>
                <w14:textFill>
                  <w14:solidFill>
                    <w14:schemeClr w14:val="tx1"/>
                  </w14:solidFill>
                </w14:textFill>
              </w:rPr>
              <w:t>11</w:t>
            </w:r>
            <w:r>
              <w:rPr>
                <w:rFonts w:hint="eastAsia"/>
                <w:color w:val="000000" w:themeColor="text1"/>
                <w:lang w:val="en-US" w:eastAsia="zh-CN"/>
                <w14:textFill>
                  <w14:solidFill>
                    <w14:schemeClr w14:val="tx1"/>
                  </w14:solidFill>
                </w14:textFill>
              </w:rPr>
              <w:t>月14日通过了</w:t>
            </w:r>
            <w:r>
              <w:rPr>
                <w:color w:val="000000" w:themeColor="text1"/>
                <w14:textFill>
                  <w14:solidFill>
                    <w14:schemeClr w14:val="tx1"/>
                  </w14:solidFill>
                </w14:textFill>
              </w:rPr>
              <w:t>企业自主验收</w:t>
            </w:r>
          </w:p>
        </w:tc>
      </w:tr>
      <w:tr w14:paraId="47B60D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9" w:type="pct"/>
            <w:vMerge w:val="restart"/>
            <w:vAlign w:val="center"/>
          </w:tcPr>
          <w:p w14:paraId="373544A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吉祥联合站危险废物临时贮存点</w:t>
            </w:r>
          </w:p>
        </w:tc>
        <w:tc>
          <w:tcPr>
            <w:tcW w:w="1717" w:type="pct"/>
            <w:shd w:val="clear" w:color="auto" w:fill="auto"/>
            <w:tcMar>
              <w:left w:w="0" w:type="dxa"/>
              <w:right w:w="0" w:type="dxa"/>
            </w:tcMar>
            <w:vAlign w:val="center"/>
          </w:tcPr>
          <w:p w14:paraId="1197CB95">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olor w:val="000000" w:themeColor="text1"/>
                <w:sz w:val="21"/>
                <w:szCs w:val="24"/>
                <w14:textFill>
                  <w14:solidFill>
                    <w14:schemeClr w14:val="tx1"/>
                  </w14:solidFill>
                </w14:textFill>
              </w:rPr>
              <w:t>沙南、探井作业区含油污泥标准化贮存设施（场所）建设</w:t>
            </w:r>
          </w:p>
        </w:tc>
        <w:tc>
          <w:tcPr>
            <w:tcW w:w="1289" w:type="pct"/>
            <w:shd w:val="clear" w:color="auto" w:fill="auto"/>
            <w:tcMar>
              <w:left w:w="0" w:type="dxa"/>
              <w:right w:w="0" w:type="dxa"/>
            </w:tcMar>
            <w:vAlign w:val="center"/>
          </w:tcPr>
          <w:p w14:paraId="1168F72D">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登记管理；2012年9月19日原昌吉回族自治州环境保护局出具了审批意见</w:t>
            </w:r>
          </w:p>
        </w:tc>
        <w:tc>
          <w:tcPr>
            <w:tcW w:w="943" w:type="pct"/>
            <w:shd w:val="clear" w:color="auto" w:fill="auto"/>
            <w:tcMar>
              <w:left w:w="0" w:type="dxa"/>
              <w:right w:w="0" w:type="dxa"/>
            </w:tcMar>
            <w:vAlign w:val="center"/>
          </w:tcPr>
          <w:p w14:paraId="02DF330C">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2012年9月19日原昌吉回族自治州环境保护局出具了竣工环保验收合格的登记意见</w:t>
            </w:r>
          </w:p>
        </w:tc>
      </w:tr>
      <w:tr w14:paraId="409C9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9" w:type="pct"/>
            <w:vMerge w:val="continue"/>
            <w:vAlign w:val="center"/>
          </w:tcPr>
          <w:p w14:paraId="58610355">
            <w:pPr>
              <w:pStyle w:val="280"/>
              <w:rPr>
                <w:rFonts w:hint="eastAsia"/>
                <w:color w:val="000000" w:themeColor="text1"/>
                <w14:textFill>
                  <w14:solidFill>
                    <w14:schemeClr w14:val="tx1"/>
                  </w14:solidFill>
                </w14:textFill>
              </w:rPr>
            </w:pPr>
          </w:p>
        </w:tc>
        <w:tc>
          <w:tcPr>
            <w:tcW w:w="1717" w:type="pct"/>
            <w:shd w:val="clear" w:color="auto" w:fill="auto"/>
            <w:tcMar>
              <w:left w:w="0" w:type="dxa"/>
              <w:right w:w="0" w:type="dxa"/>
            </w:tcMar>
            <w:vAlign w:val="center"/>
          </w:tcPr>
          <w:p w14:paraId="5C558F79">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中国石油新疆油田分公司昌吉油田吉7井区梧桐沟组中深层稠油油藏常规水驱开发建设项目</w:t>
            </w:r>
          </w:p>
        </w:tc>
        <w:tc>
          <w:tcPr>
            <w:tcW w:w="1289" w:type="pct"/>
            <w:shd w:val="clear" w:color="auto" w:fill="auto"/>
            <w:tcMar>
              <w:left w:w="0" w:type="dxa"/>
              <w:right w:w="0" w:type="dxa"/>
            </w:tcMar>
            <w:vAlign w:val="center"/>
          </w:tcPr>
          <w:p w14:paraId="2AAF9AE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原</w:t>
            </w:r>
            <w:r>
              <w:rPr>
                <w:rFonts w:hint="eastAsia"/>
                <w:color w:val="000000" w:themeColor="text1"/>
                <w:lang w:val="en-US" w:eastAsia="zh-CN"/>
                <w14:textFill>
                  <w14:solidFill>
                    <w14:schemeClr w14:val="tx1"/>
                  </w14:solidFill>
                </w14:textFill>
              </w:rPr>
              <w:t>新疆维吾尔</w:t>
            </w:r>
            <w:r>
              <w:rPr>
                <w:rFonts w:hint="eastAsia"/>
                <w:color w:val="000000" w:themeColor="text1"/>
                <w14:textFill>
                  <w14:solidFill>
                    <w14:schemeClr w14:val="tx1"/>
                  </w14:solidFill>
                </w14:textFill>
              </w:rPr>
              <w:t>自治区环境保护厅</w:t>
            </w:r>
          </w:p>
          <w:p w14:paraId="68AEA4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新环函〔2014〕918号</w:t>
            </w:r>
          </w:p>
          <w:p w14:paraId="486F128F">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2014年07月31日</w:t>
            </w:r>
          </w:p>
        </w:tc>
        <w:tc>
          <w:tcPr>
            <w:tcW w:w="943" w:type="pct"/>
            <w:shd w:val="clear" w:color="auto" w:fill="auto"/>
            <w:tcMar>
              <w:left w:w="0" w:type="dxa"/>
              <w:right w:w="0" w:type="dxa"/>
            </w:tcMar>
            <w:vAlign w:val="center"/>
          </w:tcPr>
          <w:p w14:paraId="334CDCB3">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2018年08月19日</w:t>
            </w:r>
            <w:r>
              <w:rPr>
                <w:rFonts w:hint="eastAsia"/>
                <w:color w:val="000000" w:themeColor="text1"/>
                <w:lang w:val="en-US" w:eastAsia="zh-CN"/>
                <w14:textFill>
                  <w14:solidFill>
                    <w14:schemeClr w14:val="tx1"/>
                  </w14:solidFill>
                </w14:textFill>
              </w:rPr>
              <w:t>第一批工程</w:t>
            </w:r>
            <w:r>
              <w:rPr>
                <w:rFonts w:hint="eastAsia"/>
                <w:color w:val="000000" w:themeColor="text1"/>
                <w14:textFill>
                  <w14:solidFill>
                    <w14:schemeClr w14:val="tx1"/>
                  </w14:solidFill>
                </w14:textFill>
              </w:rPr>
              <w:t>通过了企业自主竣工环境保护验收</w:t>
            </w:r>
          </w:p>
        </w:tc>
      </w:tr>
      <w:bookmarkEnd w:id="266"/>
    </w:tbl>
    <w:p w14:paraId="2E21169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①原油</w:t>
      </w:r>
    </w:p>
    <w:p w14:paraId="466D89BC">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吉祥联合站位于吉7井区的中间位置，主要负责吉7井区、致密油试验区采出液的处理、井口回掺、井口注水任务，吉祥联合站原油处理采用“两段大罐热化学沉降脱水”工艺。原油处理系统设计能力55×10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t/a、掺水系统设计能力为3600m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p>
    <w:p w14:paraId="7349BF12">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吉祥联合站原油处理工艺流程为：油区密闭来气液与净化油罐底水混合后进入三相分离器，分离出的含水原油进入一段相变加热炉的油-汽换热器与蒸汽换热，加热后原油进入2座2000m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一段沉降罐内沉降12h，沉降脱水罐出含水原油自压进入1座1000m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缓冲罐，再经提升泵提升进入二段相变加热炉加热至75℃后与预脱水站来净化原油一</w:t>
      </w:r>
      <w:r>
        <w:rPr>
          <w:rFonts w:hint="eastAsia"/>
          <w:color w:val="000000" w:themeColor="text1"/>
          <w:lang w:val="en-US"/>
          <w14:textFill>
            <w14:solidFill>
              <w14:schemeClr w14:val="tx1"/>
            </w14:solidFill>
          </w14:textFill>
        </w:rPr>
        <w:t>并</w:t>
      </w:r>
      <w:r>
        <w:rPr>
          <w:color w:val="000000" w:themeColor="text1"/>
          <w14:textFill>
            <w14:solidFill>
              <w14:schemeClr w14:val="tx1"/>
            </w14:solidFill>
          </w14:textFill>
        </w:rPr>
        <w:t>进入2座1000m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罐与2座4000m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净化油罐，最终净化油通过转输泵输送至页岩油联合站，与页岩油联合</w:t>
      </w:r>
      <w:r>
        <w:rPr>
          <w:rFonts w:hint="eastAsia"/>
          <w:color w:val="000000" w:themeColor="text1"/>
          <w14:textFill>
            <w14:solidFill>
              <w14:schemeClr w14:val="tx1"/>
            </w14:solidFill>
          </w14:textFill>
        </w:rPr>
        <w:t>站</w:t>
      </w:r>
      <w:r>
        <w:rPr>
          <w:color w:val="000000" w:themeColor="text1"/>
          <w14:textFill>
            <w14:solidFill>
              <w14:schemeClr w14:val="tx1"/>
            </w14:solidFill>
          </w14:textFill>
        </w:rPr>
        <w:t>的净化原油一起输送至北三台油库。</w:t>
      </w:r>
    </w:p>
    <w:p w14:paraId="2405D4EE">
      <w:pPr>
        <w:pStyle w:val="12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三相分离器分出的伴生气经除油后一部分作为燃料气供站内自用，剩余部分去第三方天然气处理装置。三相分离器分出的采出水自压去往采出水处理系统，一段沉降脱水罐和二段沉降脱水罐出采出水去往回掺水罐。</w:t>
      </w:r>
      <w:r>
        <w:rPr>
          <w:rFonts w:hint="eastAsia"/>
          <w:color w:val="000000" w:themeColor="text1"/>
          <w14:textFill>
            <w14:solidFill>
              <w14:schemeClr w14:val="tx1"/>
            </w14:solidFill>
          </w14:textFill>
        </w:rPr>
        <w:t>吉祥联合站</w:t>
      </w:r>
      <w:r>
        <w:rPr>
          <w:color w:val="000000" w:themeColor="text1"/>
          <w14:textFill>
            <w14:solidFill>
              <w14:schemeClr w14:val="tx1"/>
            </w14:solidFill>
          </w14:textFill>
        </w:rPr>
        <w:t>原油处理系统</w:t>
      </w:r>
      <w:r>
        <w:rPr>
          <w:rFonts w:hint="eastAsia"/>
          <w:color w:val="000000" w:themeColor="text1"/>
          <w14:textFill>
            <w14:solidFill>
              <w14:schemeClr w14:val="tx1"/>
            </w14:solidFill>
          </w14:textFill>
        </w:rPr>
        <w:t>现稳定运行，</w:t>
      </w:r>
      <w:r>
        <w:rPr>
          <w:color w:val="000000" w:themeColor="text1"/>
          <w14:textFill>
            <w14:solidFill>
              <w14:schemeClr w14:val="tx1"/>
            </w14:solidFill>
          </w14:textFill>
        </w:rPr>
        <w:t>设计</w:t>
      </w:r>
      <w:r>
        <w:rPr>
          <w:rFonts w:hint="eastAsia"/>
          <w:color w:val="000000" w:themeColor="text1"/>
          <w14:textFill>
            <w14:solidFill>
              <w14:schemeClr w14:val="tx1"/>
            </w14:solidFill>
          </w14:textFill>
        </w:rPr>
        <w:t>处理</w:t>
      </w:r>
      <w:r>
        <w:rPr>
          <w:color w:val="000000" w:themeColor="text1"/>
          <w14:textFill>
            <w14:solidFill>
              <w14:schemeClr w14:val="tx1"/>
            </w14:solidFill>
          </w14:textFill>
        </w:rPr>
        <w:t>能力55×10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，现状处理量为36</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t/a</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富余19</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t/a</w:t>
      </w:r>
      <w:r>
        <w:rPr>
          <w:rFonts w:hint="eastAsia"/>
          <w:color w:val="000000" w:themeColor="text1"/>
          <w:lang w:eastAsia="zh-CN"/>
          <w14:textFill>
            <w14:solidFill>
              <w14:schemeClr w14:val="tx1"/>
            </w14:solidFill>
          </w14:textFill>
        </w:rPr>
        <w:t>。由于</w:t>
      </w:r>
      <w:r>
        <w:rPr>
          <w:rFonts w:hint="eastAsia"/>
          <w:color w:val="000000" w:themeColor="text1"/>
          <w:lang w:val="en-US" w:eastAsia="zh-CN"/>
          <w14:textFill>
            <w14:solidFill>
              <w14:schemeClr w14:val="tx1"/>
            </w14:solidFill>
          </w14:textFill>
        </w:rPr>
        <w:t>吉祥联合站</w:t>
      </w:r>
      <w:r>
        <w:rPr>
          <w:rFonts w:hint="eastAsia"/>
          <w:color w:val="000000" w:themeColor="text1"/>
          <w:lang w:eastAsia="zh-CN"/>
          <w14:textFill>
            <w14:solidFill>
              <w14:schemeClr w14:val="tx1"/>
            </w14:solidFill>
          </w14:textFill>
        </w:rPr>
        <w:t>在建设时，与之</w:t>
      </w:r>
      <w:r>
        <w:rPr>
          <w:rFonts w:hint="eastAsia"/>
          <w:color w:val="000000" w:themeColor="text1"/>
          <w:lang w:val="en-US" w:eastAsia="zh-CN"/>
          <w14:textFill>
            <w14:solidFill>
              <w14:schemeClr w14:val="tx1"/>
            </w14:solidFill>
          </w14:textFill>
        </w:rPr>
        <w:t>设计原油处理规模</w:t>
      </w:r>
      <w:r>
        <w:rPr>
          <w:rFonts w:hint="eastAsia"/>
          <w:color w:val="000000" w:themeColor="text1"/>
          <w:lang w:eastAsia="zh-CN"/>
          <w14:textFill>
            <w14:solidFill>
              <w14:schemeClr w14:val="tx1"/>
            </w14:solidFill>
          </w14:textFill>
        </w:rPr>
        <w:t>配套的油气集输管线、</w:t>
      </w:r>
      <w:r>
        <w:rPr>
          <w:color w:val="000000" w:themeColor="text1"/>
          <w14:textFill>
            <w14:solidFill>
              <w14:schemeClr w14:val="tx1"/>
            </w14:solidFill>
          </w14:textFill>
        </w:rPr>
        <w:t>净化油罐</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转输泵和净化油外输管线</w:t>
      </w:r>
      <w:r>
        <w:rPr>
          <w:rFonts w:hint="eastAsia"/>
          <w:color w:val="000000" w:themeColor="text1"/>
          <w:lang w:eastAsia="zh-CN"/>
          <w14:textFill>
            <w14:solidFill>
              <w14:schemeClr w14:val="tx1"/>
            </w14:solidFill>
          </w14:textFill>
        </w:rPr>
        <w:t>均按照</w:t>
      </w:r>
      <w:r>
        <w:rPr>
          <w:rFonts w:hint="eastAsia"/>
          <w:color w:val="000000" w:themeColor="text1"/>
          <w:lang w:val="en-US" w:eastAsia="zh-CN"/>
          <w14:textFill>
            <w14:solidFill>
              <w14:schemeClr w14:val="tx1"/>
            </w14:solidFill>
          </w14:textFill>
        </w:rPr>
        <w:t>吉祥联合站原油处理系统</w:t>
      </w:r>
      <w:r>
        <w:rPr>
          <w:rFonts w:hint="eastAsia"/>
          <w:color w:val="000000" w:themeColor="text1"/>
          <w:lang w:eastAsia="zh-CN"/>
          <w14:textFill>
            <w14:solidFill>
              <w14:schemeClr w14:val="tx1"/>
            </w14:solidFill>
          </w14:textFill>
        </w:rPr>
        <w:t>满负荷运行设计的，</w:t>
      </w:r>
      <w:r>
        <w:rPr>
          <w:rFonts w:hint="eastAsia"/>
          <w:color w:val="000000" w:themeColor="text1"/>
          <w:lang w:val="en-US" w:eastAsia="zh-CN"/>
          <w14:textFill>
            <w14:solidFill>
              <w14:schemeClr w14:val="tx1"/>
            </w14:solidFill>
          </w14:textFill>
        </w:rPr>
        <w:t>本项目实施后，新增原油产能0.64</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t/a</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相较吉祥联合站富余的处理量占比较小，吉祥联合站</w:t>
      </w:r>
      <w:r>
        <w:rPr>
          <w:rFonts w:hint="eastAsia"/>
          <w:color w:val="000000" w:themeColor="text1"/>
          <w:lang w:eastAsia="zh-CN"/>
          <w14:textFill>
            <w14:solidFill>
              <w14:schemeClr w14:val="tx1"/>
            </w14:solidFill>
          </w14:textFill>
        </w:rPr>
        <w:t>未达到满负荷运行，故已建油气集输管线、</w:t>
      </w:r>
      <w:r>
        <w:rPr>
          <w:color w:val="000000" w:themeColor="text1"/>
          <w14:textFill>
            <w14:solidFill>
              <w14:schemeClr w14:val="tx1"/>
            </w14:solidFill>
          </w14:textFill>
        </w:rPr>
        <w:t>净化油罐</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转输泵和净化油外输管线的</w:t>
      </w:r>
      <w:r>
        <w:rPr>
          <w:rFonts w:hint="eastAsia"/>
          <w:color w:val="000000" w:themeColor="text1"/>
          <w:lang w:eastAsia="zh-CN"/>
          <w14:textFill>
            <w14:solidFill>
              <w14:schemeClr w14:val="tx1"/>
            </w14:solidFill>
          </w14:textFill>
        </w:rPr>
        <w:t>规模可以满足本项目需求。</w:t>
      </w:r>
    </w:p>
    <w:p w14:paraId="39924A08">
      <w:pPr>
        <w:pStyle w:val="342"/>
        <w:autoSpaceDE/>
        <w:autoSpaceDN/>
        <w:adjustRightInd/>
        <w:spacing w:line="360" w:lineRule="auto"/>
        <w:ind w:firstLine="480" w:firstLineChars="200"/>
        <w:jc w:val="both"/>
        <w:rPr>
          <w:rFonts w:hint="eastAsia" w:hAnsi="宋体" w:cs="Times New Roman"/>
          <w:color w:val="000000" w:themeColor="text1"/>
          <w:kern w:val="2"/>
          <w14:textFill>
            <w14:solidFill>
              <w14:schemeClr w14:val="tx1"/>
            </w14:solidFill>
          </w14:textFill>
        </w:rPr>
      </w:pPr>
      <w:r>
        <w:rPr>
          <w:rFonts w:hAnsi="宋体" w:cs="Times New Roman"/>
          <w:color w:val="000000" w:themeColor="text1"/>
          <w:kern w:val="2"/>
          <w14:textFill>
            <w14:solidFill>
              <w14:schemeClr w14:val="tx1"/>
            </w14:solidFill>
          </w14:textFill>
        </w:rPr>
        <w:t>原油处理及掺水系统流程框图见图</w:t>
      </w:r>
      <w:r>
        <w:rPr>
          <w:rFonts w:hint="eastAsia" w:hAnsi="宋体" w:cs="Times New Roman"/>
          <w:color w:val="000000" w:themeColor="text1"/>
          <w:kern w:val="2"/>
          <w14:textFill>
            <w14:solidFill>
              <w14:schemeClr w14:val="tx1"/>
            </w14:solidFill>
          </w14:textFill>
        </w:rPr>
        <w:t>3.2-</w:t>
      </w:r>
      <w:r>
        <w:rPr>
          <w:rFonts w:hint="eastAsia" w:hAnsi="宋体" w:cs="Times New Roman"/>
          <w:color w:val="000000" w:themeColor="text1"/>
          <w:kern w:val="2"/>
          <w:lang w:val="en-US" w:eastAsia="zh-CN"/>
          <w14:textFill>
            <w14:solidFill>
              <w14:schemeClr w14:val="tx1"/>
            </w14:solidFill>
          </w14:textFill>
        </w:rPr>
        <w:t>12</w:t>
      </w:r>
      <w:r>
        <w:rPr>
          <w:rFonts w:hAnsi="宋体" w:cs="Times New Roman"/>
          <w:color w:val="000000" w:themeColor="text1"/>
          <w:kern w:val="2"/>
          <w14:textFill>
            <w14:solidFill>
              <w14:schemeClr w14:val="tx1"/>
            </w14:solidFill>
          </w14:textFill>
        </w:rPr>
        <w:t>。</w:t>
      </w:r>
    </w:p>
    <w:p w14:paraId="3C2EFA96">
      <w:pPr>
        <w:pStyle w:val="342"/>
        <w:rPr>
          <w:rFonts w:hint="eastAsia" w:hAnsi="宋体"/>
          <w:color w:val="000000" w:themeColor="text1"/>
          <w:lang w:bidi="zh-CN"/>
          <w14:textFill>
            <w14:solidFill>
              <w14:schemeClr w14:val="tx1"/>
            </w14:solidFill>
          </w14:textFill>
        </w:rPr>
      </w:pPr>
      <w:r>
        <w:rPr>
          <w:color w:val="000000" w:themeColor="text1"/>
          <w14:textFill>
            <w14:solidFill>
              <w14:schemeClr w14:val="tx1"/>
            </w14:solidFill>
          </w14:textFill>
        </w:rPr>
        <mc:AlternateContent>
          <mc:Choice Requires="wpg">
            <w:drawing>
              <wp:inline distT="0" distB="0" distL="114300" distR="114300">
                <wp:extent cx="5065395" cy="1637665"/>
                <wp:effectExtent l="1905" t="1905" r="19050" b="17780"/>
                <wp:docPr id="23" name="组合 23"/>
                <wp:cNvGraphicFramePr/>
                <a:graphic xmlns:a="http://schemas.openxmlformats.org/drawingml/2006/main">
                  <a:graphicData uri="http://schemas.microsoft.com/office/word/2010/wordprocessingGroup">
                    <wpg:wgp>
                      <wpg:cNvGrpSpPr/>
                      <wpg:grpSpPr>
                        <a:xfrm>
                          <a:off x="0" y="0"/>
                          <a:ext cx="5065395" cy="1637665"/>
                          <a:chOff x="1248" y="532"/>
                          <a:chExt cx="9072" cy="2789"/>
                        </a:xfrm>
                      </wpg:grpSpPr>
                      <pic:pic xmlns:pic="http://schemas.openxmlformats.org/drawingml/2006/picture">
                        <pic:nvPicPr>
                          <pic:cNvPr id="9" name="图片 3"/>
                          <pic:cNvPicPr>
                            <a:picLocks noChangeAspect="1"/>
                          </pic:cNvPicPr>
                        </pic:nvPicPr>
                        <pic:blipFill>
                          <a:blip r:embed="rId43"/>
                          <a:stretch>
                            <a:fillRect/>
                          </a:stretch>
                        </pic:blipFill>
                        <pic:spPr>
                          <a:xfrm>
                            <a:off x="1257" y="541"/>
                            <a:ext cx="9053" cy="2770"/>
                          </a:xfrm>
                          <a:prstGeom prst="rect">
                            <a:avLst/>
                          </a:prstGeom>
                          <a:noFill/>
                          <a:ln>
                            <a:noFill/>
                          </a:ln>
                        </pic:spPr>
                      </pic:pic>
                      <wps:wsp>
                        <wps:cNvPr id="10" name="直接连接符 10"/>
                        <wps:cNvCnPr/>
                        <wps:spPr>
                          <a:xfrm>
                            <a:off x="1248" y="537"/>
                            <a:ext cx="9062" cy="0"/>
                          </a:xfrm>
                          <a:prstGeom prst="line">
                            <a:avLst/>
                          </a:prstGeom>
                          <a:ln w="6096" cap="flat" cmpd="sng">
                            <a:solidFill>
                              <a:srgbClr val="000000"/>
                            </a:solidFill>
                            <a:prstDash val="solid"/>
                            <a:headEnd type="none" w="med" len="med"/>
                            <a:tailEnd type="none" w="med" len="med"/>
                          </a:ln>
                        </wps:spPr>
                        <wps:bodyPr/>
                      </wps:wsp>
                      <wps:wsp>
                        <wps:cNvPr id="11" name="直接连接符 11"/>
                        <wps:cNvCnPr/>
                        <wps:spPr>
                          <a:xfrm>
                            <a:off x="1253" y="542"/>
                            <a:ext cx="0" cy="2769"/>
                          </a:xfrm>
                          <a:prstGeom prst="line">
                            <a:avLst/>
                          </a:prstGeom>
                          <a:ln w="6096" cap="flat" cmpd="sng">
                            <a:solidFill>
                              <a:srgbClr val="000000"/>
                            </a:solidFill>
                            <a:prstDash val="solid"/>
                            <a:headEnd type="none" w="med" len="med"/>
                            <a:tailEnd type="none" w="med" len="med"/>
                          </a:ln>
                        </wps:spPr>
                        <wps:bodyPr/>
                      </wps:wsp>
                      <wps:wsp>
                        <wps:cNvPr id="16" name="直接连接符 16"/>
                        <wps:cNvCnPr/>
                        <wps:spPr>
                          <a:xfrm>
                            <a:off x="10315" y="532"/>
                            <a:ext cx="0" cy="2789"/>
                          </a:xfrm>
                          <a:prstGeom prst="line">
                            <a:avLst/>
                          </a:prstGeom>
                          <a:ln w="6096" cap="flat" cmpd="sng">
                            <a:solidFill>
                              <a:srgbClr val="000000"/>
                            </a:solidFill>
                            <a:prstDash val="solid"/>
                            <a:headEnd type="none" w="med" len="med"/>
                            <a:tailEnd type="none" w="med" len="med"/>
                          </a:ln>
                        </wps:spPr>
                        <wps:bodyPr/>
                      </wps:wsp>
                      <wps:wsp>
                        <wps:cNvPr id="17" name="直接连接符 17"/>
                        <wps:cNvCnPr/>
                        <wps:spPr>
                          <a:xfrm>
                            <a:off x="1248" y="3316"/>
                            <a:ext cx="9062" cy="0"/>
                          </a:xfrm>
                          <a:prstGeom prst="line">
                            <a:avLst/>
                          </a:prstGeom>
                          <a:ln w="6096" cap="flat" cmpd="sng">
                            <a:solidFill>
                              <a:srgbClr val="000000"/>
                            </a:solidFill>
                            <a:prstDash val="solid"/>
                            <a:headEnd type="none" w="med" len="med"/>
                            <a:tailEnd type="none" w="med" len="med"/>
                          </a:ln>
                        </wps:spPr>
                        <wps:bodyPr/>
                      </wps:wsp>
                      <wps:wsp>
                        <wps:cNvPr id="22" name="任意多边形 22"/>
                        <wps:cNvSpPr/>
                        <wps:spPr>
                          <a:xfrm>
                            <a:off x="9199" y="659"/>
                            <a:ext cx="80" cy="1210"/>
                          </a:xfrm>
                          <a:custGeom>
                            <a:avLst/>
                            <a:gdLst/>
                            <a:ahLst/>
                            <a:cxnLst/>
                            <a:rect l="0" t="0" r="0" b="0"/>
                            <a:pathLst>
                              <a:path w="80" h="1210">
                                <a:moveTo>
                                  <a:pt x="39" y="1131"/>
                                </a:moveTo>
                                <a:lnTo>
                                  <a:pt x="31" y="1123"/>
                                </a:lnTo>
                                <a:lnTo>
                                  <a:pt x="34" y="8"/>
                                </a:lnTo>
                                <a:lnTo>
                                  <a:pt x="36" y="3"/>
                                </a:lnTo>
                                <a:lnTo>
                                  <a:pt x="41" y="0"/>
                                </a:lnTo>
                                <a:lnTo>
                                  <a:pt x="48" y="3"/>
                                </a:lnTo>
                                <a:lnTo>
                                  <a:pt x="51" y="8"/>
                                </a:lnTo>
                                <a:lnTo>
                                  <a:pt x="46" y="1124"/>
                                </a:lnTo>
                                <a:lnTo>
                                  <a:pt x="39" y="1131"/>
                                </a:lnTo>
                                <a:close/>
                                <a:moveTo>
                                  <a:pt x="39" y="1210"/>
                                </a:moveTo>
                                <a:lnTo>
                                  <a:pt x="0" y="1090"/>
                                </a:lnTo>
                                <a:lnTo>
                                  <a:pt x="31" y="1123"/>
                                </a:lnTo>
                                <a:lnTo>
                                  <a:pt x="31" y="1131"/>
                                </a:lnTo>
                                <a:lnTo>
                                  <a:pt x="34" y="1136"/>
                                </a:lnTo>
                                <a:lnTo>
                                  <a:pt x="39" y="1138"/>
                                </a:lnTo>
                                <a:lnTo>
                                  <a:pt x="63" y="1138"/>
                                </a:lnTo>
                                <a:lnTo>
                                  <a:pt x="39" y="1210"/>
                                </a:lnTo>
                                <a:close/>
                                <a:moveTo>
                                  <a:pt x="63" y="1138"/>
                                </a:moveTo>
                                <a:lnTo>
                                  <a:pt x="39" y="1138"/>
                                </a:lnTo>
                                <a:lnTo>
                                  <a:pt x="43" y="1136"/>
                                </a:lnTo>
                                <a:lnTo>
                                  <a:pt x="46" y="1131"/>
                                </a:lnTo>
                                <a:lnTo>
                                  <a:pt x="46" y="1124"/>
                                </a:lnTo>
                                <a:lnTo>
                                  <a:pt x="79" y="1090"/>
                                </a:lnTo>
                                <a:lnTo>
                                  <a:pt x="63" y="1138"/>
                                </a:lnTo>
                                <a:close/>
                                <a:moveTo>
                                  <a:pt x="39" y="1138"/>
                                </a:moveTo>
                                <a:lnTo>
                                  <a:pt x="34" y="1136"/>
                                </a:lnTo>
                                <a:lnTo>
                                  <a:pt x="31" y="1131"/>
                                </a:lnTo>
                                <a:lnTo>
                                  <a:pt x="31" y="1123"/>
                                </a:lnTo>
                                <a:lnTo>
                                  <a:pt x="39" y="1131"/>
                                </a:lnTo>
                                <a:lnTo>
                                  <a:pt x="46" y="1131"/>
                                </a:lnTo>
                                <a:lnTo>
                                  <a:pt x="43" y="1136"/>
                                </a:lnTo>
                                <a:lnTo>
                                  <a:pt x="39" y="1138"/>
                                </a:lnTo>
                                <a:close/>
                                <a:moveTo>
                                  <a:pt x="46" y="1131"/>
                                </a:moveTo>
                                <a:lnTo>
                                  <a:pt x="39" y="1131"/>
                                </a:lnTo>
                                <a:lnTo>
                                  <a:pt x="46" y="1124"/>
                                </a:lnTo>
                                <a:lnTo>
                                  <a:pt x="46" y="1131"/>
                                </a:lnTo>
                                <a:close/>
                              </a:path>
                            </a:pathLst>
                          </a:custGeom>
                          <a:solidFill>
                            <a:srgbClr val="000000"/>
                          </a:solidFill>
                          <a:ln>
                            <a:noFill/>
                          </a:ln>
                        </wps:spPr>
                        <wps:bodyPr upright="1"/>
                      </wps:wsp>
                    </wpg:wgp>
                  </a:graphicData>
                </a:graphic>
              </wp:inline>
            </w:drawing>
          </mc:Choice>
          <mc:Fallback>
            <w:pict>
              <v:group id="_x0000_s1026" o:spid="_x0000_s1026" o:spt="203" style="height:128.95pt;width:398.85pt;" coordorigin="1248,532" coordsize="9072,2789" o:gfxdata="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YemffFHXPseKKKAEz0qSiigBr8DNJ/Q0UUAPooooAKjzxmiigBycqKdRRQAUUUUAFFFFAH//2QEA&#10;A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Fhgsxu0AAAAIgEAABkAAABkcnMvX3JlbHMvZTJvRG9jLnhtbC5yZWxzhY/LCsIwEEX3gv8QZm/T&#10;uhCRpm5EcCv1A4ZkmkabB0kU+/cG3CgILude7jlMu3/aiT0oJuOdgKaqgZGTXhmnBVz642oLLGV0&#10;CifvSMBMCfbdctGeacJcRmk0IbFCcUnAmHPYcZ7kSBZT5QO50gw+WszljJoHlDfUxNd1veHxkwHd&#10;F5OdlIB4Ug2wfg7F/J/th8FIOnh5t+TyDwU3trgLEKOmLMCSMvgOm+oaSAPvWv71WfcC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">
                <o:lock v:ext="edit" aspectratio="f"/>
                <v:shape id="图片 3" o:spid="_x0000_s1026" o:spt="75" type="#_x0000_t75" style="position:absolute;left:1257;top:541;height:2770;width:9053;" filled="f" o:preferrelative="t" stroked="f" coordsize="21600,21600" o:gfxdata="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hzqM7sAAADa&#10;AAAADwAAAAAAAAABACAAAAAiAAAAZHJzL2Rvd25yZXYueG1sUEsBAhQAFAAAAAgAh07iQDMvBZ47&#10;AAAAOQAAABAAAAAAAAAAAQAgAAAACgEAAGRycy9zaGFwZXhtbC54bWxQSwUGAAAAAAYABgBbAQAA&#10;tAMAAAAA&#10;">
                  <v:fill on="f" focussize="0,0"/>
                  <v:stroke on="f"/>
                  <v:imagedata r:id="rId43" o:title=""/>
                  <o:lock v:ext="edit" aspectratio="t"/>
                </v:shape>
                <v:line id="_x0000_s1026" o:spid="_x0000_s1026" o:spt="20" style="position:absolute;left:1248;top:537;height:0;width:9062;" filled="f" stroked="t" coordsize="21600,21600" o:gfxdata="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7iNF74A&#10;AADb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_x0000_s1026" o:spid="_x0000_s1026" o:spt="20" style="position:absolute;left:1253;top:542;height:2769;width:0;" filled="f" stroked="t" coordsize="21600,21600" o:gfxdata="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0KIy8AAAA&#10;2wAAAA8AAAAAAAAAAQAgAAAAIgAAAGRycy9kb3ducmV2LnhtbFBLAQIUABQAAAAIAIdO4kAzLwWe&#10;OwAAADkAAAAQAAAAAAAAAAEAIAAAAAsBAABkcnMvc2hhcGV4bWwueG1sUEsFBgAAAAAGAAYAWwEA&#10;ALUDAAAAAA==&#10;">
                  <v:fill on="f" focussize="0,0"/>
                  <v:stroke weight="0.48pt" color="#000000" joinstyle="round"/>
                  <v:imagedata o:title=""/>
                  <o:lock v:ext="edit" aspectratio="f"/>
                </v:line>
                <v:line id="_x0000_s1026" o:spid="_x0000_s1026" o:spt="20" style="position:absolute;left:10315;top:532;height:2789;width:0;" filled="f" stroked="t" coordsize="21600,21600" o:gfxdata="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8dsPi5AAAA2wAA&#10;AA8AAAAAAAAAAQAgAAAAIgAAAGRycy9kb3ducmV2LnhtbFBLAQIUABQAAAAIAIdO4kAzLwWeOwAA&#10;ADkAAAAQAAAAAAAAAAEAIAAAAAgBAABkcnMvc2hhcGV4bWwueG1sUEsFBgAAAAAGAAYAWwEAALID&#10;AAAAAA==&#10;">
                  <v:fill on="f" focussize="0,0"/>
                  <v:stroke weight="0.48pt" color="#000000" joinstyle="round"/>
                  <v:imagedata o:title=""/>
                  <o:lock v:ext="edit" aspectratio="f"/>
                </v:line>
                <v:line id="_x0000_s1026" o:spid="_x0000_s1026" o:spt="20" style="position:absolute;left:1248;top:3316;height:0;width:9062;" filled="f" stroked="t" coordsize="21600,21600" o:gfxdata="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FEVY7sAAADb&#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line>
                <v:shape id="_x0000_s1026" o:spid="_x0000_s1026" o:spt="100" style="position:absolute;left:9199;top:659;height:1210;width:80;" fillcolor="#000000" filled="t" stroked="f" coordsize="80,1210" o:gfxdata="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5En+/&#10;AAAA2wAAAA8AAAAAAAAAAQAgAAAAIgAAAGRycy9kb3ducmV2LnhtbFBLAQIUABQAAAAIAIdO4kAz&#10;LwWeOwAAADkAAAAQAAAAAAAAAAEAIAAAAA4BAABkcnMvc2hhcGV4bWwueG1sUEsFBgAAAAAGAAYA&#10;WwEAALgDAAAAAA==&#10;" path="m39,1131l31,1123,34,8,36,3,41,0,48,3,51,8,46,1124,39,1131xm39,1210l0,1090,31,1123,31,1131,34,1136,39,1138,63,1138,39,1210xm63,1138l39,1138,43,1136,46,1131,46,1124,79,1090,63,1138xm39,1138l34,1136,31,1131,31,1123,39,1131,46,1131,43,1136,39,1138xm46,1131l39,1131,46,1124,46,1131xe">
                  <v:fill on="t" focussize="0,0"/>
                  <v:stroke on="f"/>
                  <v:imagedata o:title=""/>
                  <o:lock v:ext="edit" aspectratio="f"/>
                </v:shape>
                <w10:wrap type="none"/>
                <w10:anchorlock/>
              </v:group>
            </w:pict>
          </mc:Fallback>
        </mc:AlternateContent>
      </w:r>
    </w:p>
    <w:p w14:paraId="7150129F">
      <w:pPr>
        <w:pStyle w:val="5"/>
        <w:tabs>
          <w:tab w:val="left" w:pos="4420"/>
        </w:tabs>
        <w:kinsoku w:val="0"/>
        <w:overflowPunct w:val="0"/>
        <w:spacing w:before="29"/>
        <w:jc w:val="center"/>
        <w:rPr>
          <w:rFonts w:hint="eastAsia" w:ascii="黑体" w:hAnsi="黑体" w:eastAsia="黑体" w:cs="黑体"/>
          <w:bCs/>
          <w:color w:val="000000" w:themeColor="text1"/>
          <w:szCs w:val="21"/>
          <w14:textFill>
            <w14:solidFill>
              <w14:schemeClr w14:val="tx1"/>
            </w14:solidFill>
          </w14:textFill>
        </w:rPr>
      </w:pPr>
      <w:r>
        <w:rPr>
          <w:rFonts w:hint="eastAsia" w:ascii="黑体" w:hAnsi="黑体" w:eastAsia="黑体" w:cs="黑体"/>
          <w:bCs/>
          <w:color w:val="000000" w:themeColor="text1"/>
          <w:szCs w:val="21"/>
          <w14:textFill>
            <w14:solidFill>
              <w14:schemeClr w14:val="tx1"/>
            </w14:solidFill>
          </w14:textFill>
        </w:rPr>
        <w:t>图3.2-</w:t>
      </w:r>
      <w:r>
        <w:rPr>
          <w:rFonts w:hint="eastAsia" w:ascii="黑体" w:hAnsi="黑体" w:eastAsia="黑体" w:cs="黑体"/>
          <w:bCs/>
          <w:color w:val="000000" w:themeColor="text1"/>
          <w:szCs w:val="21"/>
          <w:lang w:val="en-US" w:eastAsia="zh-CN"/>
          <w14:textFill>
            <w14:solidFill>
              <w14:schemeClr w14:val="tx1"/>
            </w14:solidFill>
          </w14:textFill>
        </w:rPr>
        <w:t>12</w:t>
      </w:r>
      <w:r>
        <w:rPr>
          <w:rFonts w:hint="eastAsia" w:ascii="黑体" w:hAnsi="黑体" w:eastAsia="黑体" w:cs="黑体"/>
          <w:bCs/>
          <w:color w:val="000000" w:themeColor="text1"/>
          <w:szCs w:val="21"/>
          <w14:textFill>
            <w14:solidFill>
              <w14:schemeClr w14:val="tx1"/>
            </w14:solidFill>
          </w14:textFill>
        </w:rPr>
        <w:t xml:space="preserve">  原油处理系统流程框图</w:t>
      </w:r>
    </w:p>
    <w:p w14:paraId="27E75E9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采出水处理系统</w:t>
      </w:r>
    </w:p>
    <w:p w14:paraId="72239D71">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吉祥联合站采出水处理系统采用“重力除油+压力式混凝沉降+过滤”工艺流程，即：原油处理系统来水（含油≤1000mg/L，悬浮物≤300mg/L）进入2座500m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调储罐，串联运行，实现对采出水处理系统来水的水质水量调节和初步除油功能，经重力沉降除油物理过程，500m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调储罐出水（含油≤200mg/L、悬浮物≤120mg/L）经污水反应提升泵提升进入2座卧式污水聚结除油装置，通过加药反应沉降后，装置出水（含油≤20mg/L、悬浮物≤20mg/L）进一级双滤料和二级纤维束过滤器，过滤器出水含油≤5mg/L、悬浮物≤2mg/L。采出水处理系统投加3种药剂，在卧式污水聚结除油装置进水管线上加入净水剂、在卧式污水聚结除油装置内加入助凝剂，在污水反应提升泵进口</w:t>
      </w:r>
      <w:r>
        <w:rPr>
          <w:rFonts w:hint="eastAsia"/>
          <w:color w:val="000000" w:themeColor="text1"/>
          <w14:textFill>
            <w14:solidFill>
              <w14:schemeClr w14:val="tx1"/>
            </w14:solidFill>
          </w14:textFill>
        </w:rPr>
        <w:t>加入</w:t>
      </w:r>
      <w:r>
        <w:rPr>
          <w:color w:val="000000" w:themeColor="text1"/>
          <w14:textFill>
            <w14:solidFill>
              <w14:schemeClr w14:val="tx1"/>
            </w14:solidFill>
          </w14:textFill>
        </w:rPr>
        <w:t>催化剂</w:t>
      </w:r>
      <w:r>
        <w:rPr>
          <w:rFonts w:hint="eastAsia"/>
          <w:color w:val="000000" w:themeColor="text1"/>
          <w14:textFill>
            <w14:solidFill>
              <w14:schemeClr w14:val="tx1"/>
            </w14:solidFill>
          </w14:textFill>
        </w:rPr>
        <w:t>，采出水由处理系统处理达标后回注油藏。</w:t>
      </w:r>
      <w:r>
        <w:rPr>
          <w:color w:val="000000" w:themeColor="text1"/>
          <w14:textFill>
            <w14:solidFill>
              <w14:schemeClr w14:val="tx1"/>
            </w14:solidFill>
          </w14:textFill>
        </w:rPr>
        <w:t>吉祥联合站采出水处理系统目前</w:t>
      </w:r>
      <w:r>
        <w:rPr>
          <w:rFonts w:hint="eastAsia"/>
          <w:color w:val="000000" w:themeColor="text1"/>
          <w14:textFill>
            <w14:solidFill>
              <w14:schemeClr w14:val="tx1"/>
            </w14:solidFill>
          </w14:textFill>
        </w:rPr>
        <w:t>稳定运行，</w:t>
      </w:r>
      <w:r>
        <w:rPr>
          <w:color w:val="000000" w:themeColor="text1"/>
          <w14:textFill>
            <w14:solidFill>
              <w14:schemeClr w14:val="tx1"/>
            </w14:solidFill>
          </w14:textFill>
        </w:rPr>
        <w:t>处理规模为3600m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/d，实际处理量为2100m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p>
    <w:p w14:paraId="5B5BDDCD">
      <w:pPr>
        <w:pStyle w:val="342"/>
        <w:autoSpaceDE/>
        <w:autoSpaceDN/>
        <w:adjustRightInd/>
        <w:spacing w:line="360" w:lineRule="auto"/>
        <w:ind w:firstLine="480" w:firstLineChars="200"/>
        <w:jc w:val="left"/>
        <w:rPr>
          <w:rFonts w:hint="eastAsia" w:hAnsi="宋体" w:cs="Times New Roman"/>
          <w:color w:val="000000" w:themeColor="text1"/>
          <w:kern w:val="2"/>
          <w14:textFill>
            <w14:solidFill>
              <w14:schemeClr w14:val="tx1"/>
            </w14:solidFill>
          </w14:textFill>
        </w:rPr>
      </w:pPr>
      <w:r>
        <w:rPr>
          <w:rFonts w:hint="eastAsia" w:hAnsi="宋体" w:cs="Times New Roman"/>
          <w:color w:val="000000" w:themeColor="text1"/>
          <w:kern w:val="2"/>
          <w14:textFill>
            <w14:solidFill>
              <w14:schemeClr w14:val="tx1"/>
            </w14:solidFill>
          </w14:textFill>
        </w:rPr>
        <w:t>③伴生气</w:t>
      </w:r>
      <w:r>
        <w:rPr>
          <w:rFonts w:hAnsi="宋体" w:cs="Times New Roman"/>
          <w:color w:val="000000" w:themeColor="text1"/>
          <w:kern w:val="2"/>
          <w14:textFill>
            <w14:solidFill>
              <w14:schemeClr w14:val="tx1"/>
            </w14:solidFill>
          </w14:textFill>
        </w:rPr>
        <w:t>处理系统</w:t>
      </w:r>
    </w:p>
    <w:p w14:paraId="6E58F516">
      <w:pPr>
        <w:spacing w:line="360" w:lineRule="auto"/>
        <w:ind w:firstLine="480" w:firstLineChars="200"/>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吉祥联合站原油处理系统天然气除液器来气首先经冷凝器进行冷却，然后进电加热器加热后去配气管汇分配至各燃气设施，剩余部分去第三方天然气处理装置，天然气处理装置</w:t>
      </w:r>
      <w:r>
        <w:rPr>
          <w:rFonts w:hint="eastAsia" w:ascii="宋体" w:hAnsi="宋体"/>
          <w:color w:val="000000" w:themeColor="text1"/>
          <w:sz w:val="24"/>
          <w:szCs w:val="24"/>
          <w14:textFill>
            <w14:solidFill>
              <w14:schemeClr w14:val="tx1"/>
            </w14:solidFill>
          </w14:textFill>
        </w:rPr>
        <w:t>现稳定运行，</w:t>
      </w:r>
      <w:r>
        <w:rPr>
          <w:rFonts w:ascii="宋体" w:hAnsi="宋体"/>
          <w:color w:val="000000" w:themeColor="text1"/>
          <w:sz w:val="24"/>
          <w:szCs w:val="24"/>
          <w14:textFill>
            <w14:solidFill>
              <w14:schemeClr w14:val="tx1"/>
            </w14:solidFill>
          </w14:textFill>
        </w:rPr>
        <w:t>处理规模为2×10</w:t>
      </w:r>
      <w:r>
        <w:rPr>
          <w:rFonts w:ascii="宋体" w:hAnsi="宋体"/>
          <w:color w:val="000000" w:themeColor="text1"/>
          <w:sz w:val="24"/>
          <w:szCs w:val="24"/>
          <w:vertAlign w:val="superscript"/>
          <w14:textFill>
            <w14:solidFill>
              <w14:schemeClr w14:val="tx1"/>
            </w14:solidFill>
          </w14:textFill>
        </w:rPr>
        <w:t>4</w:t>
      </w:r>
      <w:r>
        <w:rPr>
          <w:rFonts w:ascii="宋体" w:hAnsi="宋体"/>
          <w:color w:val="000000" w:themeColor="text1"/>
          <w:sz w:val="24"/>
          <w:szCs w:val="24"/>
          <w14:textFill>
            <w14:solidFill>
              <w14:schemeClr w14:val="tx1"/>
            </w14:solidFill>
          </w14:textFill>
        </w:rPr>
        <w:t>Nm</w:t>
      </w:r>
      <w:r>
        <w:rPr>
          <w:rFonts w:ascii="宋体" w:hAnsi="宋体"/>
          <w:color w:val="000000" w:themeColor="text1"/>
          <w:sz w:val="24"/>
          <w:szCs w:val="24"/>
          <w:vertAlign w:val="superscript"/>
          <w14:textFill>
            <w14:solidFill>
              <w14:schemeClr w14:val="tx1"/>
            </w14:solidFill>
          </w14:textFill>
        </w:rPr>
        <w:t>3</w:t>
      </w:r>
      <w:r>
        <w:rPr>
          <w:rFonts w:ascii="宋体" w:hAnsi="宋体"/>
          <w:color w:val="000000" w:themeColor="text1"/>
          <w:sz w:val="24"/>
          <w:szCs w:val="24"/>
          <w14:textFill>
            <w14:solidFill>
              <w14:schemeClr w14:val="tx1"/>
            </w14:solidFill>
          </w14:textFill>
        </w:rPr>
        <w:t>/d，实际处理量为1.33×10</w:t>
      </w:r>
      <w:r>
        <w:rPr>
          <w:rFonts w:ascii="宋体" w:hAnsi="宋体"/>
          <w:color w:val="000000" w:themeColor="text1"/>
          <w:sz w:val="24"/>
          <w:szCs w:val="24"/>
          <w:vertAlign w:val="superscript"/>
          <w14:textFill>
            <w14:solidFill>
              <w14:schemeClr w14:val="tx1"/>
            </w14:solidFill>
          </w14:textFill>
        </w:rPr>
        <w:t>4</w:t>
      </w:r>
      <w:r>
        <w:rPr>
          <w:rFonts w:ascii="宋体" w:hAnsi="宋体"/>
          <w:color w:val="000000" w:themeColor="text1"/>
          <w:sz w:val="24"/>
          <w:szCs w:val="24"/>
          <w14:textFill>
            <w14:solidFill>
              <w14:schemeClr w14:val="tx1"/>
            </w14:solidFill>
          </w14:textFill>
        </w:rPr>
        <w:t>Nm</w:t>
      </w:r>
      <w:r>
        <w:rPr>
          <w:rFonts w:ascii="宋体" w:hAnsi="宋体"/>
          <w:color w:val="000000" w:themeColor="text1"/>
          <w:sz w:val="24"/>
          <w:szCs w:val="24"/>
          <w:vertAlign w:val="superscript"/>
          <w14:textFill>
            <w14:solidFill>
              <w14:schemeClr w14:val="tx1"/>
            </w14:solidFill>
          </w14:textFill>
        </w:rPr>
        <w:t>3</w:t>
      </w:r>
      <w:r>
        <w:rPr>
          <w:rFonts w:ascii="宋体" w:hAnsi="宋体"/>
          <w:color w:val="000000" w:themeColor="text1"/>
          <w:sz w:val="24"/>
          <w:szCs w:val="24"/>
          <w14:textFill>
            <w14:solidFill>
              <w14:schemeClr w14:val="tx1"/>
            </w14:solidFill>
          </w14:textFill>
        </w:rPr>
        <w:t>/d。</w:t>
      </w:r>
      <w:r>
        <w:rPr>
          <w:rFonts w:hint="eastAsia" w:ascii="宋体" w:hAnsi="宋体"/>
          <w:color w:val="000000" w:themeColor="text1"/>
          <w:sz w:val="24"/>
          <w:szCs w:val="24"/>
          <w14:textFill>
            <w14:solidFill>
              <w14:schemeClr w14:val="tx1"/>
            </w14:solidFill>
          </w14:textFill>
        </w:rPr>
        <w:t>本项目不铺设天然气返输管线，伴生天然气量约为659.4</w:t>
      </w:r>
      <w:r>
        <w:rPr>
          <w:rFonts w:ascii="宋体" w:hAnsi="宋体"/>
          <w:color w:val="000000" w:themeColor="text1"/>
          <w:sz w:val="24"/>
          <w:szCs w:val="24"/>
          <w14:textFill>
            <w14:solidFill>
              <w14:schemeClr w14:val="tx1"/>
            </w14:solidFill>
          </w14:textFill>
        </w:rPr>
        <w:t>Nm</w:t>
      </w:r>
      <w:r>
        <w:rPr>
          <w:rFonts w:ascii="宋体" w:hAnsi="宋体"/>
          <w:color w:val="000000" w:themeColor="text1"/>
          <w:sz w:val="24"/>
          <w:szCs w:val="24"/>
          <w:vertAlign w:val="superscript"/>
          <w14:textFill>
            <w14:solidFill>
              <w14:schemeClr w14:val="tx1"/>
            </w14:solidFill>
          </w14:textFill>
        </w:rPr>
        <w:t>3</w:t>
      </w:r>
      <w:r>
        <w:rPr>
          <w:rFonts w:ascii="宋体" w:hAnsi="宋体"/>
          <w:color w:val="000000" w:themeColor="text1"/>
          <w:sz w:val="24"/>
          <w:szCs w:val="24"/>
          <w14:textFill>
            <w14:solidFill>
              <w14:schemeClr w14:val="tx1"/>
            </w14:solidFill>
          </w14:textFill>
        </w:rPr>
        <w:t>/d</w:t>
      </w:r>
      <w:r>
        <w:rPr>
          <w:rFonts w:hint="eastAsia" w:ascii="宋体" w:hAnsi="宋体"/>
          <w:color w:val="000000" w:themeColor="text1"/>
          <w:sz w:val="24"/>
          <w:szCs w:val="24"/>
          <w14:textFill>
            <w14:solidFill>
              <w14:schemeClr w14:val="tx1"/>
            </w14:solidFill>
          </w14:textFill>
        </w:rPr>
        <w:t>，</w:t>
      </w:r>
      <w:r>
        <w:rPr>
          <w:rFonts w:ascii="宋体" w:hAnsi="宋体"/>
          <w:color w:val="000000" w:themeColor="text1"/>
          <w:sz w:val="24"/>
          <w:szCs w:val="24"/>
          <w14:textFill>
            <w14:solidFill>
              <w14:schemeClr w14:val="tx1"/>
            </w14:solidFill>
          </w14:textFill>
        </w:rPr>
        <w:t>吉祥联合站</w:t>
      </w:r>
      <w:r>
        <w:rPr>
          <w:rFonts w:hint="eastAsia" w:ascii="宋体" w:hAnsi="宋体"/>
          <w:color w:val="000000" w:themeColor="text1"/>
          <w:sz w:val="24"/>
          <w:szCs w:val="24"/>
          <w14:textFill>
            <w14:solidFill>
              <w14:schemeClr w14:val="tx1"/>
            </w14:solidFill>
          </w14:textFill>
        </w:rPr>
        <w:t>天然气处理系统可满足本项目天然气处理需求。</w:t>
      </w:r>
    </w:p>
    <w:p w14:paraId="65BF313F">
      <w:pPr>
        <w:pStyle w:val="193"/>
        <w:rPr>
          <w:rFonts w:hint="eastAsia"/>
          <w:color w:val="000000" w:themeColor="text1"/>
          <w14:textFill>
            <w14:solidFill>
              <w14:schemeClr w14:val="tx1"/>
            </w14:solidFill>
          </w14:textFill>
        </w:rPr>
      </w:pPr>
      <w:r>
        <w:rPr>
          <w:color w:val="000000" w:themeColor="text1"/>
          <w:kern w:val="2"/>
          <w14:textFill>
            <w14:solidFill>
              <w14:schemeClr w14:val="tx1"/>
            </w14:solidFill>
          </w14:textFill>
        </w:rPr>
        <w:t>吉祥联合站</w:t>
      </w:r>
      <w:r>
        <w:rPr>
          <w:rFonts w:hint="eastAsia"/>
          <w:color w:val="000000" w:themeColor="text1"/>
          <w14:textFill>
            <w14:solidFill>
              <w14:schemeClr w14:val="tx1"/>
            </w14:solidFill>
          </w14:textFill>
        </w:rPr>
        <w:t>内燃气设施燃烧烟气、厂界无组织非甲烷总烃、硫化氢和噪声均可实现达标排放（具体分析详见3.1.</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环境影响回顾章节）。综上所述，</w:t>
      </w:r>
      <w:r>
        <w:rPr>
          <w:color w:val="000000" w:themeColor="text1"/>
          <w:kern w:val="2"/>
          <w14:textFill>
            <w14:solidFill>
              <w14:schemeClr w14:val="tx1"/>
            </w14:solidFill>
          </w14:textFill>
        </w:rPr>
        <w:t>吉祥联合站</w:t>
      </w:r>
      <w:r>
        <w:rPr>
          <w:rFonts w:hint="eastAsia"/>
          <w:color w:val="000000" w:themeColor="text1"/>
          <w14:textFill>
            <w14:solidFill>
              <w14:schemeClr w14:val="tx1"/>
            </w14:solidFill>
          </w14:textFill>
        </w:rPr>
        <w:t>内原油处理系统、采出水处理系统、伴生气处理系统可满足本项目需求，依托可行。</w:t>
      </w:r>
    </w:p>
    <w:p w14:paraId="72D11939">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④净化油外输系统依托可行性分析</w:t>
      </w:r>
    </w:p>
    <w:p w14:paraId="5AC189A8">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本项目原油经吉祥联合站原油处理系统处理合格后，依托现有净化油外输管线管输至北三台油库，</w:t>
      </w:r>
      <w:r>
        <w:rPr>
          <w:rFonts w:hint="eastAsia"/>
          <w:color w:val="000000" w:themeColor="text1"/>
          <w:kern w:val="2"/>
          <w14:textFill>
            <w14:solidFill>
              <w14:schemeClr w14:val="tx1"/>
            </w14:solidFill>
          </w14:textFill>
        </w:rPr>
        <w:t>净化油外输系统设计规模为260×10</w:t>
      </w:r>
      <w:r>
        <w:rPr>
          <w:rFonts w:hint="eastAsia"/>
          <w:color w:val="000000" w:themeColor="text1"/>
          <w:kern w:val="2"/>
          <w:vertAlign w:val="superscript"/>
          <w14:textFill>
            <w14:solidFill>
              <w14:schemeClr w14:val="tx1"/>
            </w14:solidFill>
          </w14:textFill>
        </w:rPr>
        <w:t>4</w:t>
      </w:r>
      <w:r>
        <w:rPr>
          <w:rFonts w:hint="eastAsia"/>
          <w:color w:val="000000" w:themeColor="text1"/>
          <w:kern w:val="2"/>
          <w14:textFill>
            <w14:solidFill>
              <w14:schemeClr w14:val="tx1"/>
            </w14:solidFill>
          </w14:textFill>
        </w:rPr>
        <w:t>t/a，实际外输规模为107×</w:t>
      </w:r>
      <w:r>
        <w:rPr>
          <w:color w:val="000000" w:themeColor="text1"/>
          <w:kern w:val="2"/>
          <w14:textFill>
            <w14:solidFill>
              <w14:schemeClr w14:val="tx1"/>
            </w14:solidFill>
          </w14:textFill>
        </w:rPr>
        <w:t>10</w:t>
      </w:r>
      <w:r>
        <w:rPr>
          <w:color w:val="000000" w:themeColor="text1"/>
          <w:kern w:val="2"/>
          <w:vertAlign w:val="superscript"/>
          <w14:textFill>
            <w14:solidFill>
              <w14:schemeClr w14:val="tx1"/>
            </w14:solidFill>
          </w14:textFill>
        </w:rPr>
        <w:t>4</w:t>
      </w:r>
      <w:r>
        <w:rPr>
          <w:rFonts w:hint="eastAsia"/>
          <w:color w:val="000000" w:themeColor="text1"/>
          <w:kern w:val="2"/>
          <w14:textFill>
            <w14:solidFill>
              <w14:schemeClr w14:val="tx1"/>
            </w14:solidFill>
          </w14:textFill>
        </w:rPr>
        <w:t>t</w:t>
      </w:r>
      <w:r>
        <w:rPr>
          <w:color w:val="000000" w:themeColor="text1"/>
          <w:kern w:val="2"/>
          <w14:textFill>
            <w14:solidFill>
              <w14:schemeClr w14:val="tx1"/>
            </w14:solidFill>
          </w14:textFill>
        </w:rPr>
        <w:t>/a</w:t>
      </w:r>
      <w:r>
        <w:rPr>
          <w:rFonts w:hint="eastAsia"/>
          <w:color w:val="000000" w:themeColor="text1"/>
          <w:kern w:val="2"/>
          <w14:textFill>
            <w14:solidFill>
              <w14:schemeClr w14:val="tx1"/>
            </w14:solidFill>
          </w14:textFill>
        </w:rPr>
        <w:t>，富余外输能力为153×</w:t>
      </w:r>
      <w:r>
        <w:rPr>
          <w:color w:val="000000" w:themeColor="text1"/>
          <w:kern w:val="2"/>
          <w14:textFill>
            <w14:solidFill>
              <w14:schemeClr w14:val="tx1"/>
            </w14:solidFill>
          </w14:textFill>
        </w:rPr>
        <w:t>10</w:t>
      </w:r>
      <w:r>
        <w:rPr>
          <w:color w:val="000000" w:themeColor="text1"/>
          <w:kern w:val="2"/>
          <w:vertAlign w:val="superscript"/>
          <w14:textFill>
            <w14:solidFill>
              <w14:schemeClr w14:val="tx1"/>
            </w14:solidFill>
          </w14:textFill>
        </w:rPr>
        <w:t>4</w:t>
      </w:r>
      <w:r>
        <w:rPr>
          <w:rFonts w:hint="eastAsia"/>
          <w:color w:val="000000" w:themeColor="text1"/>
          <w:kern w:val="2"/>
          <w14:textFill>
            <w14:solidFill>
              <w14:schemeClr w14:val="tx1"/>
            </w14:solidFill>
          </w14:textFill>
        </w:rPr>
        <w:t>t</w:t>
      </w:r>
      <w:r>
        <w:rPr>
          <w:color w:val="000000" w:themeColor="text1"/>
          <w:kern w:val="2"/>
          <w14:textFill>
            <w14:solidFill>
              <w14:schemeClr w14:val="tx1"/>
            </w14:solidFill>
          </w14:textFill>
        </w:rPr>
        <w:t>/a</w:t>
      </w:r>
      <w:r>
        <w:rPr>
          <w:rFonts w:hint="eastAsia"/>
          <w:color w:val="000000" w:themeColor="text1"/>
          <w:kern w:val="2"/>
          <w14:textFill>
            <w14:solidFill>
              <w14:schemeClr w14:val="tx1"/>
            </w14:solidFill>
          </w14:textFill>
        </w:rPr>
        <w:t>，本项目新增产能为</w:t>
      </w:r>
      <w:r>
        <w:rPr>
          <w:rFonts w:hint="eastAsia"/>
          <w:color w:val="000000" w:themeColor="text1"/>
          <w14:textFill>
            <w14:solidFill>
              <w14:schemeClr w14:val="tx1"/>
            </w14:solidFill>
          </w14:textFill>
        </w:rPr>
        <w:t>29.34×10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t/a，现有外输系统可满足输送需求，依托可行。</w:t>
      </w:r>
    </w:p>
    <w:p w14:paraId="4DCAC5E0">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北三台油库最大设计周转量为359.04</w:t>
      </w:r>
      <w:r>
        <w:rPr>
          <w:rFonts w:hint="eastAsia"/>
          <w:color w:val="000000" w:themeColor="text1"/>
          <w:kern w:val="2"/>
          <w14:textFill>
            <w14:solidFill>
              <w14:schemeClr w14:val="tx1"/>
            </w14:solidFill>
          </w14:textFill>
        </w:rPr>
        <w:t>×10</w:t>
      </w:r>
      <w:r>
        <w:rPr>
          <w:rFonts w:hint="eastAsia"/>
          <w:color w:val="000000" w:themeColor="text1"/>
          <w:kern w:val="2"/>
          <w:vertAlign w:val="superscript"/>
          <w14:textFill>
            <w14:solidFill>
              <w14:schemeClr w14:val="tx1"/>
            </w14:solidFill>
          </w14:textFill>
        </w:rPr>
        <w:t>4</w:t>
      </w:r>
      <w:r>
        <w:rPr>
          <w:rFonts w:hint="eastAsia"/>
          <w:color w:val="000000" w:themeColor="text1"/>
          <w:kern w:val="2"/>
          <w14:textFill>
            <w14:solidFill>
              <w14:schemeClr w14:val="tx1"/>
            </w14:solidFill>
          </w14:textFill>
        </w:rPr>
        <w:t>t/a，本项目新增产能为</w:t>
      </w:r>
      <w:r>
        <w:rPr>
          <w:rFonts w:hint="eastAsia"/>
          <w:color w:val="000000" w:themeColor="text1"/>
          <w14:textFill>
            <w14:solidFill>
              <w14:schemeClr w14:val="tx1"/>
            </w14:solidFill>
          </w14:textFill>
        </w:rPr>
        <w:t>29.34×10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t/a，项目新增产能占北三台油库最大设计周转量比例相对较小，北三台油库现有设施可满足本项目需求，依托可行。</w:t>
      </w:r>
    </w:p>
    <w:p w14:paraId="77160607">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⑤危险废物贮存依托可行性分析</w:t>
      </w:r>
    </w:p>
    <w:p w14:paraId="5F149645">
      <w:pPr>
        <w:pStyle w:val="193"/>
        <w:rPr>
          <w:rFonts w:ascii="Times New Roman" w:hAnsi="Times New Roman"/>
          <w:color w:val="000000" w:themeColor="text1"/>
          <w:spacing w:val="4"/>
          <w14:textFill>
            <w14:solidFill>
              <w14:schemeClr w14:val="tx1"/>
            </w14:solidFill>
          </w14:textFill>
        </w:rPr>
      </w:pPr>
      <w:r>
        <w:rPr>
          <w:rFonts w:hint="eastAsia"/>
          <w:color w:val="000000" w:themeColor="text1"/>
          <w14:textFill>
            <w14:solidFill>
              <w14:schemeClr w14:val="tx1"/>
            </w14:solidFill>
          </w14:textFill>
        </w:rPr>
        <w:t>现有工程危险废物暂存需要依托</w:t>
      </w:r>
      <w:r>
        <w:rPr>
          <w:rFonts w:hint="eastAsia"/>
          <w:color w:val="000000" w:themeColor="text1"/>
          <w:lang w:val="zh-CN"/>
          <w14:textFill>
            <w14:solidFill>
              <w14:schemeClr w14:val="tx1"/>
            </w14:solidFill>
          </w14:textFill>
        </w:rPr>
        <w:t>吉祥联合站危险废物</w:t>
      </w:r>
      <w:r>
        <w:rPr>
          <w:rFonts w:hint="eastAsia"/>
          <w:color w:val="000000" w:themeColor="text1"/>
          <w:lang w:val="en-US" w:eastAsia="zh-CN"/>
          <w14:textFill>
            <w14:solidFill>
              <w14:schemeClr w14:val="tx1"/>
            </w14:solidFill>
          </w14:textFill>
        </w:rPr>
        <w:t>暂存</w:t>
      </w:r>
      <w:r>
        <w:rPr>
          <w:rFonts w:hint="eastAsia"/>
          <w:color w:val="000000" w:themeColor="text1"/>
          <w:lang w:val="zh-CN"/>
          <w14:textFill>
            <w14:solidFill>
              <w14:schemeClr w14:val="tx1"/>
            </w14:solidFill>
          </w14:textFill>
        </w:rPr>
        <w:t>点（</w:t>
      </w:r>
      <w:r>
        <w:rPr>
          <w:rFonts w:hint="eastAsia"/>
          <w:color w:val="000000" w:themeColor="text1"/>
          <w:lang w:val="en-US" w:eastAsia="zh-CN"/>
          <w14:textFill>
            <w14:solidFill>
              <w14:schemeClr w14:val="tx1"/>
            </w14:solidFill>
          </w14:textFill>
        </w:rPr>
        <w:t>又称“</w:t>
      </w:r>
      <w:r>
        <w:rPr>
          <w:rFonts w:hint="eastAsia"/>
          <w:color w:val="000000" w:themeColor="text1"/>
          <w:lang w:val="zh-CN"/>
          <w14:textFill>
            <w14:solidFill>
              <w14:schemeClr w14:val="tx1"/>
            </w14:solidFill>
          </w14:textFill>
        </w:rPr>
        <w:t>吉庆油田作业区含油污泥标准化贮存场</w:t>
      </w:r>
      <w:r>
        <w:rPr>
          <w:rFonts w:hint="eastAsia"/>
          <w:color w:val="000000" w:themeColor="text1"/>
          <w:lang w:val="en-US" w:eastAsia="zh-CN"/>
          <w14:textFill>
            <w14:solidFill>
              <w14:schemeClr w14:val="tx1"/>
            </w14:solidFill>
          </w14:textFill>
        </w:rPr>
        <w:t>”</w:t>
      </w:r>
      <w:r>
        <w:rPr>
          <w:rFonts w:hint="eastAsia"/>
          <w:color w:val="000000" w:themeColor="text1"/>
          <w:lang w:val="zh-CN"/>
          <w14:textFill>
            <w14:solidFill>
              <w14:schemeClr w14:val="tx1"/>
            </w14:solidFill>
          </w14:textFill>
        </w:rPr>
        <w:t>）</w:t>
      </w:r>
      <w:r>
        <w:rPr>
          <w:rFonts w:hint="eastAsia"/>
          <w:color w:val="000000" w:themeColor="text1"/>
          <w14:textFill>
            <w14:solidFill>
              <w14:schemeClr w14:val="tx1"/>
            </w14:solidFill>
          </w14:textFill>
        </w:rPr>
        <w:t>。废润滑油、废润滑油油桶、含油废抹布劳保用品和沾油废防渗材料贮存依托</w:t>
      </w:r>
      <w:r>
        <w:rPr>
          <w:rFonts w:hint="eastAsia"/>
          <w:color w:val="000000" w:themeColor="text1"/>
          <w:lang w:val="zh-CN"/>
          <w14:textFill>
            <w14:solidFill>
              <w14:schemeClr w14:val="tx1"/>
            </w14:solidFill>
          </w14:textFill>
        </w:rPr>
        <w:t>吉祥联合站</w:t>
      </w:r>
      <w:bookmarkStart w:id="267" w:name="OLE_LINK3"/>
      <w:r>
        <w:rPr>
          <w:rFonts w:hint="eastAsia"/>
          <w:color w:val="000000" w:themeColor="text1"/>
          <w:lang w:val="zh-CN"/>
          <w14:textFill>
            <w14:solidFill>
              <w14:schemeClr w14:val="tx1"/>
            </w14:solidFill>
          </w14:textFill>
        </w:rPr>
        <w:t>危险废物临时贮存点</w:t>
      </w:r>
      <w:bookmarkEnd w:id="267"/>
      <w:r>
        <w:rPr>
          <w:rFonts w:hint="eastAsia"/>
          <w:color w:val="000000" w:themeColor="text1"/>
          <w:lang w:val="zh-CN"/>
          <w14:textFill>
            <w14:solidFill>
              <w14:schemeClr w14:val="tx1"/>
            </w14:solidFill>
          </w14:textFill>
        </w:rPr>
        <w:t>，危险废物按照不同的类别分类</w:t>
      </w:r>
      <w:r>
        <w:rPr>
          <w:rFonts w:hint="eastAsia"/>
          <w:color w:val="000000" w:themeColor="text1"/>
          <w:lang w:val="en-US" w:eastAsia="zh-CN"/>
          <w14:textFill>
            <w14:solidFill>
              <w14:schemeClr w14:val="tx1"/>
            </w14:solidFill>
          </w14:textFill>
        </w:rPr>
        <w:t>分区</w:t>
      </w:r>
      <w:r>
        <w:rPr>
          <w:rFonts w:hint="eastAsia"/>
          <w:color w:val="000000" w:themeColor="text1"/>
          <w:lang w:val="zh-CN"/>
          <w14:textFill>
            <w14:solidFill>
              <w14:schemeClr w14:val="tx1"/>
            </w14:solidFill>
          </w14:textFill>
        </w:rPr>
        <w:t>暂存。危险废物临时贮存点占地尺寸为24m×12m，</w:t>
      </w:r>
      <w:r>
        <w:rPr>
          <w:rFonts w:hint="eastAsia"/>
          <w:color w:val="000000" w:themeColor="text1"/>
          <w:kern w:val="2"/>
          <w14:textFill>
            <w14:solidFill>
              <w14:schemeClr w14:val="tx1"/>
            </w14:solidFill>
          </w14:textFill>
        </w:rPr>
        <w:t>设有固定的边界，可与其他区域隔离开，储存场所设有顶棚和围墙，具有防风、防雨、防晒和防止危险废物流失、扬散的措施，暂存区进行了基础防渗，地面铺有防渗膜，防渗膜完好无损，防渗系数满足《危险废物污染控制标准》（GB18597-2023）</w:t>
      </w:r>
      <w:r>
        <w:rPr>
          <w:rFonts w:hint="eastAsia" w:ascii="Times New Roman" w:hAnsi="Times New Roman"/>
          <w:color w:val="000000" w:themeColor="text1"/>
          <w:spacing w:val="4"/>
          <w14:textFill>
            <w14:solidFill>
              <w14:schemeClr w14:val="tx1"/>
            </w14:solidFill>
          </w14:textFill>
        </w:rPr>
        <w:t>的防渗要求，采取了防渗、防漏等措施。暂</w:t>
      </w:r>
      <w:r>
        <w:rPr>
          <w:rFonts w:hint="eastAsia"/>
          <w:color w:val="000000" w:themeColor="text1"/>
          <w:kern w:val="2"/>
          <w14:textFill>
            <w14:solidFill>
              <w14:schemeClr w14:val="tx1"/>
            </w14:solidFill>
          </w14:textFill>
        </w:rPr>
        <w:t>存点用来暂存</w:t>
      </w:r>
      <w:r>
        <w:rPr>
          <w:rFonts w:hint="eastAsia"/>
          <w:color w:val="000000" w:themeColor="text1"/>
          <w:kern w:val="2"/>
          <w:lang w:val="en-US" w:eastAsia="zh-CN"/>
          <w14:textFill>
            <w14:solidFill>
              <w14:schemeClr w14:val="tx1"/>
            </w14:solidFill>
          </w14:textFill>
        </w:rPr>
        <w:t>吉7井区</w:t>
      </w:r>
      <w:r>
        <w:rPr>
          <w:rFonts w:hint="eastAsia" w:ascii="Times New Roman" w:hAnsi="Times New Roman"/>
          <w:color w:val="000000" w:themeColor="text1"/>
          <w:spacing w:val="4"/>
          <w14:textFill>
            <w14:solidFill>
              <w14:schemeClr w14:val="tx1"/>
            </w14:solidFill>
          </w14:textFill>
        </w:rPr>
        <w:t>运营过程中产生的废机油</w:t>
      </w:r>
      <w:r>
        <w:rPr>
          <w:rFonts w:hint="eastAsia" w:ascii="Times New Roman" w:hAnsi="Times New Roman"/>
          <w:color w:val="000000" w:themeColor="text1"/>
          <w:spacing w:val="4"/>
          <w:lang w:eastAsia="zh-CN"/>
          <w14:textFill>
            <w14:solidFill>
              <w14:schemeClr w14:val="tx1"/>
            </w14:solidFill>
          </w14:textFill>
        </w:rPr>
        <w:t>、</w:t>
      </w:r>
      <w:r>
        <w:rPr>
          <w:rFonts w:hint="eastAsia" w:ascii="Times New Roman" w:hAnsi="Times New Roman"/>
          <w:color w:val="000000" w:themeColor="text1"/>
          <w:spacing w:val="4"/>
          <w14:textFill>
            <w14:solidFill>
              <w14:schemeClr w14:val="tx1"/>
            </w14:solidFill>
          </w14:textFill>
        </w:rPr>
        <w:t>废机油桶</w:t>
      </w:r>
      <w:r>
        <w:rPr>
          <w:rFonts w:hint="eastAsia" w:ascii="Times New Roman" w:hAnsi="Times New Roman"/>
          <w:color w:val="000000" w:themeColor="text1"/>
          <w:spacing w:val="4"/>
          <w:lang w:eastAsia="zh-CN"/>
          <w14:textFill>
            <w14:solidFill>
              <w14:schemeClr w14:val="tx1"/>
            </w14:solidFill>
          </w14:textFill>
        </w:rPr>
        <w:t>、</w:t>
      </w:r>
      <w:r>
        <w:rPr>
          <w:rFonts w:hint="eastAsia"/>
          <w:color w:val="000000" w:themeColor="text1"/>
          <w14:textFill>
            <w14:solidFill>
              <w14:schemeClr w14:val="tx1"/>
            </w14:solidFill>
          </w14:textFill>
        </w:rPr>
        <w:t>含油废抹布劳保用品</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沾油废防渗材料</w:t>
      </w:r>
      <w:r>
        <w:rPr>
          <w:rFonts w:hint="eastAsia"/>
          <w:color w:val="000000" w:themeColor="text1"/>
          <w:lang w:val="en-US" w:eastAsia="zh-CN"/>
          <w14:textFill>
            <w14:solidFill>
              <w14:schemeClr w14:val="tx1"/>
            </w14:solidFill>
          </w14:textFill>
        </w:rPr>
        <w:t>等危险废物</w:t>
      </w:r>
      <w:r>
        <w:rPr>
          <w:rFonts w:hint="eastAsia" w:ascii="Times New Roman" w:hAnsi="Times New Roman"/>
          <w:color w:val="000000" w:themeColor="text1"/>
          <w:spacing w:val="4"/>
          <w14:textFill>
            <w14:solidFill>
              <w14:schemeClr w14:val="tx1"/>
            </w14:solidFill>
          </w14:textFill>
        </w:rPr>
        <w:t>，分区暂存在危废暂存点，通过查阅清运记录，贮存点实时贮存量均</w:t>
      </w:r>
      <w:r>
        <w:rPr>
          <w:rFonts w:hint="eastAsia"/>
          <w:color w:val="000000" w:themeColor="text1"/>
          <w:kern w:val="2"/>
          <w14:textFill>
            <w14:solidFill>
              <w14:schemeClr w14:val="tx1"/>
            </w14:solidFill>
          </w14:textFill>
        </w:rPr>
        <w:t>未超过3吨</w:t>
      </w:r>
      <w:r>
        <w:rPr>
          <w:rFonts w:hint="eastAsia" w:ascii="Times New Roman" w:hAnsi="Times New Roman"/>
          <w:color w:val="000000" w:themeColor="text1"/>
          <w:spacing w:val="4"/>
          <w14:textFill>
            <w14:solidFill>
              <w14:schemeClr w14:val="tx1"/>
            </w14:solidFill>
          </w14:textFill>
        </w:rPr>
        <w:t>。</w:t>
      </w:r>
    </w:p>
    <w:p w14:paraId="33D5C47C">
      <w:pPr>
        <w:pStyle w:val="193"/>
        <w:ind w:firstLine="496"/>
        <w:rPr>
          <w:rFonts w:ascii="Times New Roman" w:hAnsi="Times New Roman"/>
          <w:color w:val="000000" w:themeColor="text1"/>
          <w:spacing w:val="4"/>
          <w14:textFill>
            <w14:solidFill>
              <w14:schemeClr w14:val="tx1"/>
            </w14:solidFill>
          </w14:textFill>
        </w:rPr>
      </w:pPr>
      <w:r>
        <w:rPr>
          <w:rFonts w:hint="eastAsia"/>
          <w:color w:val="000000" w:themeColor="text1"/>
          <w:lang w:val="zh-CN"/>
          <w14:textFill>
            <w14:solidFill>
              <w14:schemeClr w14:val="tx1"/>
            </w14:solidFill>
          </w14:textFill>
        </w:rPr>
        <w:t>吉祥联合站</w:t>
      </w:r>
      <w:r>
        <w:rPr>
          <w:rFonts w:hint="eastAsia" w:ascii="Times New Roman" w:hAnsi="Times New Roman"/>
          <w:color w:val="000000" w:themeColor="text1"/>
          <w:spacing w:val="4"/>
          <w14:textFill>
            <w14:solidFill>
              <w14:schemeClr w14:val="tx1"/>
            </w14:solidFill>
          </w14:textFill>
        </w:rPr>
        <w:t>已建危废暂存场所库房设置双人双锁，采用防爆电器，设置了火焰探测器、火灾自动监测报警系统，预防并及时控制火灾。</w:t>
      </w:r>
    </w:p>
    <w:p w14:paraId="48A846C1">
      <w:pPr>
        <w:pStyle w:val="193"/>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通过对已建的危险废物暂存点建设现状与《危险废物污染控制标准》（GB18597-2023）相关要求进行对比可知，</w:t>
      </w:r>
      <w:r>
        <w:rPr>
          <w:rFonts w:hint="eastAsia"/>
          <w:color w:val="000000" w:themeColor="text1"/>
          <w:lang w:val="en-US" w:eastAsia="zh-CN"/>
          <w14:textFill>
            <w14:solidFill>
              <w14:schemeClr w14:val="tx1"/>
            </w14:solidFill>
          </w14:textFill>
        </w:rPr>
        <w:t>吉祥联合站</w:t>
      </w:r>
      <w:r>
        <w:rPr>
          <w:rFonts w:hint="eastAsia"/>
          <w:color w:val="000000" w:themeColor="text1"/>
          <w:lang w:val="zh-CN"/>
          <w14:textFill>
            <w14:solidFill>
              <w14:schemeClr w14:val="tx1"/>
            </w14:solidFill>
          </w14:textFill>
        </w:rPr>
        <w:t>已建的危险废物临时贮存点符合《危险废物污染控制标准》（GB18597-2023）的相关要求。</w:t>
      </w:r>
    </w:p>
    <w:p w14:paraId="3F5D5ECF">
      <w:pPr>
        <w:pStyle w:val="193"/>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本项目危险废物产生量相对较少，现有危险废物临时贮存点可满足贮存需求。</w:t>
      </w:r>
    </w:p>
    <w:bookmarkEnd w:id="263"/>
    <w:p w14:paraId="7C0B0B1B">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⑥危险废物处置</w:t>
      </w:r>
    </w:p>
    <w:p w14:paraId="4EB5F7D4">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02</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年吉庆油田作业区与克拉玛依博达生态环保科技有限责任公司签订了危废处置协议。</w:t>
      </w:r>
    </w:p>
    <w:p w14:paraId="35F164F2">
      <w:pPr>
        <w:pStyle w:val="19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项目区西北距</w:t>
      </w:r>
      <w:r>
        <w:rPr>
          <w:rFonts w:hint="eastAsia"/>
          <w:color w:val="000000" w:themeColor="text1"/>
          <w14:textFill>
            <w14:solidFill>
              <w14:schemeClr w14:val="tx1"/>
            </w14:solidFill>
          </w14:textFill>
        </w:rPr>
        <w:t>克拉玛依博达生态环保科技有限责任公司</w:t>
      </w:r>
      <w:r>
        <w:rPr>
          <w:rFonts w:hint="eastAsia"/>
          <w:color w:val="000000" w:themeColor="text1"/>
          <w:lang w:val="en-US" w:eastAsia="zh-CN"/>
          <w14:textFill>
            <w14:solidFill>
              <w14:schemeClr w14:val="tx1"/>
            </w14:solidFill>
          </w14:textFill>
        </w:rPr>
        <w:t>约360.1km，</w:t>
      </w:r>
      <w:r>
        <w:rPr>
          <w:rFonts w:hint="eastAsia"/>
          <w:color w:val="000000" w:themeColor="text1"/>
          <w14:textFill>
            <w14:solidFill>
              <w14:schemeClr w14:val="tx1"/>
            </w14:solidFill>
          </w14:textFill>
        </w:rPr>
        <w:t>（危险废物经营许可证编号：</w:t>
      </w:r>
      <w:r>
        <w:rPr>
          <w:color w:val="000000" w:themeColor="text1"/>
          <w14:textFill>
            <w14:solidFill>
              <w14:schemeClr w14:val="tx1"/>
            </w14:solidFill>
          </w14:textFill>
        </w:rPr>
        <w:t>65020</w:t>
      </w:r>
      <w:r>
        <w:rPr>
          <w:rFonts w:hint="eastAsia"/>
          <w:color w:val="000000" w:themeColor="text1"/>
          <w14:textFill>
            <w14:solidFill>
              <w14:schemeClr w14:val="tx1"/>
            </w14:solidFill>
          </w14:textFill>
        </w:rPr>
        <w:t>40117，有效期2022年2月11日—2027年2月10日）经营危险废物类别包括HW08废矿物油与含矿物油废物、HW13有机树脂类废物和HW49其他废物，具体类别包括本工程产生的</w:t>
      </w:r>
      <w:r>
        <w:rPr>
          <w:color w:val="000000" w:themeColor="text1"/>
          <w14:textFill>
            <w14:solidFill>
              <w14:schemeClr w14:val="tx1"/>
            </w14:solidFill>
          </w14:textFill>
        </w:rPr>
        <w:t>900-214-08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071-001-08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900-249-08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900-041-49</w:t>
      </w:r>
      <w:r>
        <w:rPr>
          <w:rFonts w:hint="eastAsia"/>
          <w:color w:val="000000" w:themeColor="text1"/>
          <w14:textFill>
            <w14:solidFill>
              <w14:schemeClr w14:val="tx1"/>
            </w14:solidFill>
          </w14:textFill>
        </w:rPr>
        <w:t>。总经营规模138.5万吨/年（其中，含油污泥30万吨/年，含油泥废液34万吨/年，干化油泥及废矿物油40.5万吨/年、含油钻井废弃物10.5万吨/年、废防渗膜和废树脂3.5万吨/年，废油基泥浆20万吨/年）。</w:t>
      </w:r>
    </w:p>
    <w:p w14:paraId="08BA6518">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本工程H</w:t>
      </w:r>
      <w:r>
        <w:rPr>
          <w:color w:val="000000" w:themeColor="text1"/>
          <w14:textFill>
            <w14:solidFill>
              <w14:schemeClr w14:val="tx1"/>
            </w14:solidFill>
          </w14:textFill>
        </w:rPr>
        <w:t>W08</w:t>
      </w:r>
      <w:r>
        <w:rPr>
          <w:rFonts w:hint="eastAsia"/>
          <w:color w:val="000000" w:themeColor="text1"/>
          <w14:textFill>
            <w14:solidFill>
              <w14:schemeClr w14:val="tx1"/>
            </w14:solidFill>
          </w14:textFill>
        </w:rPr>
        <w:t>类危废产生总量约1t</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HW49类危险废物约0.04t/a，相较于克拉玛依博达生态环保科技有限责任公司总体处理能力占比很小。此外，克拉玛依市附近多家具有相应处置资质及处理能力的危废处理单位，吉庆油田作业区可根据需求及各危废处置单位接纳能力选择满足本工程及各项依托设施的危险废物处理需要。综上所述，项目危废处置依托可行。</w:t>
      </w:r>
    </w:p>
    <w:p w14:paraId="71C500A3">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⑦洗井废水、井下作业废液拉运处理可行性分析</w:t>
      </w:r>
    </w:p>
    <w:p w14:paraId="19B86E13">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洗井废水、井下作业废液采用专用储罐收集后由专用罐车负责拉运。采用质量合格的储罐；液体装车时检查罐体情况，确保罐体完好再装车；储罐设有液位装置，装车时及时观察液位装置，以免溢出；罐车司机驾驶技术娴熟，发生交通事故的概率较低；日常加强管理和维护，发生泄漏事故的概率很小。一旦发生泄漏事故，及时采取相应的措施，不会对周围环境产生明显影响。综上，洗井废水、井下作业废液拉运处理可行。运营单位应在拉运过程中建立转运台账。</w:t>
      </w:r>
    </w:p>
    <w:p w14:paraId="1D0BFAD7">
      <w:pPr>
        <w:pStyle w:val="193"/>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辅助工程</w:t>
      </w:r>
    </w:p>
    <w:p w14:paraId="1118CF80">
      <w:pPr>
        <w:pStyle w:val="193"/>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每座钻井井场左右两侧各设置1条放喷管线，在井场一侧预留应急放喷池位置。应急放喷池仅在事故状态下开挖。井场旁有一辆挖机随时待命，一旦发生井喷，挖机可立即开挖放喷池，快速开挖至规定尺寸后，进行人工防渗层，防渗材料为HDPE防渗膜，渗透系数≤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w:t>
      </w:r>
    </w:p>
    <w:p w14:paraId="3EB81F5F">
      <w:pPr>
        <w:pStyle w:val="193"/>
        <w:rPr>
          <w:rFonts w:hint="default"/>
          <w:color w:val="000000" w:themeColor="text1"/>
          <w:lang w:val="en-US" w:eastAsia="zh-CN"/>
          <w14:textFill>
            <w14:solidFill>
              <w14:schemeClr w14:val="tx1"/>
            </w14:solidFill>
          </w14:textFill>
        </w:rPr>
        <w:sectPr>
          <w:pgSz w:w="11906" w:h="16838"/>
          <w:pgMar w:top="1418" w:right="1588" w:bottom="1418" w:left="1588" w:header="1020" w:footer="1020" w:gutter="0"/>
          <w:cols w:space="720" w:num="1"/>
          <w:docGrid w:type="lines" w:linePitch="317" w:charSpace="0"/>
        </w:sectPr>
      </w:pPr>
    </w:p>
    <w:p w14:paraId="4D626294">
      <w:pPr>
        <w:pStyle w:val="47"/>
        <w:spacing w:line="240" w:lineRule="auto"/>
        <w:jc w:val="center"/>
        <w:rPr>
          <w:rFonts w:hint="eastAsia" w:ascii="黑体" w:hAnsi="黑体" w:eastAsia="黑体"/>
          <w:bCs/>
          <w:color w:val="000000" w:themeColor="text1"/>
          <w:sz w:val="21"/>
          <w:szCs w:val="21"/>
          <w:lang w:eastAsia="zh-CN" w:bidi="ar"/>
          <w14:textFill>
            <w14:solidFill>
              <w14:schemeClr w14:val="tx1"/>
            </w14:solidFill>
          </w14:textFill>
        </w:rPr>
      </w:pPr>
      <w:r>
        <w:rPr>
          <w:rFonts w:hint="eastAsia" w:ascii="黑体" w:hAnsi="黑体" w:eastAsia="黑体"/>
          <w:bCs/>
          <w:color w:val="000000" w:themeColor="text1"/>
          <w:sz w:val="21"/>
          <w:szCs w:val="21"/>
          <w:lang w:eastAsia="zh-CN" w:bidi="ar"/>
          <w14:textFill>
            <w14:solidFill>
              <w14:schemeClr w14:val="tx1"/>
            </w14:solidFill>
          </w14:textFill>
        </w:rPr>
        <w:drawing>
          <wp:inline distT="0" distB="0" distL="114300" distR="114300">
            <wp:extent cx="8724265" cy="4952365"/>
            <wp:effectExtent l="9525" t="9525" r="10160" b="10160"/>
            <wp:docPr id="145" name="图片 145" descr="分布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分布情况"/>
                    <pic:cNvPicPr>
                      <a:picLocks noChangeAspect="1"/>
                    </pic:cNvPicPr>
                  </pic:nvPicPr>
                  <pic:blipFill>
                    <a:blip r:embed="rId44"/>
                    <a:stretch>
                      <a:fillRect/>
                    </a:stretch>
                  </pic:blipFill>
                  <pic:spPr>
                    <a:xfrm>
                      <a:off x="0" y="0"/>
                      <a:ext cx="8724265" cy="4952365"/>
                    </a:xfrm>
                    <a:prstGeom prst="rect">
                      <a:avLst/>
                    </a:prstGeom>
                    <a:ln>
                      <a:solidFill>
                        <a:schemeClr val="tx1"/>
                      </a:solidFill>
                    </a:ln>
                  </pic:spPr>
                </pic:pic>
              </a:graphicData>
            </a:graphic>
          </wp:inline>
        </w:drawing>
      </w:r>
    </w:p>
    <w:p w14:paraId="2C616AAA">
      <w:pPr>
        <w:pStyle w:val="47"/>
        <w:spacing w:line="500" w:lineRule="exact"/>
        <w:ind w:firstLine="518" w:firstLineChars="247"/>
        <w:jc w:val="center"/>
        <w:rPr>
          <w:rFonts w:hint="eastAsia" w:ascii="黑体" w:hAnsi="黑体" w:eastAsia="黑体"/>
          <w:bCs/>
          <w:color w:val="000000" w:themeColor="text1"/>
          <w:sz w:val="21"/>
          <w:szCs w:val="21"/>
          <w:lang w:val="en-US" w:eastAsia="zh-CN" w:bidi="ar"/>
          <w14:textFill>
            <w14:solidFill>
              <w14:schemeClr w14:val="tx1"/>
            </w14:solidFill>
          </w14:textFill>
        </w:rPr>
      </w:pPr>
      <w:r>
        <w:rPr>
          <w:rFonts w:hint="eastAsia" w:ascii="黑体" w:hAnsi="黑体" w:eastAsia="黑体"/>
          <w:bCs/>
          <w:color w:val="000000" w:themeColor="text1"/>
          <w:sz w:val="21"/>
          <w:szCs w:val="21"/>
          <w:lang w:bidi="ar"/>
          <w14:textFill>
            <w14:solidFill>
              <w14:schemeClr w14:val="tx1"/>
            </w14:solidFill>
          </w14:textFill>
        </w:rPr>
        <w:t>图3.2-</w:t>
      </w:r>
      <w:r>
        <w:rPr>
          <w:rFonts w:hint="eastAsia" w:ascii="黑体" w:hAnsi="黑体" w:eastAsia="黑体"/>
          <w:bCs/>
          <w:color w:val="000000" w:themeColor="text1"/>
          <w:sz w:val="21"/>
          <w:szCs w:val="21"/>
          <w:lang w:val="en-US" w:eastAsia="zh-CN" w:bidi="ar"/>
          <w14:textFill>
            <w14:solidFill>
              <w14:schemeClr w14:val="tx1"/>
            </w14:solidFill>
          </w14:textFill>
        </w:rPr>
        <w:t>10</w:t>
      </w:r>
      <w:r>
        <w:rPr>
          <w:rFonts w:hint="eastAsia" w:ascii="黑体" w:hAnsi="黑体" w:eastAsia="黑体"/>
          <w:bCs/>
          <w:color w:val="000000" w:themeColor="text1"/>
          <w:sz w:val="21"/>
          <w:szCs w:val="21"/>
          <w:lang w:bidi="ar"/>
          <w14:textFill>
            <w14:solidFill>
              <w14:schemeClr w14:val="tx1"/>
            </w14:solidFill>
          </w14:textFill>
        </w:rPr>
        <w:t xml:space="preserve">  </w:t>
      </w:r>
      <w:r>
        <w:rPr>
          <w:rFonts w:hint="eastAsia" w:ascii="黑体" w:hAnsi="黑体" w:eastAsia="黑体"/>
          <w:bCs/>
          <w:color w:val="000000" w:themeColor="text1"/>
          <w:sz w:val="21"/>
          <w:szCs w:val="21"/>
          <w:lang w:val="en-US" w:eastAsia="zh-CN" w:bidi="ar"/>
          <w14:textFill>
            <w14:solidFill>
              <w14:schemeClr w14:val="tx1"/>
            </w14:solidFill>
          </w14:textFill>
        </w:rPr>
        <w:t>依托工程与本项目空间布局示意图（a）</w:t>
      </w:r>
    </w:p>
    <w:p w14:paraId="1475468D">
      <w:pPr>
        <w:pStyle w:val="47"/>
        <w:spacing w:line="240" w:lineRule="auto"/>
        <w:jc w:val="both"/>
        <w:rPr>
          <w:rFonts w:hint="eastAsia" w:ascii="黑体" w:hAnsi="黑体" w:eastAsia="黑体"/>
          <w:bCs/>
          <w:color w:val="000000" w:themeColor="text1"/>
          <w:sz w:val="21"/>
          <w:szCs w:val="21"/>
          <w:lang w:val="en-US" w:eastAsia="zh-CN" w:bidi="ar"/>
          <w14:textFill>
            <w14:solidFill>
              <w14:schemeClr w14:val="tx1"/>
            </w14:solidFill>
          </w14:textFill>
        </w:rPr>
      </w:pPr>
      <w:r>
        <w:rPr>
          <w:rFonts w:hint="eastAsia" w:ascii="黑体" w:hAnsi="黑体" w:eastAsia="黑体"/>
          <w:bCs/>
          <w:color w:val="000000" w:themeColor="text1"/>
          <w:sz w:val="21"/>
          <w:szCs w:val="21"/>
          <w:lang w:val="en-US" w:eastAsia="zh-CN" w:bidi="ar"/>
          <w14:textFill>
            <w14:solidFill>
              <w14:schemeClr w14:val="tx1"/>
            </w14:solidFill>
          </w14:textFill>
        </w:rPr>
        <w:drawing>
          <wp:inline distT="0" distB="0" distL="114300" distR="114300">
            <wp:extent cx="8223885" cy="5074920"/>
            <wp:effectExtent l="9525" t="9525" r="15240" b="20955"/>
            <wp:docPr id="146" name="图片 146" descr="分布情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分布情况1"/>
                    <pic:cNvPicPr>
                      <a:picLocks noChangeAspect="1"/>
                    </pic:cNvPicPr>
                  </pic:nvPicPr>
                  <pic:blipFill>
                    <a:blip r:embed="rId45"/>
                    <a:stretch>
                      <a:fillRect/>
                    </a:stretch>
                  </pic:blipFill>
                  <pic:spPr>
                    <a:xfrm>
                      <a:off x="0" y="0"/>
                      <a:ext cx="8223885" cy="5074920"/>
                    </a:xfrm>
                    <a:prstGeom prst="rect">
                      <a:avLst/>
                    </a:prstGeom>
                    <a:ln>
                      <a:solidFill>
                        <a:schemeClr val="tx1"/>
                      </a:solidFill>
                    </a:ln>
                  </pic:spPr>
                </pic:pic>
              </a:graphicData>
            </a:graphic>
          </wp:inline>
        </w:drawing>
      </w:r>
    </w:p>
    <w:p w14:paraId="76B98A19">
      <w:pPr>
        <w:pStyle w:val="47"/>
        <w:spacing w:line="240" w:lineRule="auto"/>
        <w:jc w:val="center"/>
        <w:rPr>
          <w:rFonts w:hint="eastAsia" w:ascii="黑体" w:hAnsi="黑体" w:eastAsia="黑体"/>
          <w:bCs/>
          <w:color w:val="000000" w:themeColor="text1"/>
          <w:sz w:val="21"/>
          <w:szCs w:val="21"/>
          <w:lang w:val="en-US" w:eastAsia="zh-CN" w:bidi="ar"/>
          <w14:textFill>
            <w14:solidFill>
              <w14:schemeClr w14:val="tx1"/>
            </w14:solidFill>
          </w14:textFill>
        </w:rPr>
      </w:pPr>
      <w:r>
        <w:rPr>
          <w:rFonts w:hint="eastAsia" w:ascii="黑体" w:hAnsi="黑体" w:eastAsia="黑体"/>
          <w:bCs/>
          <w:color w:val="000000" w:themeColor="text1"/>
          <w:sz w:val="21"/>
          <w:szCs w:val="21"/>
          <w:lang w:val="en-US" w:eastAsia="zh-CN" w:bidi="ar"/>
          <w14:textFill>
            <w14:solidFill>
              <w14:schemeClr w14:val="tx1"/>
            </w14:solidFill>
          </w14:textFill>
        </w:rPr>
        <w:t>图3.2-11  依托工程与本项目空间布局示意图（b）</w:t>
      </w:r>
    </w:p>
    <w:p w14:paraId="5B2F11C8">
      <w:pPr>
        <w:rPr>
          <w:rFonts w:hint="eastAsia"/>
          <w:color w:val="000000" w:themeColor="text1"/>
          <w14:textFill>
            <w14:solidFill>
              <w14:schemeClr w14:val="tx1"/>
            </w14:solidFill>
          </w14:textFill>
        </w:rPr>
        <w:sectPr>
          <w:pgSz w:w="16838" w:h="11906" w:orient="landscape"/>
          <w:pgMar w:top="1588" w:right="1418" w:bottom="1588" w:left="1418" w:header="1020" w:footer="1020" w:gutter="0"/>
          <w:cols w:space="720" w:num="1"/>
          <w:docGrid w:type="lines" w:linePitch="317" w:charSpace="0"/>
        </w:sectPr>
      </w:pPr>
      <w:r>
        <w:rPr>
          <w:rFonts w:hint="eastAsia"/>
          <w:color w:val="000000" w:themeColor="text1"/>
          <w14:textFill>
            <w14:solidFill>
              <w14:schemeClr w14:val="tx1"/>
            </w14:solidFill>
          </w14:textFill>
        </w:rPr>
        <w:br w:type="page"/>
      </w:r>
    </w:p>
    <w:bookmarkEnd w:id="261"/>
    <w:bookmarkEnd w:id="262"/>
    <w:bookmarkEnd w:id="264"/>
    <w:p w14:paraId="4B624A1A">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主要技术经济指标</w:t>
      </w:r>
    </w:p>
    <w:p w14:paraId="14C1A6E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主要技术经济指标见表</w:t>
      </w:r>
      <w:r>
        <w:rPr>
          <w:color w:val="000000" w:themeColor="text1"/>
          <w14:textFill>
            <w14:solidFill>
              <w14:schemeClr w14:val="tx1"/>
            </w14:solidFill>
          </w14:textFill>
        </w:rPr>
        <w:t>3.2</w:t>
      </w:r>
      <w:r>
        <w:rPr>
          <w:rFonts w:hint="eastAsia"/>
          <w:color w:val="000000" w:themeColor="text1"/>
          <w14:textFill>
            <w14:solidFill>
              <w14:schemeClr w14:val="tx1"/>
            </w14:solidFill>
          </w14:textFill>
        </w:rPr>
        <w:t>-19。</w:t>
      </w:r>
    </w:p>
    <w:p w14:paraId="642CD57D">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 xml:space="preserve">-19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主要技术经济指标一览表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904"/>
        <w:gridCol w:w="2774"/>
        <w:gridCol w:w="2268"/>
        <w:gridCol w:w="1784"/>
      </w:tblGrid>
      <w:tr w14:paraId="0BC863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90" w:type="pct"/>
            <w:vAlign w:val="center"/>
          </w:tcPr>
          <w:p w14:paraId="270719FE">
            <w:pPr>
              <w:pStyle w:val="280"/>
              <w:rPr>
                <w:rFonts w:hint="eastAsia"/>
                <w:color w:val="000000" w:themeColor="text1"/>
                <w14:textFill>
                  <w14:solidFill>
                    <w14:schemeClr w14:val="tx1"/>
                  </w14:solidFill>
                </w14:textFill>
              </w:rPr>
            </w:pPr>
            <w:bookmarkStart w:id="268" w:name="_Hlk169004646"/>
            <w:r>
              <w:rPr>
                <w:rFonts w:hint="eastAsia"/>
                <w:color w:val="000000" w:themeColor="text1"/>
                <w14:textFill>
                  <w14:solidFill>
                    <w14:schemeClr w14:val="tx1"/>
                  </w14:solidFill>
                </w14:textFill>
              </w:rPr>
              <w:t>类别</w:t>
            </w:r>
          </w:p>
        </w:tc>
        <w:tc>
          <w:tcPr>
            <w:tcW w:w="1589" w:type="pct"/>
            <w:vAlign w:val="center"/>
          </w:tcPr>
          <w:p w14:paraId="567CE93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1299" w:type="pct"/>
            <w:vAlign w:val="center"/>
          </w:tcPr>
          <w:p w14:paraId="110C72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1022" w:type="pct"/>
            <w:vAlign w:val="center"/>
          </w:tcPr>
          <w:p w14:paraId="25A37B9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r>
      <w:tr w14:paraId="340690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90" w:type="pct"/>
            <w:vAlign w:val="center"/>
          </w:tcPr>
          <w:p w14:paraId="21AF98A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设计动用资源储量</w:t>
            </w:r>
          </w:p>
        </w:tc>
        <w:tc>
          <w:tcPr>
            <w:tcW w:w="1589" w:type="pct"/>
            <w:vAlign w:val="center"/>
          </w:tcPr>
          <w:p w14:paraId="687F1E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0.64×10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t/a</w:t>
            </w:r>
          </w:p>
        </w:tc>
        <w:tc>
          <w:tcPr>
            <w:tcW w:w="1299" w:type="pct"/>
            <w:vAlign w:val="center"/>
          </w:tcPr>
          <w:p w14:paraId="6FB554F9">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临时占地面积</w:t>
            </w:r>
          </w:p>
        </w:tc>
        <w:tc>
          <w:tcPr>
            <w:tcW w:w="1022" w:type="pct"/>
            <w:vAlign w:val="center"/>
          </w:tcPr>
          <w:p w14:paraId="1A89D03E">
            <w:pPr>
              <w:pStyle w:val="28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78055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r>
      <w:tr w14:paraId="78601D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90" w:type="pct"/>
            <w:vAlign w:val="center"/>
          </w:tcPr>
          <w:p w14:paraId="7AE9E30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设计井数</w:t>
            </w:r>
          </w:p>
        </w:tc>
        <w:tc>
          <w:tcPr>
            <w:tcW w:w="1589" w:type="pct"/>
            <w:vAlign w:val="center"/>
          </w:tcPr>
          <w:p w14:paraId="79B6EE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8口</w:t>
            </w:r>
          </w:p>
        </w:tc>
        <w:tc>
          <w:tcPr>
            <w:tcW w:w="1299" w:type="pct"/>
            <w:vAlign w:val="center"/>
          </w:tcPr>
          <w:p w14:paraId="79F948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永久占地面积</w:t>
            </w:r>
          </w:p>
        </w:tc>
        <w:tc>
          <w:tcPr>
            <w:tcW w:w="1022" w:type="pct"/>
            <w:vAlign w:val="center"/>
          </w:tcPr>
          <w:p w14:paraId="6B7165E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12462</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r>
      <w:tr w14:paraId="57CDE4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90" w:type="pct"/>
            <w:vAlign w:val="center"/>
          </w:tcPr>
          <w:p w14:paraId="1A5785D9">
            <w:pPr>
              <w:pStyle w:val="280"/>
              <w:rPr>
                <w:rFonts w:hint="eastAsia"/>
                <w:color w:val="000000" w:themeColor="text1"/>
                <w:highlight w:val="yellow"/>
                <w:lang w:bidi="ar"/>
                <w14:textFill>
                  <w14:solidFill>
                    <w14:schemeClr w14:val="tx1"/>
                  </w14:solidFill>
                </w14:textFill>
              </w:rPr>
            </w:pPr>
            <w:r>
              <w:rPr>
                <w:rFonts w:hint="eastAsia"/>
                <w:color w:val="000000" w:themeColor="text1"/>
                <w:lang w:bidi="ar"/>
                <w14:textFill>
                  <w14:solidFill>
                    <w14:schemeClr w14:val="tx1"/>
                  </w14:solidFill>
                </w14:textFill>
              </w:rPr>
              <w:t>不同规模站场数</w:t>
            </w:r>
          </w:p>
        </w:tc>
        <w:tc>
          <w:tcPr>
            <w:tcW w:w="1589" w:type="pct"/>
            <w:vAlign w:val="center"/>
          </w:tcPr>
          <w:p w14:paraId="2AB6960C">
            <w:pPr>
              <w:pStyle w:val="280"/>
              <w:rPr>
                <w:rFonts w:hint="eastAsia"/>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0座</w:t>
            </w:r>
          </w:p>
        </w:tc>
        <w:tc>
          <w:tcPr>
            <w:tcW w:w="1299" w:type="pct"/>
            <w:vAlign w:val="center"/>
          </w:tcPr>
          <w:p w14:paraId="39A71763">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电能消耗量</w:t>
            </w:r>
          </w:p>
        </w:tc>
        <w:tc>
          <w:tcPr>
            <w:tcW w:w="1022" w:type="pct"/>
            <w:vAlign w:val="center"/>
          </w:tcPr>
          <w:p w14:paraId="5A390050">
            <w:pPr>
              <w:pStyle w:val="280"/>
              <w:rPr>
                <w:rFonts w:hint="eastAsia"/>
                <w:color w:val="000000" w:themeColor="text1"/>
                <w14:textFill>
                  <w14:solidFill>
                    <w14:schemeClr w14:val="tx1"/>
                  </w14:solidFill>
                </w14:textFill>
              </w:rPr>
            </w:pPr>
            <w:r>
              <w:rPr>
                <w:rFonts w:hint="eastAsia"/>
                <w:color w:val="000000" w:themeColor="text1"/>
                <w:szCs w:val="21"/>
                <w14:textFill>
                  <w14:solidFill>
                    <w14:schemeClr w14:val="tx1"/>
                  </w14:solidFill>
                </w14:textFill>
              </w:rPr>
              <w:t>59.46×10</w:t>
            </w:r>
            <w:r>
              <w:rPr>
                <w:rFonts w:hint="eastAsia"/>
                <w:color w:val="000000" w:themeColor="text1"/>
                <w:szCs w:val="21"/>
                <w:vertAlign w:val="superscript"/>
                <w14:textFill>
                  <w14:solidFill>
                    <w14:schemeClr w14:val="tx1"/>
                  </w14:solidFill>
                </w14:textFill>
              </w:rPr>
              <w:t>4</w:t>
            </w:r>
            <w:r>
              <w:rPr>
                <w:rFonts w:hint="eastAsia"/>
                <w:color w:val="000000" w:themeColor="text1"/>
                <w:szCs w:val="21"/>
                <w14:textFill>
                  <w14:solidFill>
                    <w14:schemeClr w14:val="tx1"/>
                  </w14:solidFill>
                </w14:textFill>
              </w:rPr>
              <w:t>kW</w:t>
            </w:r>
            <w:r>
              <w:rPr>
                <w:rFonts w:ascii="Times New Roman" w:hAnsi="Times New Roman"/>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h</w:t>
            </w:r>
          </w:p>
        </w:tc>
      </w:tr>
      <w:tr w14:paraId="49DC40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90" w:type="pct"/>
            <w:vAlign w:val="center"/>
          </w:tcPr>
          <w:p w14:paraId="10C835E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管道长度</w:t>
            </w:r>
          </w:p>
        </w:tc>
        <w:tc>
          <w:tcPr>
            <w:tcW w:w="1589" w:type="pct"/>
            <w:vAlign w:val="center"/>
          </w:tcPr>
          <w:p w14:paraId="6BC9853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5.56km</w:t>
            </w:r>
          </w:p>
        </w:tc>
        <w:tc>
          <w:tcPr>
            <w:tcW w:w="1299" w:type="pct"/>
            <w:tcBorders>
              <w:bottom w:val="single" w:color="auto" w:sz="4" w:space="0"/>
            </w:tcBorders>
            <w:vAlign w:val="center"/>
          </w:tcPr>
          <w:p w14:paraId="2D093B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总投资</w:t>
            </w:r>
          </w:p>
        </w:tc>
        <w:tc>
          <w:tcPr>
            <w:tcW w:w="1022" w:type="pct"/>
            <w:vAlign w:val="center"/>
          </w:tcPr>
          <w:p w14:paraId="5631A6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925.37万元</w:t>
            </w:r>
          </w:p>
        </w:tc>
      </w:tr>
      <w:tr w14:paraId="7DFF15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90" w:type="pct"/>
            <w:vAlign w:val="center"/>
          </w:tcPr>
          <w:p w14:paraId="21A77AF6">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劳动定员</w:t>
            </w:r>
          </w:p>
        </w:tc>
        <w:tc>
          <w:tcPr>
            <w:tcW w:w="1589" w:type="pct"/>
            <w:tcBorders>
              <w:bottom w:val="single" w:color="auto" w:sz="4" w:space="0"/>
            </w:tcBorders>
            <w:vAlign w:val="center"/>
          </w:tcPr>
          <w:p w14:paraId="3125047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依托现有劳动定员，不新增</w:t>
            </w:r>
          </w:p>
        </w:tc>
        <w:tc>
          <w:tcPr>
            <w:tcW w:w="1299" w:type="pct"/>
            <w:tcBorders>
              <w:top w:val="single" w:color="auto" w:sz="4" w:space="0"/>
              <w:bottom w:val="single" w:color="auto" w:sz="4" w:space="0"/>
            </w:tcBorders>
            <w:vAlign w:val="center"/>
          </w:tcPr>
          <w:p w14:paraId="7429F0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环保投资</w:t>
            </w:r>
          </w:p>
        </w:tc>
        <w:tc>
          <w:tcPr>
            <w:tcW w:w="1022" w:type="pct"/>
            <w:vAlign w:val="center"/>
          </w:tcPr>
          <w:p w14:paraId="07EBD961">
            <w:pPr>
              <w:pStyle w:val="280"/>
              <w:rPr>
                <w:rFonts w:hint="eastAsia"/>
                <w:bCs/>
                <w:color w:val="000000" w:themeColor="text1"/>
                <w14:textFill>
                  <w14:solidFill>
                    <w14:schemeClr w14:val="tx1"/>
                  </w14:solidFill>
                </w14:textFill>
              </w:rPr>
            </w:pPr>
            <w:r>
              <w:rPr>
                <w:rFonts w:hint="eastAsia"/>
                <w:color w:val="000000" w:themeColor="text1"/>
                <w14:textFill>
                  <w14:solidFill>
                    <w14:schemeClr w14:val="tx1"/>
                  </w14:solidFill>
                </w14:textFill>
              </w:rPr>
              <w:t>123万元</w:t>
            </w:r>
          </w:p>
        </w:tc>
      </w:tr>
      <w:tr w14:paraId="4D0FDF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90" w:type="pct"/>
            <w:vAlign w:val="center"/>
          </w:tcPr>
          <w:p w14:paraId="3DD5E576">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工作制度</w:t>
            </w:r>
          </w:p>
        </w:tc>
        <w:tc>
          <w:tcPr>
            <w:tcW w:w="1589" w:type="pct"/>
            <w:tcBorders>
              <w:top w:val="single" w:color="auto" w:sz="4" w:space="0"/>
            </w:tcBorders>
            <w:vAlign w:val="center"/>
          </w:tcPr>
          <w:p w14:paraId="51D0C3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年运行</w:t>
            </w:r>
            <w:r>
              <w:rPr>
                <w:color w:val="000000" w:themeColor="text1"/>
                <w14:textFill>
                  <w14:solidFill>
                    <w14:schemeClr w14:val="tx1"/>
                  </w14:solidFill>
                </w14:textFill>
              </w:rPr>
              <w:t>330</w:t>
            </w:r>
            <w:r>
              <w:rPr>
                <w:rFonts w:hint="eastAsia"/>
                <w:color w:val="000000" w:themeColor="text1"/>
                <w14:textFill>
                  <w14:solidFill>
                    <w14:schemeClr w14:val="tx1"/>
                  </w14:solidFill>
                </w14:textFill>
              </w:rPr>
              <w:t>天</w:t>
            </w:r>
          </w:p>
        </w:tc>
        <w:tc>
          <w:tcPr>
            <w:tcW w:w="1299" w:type="pct"/>
            <w:tcBorders>
              <w:top w:val="single" w:color="auto" w:sz="4" w:space="0"/>
            </w:tcBorders>
            <w:vAlign w:val="center"/>
          </w:tcPr>
          <w:p w14:paraId="50F814D6">
            <w:pPr>
              <w:pStyle w:val="280"/>
              <w:rPr>
                <w:rFonts w:hint="eastAsia"/>
                <w:color w:val="000000" w:themeColor="text1"/>
                <w14:textFill>
                  <w14:solidFill>
                    <w14:schemeClr w14:val="tx1"/>
                  </w14:solidFill>
                </w14:textFill>
              </w:rPr>
            </w:pPr>
          </w:p>
        </w:tc>
        <w:tc>
          <w:tcPr>
            <w:tcW w:w="1022" w:type="pct"/>
            <w:vAlign w:val="center"/>
          </w:tcPr>
          <w:p w14:paraId="58443E1E">
            <w:pPr>
              <w:pStyle w:val="280"/>
              <w:rPr>
                <w:rFonts w:hint="eastAsia"/>
                <w:color w:val="000000" w:themeColor="text1"/>
                <w14:textFill>
                  <w14:solidFill>
                    <w14:schemeClr w14:val="tx1"/>
                  </w14:solidFill>
                </w14:textFill>
              </w:rPr>
            </w:pPr>
          </w:p>
        </w:tc>
      </w:tr>
      <w:bookmarkEnd w:id="268"/>
    </w:tbl>
    <w:p w14:paraId="750628A6">
      <w:pPr>
        <w:pStyle w:val="8"/>
        <w:rPr>
          <w:rFonts w:hint="eastAsia"/>
          <w:color w:val="000000" w:themeColor="text1"/>
          <w14:textFill>
            <w14:solidFill>
              <w14:schemeClr w14:val="tx1"/>
            </w14:solidFill>
          </w14:textFill>
        </w:rPr>
      </w:pPr>
      <w:bookmarkStart w:id="269" w:name="_Hlk175251039"/>
      <w:r>
        <w:rPr>
          <w:rFonts w:hint="eastAsia"/>
          <w:color w:val="000000" w:themeColor="text1"/>
          <w14:textFill>
            <w14:solidFill>
              <w14:schemeClr w14:val="tx1"/>
            </w14:solidFill>
          </w14:textFill>
        </w:rPr>
        <w:t>生产工艺及环境影响因素分析</w:t>
      </w:r>
    </w:p>
    <w:bookmarkEnd w:id="269"/>
    <w:p w14:paraId="085258D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（1）施工期施工工艺及环境影响因素分析</w:t>
      </w:r>
    </w:p>
    <w:p w14:paraId="5A275013">
      <w:pPr>
        <w:pStyle w:val="120"/>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本项目新钻</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口井钻井部分施工工艺依次为钻前工程、钻井工程、储层改造三个阶段。</w:t>
      </w:r>
      <w:r>
        <w:rPr>
          <w:rFonts w:hint="eastAsia"/>
          <w:color w:val="000000" w:themeColor="text1"/>
          <w:lang w:val="en-US" w:eastAsia="zh-CN"/>
          <w14:textFill>
            <w14:solidFill>
              <w14:schemeClr w14:val="tx1"/>
            </w14:solidFill>
          </w14:textFill>
        </w:rPr>
        <w:t>施工期</w:t>
      </w:r>
      <w:r>
        <w:rPr>
          <w:rFonts w:hint="eastAsia"/>
          <w:color w:val="000000" w:themeColor="text1"/>
          <w14:textFill>
            <w14:solidFill>
              <w14:schemeClr w14:val="tx1"/>
            </w14:solidFill>
          </w14:textFill>
        </w:rPr>
        <w:t>不设置生活营地，无生活污水和生活垃圾产生</w:t>
      </w:r>
      <w:r>
        <w:rPr>
          <w:rFonts w:hint="eastAsia"/>
          <w:color w:val="000000" w:themeColor="text1"/>
          <w:lang w:eastAsia="zh-CN"/>
          <w14:textFill>
            <w14:solidFill>
              <w14:schemeClr w14:val="tx1"/>
            </w14:solidFill>
          </w14:textFill>
        </w:rPr>
        <w:t>。</w:t>
      </w:r>
    </w:p>
    <w:p w14:paraId="3137E18A">
      <w:pPr>
        <w:pStyle w:val="120"/>
        <w:ind w:left="480" w:firstLine="0" w:firstLineChars="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①</w:t>
      </w:r>
      <w:r>
        <w:rPr>
          <w:rFonts w:hint="eastAsia"/>
          <w:color w:val="000000" w:themeColor="text1"/>
          <w14:textFill>
            <w14:solidFill>
              <w14:schemeClr w14:val="tx1"/>
            </w14:solidFill>
          </w14:textFill>
        </w:rPr>
        <w:t>钻前工程</w:t>
      </w:r>
    </w:p>
    <w:p w14:paraId="47D42F8B">
      <w:pPr>
        <w:pStyle w:val="120"/>
        <w:rPr>
          <w:rFonts w:hint="eastAsia"/>
          <w:color w:val="000000" w:themeColor="text1"/>
          <w:lang w:val="en-US"/>
          <w14:textFill>
            <w14:solidFill>
              <w14:schemeClr w14:val="tx1"/>
            </w14:solidFill>
          </w14:textFill>
        </w:rPr>
      </w:pPr>
      <w:r>
        <w:rPr>
          <w:rFonts w:hint="eastAsia"/>
          <w:color w:val="000000" w:themeColor="text1"/>
          <w14:textFill>
            <w14:solidFill>
              <w14:schemeClr w14:val="tx1"/>
            </w14:solidFill>
          </w14:textFill>
        </w:rPr>
        <w:t>钻前工程主要包括井场平整、钻机基础及进场道路建设等，产生的环境影响主要为施工扬尘、施工机械及车辆尾气、噪声、建筑垃圾以及对周围环境产生的生态影响等。</w:t>
      </w:r>
      <w:r>
        <w:rPr>
          <w:color w:val="000000" w:themeColor="text1"/>
          <w:lang w:val="en-US"/>
          <w14:textFill>
            <w14:solidFill>
              <w14:schemeClr w14:val="tx1"/>
            </w14:solidFill>
          </w14:textFill>
        </w:rPr>
        <w:t>钻前工程作业工艺流程及产排污节点见图3.2-1</w:t>
      </w:r>
      <w:r>
        <w:rPr>
          <w:rFonts w:hint="eastAsia"/>
          <w:color w:val="000000" w:themeColor="text1"/>
          <w:lang w:val="en-US" w:eastAsia="zh-CN"/>
          <w14:textFill>
            <w14:solidFill>
              <w14:schemeClr w14:val="tx1"/>
            </w14:solidFill>
          </w14:textFill>
        </w:rPr>
        <w:t>3</w:t>
      </w:r>
      <w:r>
        <w:rPr>
          <w:color w:val="000000" w:themeColor="text1"/>
          <w:lang w:val="en-US"/>
          <w14:textFill>
            <w14:solidFill>
              <w14:schemeClr w14:val="tx1"/>
            </w14:solidFill>
          </w14:textFill>
        </w:rPr>
        <w:t>。</w:t>
      </w:r>
    </w:p>
    <w:p w14:paraId="3230BB1E">
      <w:pPr>
        <w:pStyle w:val="120"/>
        <w:spacing w:line="240" w:lineRule="auto"/>
        <w:rPr>
          <w:rFonts w:hint="eastAsia"/>
          <w:color w:val="000000" w:themeColor="text1"/>
          <w:lang w:val="en-US"/>
          <w14:textFill>
            <w14:solidFill>
              <w14:schemeClr w14:val="tx1"/>
            </w14:solidFill>
          </w14:textFill>
        </w:rPr>
      </w:pPr>
      <w:r>
        <w:rPr>
          <w:rFonts w:hint="eastAsia"/>
          <w:color w:val="000000" w:themeColor="text1"/>
          <w14:textFill>
            <w14:solidFill>
              <w14:schemeClr w14:val="tx1"/>
            </w14:solidFill>
          </w14:textFill>
        </w:rPr>
        <w:object>
          <v:shape id="_x0000_i1025" o:spt="75" type="#_x0000_t75" style="height:162.45pt;width:375.55pt;" o:ole="t" filled="f" coordsize="21600,21600">
            <v:path/>
            <v:fill on="f" focussize="0,0"/>
            <v:stroke/>
            <v:imagedata r:id="rId47" o:title=""/>
            <o:lock v:ext="edit" aspectratio="t"/>
            <w10:wrap type="none"/>
            <w10:anchorlock/>
          </v:shape>
          <o:OLEObject Type="Embed" ProgID="Visio.Drawing.15" ShapeID="_x0000_i1025" DrawAspect="Content" ObjectID="_1468075725" r:id="rId46">
            <o:LockedField>false</o:LockedField>
          </o:OLEObject>
        </w:object>
      </w:r>
    </w:p>
    <w:p w14:paraId="12873CA7">
      <w:pPr>
        <w:pStyle w:val="112"/>
        <w:rPr>
          <w:rFonts w:hint="eastAsia"/>
          <w:color w:val="000000" w:themeColor="text1"/>
          <w14:textFill>
            <w14:solidFill>
              <w14:schemeClr w14:val="tx1"/>
            </w14:solidFill>
          </w14:textFill>
        </w:rPr>
      </w:pPr>
      <w:r>
        <w:rPr>
          <w:color w:val="000000" w:themeColor="text1"/>
          <w14:textFill>
            <w14:solidFill>
              <w14:schemeClr w14:val="tx1"/>
            </w14:solidFill>
          </w14:textFill>
        </w:rPr>
        <w:t>图3.2-1</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 xml:space="preserve">  钻前工程工艺流程和产污环节示意图</w:t>
      </w:r>
    </w:p>
    <w:p w14:paraId="692E8278">
      <w:pPr>
        <w:pStyle w:val="120"/>
        <w:ind w:left="480" w:firstLine="0" w:firstLineChars="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②</w:t>
      </w:r>
      <w:r>
        <w:rPr>
          <w:rFonts w:hint="eastAsia"/>
          <w:color w:val="000000" w:themeColor="text1"/>
          <w14:textFill>
            <w14:solidFill>
              <w14:schemeClr w14:val="tx1"/>
            </w14:solidFill>
          </w14:textFill>
        </w:rPr>
        <w:t>钻井工艺流程及产污环节</w:t>
      </w:r>
    </w:p>
    <w:p w14:paraId="3850317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钻井是采用旋转的钻头给所钻的地层一定的压力，使钻头的牙齿嵌入地层，然后旋转钻头，利用旋转钻头的扭矩来切削地层，并用循环的钻井液将钻屑带出井眼，以保证持续钻进。钻井工程作业流程见图</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2-1</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w:t>
      </w:r>
    </w:p>
    <w:p w14:paraId="7AF2D069">
      <w:pPr>
        <w:spacing w:line="500" w:lineRule="exact"/>
        <w:ind w:firstLine="480" w:firstLineChars="200"/>
        <w:rPr>
          <w:rFonts w:hint="eastAsia" w:ascii="宋体" w:hAnsi="宋体"/>
          <w:color w:val="000000" w:themeColor="text1"/>
          <w:kern w:val="0"/>
          <w:sz w:val="24"/>
          <w:szCs w:val="24"/>
          <w:lang w:val="zh-CN"/>
          <w14:textFill>
            <w14:solidFill>
              <w14:schemeClr w14:val="tx1"/>
            </w14:solidFill>
          </w14:textFill>
        </w:rPr>
      </w:pPr>
      <w:r>
        <w:rPr>
          <w:rFonts w:ascii="宋体" w:hAnsi="宋体"/>
          <w:color w:val="000000" w:themeColor="text1"/>
          <w:kern w:val="0"/>
          <w:sz w:val="24"/>
          <w:szCs w:val="24"/>
          <w:lang w:val="zh-CN"/>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739140</wp:posOffset>
                </wp:positionH>
                <wp:positionV relativeFrom="paragraph">
                  <wp:posOffset>13970</wp:posOffset>
                </wp:positionV>
                <wp:extent cx="3990975" cy="2571750"/>
                <wp:effectExtent l="4445" t="4445" r="5080" b="14605"/>
                <wp:wrapNone/>
                <wp:docPr id="242868713" name="文本框 11"/>
                <wp:cNvGraphicFramePr/>
                <a:graphic xmlns:a="http://schemas.openxmlformats.org/drawingml/2006/main">
                  <a:graphicData uri="http://schemas.microsoft.com/office/word/2010/wordprocessingShape">
                    <wps:wsp>
                      <wps:cNvSpPr txBox="1"/>
                      <wps:spPr>
                        <a:xfrm>
                          <a:off x="0" y="0"/>
                          <a:ext cx="3990975" cy="2571750"/>
                        </a:xfrm>
                        <a:prstGeom prst="rect">
                          <a:avLst/>
                        </a:prstGeom>
                        <a:noFill/>
                        <a:ln w="9525">
                          <a:solidFill>
                            <a:schemeClr val="tx1"/>
                          </a:solidFill>
                          <a:prstDash val="dash"/>
                        </a:ln>
                      </wps:spPr>
                      <wps:txbx>
                        <w:txbxContent>
                          <w:p w14:paraId="62085BC0"/>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 o:spid="_x0000_s1026" o:spt="202" type="#_x0000_t202" style="position:absolute;left:0pt;margin-left:58.2pt;margin-top:1.1pt;height:202.5pt;width:314.25pt;z-index:251683840;mso-width-relative:page;mso-height-relative:page;" filled="f" stroked="t" coordsize="21600,21600" o:gfxdata="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SZ/4+2QAAAAkBAAAPAAAAAAAAAAEAIAAAACIAAABkcnMvZG93bnJldi54bWxQSwEC&#10;FAAUAAAACACHTuJA0+gW7WUCAACxBAAADgAAAAAAAAABACAAAAAoAQAAZHJzL2Uyb0RvYy54bWxQ&#10;SwUGAAAAAAYABgBZAQAA/wUAAAAA&#10;">
                <v:fill on="f" focussize="0,0"/>
                <v:stroke color="#000000 [3213]" joinstyle="round" dashstyle="dash"/>
                <v:imagedata o:title=""/>
                <o:lock v:ext="edit" aspectratio="f"/>
                <v:textbox>
                  <w:txbxContent>
                    <w:p w14:paraId="62085BC0"/>
                  </w:txbxContent>
                </v:textbox>
              </v:shape>
            </w:pict>
          </mc:Fallback>
        </mc:AlternateContent>
      </w:r>
      <w:r>
        <w:rPr>
          <w:rFonts w:ascii="宋体" w:hAnsi="宋体"/>
          <w:color w:val="000000" w:themeColor="text1"/>
          <w:kern w:val="0"/>
          <w:sz w:val="24"/>
          <w:szCs w:val="24"/>
          <w:lang w:val="zh-CN"/>
          <w14:textFill>
            <w14:solidFill>
              <w14:schemeClr w14:val="tx1"/>
            </w14:solidFill>
          </w14:textFill>
        </w:rPr>
        <w:drawing>
          <wp:anchor distT="0" distB="0" distL="114300" distR="114300" simplePos="0" relativeHeight="251682816" behindDoc="0" locked="0" layoutInCell="1" allowOverlap="1">
            <wp:simplePos x="0" y="0"/>
            <wp:positionH relativeFrom="margin">
              <wp:posOffset>1545590</wp:posOffset>
            </wp:positionH>
            <wp:positionV relativeFrom="paragraph">
              <wp:posOffset>38100</wp:posOffset>
            </wp:positionV>
            <wp:extent cx="2774950" cy="2433955"/>
            <wp:effectExtent l="0" t="0" r="6350" b="4445"/>
            <wp:wrapNone/>
            <wp:docPr id="115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图片 1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774950" cy="2433955"/>
                    </a:xfrm>
                    <a:prstGeom prst="rect">
                      <a:avLst/>
                    </a:prstGeom>
                    <a:noFill/>
                    <a:ln>
                      <a:noFill/>
                    </a:ln>
                  </pic:spPr>
                </pic:pic>
              </a:graphicData>
            </a:graphic>
          </wp:anchor>
        </w:drawing>
      </w:r>
    </w:p>
    <w:p w14:paraId="503234F8">
      <w:pPr>
        <w:spacing w:line="500" w:lineRule="exact"/>
        <w:ind w:firstLine="480" w:firstLineChars="200"/>
        <w:rPr>
          <w:rFonts w:hint="eastAsia" w:ascii="宋体" w:hAnsi="宋体"/>
          <w:color w:val="000000" w:themeColor="text1"/>
          <w:kern w:val="0"/>
          <w:sz w:val="24"/>
          <w:szCs w:val="24"/>
          <w:lang w:val="zh-CN"/>
          <w14:textFill>
            <w14:solidFill>
              <w14:schemeClr w14:val="tx1"/>
            </w14:solidFill>
          </w14:textFill>
        </w:rPr>
      </w:pPr>
    </w:p>
    <w:p w14:paraId="3126EC6E">
      <w:pPr>
        <w:spacing w:line="500" w:lineRule="exact"/>
        <w:ind w:firstLine="480" w:firstLineChars="200"/>
        <w:rPr>
          <w:rFonts w:hint="eastAsia" w:ascii="宋体" w:hAnsi="宋体"/>
          <w:color w:val="000000" w:themeColor="text1"/>
          <w:kern w:val="0"/>
          <w:sz w:val="24"/>
          <w:szCs w:val="24"/>
          <w:lang w:val="zh-CN"/>
          <w14:textFill>
            <w14:solidFill>
              <w14:schemeClr w14:val="tx1"/>
            </w14:solidFill>
          </w14:textFill>
        </w:rPr>
      </w:pPr>
    </w:p>
    <w:p w14:paraId="3D4905BD">
      <w:pPr>
        <w:pStyle w:val="537"/>
        <w:rPr>
          <w:rFonts w:hint="eastAsia"/>
          <w:color w:val="000000" w:themeColor="text1"/>
          <w14:textFill>
            <w14:solidFill>
              <w14:schemeClr w14:val="tx1"/>
            </w14:solidFill>
          </w14:textFill>
        </w:rPr>
      </w:pPr>
    </w:p>
    <w:p w14:paraId="356DEBF8">
      <w:pPr>
        <w:rPr>
          <w:color w:val="000000" w:themeColor="text1"/>
          <w:lang w:val="zh-CN"/>
          <w14:textFill>
            <w14:solidFill>
              <w14:schemeClr w14:val="tx1"/>
            </w14:solidFill>
          </w14:textFill>
        </w:rPr>
      </w:pPr>
    </w:p>
    <w:p w14:paraId="5502476F">
      <w:pPr>
        <w:pStyle w:val="537"/>
        <w:rPr>
          <w:rFonts w:hint="eastAsia"/>
          <w:color w:val="000000" w:themeColor="text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3694430</wp:posOffset>
                </wp:positionH>
                <wp:positionV relativeFrom="paragraph">
                  <wp:posOffset>90170</wp:posOffset>
                </wp:positionV>
                <wp:extent cx="562610" cy="328930"/>
                <wp:effectExtent l="6350" t="6350" r="21590" b="7620"/>
                <wp:wrapNone/>
                <wp:docPr id="427" name="圆角矩形 427"/>
                <wp:cNvGraphicFramePr/>
                <a:graphic xmlns:a="http://schemas.openxmlformats.org/drawingml/2006/main">
                  <a:graphicData uri="http://schemas.microsoft.com/office/word/2010/wordprocessingShape">
                    <wps:wsp>
                      <wps:cNvSpPr/>
                      <wps:spPr>
                        <a:xfrm>
                          <a:off x="4702810" y="6593840"/>
                          <a:ext cx="562610" cy="328930"/>
                        </a:xfrm>
                        <a:prstGeom prst="roundRect">
                          <a:avLst/>
                        </a:prstGeom>
                        <a:solidFill>
                          <a:srgbClr val="000000">
                            <a:alpha val="0"/>
                          </a:srgbClr>
                        </a:solid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90.9pt;margin-top:7.1pt;height:25.9pt;width:44.3pt;z-index:251694080;v-text-anchor:middle;mso-width-relative:page;mso-height-relative:page;" fillcolor="#000000" filled="t" stroked="t" coordsize="21600,21600" arcsize="0.166666666666667" o:gfxdata="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xjVUe9oAAAAJAQAADwAAAAAAAAABACAAAAAiAAAAZHJzL2Rvd25yZXYueG1sUEsBAhQAFAAAAAgA&#10;h07iQK7H3t6VAgAAKgUAAA4AAAAAAAAAAQAgAAAAKQEAAGRycy9lMm9Eb2MueG1sUEsFBgAAAAAG&#10;AAYAWQEAADAGAAAAAA==&#10;">
                <v:fill on="t" opacity="0f" focussize="0,0"/>
                <v:stroke weight="1pt" color="#000000 [3213]" miterlimit="8" joinstyle="miter" dashstyle="dash"/>
                <v:imagedata o:title=""/>
                <o:lock v:ext="edit" aspectratio="f"/>
              </v:round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3625215</wp:posOffset>
                </wp:positionH>
                <wp:positionV relativeFrom="paragraph">
                  <wp:posOffset>176530</wp:posOffset>
                </wp:positionV>
                <wp:extent cx="702945" cy="267970"/>
                <wp:effectExtent l="0" t="0" r="1905" b="17780"/>
                <wp:wrapNone/>
                <wp:docPr id="424" name="文本框 424"/>
                <wp:cNvGraphicFramePr/>
                <a:graphic xmlns:a="http://schemas.openxmlformats.org/drawingml/2006/main">
                  <a:graphicData uri="http://schemas.microsoft.com/office/word/2010/wordprocessingShape">
                    <wps:wsp>
                      <wps:cNvSpPr txBox="1"/>
                      <wps:spPr>
                        <a:xfrm>
                          <a:off x="0" y="0"/>
                          <a:ext cx="702945" cy="2679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686A2E">
                            <w:pPr>
                              <w:keepNext w:val="0"/>
                              <w:keepLines w:val="0"/>
                              <w:pageBreakBefore w:val="0"/>
                              <w:widowControl w:val="0"/>
                              <w:kinsoku/>
                              <w:wordWrap/>
                              <w:overflowPunct/>
                              <w:topLinePunct w:val="0"/>
                              <w:bidi w:val="0"/>
                              <w:adjustRightInd/>
                              <w:snapToGrid/>
                              <w:spacing w:line="240" w:lineRule="atLeast"/>
                              <w:textAlignment w:val="auto"/>
                              <w:rPr>
                                <w:rFonts w:hint="default" w:eastAsia="宋体"/>
                                <w:sz w:val="15"/>
                                <w:szCs w:val="15"/>
                                <w:lang w:val="en-US" w:eastAsia="zh-CN"/>
                              </w:rPr>
                            </w:pPr>
                            <w:r>
                              <w:rPr>
                                <w:rFonts w:hint="eastAsia"/>
                                <w:sz w:val="15"/>
                                <w:szCs w:val="15"/>
                                <w:lang w:val="en-US" w:eastAsia="zh-CN"/>
                              </w:rPr>
                              <w:t>废弃钻井液</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45pt;margin-top:13.9pt;height:21.1pt;width:55.35pt;z-index:251692032;mso-width-relative:page;mso-height-relative:page;" filled="f" stroked="f" coordsize="21600,21600" o:gfxdata="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XX8JzaAAAACQEAAA8AAAAAAAAAAQAgAAAAIgAA&#10;AGRycy9kb3ducmV2LnhtbFBLAQIUABQAAAAIAIdO4kCIzFEUPwIAAGkEAAAOAAAAAAAAAAEAIAAA&#10;ACkBAABkcnMvZTJvRG9jLnhtbFBLBQYAAAAABgAGAFkBAADaBQAAAAA=&#10;">
                <v:fill on="f" focussize="0,0"/>
                <v:stroke on="f" weight="0.5pt"/>
                <v:imagedata o:title=""/>
                <o:lock v:ext="edit" aspectratio="f"/>
                <v:textbox>
                  <w:txbxContent>
                    <w:p w14:paraId="7C686A2E">
                      <w:pPr>
                        <w:keepNext w:val="0"/>
                        <w:keepLines w:val="0"/>
                        <w:pageBreakBefore w:val="0"/>
                        <w:widowControl w:val="0"/>
                        <w:kinsoku/>
                        <w:wordWrap/>
                        <w:overflowPunct/>
                        <w:topLinePunct w:val="0"/>
                        <w:bidi w:val="0"/>
                        <w:adjustRightInd/>
                        <w:snapToGrid/>
                        <w:spacing w:line="240" w:lineRule="atLeast"/>
                        <w:textAlignment w:val="auto"/>
                        <w:rPr>
                          <w:rFonts w:hint="default" w:eastAsia="宋体"/>
                          <w:sz w:val="15"/>
                          <w:szCs w:val="15"/>
                          <w:lang w:val="en-US" w:eastAsia="zh-CN"/>
                        </w:rPr>
                      </w:pPr>
                      <w:r>
                        <w:rPr>
                          <w:rFonts w:hint="eastAsia"/>
                          <w:sz w:val="15"/>
                          <w:szCs w:val="15"/>
                          <w:lang w:val="en-US" w:eastAsia="zh-CN"/>
                        </w:rPr>
                        <w:t>废弃钻井液</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3623310</wp:posOffset>
                </wp:positionH>
                <wp:positionV relativeFrom="paragraph">
                  <wp:posOffset>25400</wp:posOffset>
                </wp:positionV>
                <wp:extent cx="702945" cy="381000"/>
                <wp:effectExtent l="0" t="0" r="1905" b="0"/>
                <wp:wrapNone/>
                <wp:docPr id="423" name="文本框 423"/>
                <wp:cNvGraphicFramePr/>
                <a:graphic xmlns:a="http://schemas.openxmlformats.org/drawingml/2006/main">
                  <a:graphicData uri="http://schemas.microsoft.com/office/word/2010/wordprocessingShape">
                    <wps:wsp>
                      <wps:cNvSpPr txBox="1"/>
                      <wps:spPr>
                        <a:xfrm>
                          <a:off x="0" y="0"/>
                          <a:ext cx="702945" cy="3810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985B6C2">
                            <w:pPr>
                              <w:keepNext w:val="0"/>
                              <w:keepLines w:val="0"/>
                              <w:pageBreakBefore w:val="0"/>
                              <w:widowControl w:val="0"/>
                              <w:kinsoku/>
                              <w:wordWrap/>
                              <w:overflowPunct/>
                              <w:topLinePunct w:val="0"/>
                              <w:bidi w:val="0"/>
                              <w:adjustRightInd/>
                              <w:snapToGrid/>
                              <w:spacing w:line="240" w:lineRule="atLeast"/>
                              <w:textAlignment w:val="auto"/>
                              <w:rPr>
                                <w:rFonts w:hint="default" w:eastAsia="宋体"/>
                                <w:sz w:val="15"/>
                                <w:szCs w:val="15"/>
                                <w:lang w:val="en-US" w:eastAsia="zh-CN"/>
                              </w:rPr>
                            </w:pPr>
                            <w:r>
                              <w:rPr>
                                <w:rFonts w:hint="eastAsia"/>
                                <w:sz w:val="15"/>
                                <w:szCs w:val="15"/>
                                <w:lang w:val="en-US" w:eastAsia="zh-CN"/>
                              </w:rPr>
                              <w:t>钻井岩屑及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3pt;margin-top:2pt;height:30pt;width:55.35pt;z-index:251691008;mso-width-relative:page;mso-height-relative:page;" fillcolor="#FFFFFF [3201]" filled="t" stroked="f" coordsize="21600,21600" o:gfxdata="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rBMSwdMAAAAIAQAADwAA&#10;AAAAAAABACAAAAAiAAAAZHJzL2Rvd25yZXYueG1sUEsBAhQAFAAAAAgAh07iQJ/jxXBUAgAAkgQA&#10;AA4AAAAAAAAAAQAgAAAAIgEAAGRycy9lMm9Eb2MueG1sUEsFBgAAAAAGAAYAWQEAAOgFAAAAAA==&#10;">
                <v:fill on="t" focussize="0,0"/>
                <v:stroke on="f" weight="0.5pt"/>
                <v:imagedata o:title=""/>
                <o:lock v:ext="edit" aspectratio="f"/>
                <v:textbox>
                  <w:txbxContent>
                    <w:p w14:paraId="4985B6C2">
                      <w:pPr>
                        <w:keepNext w:val="0"/>
                        <w:keepLines w:val="0"/>
                        <w:pageBreakBefore w:val="0"/>
                        <w:widowControl w:val="0"/>
                        <w:kinsoku/>
                        <w:wordWrap/>
                        <w:overflowPunct/>
                        <w:topLinePunct w:val="0"/>
                        <w:bidi w:val="0"/>
                        <w:adjustRightInd/>
                        <w:snapToGrid/>
                        <w:spacing w:line="240" w:lineRule="atLeast"/>
                        <w:textAlignment w:val="auto"/>
                        <w:rPr>
                          <w:rFonts w:hint="default" w:eastAsia="宋体"/>
                          <w:sz w:val="15"/>
                          <w:szCs w:val="15"/>
                          <w:lang w:val="en-US" w:eastAsia="zh-CN"/>
                        </w:rPr>
                      </w:pPr>
                      <w:r>
                        <w:rPr>
                          <w:rFonts w:hint="eastAsia"/>
                          <w:sz w:val="15"/>
                          <w:szCs w:val="15"/>
                          <w:lang w:val="en-US" w:eastAsia="zh-CN"/>
                        </w:rPr>
                        <w:t>钻井岩屑及</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1548765</wp:posOffset>
                </wp:positionH>
                <wp:positionV relativeFrom="paragraph">
                  <wp:posOffset>82550</wp:posOffset>
                </wp:positionV>
                <wp:extent cx="1057910" cy="898525"/>
                <wp:effectExtent l="0" t="0" r="8890" b="15875"/>
                <wp:wrapNone/>
                <wp:docPr id="131" name="文本框 131"/>
                <wp:cNvGraphicFramePr/>
                <a:graphic xmlns:a="http://schemas.openxmlformats.org/drawingml/2006/main">
                  <a:graphicData uri="http://schemas.microsoft.com/office/word/2010/wordprocessingShape">
                    <wps:wsp>
                      <wps:cNvSpPr txBox="1"/>
                      <wps:spPr>
                        <a:xfrm>
                          <a:off x="2630805" y="6309995"/>
                          <a:ext cx="1057910" cy="898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B199A9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1.95pt;margin-top:6.5pt;height:70.75pt;width:83.3pt;z-index:251687936;mso-width-relative:page;mso-height-relative:page;" fillcolor="#FFFFFF [3201]" filled="t" stroked="f" coordsize="21600,21600" o:gfxdata="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pd2eN&#10;1QAAAAoBAAAPAAAAAAAAAAEAIAAAACIAAABkcnMvZG93bnJldi54bWxQSwECFAAUAAAACACHTuJA&#10;Ts7WIF0CAACfBAAADgAAAAAAAAABACAAAAAkAQAAZHJzL2Uyb0RvYy54bWxQSwUGAAAAAAYABgBZ&#10;AQAA8wUAAAAA&#10;">
                <v:fill on="t" focussize="0,0"/>
                <v:stroke on="f" weight="0.5pt"/>
                <v:imagedata o:title=""/>
                <o:lock v:ext="edit" aspectratio="f"/>
                <v:textbox>
                  <w:txbxContent>
                    <w:p w14:paraId="6B199A95"/>
                  </w:txbxContent>
                </v:textbox>
              </v:shape>
            </w:pict>
          </mc:Fallback>
        </mc:AlternateContent>
      </w:r>
    </w:p>
    <w:p w14:paraId="537B4BF5">
      <w:pPr>
        <w:pStyle w:val="537"/>
        <w:rPr>
          <w:rFonts w:hint="eastAsia"/>
          <w:color w:val="000000" w:themeColor="text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3780155</wp:posOffset>
                </wp:positionH>
                <wp:positionV relativeFrom="paragraph">
                  <wp:posOffset>299720</wp:posOffset>
                </wp:positionV>
                <wp:extent cx="485775" cy="328930"/>
                <wp:effectExtent l="0" t="0" r="9525" b="13970"/>
                <wp:wrapNone/>
                <wp:docPr id="422" name="文本框 422"/>
                <wp:cNvGraphicFramePr/>
                <a:graphic xmlns:a="http://schemas.openxmlformats.org/drawingml/2006/main">
                  <a:graphicData uri="http://schemas.microsoft.com/office/word/2010/wordprocessingShape">
                    <wps:wsp>
                      <wps:cNvSpPr txBox="1"/>
                      <wps:spPr>
                        <a:xfrm>
                          <a:off x="1212850" y="7840345"/>
                          <a:ext cx="485775" cy="3289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3C08041">
                            <w:pPr>
                              <w:keepNext w:val="0"/>
                              <w:keepLines w:val="0"/>
                              <w:pageBreakBefore w:val="0"/>
                              <w:widowControl w:val="0"/>
                              <w:kinsoku/>
                              <w:wordWrap/>
                              <w:overflowPunct/>
                              <w:topLinePunct w:val="0"/>
                              <w:bidi w:val="0"/>
                              <w:adjustRightInd/>
                              <w:snapToGrid/>
                              <w:spacing w:line="240" w:lineRule="atLeast"/>
                              <w:textAlignment w:val="auto"/>
                              <w:rPr>
                                <w:rFonts w:hint="eastAsia" w:eastAsia="宋体"/>
                                <w:sz w:val="15"/>
                                <w:szCs w:val="15"/>
                                <w:lang w:val="en-US" w:eastAsia="zh-CN"/>
                              </w:rPr>
                            </w:pPr>
                            <w:r>
                              <w:rPr>
                                <w:rFonts w:hint="eastAsia"/>
                                <w:sz w:val="15"/>
                                <w:szCs w:val="15"/>
                                <w:lang w:val="en-US" w:eastAsia="zh-CN"/>
                              </w:rPr>
                              <w:t>钻井岩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65pt;margin-top:23.6pt;height:25.9pt;width:38.25pt;z-index:251689984;mso-width-relative:page;mso-height-relative:page;" fillcolor="#FFFFFF [3201]" filled="t" stroked="f" coordsize="21600,21600" o:gfxdata="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aY&#10;4GfVAAAACQEAAA8AAAAAAAAAAQAgAAAAIgAAAGRycy9kb3ducmV2LnhtbFBLAQIUABQAAAAIAIdO&#10;4kCqGUOKXwIAAJ4EAAAOAAAAAAAAAAEAIAAAACQBAABkcnMvZTJvRG9jLnhtbFBLBQYAAAAABgAG&#10;AFkBAAD1BQAAAAA=&#10;">
                <v:fill on="t" focussize="0,0"/>
                <v:stroke on="f" weight="0.5pt"/>
                <v:imagedata o:title=""/>
                <o:lock v:ext="edit" aspectratio="f"/>
                <v:textbox>
                  <w:txbxContent>
                    <w:p w14:paraId="43C08041">
                      <w:pPr>
                        <w:keepNext w:val="0"/>
                        <w:keepLines w:val="0"/>
                        <w:pageBreakBefore w:val="0"/>
                        <w:widowControl w:val="0"/>
                        <w:kinsoku/>
                        <w:wordWrap/>
                        <w:overflowPunct/>
                        <w:topLinePunct w:val="0"/>
                        <w:bidi w:val="0"/>
                        <w:adjustRightInd/>
                        <w:snapToGrid/>
                        <w:spacing w:line="240" w:lineRule="atLeast"/>
                        <w:textAlignment w:val="auto"/>
                        <w:rPr>
                          <w:rFonts w:hint="eastAsia" w:eastAsia="宋体"/>
                          <w:sz w:val="15"/>
                          <w:szCs w:val="15"/>
                          <w:lang w:val="en-US" w:eastAsia="zh-CN"/>
                        </w:rPr>
                      </w:pPr>
                      <w:r>
                        <w:rPr>
                          <w:rFonts w:hint="eastAsia"/>
                          <w:sz w:val="15"/>
                          <w:szCs w:val="15"/>
                          <w:lang w:val="en-US" w:eastAsia="zh-CN"/>
                        </w:rPr>
                        <w:t>钻井岩</w:t>
                      </w:r>
                    </w:p>
                  </w:txbxContent>
                </v:textbox>
              </v:shape>
            </w:pict>
          </mc:Fallback>
        </mc:AlternateContent>
      </w:r>
    </w:p>
    <w:p w14:paraId="3C1DDFA7">
      <w:pPr>
        <w:pStyle w:val="537"/>
        <w:rPr>
          <w:rFonts w:hint="eastAsia"/>
          <w:color w:val="000000" w:themeColor="text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3711575</wp:posOffset>
                </wp:positionH>
                <wp:positionV relativeFrom="paragraph">
                  <wp:posOffset>8890</wp:posOffset>
                </wp:positionV>
                <wp:extent cx="562610" cy="337820"/>
                <wp:effectExtent l="6350" t="6350" r="21590" b="17780"/>
                <wp:wrapNone/>
                <wp:docPr id="428" name="矩形 428"/>
                <wp:cNvGraphicFramePr/>
                <a:graphic xmlns:a="http://schemas.openxmlformats.org/drawingml/2006/main">
                  <a:graphicData uri="http://schemas.microsoft.com/office/word/2010/wordprocessingShape">
                    <wps:wsp>
                      <wps:cNvSpPr/>
                      <wps:spPr>
                        <a:xfrm>
                          <a:off x="4719955" y="7208520"/>
                          <a:ext cx="562610" cy="337820"/>
                        </a:xfrm>
                        <a:prstGeom prst="rect">
                          <a:avLst/>
                        </a:prstGeom>
                        <a:solidFill>
                          <a:srgbClr val="000000">
                            <a:alpha val="0"/>
                          </a:srgb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2.25pt;margin-top:0.7pt;height:26.6pt;width:44.3pt;z-index:251695104;v-text-anchor:middle;mso-width-relative:page;mso-height-relative:page;" fillcolor="#000000" filled="t" stroked="t" coordsize="21600,21600" o:gfxdata="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RqUcatYAAAAIAQAADwAAAAAAAAAB&#10;ACAAAAAiAAAAZHJzL2Rvd25yZXYueG1sUEsBAhQAFAAAAAgAh07iQLgmxtKEAgAAIAUAAA4AAAAA&#10;AAAAAQAgAAAAJQEAAGRycy9lMm9Eb2MueG1sUEsFBgAAAAAGAAYAWQEAABsGAAAAAA==&#10;">
                <v:fill on="t" opacity="0f" focussize="0,0"/>
                <v:stroke weight="1pt" color="#000000 [3213]"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3768090</wp:posOffset>
                </wp:positionH>
                <wp:positionV relativeFrom="paragraph">
                  <wp:posOffset>97790</wp:posOffset>
                </wp:positionV>
                <wp:extent cx="485775" cy="261620"/>
                <wp:effectExtent l="0" t="0" r="9525" b="5080"/>
                <wp:wrapNone/>
                <wp:docPr id="425" name="文本框 425"/>
                <wp:cNvGraphicFramePr/>
                <a:graphic xmlns:a="http://schemas.openxmlformats.org/drawingml/2006/main">
                  <a:graphicData uri="http://schemas.microsoft.com/office/word/2010/wordprocessingShape">
                    <wps:wsp>
                      <wps:cNvSpPr txBox="1"/>
                      <wps:spPr>
                        <a:xfrm>
                          <a:off x="0" y="0"/>
                          <a:ext cx="485775"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3F1125">
                            <w:pPr>
                              <w:keepNext w:val="0"/>
                              <w:keepLines w:val="0"/>
                              <w:pageBreakBefore w:val="0"/>
                              <w:widowControl w:val="0"/>
                              <w:kinsoku/>
                              <w:wordWrap/>
                              <w:overflowPunct/>
                              <w:topLinePunct w:val="0"/>
                              <w:bidi w:val="0"/>
                              <w:adjustRightInd/>
                              <w:snapToGrid/>
                              <w:spacing w:line="240" w:lineRule="atLeast"/>
                              <w:textAlignment w:val="auto"/>
                              <w:rPr>
                                <w:rFonts w:hint="eastAsia" w:eastAsia="宋体"/>
                                <w:sz w:val="15"/>
                                <w:szCs w:val="15"/>
                                <w:lang w:val="en-US" w:eastAsia="zh-CN"/>
                              </w:rPr>
                            </w:pPr>
                            <w:r>
                              <w:rPr>
                                <w:rFonts w:hint="eastAsia"/>
                                <w:sz w:val="15"/>
                                <w:szCs w:val="15"/>
                                <w:lang w:val="en-US" w:eastAsia="zh-CN"/>
                              </w:rPr>
                              <w:t>屑储罐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7pt;margin-top:7.7pt;height:20.6pt;width:38.25pt;z-index:251693056;mso-width-relative:page;mso-height-relative:page;" filled="f" stroked="f" coordsize="21600,21600" o:gfxdata="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wEeONkAAAAJAQAADwAAAAAAAAABACAAAAAiAAAA&#10;ZHJzL2Rvd25yZXYueG1sUEsBAhQAFAAAAAgAh07iQFC0x6k/AgAAaQQAAA4AAAAAAAAAAQAgAAAA&#10;KAEAAGRycy9lMm9Eb2MueG1sUEsFBgAAAAAGAAYAWQEAANkFAAAAAA==&#10;">
                <v:fill on="f" focussize="0,0"/>
                <v:stroke on="f" weight="0.5pt"/>
                <v:imagedata o:title=""/>
                <o:lock v:ext="edit" aspectratio="f"/>
                <v:textbox>
                  <w:txbxContent>
                    <w:p w14:paraId="7A3F1125">
                      <w:pPr>
                        <w:keepNext w:val="0"/>
                        <w:keepLines w:val="0"/>
                        <w:pageBreakBefore w:val="0"/>
                        <w:widowControl w:val="0"/>
                        <w:kinsoku/>
                        <w:wordWrap/>
                        <w:overflowPunct/>
                        <w:topLinePunct w:val="0"/>
                        <w:bidi w:val="0"/>
                        <w:adjustRightInd/>
                        <w:snapToGrid/>
                        <w:spacing w:line="240" w:lineRule="atLeast"/>
                        <w:textAlignment w:val="auto"/>
                        <w:rPr>
                          <w:rFonts w:hint="eastAsia" w:eastAsia="宋体"/>
                          <w:sz w:val="15"/>
                          <w:szCs w:val="15"/>
                          <w:lang w:val="en-US" w:eastAsia="zh-CN"/>
                        </w:rPr>
                      </w:pPr>
                      <w:r>
                        <w:rPr>
                          <w:rFonts w:hint="eastAsia"/>
                          <w:sz w:val="15"/>
                          <w:szCs w:val="15"/>
                          <w:lang w:val="en-US" w:eastAsia="zh-CN"/>
                        </w:rPr>
                        <w:t>屑储罐</w:t>
                      </w:r>
                    </w:p>
                  </w:txbxContent>
                </v:textbox>
              </v:shape>
            </w:pict>
          </mc:Fallback>
        </mc:AlternateContent>
      </w:r>
    </w:p>
    <w:p w14:paraId="6119E7DA">
      <w:pPr>
        <w:spacing w:line="500" w:lineRule="exact"/>
        <w:ind w:firstLine="420" w:firstLineChars="200"/>
        <w:jc w:val="center"/>
        <w:rPr>
          <w:rFonts w:hint="eastAsia" w:ascii="黑体" w:hAnsi="黑体" w:eastAsia="黑体"/>
          <w:color w:val="000000" w:themeColor="text1"/>
          <w:szCs w:val="21"/>
          <w14:textFill>
            <w14:solidFill>
              <w14:schemeClr w14:val="tx1"/>
            </w14:solidFill>
          </w14:textFill>
        </w:rPr>
      </w:pPr>
      <w:r>
        <w:rPr>
          <w:rFonts w:ascii="黑体" w:hAnsi="黑体" w:eastAsia="黑体"/>
          <w:color w:val="000000" w:themeColor="text1"/>
          <w:szCs w:val="2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2620645</wp:posOffset>
                </wp:positionH>
                <wp:positionV relativeFrom="paragraph">
                  <wp:posOffset>206375</wp:posOffset>
                </wp:positionV>
                <wp:extent cx="0" cy="266700"/>
                <wp:effectExtent l="38100" t="0" r="38100" b="0"/>
                <wp:wrapNone/>
                <wp:docPr id="1429399341" name="直接箭头连接符 12"/>
                <wp:cNvGraphicFramePr/>
                <a:graphic xmlns:a="http://schemas.openxmlformats.org/drawingml/2006/main">
                  <a:graphicData uri="http://schemas.microsoft.com/office/word/2010/wordprocessingShape">
                    <wps:wsp>
                      <wps:cNvCnPr/>
                      <wps:spPr>
                        <a:xfrm>
                          <a:off x="0" y="0"/>
                          <a:ext cx="0" cy="26670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2" o:spid="_x0000_s1026" o:spt="32" type="#_x0000_t32" style="position:absolute;left:0pt;margin-left:206.35pt;margin-top:16.25pt;height:21pt;width:0pt;z-index:251684864;mso-width-relative:page;mso-height-relative:page;" filled="f" stroked="t" coordsize="21600,21600" o:gfxdata="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tunY1wAAAAkBAAAPAAAAAAAAAAEAIAAA&#10;ACIAAABkcnMvZG93bnJldi54bWxQSwECFAAUAAAACACHTuJA2s3NZA0CAADpAwAADgAAAAAAAAAB&#10;ACAAAAAmAQAAZHJzL2Uyb0RvYy54bWxQSwUGAAAAAAYABgBZAQAApQUAAAAA&#10;">
                <v:fill on="f" focussize="0,0"/>
                <v:stroke weight="0.5pt" color="#000000 [3213]" miterlimit="8" joinstyle="miter" dashstyle="dash" endarrow="block"/>
                <v:imagedata o:title=""/>
                <o:lock v:ext="edit" aspectratio="f"/>
              </v:shape>
            </w:pict>
          </mc:Fallback>
        </mc:AlternateContent>
      </w:r>
    </w:p>
    <w:p w14:paraId="39E07C66">
      <w:pPr>
        <w:spacing w:line="500" w:lineRule="exact"/>
        <w:ind w:firstLine="420" w:firstLineChars="200"/>
        <w:jc w:val="center"/>
        <w:rPr>
          <w:rFonts w:hint="eastAsia" w:ascii="黑体" w:hAnsi="黑体" w:eastAsia="黑体"/>
          <w:color w:val="000000" w:themeColor="text1"/>
          <w:szCs w:val="21"/>
          <w14:textFill>
            <w14:solidFill>
              <w14:schemeClr w14:val="tx1"/>
            </w14:solidFill>
          </w14:textFill>
        </w:rPr>
      </w:pPr>
      <w:r>
        <w:rPr>
          <w:rFonts w:ascii="黑体" w:hAnsi="黑体" w:eastAsia="黑体"/>
          <w:color w:val="000000" w:themeColor="text1"/>
          <w:szCs w:val="2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1449070</wp:posOffset>
                </wp:positionH>
                <wp:positionV relativeFrom="paragraph">
                  <wp:posOffset>146050</wp:posOffset>
                </wp:positionV>
                <wp:extent cx="3190875" cy="468630"/>
                <wp:effectExtent l="6350" t="6350" r="22225" b="20320"/>
                <wp:wrapNone/>
                <wp:docPr id="1795575120" name="矩形: 圆角 13"/>
                <wp:cNvGraphicFramePr/>
                <a:graphic xmlns:a="http://schemas.openxmlformats.org/drawingml/2006/main">
                  <a:graphicData uri="http://schemas.microsoft.com/office/word/2010/wordprocessingShape">
                    <wps:wsp>
                      <wps:cNvSpPr/>
                      <wps:spPr>
                        <a:xfrm>
                          <a:off x="0" y="0"/>
                          <a:ext cx="3190875" cy="46863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13" o:spid="_x0000_s1026" o:spt="2" style="position:absolute;left:0pt;margin-left:114.1pt;margin-top:11.5pt;height:36.9pt;width:251.25pt;z-index:251685888;v-text-anchor:middle;mso-width-relative:page;mso-height-relative:page;" filled="f" stroked="t" coordsize="21600,21600" arcsize="0.166666666666667" o:gfxdata="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Ytqr&#10;/dkAAAAJAQAADwAAAAAAAAABACAAAAAiAAAAZHJzL2Rvd25yZXYueG1sUEsBAhQAFAAAAAgAh07i&#10;QGakgfuTAgAAAwUAAA4AAAAAAAAAAQAgAAAAKAEAAGRycy9lMm9Eb2MueG1sUEsFBgAAAAAGAAYA&#10;WQEAAC0GAAAAAA==&#10;">
                <v:fill on="f" focussize="0,0"/>
                <v:stroke weight="1pt" color="#172C51 [3204]" miterlimit="8" joinstyle="miter"/>
                <v:imagedata o:title=""/>
                <o:lock v:ext="edit" aspectratio="f"/>
              </v:roundrect>
            </w:pict>
          </mc:Fallback>
        </mc:AlternateContent>
      </w:r>
      <w:r>
        <w:rPr>
          <w:rFonts w:ascii="黑体" w:hAnsi="黑体" w:eastAsia="黑体"/>
          <w:color w:val="000000" w:themeColor="text1"/>
          <w:szCs w:val="2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1543685</wp:posOffset>
                </wp:positionH>
                <wp:positionV relativeFrom="paragraph">
                  <wp:posOffset>92075</wp:posOffset>
                </wp:positionV>
                <wp:extent cx="2900045" cy="566420"/>
                <wp:effectExtent l="0" t="0" r="0" b="0"/>
                <wp:wrapNone/>
                <wp:docPr id="1432985681" name="文本框 14"/>
                <wp:cNvGraphicFramePr/>
                <a:graphic xmlns:a="http://schemas.openxmlformats.org/drawingml/2006/main">
                  <a:graphicData uri="http://schemas.microsoft.com/office/word/2010/wordprocessingShape">
                    <wps:wsp>
                      <wps:cNvSpPr txBox="1"/>
                      <wps:spPr>
                        <a:xfrm>
                          <a:off x="0" y="0"/>
                          <a:ext cx="2900362" cy="566420"/>
                        </a:xfrm>
                        <a:prstGeom prst="rect">
                          <a:avLst/>
                        </a:prstGeom>
                        <a:noFill/>
                        <a:ln w="6350">
                          <a:noFill/>
                        </a:ln>
                      </wps:spPr>
                      <wps:txbx>
                        <w:txbxContent>
                          <w:p w14:paraId="316973B5">
                            <w:r>
                              <w:rPr>
                                <w:rFonts w:ascii="黑体" w:hAnsi="黑体" w:eastAsia="黑体"/>
                                <w:szCs w:val="21"/>
                              </w:rPr>
                              <w:t>钻井岩屑和废弃钻井液、废润滑油、废润滑油桶、沾油废防渗材料、废危化品包装材料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 o:spid="_x0000_s1026" o:spt="202" type="#_x0000_t202" style="position:absolute;left:0pt;margin-left:121.55pt;margin-top:7.25pt;height:44.6pt;width:228.35pt;z-index:251686912;mso-width-relative:page;mso-height-relative:page;" filled="f" stroked="f" coordsize="21600,21600" o:gfxdata="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E0xDtsAAAAKAQAADwAAAAAAAAABACAA&#10;AAAiAAAAZHJzL2Rvd25yZXYueG1sUEsBAhQAFAAAAAgAh07iQIN/GWRDAgAAcAQAAA4AAAAAAAAA&#10;AQAgAAAAKgEAAGRycy9lMm9Eb2MueG1sUEsFBgAAAAAGAAYAWQEAAN8FAAAAAA==&#10;">
                <v:fill on="f" focussize="0,0"/>
                <v:stroke on="f" weight="0.5pt"/>
                <v:imagedata o:title=""/>
                <o:lock v:ext="edit" aspectratio="f"/>
                <v:textbox>
                  <w:txbxContent>
                    <w:p w14:paraId="316973B5">
                      <w:r>
                        <w:rPr>
                          <w:rFonts w:ascii="黑体" w:hAnsi="黑体" w:eastAsia="黑体"/>
                          <w:szCs w:val="21"/>
                        </w:rPr>
                        <w:t>钻井岩屑和废弃钻井液、废润滑油、废润滑油桶、沾油废防渗材料、废危化品包装材料</w:t>
                      </w:r>
                    </w:p>
                  </w:txbxContent>
                </v:textbox>
              </v:shape>
            </w:pict>
          </mc:Fallback>
        </mc:AlternateContent>
      </w:r>
      <w:r>
        <w:rPr>
          <w:rFonts w:ascii="黑体" w:hAnsi="黑体" w:eastAsia="黑体"/>
          <w:color w:val="000000" w:themeColor="text1"/>
          <w:szCs w:val="21"/>
          <w14:textFill>
            <w14:solidFill>
              <w14:schemeClr w14:val="tx1"/>
            </w14:solidFill>
          </w14:textFill>
        </w:rPr>
        <w:t xml:space="preserve"> </w:t>
      </w:r>
    </w:p>
    <w:p w14:paraId="7411259A">
      <w:pPr>
        <w:spacing w:line="500" w:lineRule="exact"/>
        <w:ind w:firstLine="420" w:firstLineChars="200"/>
        <w:jc w:val="center"/>
        <w:rPr>
          <w:rFonts w:hint="eastAsia" w:ascii="黑体" w:hAnsi="黑体" w:eastAsia="黑体"/>
          <w:color w:val="000000" w:themeColor="text1"/>
          <w:szCs w:val="21"/>
          <w14:textFill>
            <w14:solidFill>
              <w14:schemeClr w14:val="tx1"/>
            </w14:solidFill>
          </w14:textFill>
        </w:rPr>
      </w:pPr>
    </w:p>
    <w:p w14:paraId="50DC68E6">
      <w:pPr>
        <w:spacing w:line="500" w:lineRule="exact"/>
        <w:ind w:firstLine="420" w:firstLineChars="200"/>
        <w:jc w:val="center"/>
        <w:rPr>
          <w:rFonts w:hint="eastAsia" w:ascii="宋体" w:hAnsi="宋体"/>
          <w:color w:val="000000" w:themeColor="text1"/>
          <w:kern w:val="0"/>
          <w:szCs w:val="21"/>
          <w:lang w:val="zh-CN"/>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图</w:t>
      </w:r>
      <w:r>
        <w:rPr>
          <w:rFonts w:ascii="黑体" w:hAnsi="黑体" w:eastAsia="黑体"/>
          <w:color w:val="000000" w:themeColor="text1"/>
          <w:szCs w:val="21"/>
          <w14:textFill>
            <w14:solidFill>
              <w14:schemeClr w14:val="tx1"/>
            </w14:solidFill>
          </w14:textFill>
        </w:rPr>
        <w:t>3.</w:t>
      </w:r>
      <w:r>
        <w:rPr>
          <w:rFonts w:hint="eastAsia" w:ascii="黑体" w:hAnsi="黑体" w:eastAsia="黑体"/>
          <w:color w:val="000000" w:themeColor="text1"/>
          <w:szCs w:val="21"/>
          <w14:textFill>
            <w14:solidFill>
              <w14:schemeClr w14:val="tx1"/>
            </w14:solidFill>
          </w14:textFill>
        </w:rPr>
        <w:t>2-1</w:t>
      </w:r>
      <w:r>
        <w:rPr>
          <w:rFonts w:hint="eastAsia" w:ascii="黑体" w:hAnsi="黑体" w:eastAsia="黑体"/>
          <w:color w:val="000000" w:themeColor="text1"/>
          <w:szCs w:val="21"/>
          <w:lang w:val="en-US" w:eastAsia="zh-CN"/>
          <w14:textFill>
            <w14:solidFill>
              <w14:schemeClr w14:val="tx1"/>
            </w14:solidFill>
          </w14:textFill>
        </w:rPr>
        <w:t>4</w:t>
      </w:r>
      <w:r>
        <w:rPr>
          <w:rFonts w:ascii="黑体" w:hAnsi="黑体" w:eastAsia="黑体"/>
          <w:color w:val="000000" w:themeColor="text1"/>
          <w:szCs w:val="21"/>
          <w14:textFill>
            <w14:solidFill>
              <w14:schemeClr w14:val="tx1"/>
            </w14:solidFill>
          </w14:textFill>
        </w:rPr>
        <w:t xml:space="preserve">  钻井工艺流程</w:t>
      </w:r>
      <w:r>
        <w:rPr>
          <w:rFonts w:hint="eastAsia" w:ascii="黑体" w:hAnsi="黑体" w:eastAsia="黑体"/>
          <w:color w:val="000000" w:themeColor="text1"/>
          <w:szCs w:val="21"/>
          <w14:textFill>
            <w14:solidFill>
              <w14:schemeClr w14:val="tx1"/>
            </w14:solidFill>
          </w14:textFill>
        </w:rPr>
        <w:t>及产污节点示意</w:t>
      </w:r>
      <w:r>
        <w:rPr>
          <w:rFonts w:ascii="黑体" w:hAnsi="黑体" w:eastAsia="黑体"/>
          <w:color w:val="000000" w:themeColor="text1"/>
          <w:szCs w:val="21"/>
          <w14:textFill>
            <w14:solidFill>
              <w14:schemeClr w14:val="tx1"/>
            </w14:solidFill>
          </w14:textFill>
        </w:rPr>
        <w:t>图</w:t>
      </w:r>
    </w:p>
    <w:p w14:paraId="32B12562">
      <w:pPr>
        <w:pStyle w:val="120"/>
        <w:adjustRightInd w:val="0"/>
        <w:snapToGrid w:val="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钻井工程</w:t>
      </w:r>
      <w:r>
        <w:rPr>
          <w:rFonts w:hint="eastAsia"/>
          <w:color w:val="000000" w:themeColor="text1"/>
          <w14:textFill>
            <w14:solidFill>
              <w14:schemeClr w14:val="tx1"/>
            </w14:solidFill>
          </w14:textFill>
        </w:rPr>
        <w:t>废气主要为柴油机、发电机燃烧烟气、施工扬尘和施工机械、车辆尾气；废水主要为钻井废水；噪声源主要为施工机械、车辆；固体废物主要为钻井岩屑</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废弃钻井液、废润滑油、废润滑油桶、沾油废防渗材料、废危化品包装材料、建筑垃圾</w:t>
      </w:r>
      <w:r>
        <w:rPr>
          <w:rFonts w:hint="eastAsia"/>
          <w:color w:val="000000" w:themeColor="text1"/>
          <w:lang w:val="en-US" w:eastAsia="zh-CN"/>
          <w14:textFill>
            <w14:solidFill>
              <w14:schemeClr w14:val="tx1"/>
            </w14:solidFill>
          </w14:textFill>
        </w:rPr>
        <w:t>和</w:t>
      </w:r>
      <w:r>
        <w:rPr>
          <w:rFonts w:hint="eastAsia"/>
          <w:color w:val="000000" w:themeColor="text1"/>
          <w14:textFill>
            <w14:solidFill>
              <w14:schemeClr w14:val="tx1"/>
            </w14:solidFill>
          </w14:textFill>
        </w:rPr>
        <w:t>焊接废渣。</w:t>
      </w:r>
    </w:p>
    <w:p w14:paraId="50F3F4AC">
      <w:pPr>
        <w:pStyle w:val="120"/>
        <w:adjustRightInd w:val="0"/>
        <w:snapToGrid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③储层改造</w:t>
      </w:r>
    </w:p>
    <w:p w14:paraId="39FE3CAE">
      <w:pPr>
        <w:pStyle w:val="120"/>
        <w:adjustRightInd w:val="0"/>
        <w:snapToGrid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在钻井施工完毕后对目的层进行改造。</w:t>
      </w:r>
    </w:p>
    <w:p w14:paraId="696AC303">
      <w:pPr>
        <w:pStyle w:val="120"/>
        <w:adjustRightInd w:val="0"/>
        <w:snapToGrid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层改造包括射孔和压裂两个工序。射孔时利用专用设备和射孔枪，对套管和井壁进行射孔，建立地层与井筒之间的通道；压裂时用泵车将压裂液挤入油层，当把油层压出许多裂缝后加入支撑剂（如石英砂或者陶粒等），本次储层改造过程中使用的支撑剂为陶粒，支撑剂充填进裂缝，可有效提高油气层的渗透能力等操作。</w:t>
      </w:r>
    </w:p>
    <w:p w14:paraId="3FC84832">
      <w:pPr>
        <w:pStyle w:val="120"/>
        <w:adjustRightInd w:val="0"/>
        <w:snapToGrid w:val="0"/>
        <w:rPr>
          <w:rFonts w:hint="eastAsia"/>
          <w:color w:val="000000" w:themeColor="text1"/>
          <w14:textFill>
            <w14:solidFill>
              <w14:schemeClr w14:val="tx1"/>
            </w14:solidFill>
          </w14:textFill>
        </w:rPr>
      </w:pPr>
      <w:r>
        <w:rPr>
          <w:color w:val="000000" w:themeColor="text1"/>
          <w14:textFill>
            <w14:solidFill>
              <w14:schemeClr w14:val="tx1"/>
            </w14:solidFill>
          </w14:textFill>
        </w:rPr>
        <w:t>射孔工艺：投产井基本采用电缆传输射孔，射孔设备为DP-89射孔枪；射孔参数为：孔密16～20孔/m；射孔前用泡沫或清水替出井筒内泥浆。</w:t>
      </w:r>
    </w:p>
    <w:p w14:paraId="0186748B">
      <w:pPr>
        <w:pStyle w:val="120"/>
        <w:adjustRightInd w:val="0"/>
        <w:snapToGrid w:val="0"/>
        <w:rPr>
          <w:rFonts w:hint="eastAsia"/>
          <w:color w:val="000000" w:themeColor="text1"/>
          <w14:textFill>
            <w14:solidFill>
              <w14:schemeClr w14:val="tx1"/>
            </w14:solidFill>
          </w14:textFill>
        </w:rPr>
      </w:pPr>
      <w:r>
        <w:rPr>
          <w:color w:val="000000" w:themeColor="text1"/>
          <w14:textFill>
            <w14:solidFill>
              <w14:schemeClr w14:val="tx1"/>
            </w14:solidFill>
          </w14:textFill>
        </w:rPr>
        <w:t>压裂工艺：采用套管压裂方式，根据分层需求，套管桥塞分层压裂。要求桥塞承压不小于70MPa、满足油藏耐温需要和耐矿化度需要，同时桥塞应具有良好的可钻性。压裂液：主体采用胍胶压裂液体系，配方添加2%KCl（或防膨性能达到要求的</w:t>
      </w:r>
      <w:r>
        <w:rPr>
          <w:rFonts w:hint="eastAsia"/>
          <w:color w:val="000000" w:themeColor="text1"/>
          <w14:textFill>
            <w14:solidFill>
              <w14:schemeClr w14:val="tx1"/>
            </w14:solidFill>
          </w14:textFill>
        </w:rPr>
        <w:t>其他</w:t>
      </w:r>
      <w:r>
        <w:rPr>
          <w:color w:val="000000" w:themeColor="text1"/>
          <w14:textFill>
            <w14:solidFill>
              <w14:schemeClr w14:val="tx1"/>
            </w14:solidFill>
          </w14:textFill>
        </w:rPr>
        <w:t>防膨剂）和防水锁剂。</w:t>
      </w:r>
    </w:p>
    <w:p w14:paraId="1E31ABD3">
      <w:pPr>
        <w:pStyle w:val="120"/>
        <w:adjustRightInd w:val="0"/>
        <w:snapToGrid w:val="0"/>
        <w:rPr>
          <w:rFonts w:hint="eastAsia"/>
          <w:color w:val="000000" w:themeColor="text1"/>
          <w14:textFill>
            <w14:solidFill>
              <w14:schemeClr w14:val="tx1"/>
            </w14:solidFill>
          </w14:textFill>
        </w:rPr>
      </w:pPr>
      <w:r>
        <w:rPr>
          <w:color w:val="000000" w:themeColor="text1"/>
          <w14:textFill>
            <w14:solidFill>
              <w14:schemeClr w14:val="tx1"/>
            </w14:solidFill>
          </w14:textFill>
        </w:rPr>
        <w:t>支撑剂：段塞选用承压不低于52MPa的70/140目陶粒，主支撑剂选用承压不低于52MPa的30/50目陶粒。</w:t>
      </w:r>
    </w:p>
    <w:p w14:paraId="72998163">
      <w:pPr>
        <w:pStyle w:val="120"/>
        <w:adjustRightInd w:val="0"/>
        <w:snapToGrid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采用控高压裂工艺，加砂强度1.0～1.5m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w:t>
      </w:r>
    </w:p>
    <w:p w14:paraId="0605A01A">
      <w:pPr>
        <w:pStyle w:val="120"/>
        <w:adjustRightInd w:val="0"/>
        <w:snapToGrid w:val="0"/>
        <w:rPr>
          <w:rFonts w:hint="eastAsia"/>
          <w:color w:val="000000" w:themeColor="text1"/>
          <w:lang w:val="en-US"/>
          <w14:textFill>
            <w14:solidFill>
              <w14:schemeClr w14:val="tx1"/>
            </w14:solidFill>
          </w14:textFill>
        </w:rPr>
      </w:pPr>
      <w:r>
        <w:rPr>
          <w:rFonts w:hint="eastAsia"/>
          <w:color w:val="000000" w:themeColor="text1"/>
          <w14:textFill>
            <w14:solidFill>
              <w14:schemeClr w14:val="tx1"/>
            </w14:solidFill>
          </w14:textFill>
        </w:rPr>
        <w:t>储层改造工序无固体废物产生，废气为储层改造过程中无组织排放的非甲烷总烃</w:t>
      </w:r>
      <w:r>
        <w:rPr>
          <w:rFonts w:hint="eastAsia"/>
          <w:color w:val="000000" w:themeColor="text1"/>
          <w:lang w:val="en-US"/>
          <w14:textFill>
            <w14:solidFill>
              <w14:schemeClr w14:val="tx1"/>
            </w14:solidFill>
          </w14:textFill>
        </w:rPr>
        <w:t>和硫化氢</w:t>
      </w:r>
      <w:r>
        <w:rPr>
          <w:rFonts w:hint="eastAsia"/>
          <w:color w:val="000000" w:themeColor="text1"/>
          <w14:textFill>
            <w14:solidFill>
              <w14:schemeClr w14:val="tx1"/>
            </w14:solidFill>
          </w14:textFill>
        </w:rPr>
        <w:t>，废水主要为压裂返排液，噪声源主要为各类机泵。本项目</w:t>
      </w:r>
      <w:r>
        <w:rPr>
          <w:rFonts w:hint="eastAsia"/>
          <w:color w:val="000000" w:themeColor="text1"/>
          <w:lang w:val="en-US"/>
          <w14:textFill>
            <w14:solidFill>
              <w14:schemeClr w14:val="tx1"/>
            </w14:solidFill>
          </w14:textFill>
        </w:rPr>
        <w:t>6</w:t>
      </w:r>
      <w:r>
        <w:rPr>
          <w:rFonts w:hint="eastAsia"/>
          <w:color w:val="000000" w:themeColor="text1"/>
          <w14:textFill>
            <w14:solidFill>
              <w14:schemeClr w14:val="tx1"/>
            </w14:solidFill>
          </w14:textFill>
        </w:rPr>
        <w:t>口采油井储层改造结束后不进行试油，井口安装采油树。</w:t>
      </w:r>
      <w:r>
        <w:rPr>
          <w:rFonts w:hint="eastAsia"/>
          <w:color w:val="000000" w:themeColor="text1"/>
          <w:lang w:val="en-US"/>
          <w14:textFill>
            <w14:solidFill>
              <w14:schemeClr w14:val="tx1"/>
            </w14:solidFill>
          </w14:textFill>
        </w:rPr>
        <w:t>2口注水井井口安装注水井口装置。</w:t>
      </w:r>
    </w:p>
    <w:p w14:paraId="20DBBB52">
      <w:pPr>
        <w:pStyle w:val="120"/>
        <w:adjustRightInd w:val="0"/>
        <w:snapToGrid w:val="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储层改造</w:t>
      </w:r>
      <w:r>
        <w:rPr>
          <w:rFonts w:hint="eastAsia"/>
          <w:color w:val="000000" w:themeColor="text1"/>
          <w14:textFill>
            <w14:solidFill>
              <w14:schemeClr w14:val="tx1"/>
            </w14:solidFill>
          </w14:textFill>
        </w:rPr>
        <w:t>作业</w:t>
      </w:r>
      <w:r>
        <w:rPr>
          <w:rFonts w:hint="eastAsia"/>
          <w:color w:val="000000" w:themeColor="text1"/>
          <w:lang w:val="en-US"/>
          <w14:textFill>
            <w14:solidFill>
              <w14:schemeClr w14:val="tx1"/>
            </w14:solidFill>
          </w14:textFill>
        </w:rPr>
        <w:t>工艺</w:t>
      </w:r>
      <w:r>
        <w:rPr>
          <w:rFonts w:hint="eastAsia"/>
          <w:color w:val="000000" w:themeColor="text1"/>
          <w14:textFill>
            <w14:solidFill>
              <w14:schemeClr w14:val="tx1"/>
            </w14:solidFill>
          </w14:textFill>
        </w:rPr>
        <w:t>流程</w:t>
      </w:r>
      <w:r>
        <w:rPr>
          <w:rFonts w:hint="eastAsia"/>
          <w:color w:val="000000" w:themeColor="text1"/>
          <w:lang w:val="en-US"/>
          <w14:textFill>
            <w14:solidFill>
              <w14:schemeClr w14:val="tx1"/>
            </w14:solidFill>
          </w14:textFill>
        </w:rPr>
        <w:t>及产排污节点</w:t>
      </w:r>
      <w:r>
        <w:rPr>
          <w:rFonts w:hint="eastAsia"/>
          <w:color w:val="000000" w:themeColor="text1"/>
          <w14:textFill>
            <w14:solidFill>
              <w14:schemeClr w14:val="tx1"/>
            </w14:solidFill>
          </w14:textFill>
        </w:rPr>
        <w:t>见图</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2-</w:t>
      </w:r>
      <w:r>
        <w:rPr>
          <w:rFonts w:hint="eastAsia"/>
          <w:color w:val="000000" w:themeColor="text1"/>
          <w:lang w:val="en-US"/>
          <w14:textFill>
            <w14:solidFill>
              <w14:schemeClr w14:val="tx1"/>
            </w14:solidFill>
          </w14:textFill>
        </w:rPr>
        <w:t>1</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w:t>
      </w:r>
    </w:p>
    <w:p w14:paraId="28AE0345">
      <w:pPr>
        <w:pStyle w:val="120"/>
        <w:adjustRightInd w:val="0"/>
        <w:snapToGrid w:val="0"/>
        <w:spacing w:line="240" w:lineRule="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object>
          <v:shape id="_x0000_i1026" o:spt="75" type="#_x0000_t75" style="height:162.45pt;width:375.55pt;" o:ole="t" filled="f" coordsize="21600,21600">
            <v:path/>
            <v:fill on="f" focussize="0,0"/>
            <v:stroke/>
            <v:imagedata r:id="rId50" o:title=""/>
            <o:lock v:ext="edit" aspectratio="t"/>
            <w10:wrap type="none"/>
            <w10:anchorlock/>
          </v:shape>
          <o:OLEObject Type="Embed" ProgID="Visio.Drawing.15" ShapeID="_x0000_i1026" DrawAspect="Content" ObjectID="_1468075726" r:id="rId49">
            <o:LockedField>false</o:LockedField>
          </o:OLEObject>
        </w:object>
      </w:r>
    </w:p>
    <w:p w14:paraId="36C036AC">
      <w:pPr>
        <w:spacing w:line="500" w:lineRule="exact"/>
        <w:ind w:firstLine="420" w:firstLineChars="200"/>
        <w:jc w:val="center"/>
        <w:rPr>
          <w:rFonts w:hint="eastAsia" w:ascii="宋体" w:hAnsi="宋体"/>
          <w:color w:val="000000" w:themeColor="text1"/>
          <w:kern w:val="0"/>
          <w:szCs w:val="21"/>
          <w:lang w:val="zh-CN"/>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图</w:t>
      </w:r>
      <w:r>
        <w:rPr>
          <w:rFonts w:ascii="黑体" w:hAnsi="黑体" w:eastAsia="黑体"/>
          <w:color w:val="000000" w:themeColor="text1"/>
          <w:szCs w:val="21"/>
          <w14:textFill>
            <w14:solidFill>
              <w14:schemeClr w14:val="tx1"/>
            </w14:solidFill>
          </w14:textFill>
        </w:rPr>
        <w:t>3.</w:t>
      </w:r>
      <w:r>
        <w:rPr>
          <w:rFonts w:hint="eastAsia" w:ascii="黑体" w:hAnsi="黑体" w:eastAsia="黑体"/>
          <w:color w:val="000000" w:themeColor="text1"/>
          <w:szCs w:val="21"/>
          <w14:textFill>
            <w14:solidFill>
              <w14:schemeClr w14:val="tx1"/>
            </w14:solidFill>
          </w14:textFill>
        </w:rPr>
        <w:t>2-1</w:t>
      </w:r>
      <w:r>
        <w:rPr>
          <w:rFonts w:hint="eastAsia" w:ascii="黑体" w:hAnsi="黑体" w:eastAsia="黑体"/>
          <w:color w:val="000000" w:themeColor="text1"/>
          <w:szCs w:val="21"/>
          <w:lang w:val="en-US" w:eastAsia="zh-CN"/>
          <w14:textFill>
            <w14:solidFill>
              <w14:schemeClr w14:val="tx1"/>
            </w14:solidFill>
          </w14:textFill>
        </w:rPr>
        <w:t>5</w:t>
      </w:r>
      <w:r>
        <w:rPr>
          <w:rFonts w:ascii="黑体" w:hAnsi="黑体" w:eastAsia="黑体"/>
          <w:color w:val="000000" w:themeColor="text1"/>
          <w:szCs w:val="21"/>
          <w14:textFill>
            <w14:solidFill>
              <w14:schemeClr w14:val="tx1"/>
            </w14:solidFill>
          </w14:textFill>
        </w:rPr>
        <w:t xml:space="preserve">  </w:t>
      </w:r>
      <w:r>
        <w:rPr>
          <w:rFonts w:hint="eastAsia" w:ascii="黑体" w:hAnsi="黑体" w:eastAsia="黑体"/>
          <w:color w:val="000000" w:themeColor="text1"/>
          <w:szCs w:val="21"/>
          <w:lang w:val="en-US" w:eastAsia="zh-CN"/>
          <w14:textFill>
            <w14:solidFill>
              <w14:schemeClr w14:val="tx1"/>
            </w14:solidFill>
          </w14:textFill>
        </w:rPr>
        <w:t>储层改造</w:t>
      </w:r>
      <w:r>
        <w:rPr>
          <w:rFonts w:ascii="黑体" w:hAnsi="黑体" w:eastAsia="黑体"/>
          <w:color w:val="000000" w:themeColor="text1"/>
          <w:szCs w:val="21"/>
          <w14:textFill>
            <w14:solidFill>
              <w14:schemeClr w14:val="tx1"/>
            </w14:solidFill>
          </w14:textFill>
        </w:rPr>
        <w:t>工艺流程</w:t>
      </w:r>
      <w:r>
        <w:rPr>
          <w:rFonts w:hint="eastAsia" w:ascii="黑体" w:hAnsi="黑体" w:eastAsia="黑体"/>
          <w:color w:val="000000" w:themeColor="text1"/>
          <w:szCs w:val="21"/>
          <w14:textFill>
            <w14:solidFill>
              <w14:schemeClr w14:val="tx1"/>
            </w14:solidFill>
          </w14:textFill>
        </w:rPr>
        <w:t>及产污节点示意</w:t>
      </w:r>
      <w:r>
        <w:rPr>
          <w:rFonts w:ascii="黑体" w:hAnsi="黑体" w:eastAsia="黑体"/>
          <w:color w:val="000000" w:themeColor="text1"/>
          <w:szCs w:val="21"/>
          <w14:textFill>
            <w14:solidFill>
              <w14:schemeClr w14:val="tx1"/>
            </w14:solidFill>
          </w14:textFill>
        </w:rPr>
        <w:t>图</w:t>
      </w:r>
    </w:p>
    <w:p w14:paraId="6F0F31F7">
      <w:pPr>
        <w:pStyle w:val="120"/>
        <w:adjustRightInd w:val="0"/>
        <w:snapToGrid w:val="0"/>
        <w:ind w:firstLine="480"/>
        <w:rPr>
          <w:rFonts w:hint="eastAsia"/>
          <w:color w:val="000000" w:themeColor="text1"/>
          <w14:textFill>
            <w14:solidFill>
              <w14:schemeClr w14:val="tx1"/>
            </w14:solidFill>
          </w14:textFill>
        </w:rPr>
      </w:pPr>
      <w:bookmarkStart w:id="270" w:name="_Hlk217129254"/>
      <w:bookmarkStart w:id="271" w:name="_Hlk217129049"/>
      <w:r>
        <w:rPr>
          <w:rFonts w:hint="eastAsia"/>
          <w:color w:val="000000" w:themeColor="text1"/>
          <w14:textFill>
            <w14:solidFill>
              <w14:schemeClr w14:val="tx1"/>
            </w14:solidFill>
          </w14:textFill>
        </w:rPr>
        <w:t>由于该区块</w:t>
      </w:r>
      <w:bookmarkEnd w:id="270"/>
      <w:r>
        <w:rPr>
          <w:rFonts w:hint="eastAsia"/>
          <w:color w:val="000000" w:themeColor="text1"/>
          <w:lang w:val="en-US" w:eastAsia="zh-CN"/>
          <w14:textFill>
            <w14:solidFill>
              <w14:schemeClr w14:val="tx1"/>
            </w14:solidFill>
          </w14:textFill>
        </w:rPr>
        <w:t>为老区块加密部署，目前已</w:t>
      </w:r>
      <w:r>
        <w:rPr>
          <w:rFonts w:hint="eastAsia"/>
          <w:color w:val="000000" w:themeColor="text1"/>
          <w14:textFill>
            <w14:solidFill>
              <w14:schemeClr w14:val="tx1"/>
            </w14:solidFill>
          </w14:textFill>
        </w:rPr>
        <w:t>基本取得了目的层的产能、压力、温度和流体性质等资料。</w:t>
      </w:r>
    </w:p>
    <w:p w14:paraId="34FCCB04">
      <w:pPr>
        <w:pStyle w:val="120"/>
        <w:adjustRightInd w:val="0"/>
        <w:snapToGrid w:val="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经与建设单位核实，拟部署的</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口</w:t>
      </w:r>
      <w:r>
        <w:rPr>
          <w:rFonts w:hint="eastAsia"/>
          <w:color w:val="000000" w:themeColor="text1"/>
          <w:lang w:val="en-US" w:eastAsia="zh-CN"/>
          <w14:textFill>
            <w14:solidFill>
              <w14:schemeClr w14:val="tx1"/>
            </w14:solidFill>
          </w14:textFill>
        </w:rPr>
        <w:t>采油</w:t>
      </w:r>
      <w:r>
        <w:rPr>
          <w:rFonts w:hint="eastAsia"/>
          <w:color w:val="000000" w:themeColor="text1"/>
          <w14:textFill>
            <w14:solidFill>
              <w14:schemeClr w14:val="tx1"/>
            </w14:solidFill>
          </w14:textFill>
        </w:rPr>
        <w:t>井在压裂工序结束后，直接接入地面设施进行生产，不进行</w:t>
      </w:r>
      <w:r>
        <w:rPr>
          <w:rFonts w:hint="eastAsia"/>
          <w:color w:val="000000" w:themeColor="text1"/>
          <w:lang w:val="en-US" w:eastAsia="zh-CN"/>
          <w14:textFill>
            <w14:solidFill>
              <w14:schemeClr w14:val="tx1"/>
            </w14:solidFill>
          </w14:textFill>
        </w:rPr>
        <w:t>试油和</w:t>
      </w:r>
      <w:r>
        <w:rPr>
          <w:rFonts w:hint="eastAsia"/>
          <w:color w:val="000000" w:themeColor="text1"/>
          <w14:textFill>
            <w14:solidFill>
              <w14:schemeClr w14:val="tx1"/>
            </w14:solidFill>
          </w14:textFill>
        </w:rPr>
        <w:t>测试放喷。</w:t>
      </w:r>
    </w:p>
    <w:bookmarkEnd w:id="271"/>
    <w:p w14:paraId="06FE3EB4">
      <w:pPr>
        <w:pStyle w:val="120"/>
        <w:ind w:left="480" w:firstLine="0" w:firstLineChars="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④</w:t>
      </w:r>
      <w:r>
        <w:rPr>
          <w:rFonts w:hint="eastAsia"/>
          <w:color w:val="000000" w:themeColor="text1"/>
          <w14:textFill>
            <w14:solidFill>
              <w14:schemeClr w14:val="tx1"/>
            </w14:solidFill>
          </w14:textFill>
        </w:rPr>
        <w:t>管线、</w:t>
      </w:r>
      <w:r>
        <w:rPr>
          <w:rFonts w:hint="eastAsia"/>
          <w:color w:val="000000" w:themeColor="text1"/>
          <w:lang w:val="en-US"/>
          <w14:textFill>
            <w14:solidFill>
              <w14:schemeClr w14:val="tx1"/>
            </w14:solidFill>
          </w14:textFill>
        </w:rPr>
        <w:t>井场</w:t>
      </w:r>
      <w:r>
        <w:rPr>
          <w:rFonts w:hint="eastAsia"/>
          <w:color w:val="000000" w:themeColor="text1"/>
          <w14:textFill>
            <w14:solidFill>
              <w14:schemeClr w14:val="tx1"/>
            </w14:solidFill>
          </w14:textFill>
        </w:rPr>
        <w:t>及公用工程施工工艺及产污环节</w:t>
      </w:r>
    </w:p>
    <w:p w14:paraId="62B8272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施工期主要包括井场建构筑物建设、管线建设及公用工程建设，其施工工艺及产污节点见图</w:t>
      </w:r>
      <w:r>
        <w:rPr>
          <w:color w:val="000000" w:themeColor="text1"/>
          <w14:textFill>
            <w14:solidFill>
              <w14:schemeClr w14:val="tx1"/>
            </w14:solidFill>
          </w14:textFill>
        </w:rPr>
        <w:t>3.2</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w:t>
      </w:r>
    </w:p>
    <w:p w14:paraId="4DC3D47F">
      <w:pPr>
        <w:pStyle w:val="120"/>
        <w:spacing w:line="240" w:lineRule="auto"/>
        <w:rPr>
          <w:rFonts w:hint="eastAsia"/>
          <w:color w:val="000000" w:themeColor="text1"/>
          <w14:textFill>
            <w14:solidFill>
              <w14:schemeClr w14:val="tx1"/>
            </w14:solidFill>
          </w14:textFill>
        </w:rPr>
      </w:pPr>
      <w:r>
        <w:rPr>
          <w:color w:val="000000" w:themeColor="text1"/>
          <w14:textFill>
            <w14:solidFill>
              <w14:schemeClr w14:val="tx1"/>
            </w14:solidFill>
          </w14:textFill>
        </w:rPr>
        <w:object>
          <v:shape id="_x0000_i1027" o:spt="75" type="#_x0000_t75" style="height:134.85pt;width:375.6pt;" o:ole="t" filled="f" coordsize="21600,21600">
            <v:path/>
            <v:fill on="f" focussize="0,0"/>
            <v:stroke/>
            <v:imagedata r:id="rId52" o:title=""/>
            <o:lock v:ext="edit" aspectratio="t"/>
            <w10:wrap type="none"/>
            <w10:anchorlock/>
          </v:shape>
          <o:OLEObject Type="Embed" ProgID="Visio.Drawing.15" ShapeID="_x0000_i1027" DrawAspect="Content" ObjectID="_1468075727" r:id="rId51">
            <o:LockedField>false</o:LockedField>
          </o:OLEObject>
        </w:object>
      </w:r>
    </w:p>
    <w:p w14:paraId="6CBBDC3C">
      <w:pPr>
        <w:spacing w:line="500" w:lineRule="exact"/>
        <w:ind w:firstLine="420" w:firstLineChars="200"/>
        <w:jc w:val="center"/>
        <w:rPr>
          <w:rFonts w:hint="eastAsia" w:ascii="黑体" w:hAnsi="黑体" w:eastAsia="黑体"/>
          <w:color w:val="000000" w:themeColor="text1"/>
          <w:kern w:val="0"/>
          <w:szCs w:val="21"/>
          <w:lang w:val="zh-CN"/>
          <w14:textFill>
            <w14:solidFill>
              <w14:schemeClr w14:val="tx1"/>
            </w14:solidFill>
          </w14:textFill>
        </w:rPr>
      </w:pPr>
      <w:r>
        <w:rPr>
          <w:rFonts w:hint="eastAsia" w:ascii="黑体" w:hAnsi="黑体" w:eastAsia="黑体"/>
          <w:color w:val="000000" w:themeColor="text1"/>
          <w:kern w:val="0"/>
          <w:szCs w:val="21"/>
          <w:lang w:val="zh-CN"/>
          <w14:textFill>
            <w14:solidFill>
              <w14:schemeClr w14:val="tx1"/>
            </w14:solidFill>
          </w14:textFill>
        </w:rPr>
        <w:t>图3</w:t>
      </w:r>
      <w:r>
        <w:rPr>
          <w:rFonts w:ascii="黑体" w:hAnsi="黑体" w:eastAsia="黑体"/>
          <w:color w:val="000000" w:themeColor="text1"/>
          <w:kern w:val="0"/>
          <w:szCs w:val="21"/>
          <w:lang w:val="zh-CN"/>
          <w14:textFill>
            <w14:solidFill>
              <w14:schemeClr w14:val="tx1"/>
            </w14:solidFill>
          </w14:textFill>
        </w:rPr>
        <w:t>.2</w:t>
      </w:r>
      <w:r>
        <w:rPr>
          <w:rFonts w:hint="eastAsia" w:ascii="黑体" w:hAnsi="黑体" w:eastAsia="黑体"/>
          <w:color w:val="000000" w:themeColor="text1"/>
          <w:kern w:val="0"/>
          <w:szCs w:val="21"/>
          <w:lang w:val="zh-CN"/>
          <w14:textFill>
            <w14:solidFill>
              <w14:schemeClr w14:val="tx1"/>
            </w14:solidFill>
          </w14:textFill>
        </w:rPr>
        <w:t>-1</w:t>
      </w:r>
      <w:r>
        <w:rPr>
          <w:rFonts w:hint="eastAsia" w:ascii="黑体" w:hAnsi="黑体" w:eastAsia="黑体"/>
          <w:color w:val="000000" w:themeColor="text1"/>
          <w:kern w:val="0"/>
          <w:szCs w:val="21"/>
          <w:lang w:val="en-US" w:eastAsia="zh-CN"/>
          <w14:textFill>
            <w14:solidFill>
              <w14:schemeClr w14:val="tx1"/>
            </w14:solidFill>
          </w14:textFill>
        </w:rPr>
        <w:t>6</w:t>
      </w:r>
      <w:r>
        <w:rPr>
          <w:rFonts w:hint="eastAsia" w:ascii="黑体" w:hAnsi="黑体" w:eastAsia="黑体"/>
          <w:color w:val="000000" w:themeColor="text1"/>
          <w:kern w:val="0"/>
          <w:szCs w:val="21"/>
          <w:lang w:val="zh-CN"/>
          <w14:textFill>
            <w14:solidFill>
              <w14:schemeClr w14:val="tx1"/>
            </w14:solidFill>
          </w14:textFill>
        </w:rPr>
        <w:t xml:space="preserve"> </w:t>
      </w:r>
      <w:r>
        <w:rPr>
          <w:rFonts w:ascii="黑体" w:hAnsi="黑体" w:eastAsia="黑体"/>
          <w:color w:val="000000" w:themeColor="text1"/>
          <w:kern w:val="0"/>
          <w:szCs w:val="21"/>
          <w:lang w:val="zh-CN"/>
          <w14:textFill>
            <w14:solidFill>
              <w14:schemeClr w14:val="tx1"/>
            </w14:solidFill>
          </w14:textFill>
        </w:rPr>
        <w:t xml:space="preserve"> </w:t>
      </w:r>
      <w:r>
        <w:rPr>
          <w:rFonts w:hint="eastAsia" w:ascii="黑体" w:hAnsi="黑体" w:eastAsia="黑体"/>
          <w:color w:val="000000" w:themeColor="text1"/>
          <w:kern w:val="0"/>
          <w:szCs w:val="21"/>
          <w:lang w:val="en-US" w:eastAsia="zh-CN"/>
          <w14:textFill>
            <w14:solidFill>
              <w14:schemeClr w14:val="tx1"/>
            </w14:solidFill>
          </w14:textFill>
        </w:rPr>
        <w:t>地面工程</w:t>
      </w:r>
      <w:r>
        <w:rPr>
          <w:rFonts w:hint="eastAsia" w:ascii="黑体" w:hAnsi="黑体" w:eastAsia="黑体"/>
          <w:color w:val="000000" w:themeColor="text1"/>
          <w:kern w:val="0"/>
          <w:szCs w:val="21"/>
          <w:lang w:val="zh-CN"/>
          <w14:textFill>
            <w14:solidFill>
              <w14:schemeClr w14:val="tx1"/>
            </w14:solidFill>
          </w14:textFill>
        </w:rPr>
        <w:t>施工工艺及产污节点示意图</w:t>
      </w:r>
    </w:p>
    <w:p w14:paraId="7DFCCA4D">
      <w:pPr>
        <w:pStyle w:val="120"/>
        <w:rPr>
          <w:rFonts w:hint="eastAsia"/>
          <w:color w:val="000000" w:themeColor="text1"/>
          <w14:textFill>
            <w14:solidFill>
              <w14:schemeClr w14:val="tx1"/>
            </w14:solidFill>
          </w14:textFill>
        </w:rPr>
      </w:pPr>
      <w:bookmarkStart w:id="272" w:name="_Hlk175251075"/>
      <w:r>
        <w:rPr>
          <w:rFonts w:hint="eastAsia"/>
          <w:color w:val="000000" w:themeColor="text1"/>
          <w14:textFill>
            <w14:solidFill>
              <w14:schemeClr w14:val="tx1"/>
            </w14:solidFill>
          </w14:textFill>
        </w:rPr>
        <w:t>管线保温后埋地敷设，单井采油管线</w:t>
      </w:r>
      <w:r>
        <w:rPr>
          <w:rFonts w:hint="eastAsia"/>
          <w:color w:val="000000" w:themeColor="text1"/>
          <w:lang w:val="en-US"/>
          <w14:textFill>
            <w14:solidFill>
              <w14:schemeClr w14:val="tx1"/>
            </w14:solidFill>
          </w14:textFill>
        </w:rPr>
        <w:t>和单井掺热水管线</w:t>
      </w:r>
      <w:r>
        <w:rPr>
          <w:rFonts w:hint="eastAsia"/>
          <w:color w:val="000000" w:themeColor="text1"/>
          <w14:textFill>
            <w14:solidFill>
              <w14:schemeClr w14:val="tx1"/>
            </w14:solidFill>
          </w14:textFill>
        </w:rPr>
        <w:t>埋深-1.7m，</w:t>
      </w:r>
      <w:r>
        <w:rPr>
          <w:rFonts w:hint="eastAsia"/>
          <w:color w:val="000000" w:themeColor="text1"/>
          <w:lang w:val="en-US"/>
          <w14:textFill>
            <w14:solidFill>
              <w14:schemeClr w14:val="tx1"/>
            </w14:solidFill>
          </w14:textFill>
        </w:rPr>
        <w:t>单井注水管线</w:t>
      </w:r>
      <w:r>
        <w:rPr>
          <w:rFonts w:hint="eastAsia"/>
          <w:color w:val="000000" w:themeColor="text1"/>
          <w14:textFill>
            <w14:solidFill>
              <w14:schemeClr w14:val="tx1"/>
            </w14:solidFill>
          </w14:textFill>
        </w:rPr>
        <w:t>埋深-</w:t>
      </w:r>
      <w:r>
        <w:rPr>
          <w:color w:val="000000" w:themeColor="text1"/>
          <w14:textFill>
            <w14:solidFill>
              <w14:schemeClr w14:val="tx1"/>
            </w14:solidFill>
          </w14:textFill>
        </w:rPr>
        <w:t>1.</w:t>
      </w:r>
      <w:r>
        <w:rPr>
          <w:rFonts w:hint="eastAsia"/>
          <w:color w:val="000000" w:themeColor="text1"/>
          <w:lang w:val="en-US"/>
          <w14:textFill>
            <w14:solidFill>
              <w14:schemeClr w14:val="tx1"/>
            </w14:solidFill>
          </w14:textFill>
        </w:rPr>
        <w:t>8</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，保温层均采用30mm厚聚氨酯泡沫塑料，防护层采用高密度聚乙烯塑料；穿越沥青路面采用顶管穿越，穿越简易道路采用大开挖方式，穿越道路时加套管；施工作业带宽度控制在</w:t>
      </w:r>
      <w:r>
        <w:rPr>
          <w:rFonts w:hint="eastAsia"/>
          <w:color w:val="000000" w:themeColor="text1"/>
          <w:lang w:val="en-US"/>
          <w14:textFill>
            <w14:solidFill>
              <w14:schemeClr w14:val="tx1"/>
            </w14:solidFill>
          </w14:textFill>
        </w:rPr>
        <w:t>12</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范围内。</w:t>
      </w:r>
    </w:p>
    <w:bookmarkEnd w:id="272"/>
    <w:p w14:paraId="65E9EA60">
      <w:pPr>
        <w:pStyle w:val="120"/>
        <w:adjustRightInd w:val="0"/>
        <w:snapToGrid w:val="0"/>
        <w:rPr>
          <w:rFonts w:hint="eastAsia"/>
          <w:color w:val="000000" w:themeColor="text1"/>
          <w14:textFill>
            <w14:solidFill>
              <w14:schemeClr w14:val="tx1"/>
            </w14:solidFill>
          </w14:textFill>
        </w:rPr>
      </w:pPr>
      <w:bookmarkStart w:id="273" w:name="OLE_LINK57"/>
      <w:r>
        <w:rPr>
          <w:rFonts w:hint="eastAsia"/>
          <w:color w:val="000000" w:themeColor="text1"/>
          <w14:textFill>
            <w14:solidFill>
              <w14:schemeClr w14:val="tx1"/>
            </w14:solidFill>
          </w14:textFill>
        </w:rPr>
        <w:t>地面工程施工废气主要为施工扬尘、施工机械及车辆尾气和焊接废气，废水主要为管道试压废水和混凝土养护废水，固体废物主要为建筑垃圾，噪声源主要为施工机械及车辆。</w:t>
      </w:r>
      <w:bookmarkEnd w:id="273"/>
    </w:p>
    <w:p w14:paraId="59D14F32">
      <w:pPr>
        <w:pStyle w:val="120"/>
        <w:rPr>
          <w:rFonts w:hint="eastAsia"/>
          <w:color w:val="000000" w:themeColor="text1"/>
          <w14:textFill>
            <w14:solidFill>
              <w14:schemeClr w14:val="tx1"/>
            </w14:solidFill>
          </w14:textFill>
        </w:rPr>
      </w:pPr>
      <w:bookmarkStart w:id="274" w:name="_Hlk147581788"/>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）运营期工艺流程及环境影响因素分析</w:t>
      </w:r>
    </w:p>
    <w:bookmarkEnd w:id="274"/>
    <w:p w14:paraId="4DD827B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①油气集输</w:t>
      </w:r>
    </w:p>
    <w:p w14:paraId="49F128CE">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6口</w:t>
      </w:r>
      <w:r>
        <w:rPr>
          <w:rFonts w:hint="eastAsia"/>
          <w:color w:val="000000" w:themeColor="text1"/>
          <w14:textFill>
            <w14:solidFill>
              <w14:schemeClr w14:val="tx1"/>
            </w14:solidFill>
          </w14:textFill>
        </w:rPr>
        <w:t>采油井均采用集中计量、二级布站方式密闭集输工艺，具体工艺流程为：单井采出</w:t>
      </w:r>
      <w:r>
        <w:rPr>
          <w:rFonts w:hint="eastAsia"/>
          <w:color w:val="000000" w:themeColor="text1"/>
          <w:lang w:val="en-US" w:eastAsia="zh-CN"/>
          <w14:textFill>
            <w14:solidFill>
              <w14:schemeClr w14:val="tx1"/>
            </w14:solidFill>
          </w14:textFill>
        </w:rPr>
        <w:t>液在</w:t>
      </w:r>
      <w:r>
        <w:rPr>
          <w:rFonts w:hint="eastAsia"/>
          <w:color w:val="000000" w:themeColor="text1"/>
          <w14:textFill>
            <w14:solidFill>
              <w14:schemeClr w14:val="tx1"/>
            </w14:solidFill>
          </w14:textFill>
        </w:rPr>
        <w:t>井口</w:t>
      </w:r>
      <w:r>
        <w:rPr>
          <w:rFonts w:hint="eastAsia"/>
          <w:color w:val="000000" w:themeColor="text1"/>
          <w:lang w:val="en-US" w:eastAsia="zh-CN"/>
          <w14:textFill>
            <w14:solidFill>
              <w14:schemeClr w14:val="tx1"/>
            </w14:solidFill>
          </w14:textFill>
        </w:rPr>
        <w:t>与单井掺热水管线来加热净化水进行混合</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与净化水混合后的采出液及井口伴生气通过新建单井采油管线</w:t>
      </w:r>
      <w:r>
        <w:rPr>
          <w:rFonts w:hint="eastAsia"/>
          <w:color w:val="000000" w:themeColor="text1"/>
          <w:lang w:val="en-US"/>
          <w14:textFill>
            <w14:solidFill>
              <w14:schemeClr w14:val="tx1"/>
            </w14:solidFill>
          </w14:textFill>
        </w:rPr>
        <w:t>管输至</w:t>
      </w:r>
      <w:r>
        <w:rPr>
          <w:rFonts w:hint="eastAsia"/>
          <w:color w:val="000000" w:themeColor="text1"/>
          <w:lang w:val="en-US" w:eastAsia="zh-CN"/>
          <w14:textFill>
            <w14:solidFill>
              <w14:schemeClr w14:val="tx1"/>
            </w14:solidFill>
          </w14:textFill>
        </w:rPr>
        <w:t>已建计量站进行计量</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计量</w:t>
      </w:r>
      <w:r>
        <w:rPr>
          <w:rFonts w:hint="eastAsia"/>
          <w:color w:val="000000" w:themeColor="text1"/>
          <w14:textFill>
            <w14:solidFill>
              <w14:schemeClr w14:val="tx1"/>
            </w14:solidFill>
          </w14:textFill>
        </w:rPr>
        <w:t>后通过已建管线管输至吉祥联合站处理。</w:t>
      </w:r>
    </w:p>
    <w:p w14:paraId="6E93F602">
      <w:pPr>
        <w:pStyle w:val="120"/>
        <w:rPr>
          <w:rFonts w:hint="eastAsia"/>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单井掺热水管线加热净化水来自于</w:t>
      </w:r>
      <w:r>
        <w:rPr>
          <w:rFonts w:hint="eastAsia"/>
          <w:color w:val="000000" w:themeColor="text1"/>
          <w:lang w:val="en-US"/>
          <w14:textFill>
            <w14:solidFill>
              <w14:schemeClr w14:val="tx1"/>
            </w14:solidFill>
          </w14:textFill>
        </w:rPr>
        <w:t>吉祥联合站</w:t>
      </w:r>
      <w:r>
        <w:rPr>
          <w:rFonts w:hint="eastAsia"/>
          <w:color w:val="000000" w:themeColor="text1"/>
          <w:lang w:val="en-US" w:eastAsia="zh-CN"/>
          <w14:textFill>
            <w14:solidFill>
              <w14:schemeClr w14:val="tx1"/>
            </w14:solidFill>
          </w14:textFill>
        </w:rPr>
        <w:t>，</w:t>
      </w:r>
      <w:r>
        <w:rPr>
          <w:rFonts w:hint="eastAsia"/>
          <w:color w:val="000000" w:themeColor="text1"/>
          <w:lang w:val="en-US"/>
          <w14:textFill>
            <w14:solidFill>
              <w14:schemeClr w14:val="tx1"/>
            </w14:solidFill>
          </w14:textFill>
        </w:rPr>
        <w:t>吉祥联合站采出水处理系统处理达标的净化水</w:t>
      </w:r>
      <w:r>
        <w:rPr>
          <w:rFonts w:hint="eastAsia"/>
          <w:color w:val="000000" w:themeColor="text1"/>
          <w:lang w:val="en-US" w:eastAsia="zh-CN"/>
          <w14:textFill>
            <w14:solidFill>
              <w14:schemeClr w14:val="tx1"/>
            </w14:solidFill>
          </w14:textFill>
        </w:rPr>
        <w:t>在站内进行加热到设计的温度后，通过已建掺水管线管输至计量站，再通过新建单井掺热水管线将加热后的净化水管输至采油井口，单井采油管线与单井掺热水管线同沟敷设，单井掺热水管线来加热净化水从井口通过配套的阀门和管线混掺进采出液，混掺后的采出液与净化水一并通过单井采油管线输送至计量站，在计量站进行计量后，通过计量站和吉祥联合站之间已建集输管线，将井口采出物管输至吉祥联合站进行处理。井口采出液中加入加热净化水的主要目的是提高各采油井井口采出液的含水率，</w:t>
      </w:r>
      <w:r>
        <w:rPr>
          <w:rFonts w:hint="eastAsia"/>
          <w:color w:val="000000" w:themeColor="text1"/>
          <w:lang w:val="en-US"/>
          <w14:textFill>
            <w14:solidFill>
              <w14:schemeClr w14:val="tx1"/>
            </w14:solidFill>
          </w14:textFill>
        </w:rPr>
        <w:t>将采出液中的含水率从50%提升至75%</w:t>
      </w:r>
      <w:r>
        <w:rPr>
          <w:rFonts w:hint="eastAsia"/>
          <w:color w:val="000000" w:themeColor="text1"/>
          <w:lang w:val="en-US" w:eastAsia="zh-CN"/>
          <w14:textFill>
            <w14:solidFill>
              <w14:schemeClr w14:val="tx1"/>
            </w14:solidFill>
          </w14:textFill>
        </w:rPr>
        <w:t>，降低采出液的黏度，同时加热</w:t>
      </w:r>
      <w:r>
        <w:rPr>
          <w:rFonts w:hint="eastAsia"/>
          <w:color w:val="000000" w:themeColor="text1"/>
          <w:lang w:val="en-US"/>
          <w14:textFill>
            <w14:solidFill>
              <w14:schemeClr w14:val="tx1"/>
            </w14:solidFill>
          </w14:textFill>
        </w:rPr>
        <w:t>采出液</w:t>
      </w:r>
      <w:r>
        <w:rPr>
          <w:rFonts w:hint="eastAsia"/>
          <w:color w:val="000000" w:themeColor="text1"/>
          <w:lang w:val="en-US" w:eastAsia="zh-CN"/>
          <w14:textFill>
            <w14:solidFill>
              <w14:schemeClr w14:val="tx1"/>
            </w14:solidFill>
          </w14:textFill>
        </w:rPr>
        <w:t>，</w:t>
      </w:r>
      <w:r>
        <w:rPr>
          <w:rFonts w:hint="eastAsia"/>
          <w:color w:val="000000" w:themeColor="text1"/>
          <w:lang w:val="en-US"/>
          <w14:textFill>
            <w14:solidFill>
              <w14:schemeClr w14:val="tx1"/>
            </w14:solidFill>
          </w14:textFill>
        </w:rPr>
        <w:t>便于管输。</w:t>
      </w:r>
    </w:p>
    <w:p w14:paraId="2F94ECD0">
      <w:pPr>
        <w:pStyle w:val="12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本项目井口采出物热源主要来源于</w:t>
      </w:r>
      <w:r>
        <w:rPr>
          <w:rFonts w:hint="eastAsia"/>
          <w:color w:val="000000" w:themeColor="text1"/>
          <w:lang w:val="en-US"/>
          <w14:textFill>
            <w14:solidFill>
              <w14:schemeClr w14:val="tx1"/>
            </w14:solidFill>
          </w14:textFill>
        </w:rPr>
        <w:t>吉祥联合站</w:t>
      </w:r>
      <w:r>
        <w:rPr>
          <w:rFonts w:hint="eastAsia"/>
          <w:color w:val="000000" w:themeColor="text1"/>
          <w:lang w:val="en-US" w:eastAsia="zh-CN"/>
          <w14:textFill>
            <w14:solidFill>
              <w14:schemeClr w14:val="tx1"/>
            </w14:solidFill>
          </w14:textFill>
        </w:rPr>
        <w:t>来的加热净化水，井口不再额外设置加热节流橇等加热装置。</w:t>
      </w:r>
    </w:p>
    <w:p w14:paraId="62117054">
      <w:pPr>
        <w:pStyle w:val="12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②注水工艺流程</w:t>
      </w:r>
    </w:p>
    <w:p w14:paraId="3F58E2F4">
      <w:pPr>
        <w:pStyle w:val="120"/>
        <w:rPr>
          <w:rFonts w:hint="default" w:eastAsia="宋体"/>
          <w:color w:val="000000" w:themeColor="text1"/>
          <w:lang w:val="en-US" w:eastAsia="zh-CN"/>
          <w14:textFill>
            <w14:solidFill>
              <w14:schemeClr w14:val="tx1"/>
            </w14:solidFill>
          </w14:textFill>
        </w:rPr>
      </w:pPr>
      <w:r>
        <w:rPr>
          <w:rFonts w:hint="eastAsia"/>
          <w:color w:val="000000" w:themeColor="text1"/>
          <w:lang w:val="en-US"/>
          <w14:textFill>
            <w14:solidFill>
              <w14:schemeClr w14:val="tx1"/>
            </w14:solidFill>
          </w14:textFill>
        </w:rPr>
        <w:t>吉祥联合站采出水处理系统处理达标的净化水</w:t>
      </w:r>
      <w:r>
        <w:rPr>
          <w:rFonts w:hint="eastAsia"/>
          <w:color w:val="000000" w:themeColor="text1"/>
          <w:lang w:val="en-US" w:eastAsia="zh-CN"/>
          <w14:textFill>
            <w14:solidFill>
              <w14:schemeClr w14:val="tx1"/>
            </w14:solidFill>
          </w14:textFill>
        </w:rPr>
        <w:t>通过已建注水管线管输至已计量站配水装置，再通过本次新建的单井注水管线管输至新部署注水井口，最终回注油藏，用于区块注水开发。</w:t>
      </w:r>
    </w:p>
    <w:p w14:paraId="7877E580">
      <w:pPr>
        <w:pStyle w:val="120"/>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运营期</w:t>
      </w:r>
      <w:r>
        <w:rPr>
          <w:rFonts w:hint="eastAsia"/>
          <w:color w:val="000000" w:themeColor="text1"/>
          <w14:textFill>
            <w14:solidFill>
              <w14:schemeClr w14:val="tx1"/>
            </w14:solidFill>
          </w14:textFill>
        </w:rPr>
        <w:t>工艺流程框图及产污环节见图3.2-1</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w:t>
      </w:r>
    </w:p>
    <w:p w14:paraId="2AAC59C9">
      <w:pPr>
        <w:pStyle w:val="120"/>
        <w:spacing w:line="240" w:lineRule="auto"/>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object>
          <v:shape id="_x0000_i1028" o:spt="75" type="#_x0000_t75" style="height:188.85pt;width:435.55pt;" o:ole="t" filled="f" o:preferrelative="t" stroked="f" coordsize="21600,21600">
            <v:path/>
            <v:fill on="f" focussize="0,0"/>
            <v:stroke on="f"/>
            <v:imagedata r:id="rId54" o:title=""/>
            <o:lock v:ext="edit" aspectratio="f"/>
            <w10:wrap type="none"/>
            <w10:anchorlock/>
          </v:shape>
          <o:OLEObject Type="Embed" ProgID="Visio.Drawing.15" ShapeID="_x0000_i1028" DrawAspect="Content" ObjectID="_1468075728" r:id="rId53">
            <o:LockedField>false</o:LockedField>
          </o:OLEObject>
        </w:object>
      </w:r>
    </w:p>
    <w:p w14:paraId="30FD3848">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图3.2-1</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 xml:space="preserve">  运营期工艺流程及产污环节示意图</w:t>
      </w:r>
    </w:p>
    <w:p w14:paraId="7D64E7D6">
      <w:pPr>
        <w:pStyle w:val="120"/>
        <w:rPr>
          <w:rFonts w:hint="eastAsia"/>
          <w:color w:val="000000" w:themeColor="text1"/>
          <w14:textFill>
            <w14:solidFill>
              <w14:schemeClr w14:val="tx1"/>
            </w14:solidFill>
          </w14:textFill>
        </w:rPr>
      </w:pPr>
      <w:r>
        <w:rPr>
          <w:color w:val="000000" w:themeColor="text1"/>
          <w:lang w:val="en-US"/>
          <w14:textFill>
            <w14:solidFill>
              <w14:schemeClr w14:val="tx1"/>
            </w14:solidFill>
          </w14:textFill>
        </w:rPr>
        <w:t>运营期废气主要为</w:t>
      </w:r>
      <w:r>
        <w:rPr>
          <w:rFonts w:hint="eastAsia"/>
          <w:color w:val="000000" w:themeColor="text1"/>
          <w:lang w:val="en-US"/>
          <w14:textFill>
            <w14:solidFill>
              <w14:schemeClr w14:val="tx1"/>
            </w14:solidFill>
          </w14:textFill>
        </w:rPr>
        <w:t>采油井</w:t>
      </w:r>
      <w:r>
        <w:rPr>
          <w:color w:val="000000" w:themeColor="text1"/>
          <w:lang w:val="en-US"/>
          <w14:textFill>
            <w14:solidFill>
              <w14:schemeClr w14:val="tx1"/>
            </w14:solidFill>
          </w14:textFill>
        </w:rPr>
        <w:t>井场阀门、法兰等处</w:t>
      </w:r>
      <w:r>
        <w:rPr>
          <w:rFonts w:hint="eastAsia"/>
          <w:color w:val="000000" w:themeColor="text1"/>
          <w14:textFill>
            <w14:solidFill>
              <w14:schemeClr w14:val="tx1"/>
            </w14:solidFill>
          </w14:textFill>
        </w:rPr>
        <w:t>无组织挥发的</w:t>
      </w:r>
      <w:r>
        <w:rPr>
          <w:color w:val="000000" w:themeColor="text1"/>
          <w:lang w:val="en-US"/>
          <w14:textFill>
            <w14:solidFill>
              <w14:schemeClr w14:val="tx1"/>
            </w14:solidFill>
          </w14:textFill>
        </w:rPr>
        <w:t>产生的</w:t>
      </w:r>
      <w:r>
        <w:rPr>
          <w:rFonts w:hint="eastAsia"/>
          <w:color w:val="000000" w:themeColor="text1"/>
          <w14:textFill>
            <w14:solidFill>
              <w14:schemeClr w14:val="tx1"/>
            </w14:solidFill>
          </w14:textFill>
        </w:rPr>
        <w:t>非甲烷总烃和硫化氢，废水主要为洗井废水和井下作业废液，固体废物主要为</w:t>
      </w:r>
      <w:r>
        <w:rPr>
          <w:rFonts w:hint="eastAsia" w:cs="宋体"/>
          <w:color w:val="000000" w:themeColor="text1"/>
          <w14:textFill>
            <w14:solidFill>
              <w14:schemeClr w14:val="tx1"/>
            </w14:solidFill>
          </w14:textFill>
        </w:rPr>
        <w:t>废润滑油、废润滑油桶、沾油废防渗膜、</w:t>
      </w:r>
      <w:r>
        <w:rPr>
          <w:rFonts w:cs="宋体"/>
          <w:color w:val="000000" w:themeColor="text1"/>
          <w14:textFill>
            <w14:solidFill>
              <w14:schemeClr w14:val="tx1"/>
            </w14:solidFill>
          </w14:textFill>
        </w:rPr>
        <w:t>废弃的含油抹布、劳保用品</w:t>
      </w:r>
      <w:r>
        <w:rPr>
          <w:rFonts w:hint="eastAsia"/>
          <w:color w:val="000000" w:themeColor="text1"/>
          <w14:textFill>
            <w14:solidFill>
              <w14:schemeClr w14:val="tx1"/>
            </w14:solidFill>
          </w14:textFill>
        </w:rPr>
        <w:t>，噪声源主要为井场螺杆泵、井场井下作业各设备及巡检车辆。</w:t>
      </w:r>
    </w:p>
    <w:p w14:paraId="231EFA1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（3）退役期工艺流程及环境影响因素分析</w:t>
      </w:r>
    </w:p>
    <w:p w14:paraId="766D6692">
      <w:pPr>
        <w:pStyle w:val="530"/>
        <w:spacing w:line="500" w:lineRule="exact"/>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随着石油开采的不断进行，其储量逐渐下降，最终井区将进入</w:t>
      </w:r>
      <w:r>
        <w:rPr>
          <w:rFonts w:hint="eastAsia" w:ascii="Times New Roman" w:hAnsi="Times New Roman"/>
          <w:color w:val="000000" w:themeColor="text1"/>
          <w14:textFill>
            <w14:solidFill>
              <w14:schemeClr w14:val="tx1"/>
            </w14:solidFill>
          </w14:textFill>
        </w:rPr>
        <w:t>退役</w:t>
      </w:r>
      <w:r>
        <w:rPr>
          <w:rFonts w:ascii="Times New Roman" w:hAnsi="Times New Roman"/>
          <w:color w:val="000000" w:themeColor="text1"/>
          <w14:textFill>
            <w14:solidFill>
              <w14:schemeClr w14:val="tx1"/>
            </w14:solidFill>
          </w14:textFill>
        </w:rPr>
        <w:t>期。</w:t>
      </w:r>
    </w:p>
    <w:p w14:paraId="5E04F8E8">
      <w:pPr>
        <w:pStyle w:val="530"/>
        <w:spacing w:line="500" w:lineRule="exact"/>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首先采用清水清洗注水通道，然后将固化堵剂和水泥浆从井口平推挤入地层并充满井筒、后凝固化，完成封层和封井。由于清洗后井筒中仍存在被油污、垢体和泥沙堵塞的区域，使固化堵剂和水泥浆无法进入这些区域，但是由于固化堵剂具有优良的胶结性能，且在凝固的过程中存在膨胀性，使该区域的堵塞物被挤压得更结实且能与固化堵剂胶合在一起，完成井筒的封固，使得地层的水在此井筒中无法形成窜流，达到了封井的目的。</w:t>
      </w:r>
    </w:p>
    <w:p w14:paraId="7FCDBE82">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退役期环境影响因素主要表现在井场</w:t>
      </w:r>
      <w:r>
        <w:rPr>
          <w:rFonts w:hint="eastAsia"/>
          <w:color w:val="000000" w:themeColor="text1"/>
          <w14:textFill>
            <w14:solidFill>
              <w14:schemeClr w14:val="tx1"/>
            </w14:solidFill>
          </w14:textFill>
        </w:rPr>
        <w:t>各类设备设施及管线的拆除、封井、井场的清理、井区废弃管线的封堵等施工活动</w:t>
      </w:r>
      <w:r>
        <w:rPr>
          <w:color w:val="000000" w:themeColor="text1"/>
          <w14:textFill>
            <w14:solidFill>
              <w14:schemeClr w14:val="tx1"/>
            </w14:solidFill>
          </w14:textFill>
        </w:rPr>
        <w:t>，退役期废气污染源主要为施工扬尘，采取洒水抑尘的措施；噪声污染源主要为车辆噪声，要求合理安排作业时间，控制车辆速度等措施；固体废物主要为封井过程中产生的废弃管道、建筑垃圾等，建筑垃圾收集后</w:t>
      </w:r>
      <w:r>
        <w:rPr>
          <w:rFonts w:hint="eastAsia"/>
          <w:color w:val="000000" w:themeColor="text1"/>
          <w:lang w:val="en-US" w:eastAsia="zh-CN"/>
          <w14:textFill>
            <w14:solidFill>
              <w14:schemeClr w14:val="tx1"/>
            </w14:solidFill>
          </w14:textFill>
        </w:rPr>
        <w:t>交由环卫部门统一处置</w:t>
      </w:r>
      <w:r>
        <w:rPr>
          <w:color w:val="000000" w:themeColor="text1"/>
          <w14:textFill>
            <w14:solidFill>
              <w14:schemeClr w14:val="tx1"/>
            </w14:solidFill>
          </w14:textFill>
        </w:rPr>
        <w:t>。废弃管线维持现状，避免因开挖管线对区域生态环境造成二次破坏，管线内物质应清空干净，并按要求进行吹扫，确保管线内无残留采出液，管线两端使用盲板封堵。</w:t>
      </w:r>
      <w:r>
        <w:rPr>
          <w:rFonts w:hint="eastAsia"/>
          <w:color w:val="000000" w:themeColor="text1"/>
          <w14:textFill>
            <w14:solidFill>
              <w14:schemeClr w14:val="tx1"/>
            </w14:solidFill>
          </w14:textFill>
        </w:rPr>
        <w:t>产生的污染物主要为扬尘、噪声、废弃管线、建筑垃圾等。退役期</w:t>
      </w:r>
      <w:bookmarkStart w:id="275" w:name="_Hlk160375431"/>
      <w:r>
        <w:rPr>
          <w:rFonts w:hint="eastAsia"/>
          <w:color w:val="000000" w:themeColor="text1"/>
          <w14:textFill>
            <w14:solidFill>
              <w14:schemeClr w14:val="tx1"/>
            </w14:solidFill>
          </w14:textFill>
        </w:rPr>
        <w:t>工艺及产污节点分析见图3.2-</w:t>
      </w:r>
      <w:r>
        <w:rPr>
          <w:rFonts w:hint="eastAsia"/>
          <w:color w:val="000000" w:themeColor="text1"/>
          <w:lang w:val="en-US" w:eastAsia="zh-CN"/>
          <w14:textFill>
            <w14:solidFill>
              <w14:schemeClr w14:val="tx1"/>
            </w14:solidFill>
          </w14:textFill>
        </w:rPr>
        <w:t>18</w:t>
      </w:r>
      <w:r>
        <w:rPr>
          <w:rFonts w:hint="eastAsia"/>
          <w:color w:val="000000" w:themeColor="text1"/>
          <w14:textFill>
            <w14:solidFill>
              <w14:schemeClr w14:val="tx1"/>
            </w14:solidFill>
          </w14:textFill>
        </w:rPr>
        <w:t>。</w:t>
      </w:r>
    </w:p>
    <w:p w14:paraId="13128674">
      <w:pPr>
        <w:pStyle w:val="193"/>
        <w:spacing w:line="240" w:lineRule="auto"/>
        <w:rPr>
          <w:rFonts w:hint="eastAsia"/>
          <w:color w:val="000000" w:themeColor="text1"/>
          <w14:textFill>
            <w14:solidFill>
              <w14:schemeClr w14:val="tx1"/>
            </w14:solidFill>
          </w14:textFill>
        </w:rPr>
      </w:pPr>
      <w:r>
        <w:rPr>
          <w:color w:val="000000" w:themeColor="text1"/>
          <w14:textFill>
            <w14:solidFill>
              <w14:schemeClr w14:val="tx1"/>
            </w14:solidFill>
          </w14:textFill>
        </w:rPr>
        <w:object>
          <v:shape id="_x0000_i1029" o:spt="75" type="#_x0000_t75" style="height:159.75pt;width:393pt;" o:ole="t" filled="f" coordsize="21600,21600">
            <v:path/>
            <v:fill on="f" focussize="0,0"/>
            <v:stroke/>
            <v:imagedata r:id="rId56" o:title=""/>
            <o:lock v:ext="edit" aspectratio="t"/>
            <w10:wrap type="none"/>
            <w10:anchorlock/>
          </v:shape>
          <o:OLEObject Type="Embed" ProgID="Visio.Drawing.15" ShapeID="_x0000_i1029" DrawAspect="Content" ObjectID="_1468075729" r:id="rId55">
            <o:LockedField>false</o:LockedField>
          </o:OLEObject>
        </w:object>
      </w:r>
    </w:p>
    <w:p w14:paraId="48BCC21E">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图3.2-1</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 xml:space="preserve">  退役期工艺流程及产污环节示意图</w:t>
      </w:r>
    </w:p>
    <w:p w14:paraId="0C6FD8A9">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退役期废气主要为施工扬尘、施工机械及车辆尾气、吹扫废水、噪声、建筑垃圾等。</w:t>
      </w:r>
    </w:p>
    <w:p w14:paraId="39D7841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（4）原辅材料消耗情况</w:t>
      </w:r>
    </w:p>
    <w:p w14:paraId="1BF439A2">
      <w:pPr>
        <w:pStyle w:val="120"/>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施工期采用免配变黏压裂液，单井压裂液量平均为36000m³,8口井压裂液使用量为237.6×10</w:t>
      </w:r>
      <w:r>
        <w:rPr>
          <w:rFonts w:hint="eastAsia"/>
          <w:color w:val="000000" w:themeColor="text1"/>
          <w:vertAlign w:val="superscript"/>
          <w:lang w:val="en-US"/>
          <w14:textFill>
            <w14:solidFill>
              <w14:schemeClr w14:val="tx1"/>
            </w14:solidFill>
          </w14:textFill>
        </w:rPr>
        <w:t>4</w:t>
      </w:r>
      <w:r>
        <w:rPr>
          <w:rFonts w:hint="eastAsia"/>
          <w:color w:val="000000" w:themeColor="text1"/>
          <w:lang w:val="en-US"/>
          <w14:textFill>
            <w14:solidFill>
              <w14:schemeClr w14:val="tx1"/>
            </w14:solidFill>
          </w14:textFill>
        </w:rPr>
        <w:t>m</w:t>
      </w:r>
      <w:r>
        <w:rPr>
          <w:rFonts w:hint="eastAsia"/>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w:t>
      </w:r>
      <w:r>
        <w:rPr>
          <w:rFonts w:hint="eastAsia"/>
          <w:color w:val="000000" w:themeColor="text1"/>
          <w:lang w:val="en-US"/>
          <w14:textFill>
            <w14:solidFill>
              <w14:schemeClr w14:val="tx1"/>
            </w14:solidFill>
          </w14:textFill>
        </w:rPr>
        <w:t>非磺化</w:t>
      </w:r>
      <w:r>
        <w:rPr>
          <w:color w:val="000000" w:themeColor="text1"/>
          <w:lang w:val="en-US"/>
          <w14:textFill>
            <w14:solidFill>
              <w14:schemeClr w14:val="tx1"/>
            </w14:solidFill>
          </w14:textFill>
        </w:rPr>
        <w:t>水基钻井液使用量为</w:t>
      </w:r>
      <w:r>
        <w:rPr>
          <w:rFonts w:hint="eastAsia"/>
          <w:color w:val="000000" w:themeColor="text1"/>
          <w14:textFill>
            <w14:solidFill>
              <w14:schemeClr w14:val="tx1"/>
            </w14:solidFill>
          </w14:textFill>
        </w:rPr>
        <w:t>2170</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w:t>
      </w:r>
    </w:p>
    <w:p w14:paraId="0353C150">
      <w:pPr>
        <w:pStyle w:val="120"/>
        <w:rPr>
          <w:rFonts w:hint="eastAsia"/>
          <w:color w:val="000000" w:themeColor="text1"/>
          <w14:textFill>
            <w14:solidFill>
              <w14:schemeClr w14:val="tx1"/>
            </w14:solidFill>
          </w14:textFill>
        </w:rPr>
      </w:pPr>
      <w:r>
        <w:rPr>
          <w:color w:val="000000" w:themeColor="text1"/>
          <w:lang w:val="en-US"/>
          <w14:textFill>
            <w14:solidFill>
              <w14:schemeClr w14:val="tx1"/>
            </w14:solidFill>
          </w14:textFill>
        </w:rPr>
        <w:t>运营期物料消耗主要为压裂液</w:t>
      </w:r>
      <w:r>
        <w:rPr>
          <w:rFonts w:hint="eastAsia"/>
          <w:color w:val="000000" w:themeColor="text1"/>
          <w:lang w:val="en-US"/>
          <w14:textFill>
            <w14:solidFill>
              <w14:schemeClr w14:val="tx1"/>
            </w14:solidFill>
          </w14:textFill>
        </w:rPr>
        <w:t>和</w:t>
      </w:r>
      <w:r>
        <w:rPr>
          <w:color w:val="000000" w:themeColor="text1"/>
          <w:lang w:val="en-US"/>
          <w14:textFill>
            <w14:solidFill>
              <w14:schemeClr w14:val="tx1"/>
            </w14:solidFill>
          </w14:textFill>
        </w:rPr>
        <w:t>洗井液</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消耗量分别为</w:t>
      </w:r>
      <w:r>
        <w:rPr>
          <w:rFonts w:hint="eastAsia"/>
          <w:color w:val="000000" w:themeColor="text1"/>
          <w:lang w:val="en-US"/>
          <w14:textFill>
            <w14:solidFill>
              <w14:schemeClr w14:val="tx1"/>
            </w14:solidFill>
          </w14:textFill>
        </w:rPr>
        <w:t>959.52</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/a、</w:t>
      </w:r>
      <w:r>
        <w:rPr>
          <w:rFonts w:hint="eastAsia"/>
          <w:color w:val="000000" w:themeColor="text1"/>
          <w:lang w:val="en-US"/>
          <w14:textFill>
            <w14:solidFill>
              <w14:schemeClr w14:val="tx1"/>
            </w14:solidFill>
          </w14:textFill>
        </w:rPr>
        <w:t>202.32t</w:t>
      </w:r>
      <w:r>
        <w:rPr>
          <w:color w:val="000000" w:themeColor="text1"/>
          <w:lang w:val="en-US"/>
          <w14:textFill>
            <w14:solidFill>
              <w14:schemeClr w14:val="tx1"/>
            </w14:solidFill>
          </w14:textFill>
        </w:rPr>
        <w:t>/a</w:t>
      </w:r>
      <w:r>
        <w:rPr>
          <w:rFonts w:hint="eastAsia"/>
          <w:color w:val="000000" w:themeColor="text1"/>
          <w14:textFill>
            <w14:solidFill>
              <w14:schemeClr w14:val="tx1"/>
            </w14:solidFill>
          </w14:textFill>
        </w:rPr>
        <w:t>。</w:t>
      </w:r>
    </w:p>
    <w:bookmarkEnd w:id="275"/>
    <w:p w14:paraId="3F2BDC26">
      <w:pPr>
        <w:pStyle w:val="7"/>
        <w:rPr>
          <w:rFonts w:hint="eastAsia"/>
          <w:color w:val="000000" w:themeColor="text1"/>
          <w14:textFill>
            <w14:solidFill>
              <w14:schemeClr w14:val="tx1"/>
            </w14:solidFill>
          </w14:textFill>
        </w:rPr>
      </w:pPr>
      <w:bookmarkStart w:id="276" w:name="_Toc26767"/>
      <w:bookmarkStart w:id="277" w:name="_Hlk80182474"/>
      <w:r>
        <w:rPr>
          <w:rFonts w:hint="eastAsia"/>
          <w:color w:val="000000" w:themeColor="text1"/>
          <w14:textFill>
            <w14:solidFill>
              <w14:schemeClr w14:val="tx1"/>
            </w14:solidFill>
          </w14:textFill>
        </w:rPr>
        <w:t>污染源源强核算</w:t>
      </w:r>
      <w:bookmarkEnd w:id="276"/>
    </w:p>
    <w:bookmarkEnd w:id="277"/>
    <w:p w14:paraId="10A97F97">
      <w:pPr>
        <w:pStyle w:val="8"/>
        <w:rPr>
          <w:rFonts w:hint="eastAsia"/>
          <w:color w:val="000000" w:themeColor="text1"/>
          <w14:textFill>
            <w14:solidFill>
              <w14:schemeClr w14:val="tx1"/>
            </w14:solidFill>
          </w14:textFill>
        </w:rPr>
      </w:pPr>
      <w:bookmarkStart w:id="278" w:name="_Hlk175250060"/>
      <w:r>
        <w:rPr>
          <w:rFonts w:hint="eastAsia"/>
          <w:color w:val="000000" w:themeColor="text1"/>
          <w14:textFill>
            <w14:solidFill>
              <w14:schemeClr w14:val="tx1"/>
            </w14:solidFill>
          </w14:textFill>
        </w:rPr>
        <w:t>施工期污染源源强核算</w:t>
      </w:r>
    </w:p>
    <w:bookmarkEnd w:id="278"/>
    <w:p w14:paraId="51908FE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（1）废气</w:t>
      </w:r>
    </w:p>
    <w:p w14:paraId="31ED9F22">
      <w:pPr>
        <w:pStyle w:val="120"/>
        <w:rPr>
          <w:rFonts w:hint="eastAsia"/>
          <w:color w:val="000000" w:themeColor="text1"/>
          <w14:textFill>
            <w14:solidFill>
              <w14:schemeClr w14:val="tx1"/>
            </w14:solidFill>
          </w14:textFill>
        </w:rPr>
      </w:pPr>
      <w:r>
        <w:rPr>
          <w:color w:val="000000" w:themeColor="text1"/>
          <w:lang w:val="en-US"/>
          <w14:textFill>
            <w14:solidFill>
              <w14:schemeClr w14:val="tx1"/>
            </w14:solidFill>
          </w14:textFill>
        </w:rPr>
        <w:t>施工废气主要为柴油机、发电机燃料燃烧烟气、施工机械及施工车辆尾气、施工扬尘、柴油储存卸车无组织废气、水基钻井岩屑暂存扬尘、焊接烟尘和储层改造过程中的无组织废气</w:t>
      </w:r>
      <w:r>
        <w:rPr>
          <w:rFonts w:hint="eastAsia"/>
          <w:color w:val="000000" w:themeColor="text1"/>
          <w14:textFill>
            <w14:solidFill>
              <w14:schemeClr w14:val="tx1"/>
            </w14:solidFill>
          </w14:textFill>
        </w:rPr>
        <w:t>。</w:t>
      </w:r>
    </w:p>
    <w:p w14:paraId="03FEABC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①柴油机、发电机组燃烧烟气</w:t>
      </w:r>
    </w:p>
    <w:p w14:paraId="5C0FBAC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期单井井场动力系统共设3台柴油机和2台柴油发电机，为钻机及井场提供动力、电力和照明，柴油机、发电机工作时消耗的燃料主要为柴油。根据设计资料，单井钻井期柴油消耗量为57t，8口井柴油消耗总量为456</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。柴油燃烧烟气中各污染物的产生量参考国家环境工程评估中心编制的《社会区域类环境影响评价》一书中提供的柴油燃烧产污系数进行核算（SO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 xml:space="preserve"> 2.24kg/t，NO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 xml:space="preserve"> 2.92kg/t，总烃2.13kg/t）</w:t>
      </w:r>
      <w:bookmarkStart w:id="279" w:name="_Hlk15402090"/>
      <w:r>
        <w:rPr>
          <w:rFonts w:hint="eastAsia"/>
          <w:color w:val="000000" w:themeColor="text1"/>
          <w14:textFill>
            <w14:solidFill>
              <w14:schemeClr w14:val="tx1"/>
            </w14:solidFill>
          </w14:textFill>
        </w:rPr>
        <w:t>，则污染物排放总量为：SO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 xml:space="preserve"> 1.02t、NO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 xml:space="preserve"> 1.33t、总烃0.97t。</w:t>
      </w:r>
      <w:bookmarkEnd w:id="279"/>
    </w:p>
    <w:p w14:paraId="627CDF1F">
      <w:pPr>
        <w:pStyle w:val="120"/>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eastAsia"/>
          <w:snapToGrid w:val="0"/>
          <w:color w:val="000000" w:themeColor="text1"/>
          <w14:textFill>
            <w14:solidFill>
              <w14:schemeClr w14:val="tx1"/>
            </w14:solidFill>
          </w14:textFill>
        </w:rPr>
        <w:t>施工扬尘</w:t>
      </w:r>
    </w:p>
    <w:p w14:paraId="6B889402">
      <w:pPr>
        <w:pStyle w:val="12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扬尘主要来自施工场地的清理、平整，施工建筑材料、设备及管线的装卸、运输、堆放以及施工车辆运输，</w:t>
      </w:r>
      <w:r>
        <w:rPr>
          <w:rFonts w:hint="eastAsia" w:cs="宋体"/>
          <w:color w:val="000000" w:themeColor="text1"/>
          <w14:textFill>
            <w14:solidFill>
              <w14:schemeClr w14:val="tx1"/>
            </w14:solidFill>
          </w14:textFill>
        </w:rPr>
        <w:t>污染物主要为TSP。</w:t>
      </w:r>
    </w:p>
    <w:p w14:paraId="71A2F235">
      <w:pPr>
        <w:pStyle w:val="120"/>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hint="eastAsia"/>
          <w:snapToGrid w:val="0"/>
          <w:color w:val="000000" w:themeColor="text1"/>
          <w14:textFill>
            <w14:solidFill>
              <w14:schemeClr w14:val="tx1"/>
            </w14:solidFill>
          </w14:textFill>
        </w:rPr>
        <w:t>施工机械及施工车辆尾气</w:t>
      </w:r>
    </w:p>
    <w:p w14:paraId="1332C13C">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施工期各类</w:t>
      </w:r>
      <w:r>
        <w:rPr>
          <w:rFonts w:hint="eastAsia"/>
          <w:color w:val="000000" w:themeColor="text1"/>
          <w14:textFill>
            <w14:solidFill>
              <w14:schemeClr w14:val="tx1"/>
            </w14:solidFill>
          </w14:textFill>
        </w:rPr>
        <w:t>机械</w:t>
      </w:r>
      <w:r>
        <w:rPr>
          <w:color w:val="000000" w:themeColor="text1"/>
          <w14:textFill>
            <w14:solidFill>
              <w14:schemeClr w14:val="tx1"/>
            </w14:solidFill>
          </w14:textFill>
        </w:rPr>
        <w:t>及运输车辆较多，</w:t>
      </w:r>
      <w:r>
        <w:rPr>
          <w:rFonts w:hint="eastAsia"/>
          <w:color w:val="000000" w:themeColor="text1"/>
          <w14:textFill>
            <w14:solidFill>
              <w14:schemeClr w14:val="tx1"/>
            </w14:solidFill>
          </w14:textFill>
        </w:rPr>
        <w:t>车辆</w:t>
      </w:r>
      <w:r>
        <w:rPr>
          <w:color w:val="000000" w:themeColor="text1"/>
          <w14:textFill>
            <w14:solidFill>
              <w14:schemeClr w14:val="tx1"/>
            </w14:solidFill>
          </w14:textFill>
        </w:rPr>
        <w:t>排放的尾气会对大气环境造成一定污染</w:t>
      </w:r>
      <w:r>
        <w:rPr>
          <w:rFonts w:hint="eastAsia"/>
          <w:color w:val="000000" w:themeColor="text1"/>
          <w14:textFill>
            <w14:solidFill>
              <w14:schemeClr w14:val="tx1"/>
            </w14:solidFill>
          </w14:textFill>
        </w:rPr>
        <w:t>。</w:t>
      </w:r>
    </w:p>
    <w:p w14:paraId="1D2BD684">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④柴油卸车及储存无组织废气</w:t>
      </w:r>
    </w:p>
    <w:p w14:paraId="35D156E0">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单井井场设1座柴油罐，为固定顶罐，外购柴油由罐车拉运至井场后暂存于储罐内，最大贮存量约20t。柴油卸车及临时贮存时会产生一定的无组织挥发性废气，由于柴油周转量较小，真实蒸气压较低，挥发性低，由柴油卸车及储罐临时储存产生的挥发性废气量较小。</w:t>
      </w:r>
    </w:p>
    <w:p w14:paraId="3AFEAFCF">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⑤水基钻井岩屑暂存扬尘</w:t>
      </w:r>
    </w:p>
    <w:p w14:paraId="57AB6945">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水基钻井岩屑暂存于岩屑罐中，暂存过程中会产生少量的扬尘。</w:t>
      </w:r>
    </w:p>
    <w:p w14:paraId="65F26A6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⑥管线焊接废气</w:t>
      </w:r>
    </w:p>
    <w:p w14:paraId="1FEA138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无缝钢管管道组对连接过程中将产生一定量的焊接烟尘，对周围大气环境产生一定的影响。但由于施工期短暂，区域大气环境扩散条件好，管线焊接废气对环境空气质量影响不大。</w:t>
      </w:r>
    </w:p>
    <w:p w14:paraId="71FB9E12">
      <w:pPr>
        <w:pStyle w:val="120"/>
        <w:rPr>
          <w:rFonts w:hint="eastAsia"/>
          <w:color w:val="000000" w:themeColor="text1"/>
          <w:lang w:val="en-US"/>
          <w14:textFill>
            <w14:solidFill>
              <w14:schemeClr w14:val="tx1"/>
            </w14:solidFill>
          </w14:textFill>
        </w:rPr>
      </w:pPr>
      <w:r>
        <w:rPr>
          <w:rFonts w:hint="eastAsia"/>
          <w:color w:val="000000" w:themeColor="text1"/>
          <w14:textFill>
            <w14:solidFill>
              <w14:schemeClr w14:val="tx1"/>
            </w14:solidFill>
          </w14:textFill>
        </w:rPr>
        <w:t>⑦</w:t>
      </w:r>
      <w:r>
        <w:rPr>
          <w:color w:val="000000" w:themeColor="text1"/>
          <w:lang w:val="en-US"/>
          <w14:textFill>
            <w14:solidFill>
              <w14:schemeClr w14:val="tx1"/>
            </w14:solidFill>
          </w14:textFill>
        </w:rPr>
        <w:t>储层改造过程中的无组织废气</w:t>
      </w:r>
    </w:p>
    <w:p w14:paraId="5CEC00B0">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储层改造过程中射孔作业对套管和井壁进行射孔，建立地层与井筒之间的通道，射孔作业完成后油藏中油气通过井筒返至地面，以无组织形式逸散至大气环境中，对周围大气环境产生一定的影响。</w:t>
      </w:r>
    </w:p>
    <w:p w14:paraId="64E34C5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（2）废水</w:t>
      </w:r>
    </w:p>
    <w:p w14:paraId="7EF538E3">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废水主要为管道试压废水、混凝土养护废水和储层改造产生的压裂返排液。</w:t>
      </w:r>
    </w:p>
    <w:p w14:paraId="20946A02">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①管道试压废水和混凝土养护废水</w:t>
      </w:r>
    </w:p>
    <w:p w14:paraId="78B386D8">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管道试压采用清水试压，从附近村庄拉运至施工区，用水量约为17</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；试压完毕后产生少量的试压废水，主要污染物为悬浮物，浓度在</w:t>
      </w:r>
      <w:r>
        <w:rPr>
          <w:color w:val="000000" w:themeColor="text1"/>
          <w14:textFill>
            <w14:solidFill>
              <w14:schemeClr w14:val="tx1"/>
            </w14:solidFill>
          </w14:textFill>
        </w:rPr>
        <w:t>40～60mg/L，产生的废水用于施工区域内的洒水降尘。</w:t>
      </w:r>
      <w:r>
        <w:rPr>
          <w:rFonts w:hint="eastAsia"/>
          <w:color w:val="000000" w:themeColor="text1"/>
          <w14:textFill>
            <w14:solidFill>
              <w14:schemeClr w14:val="tx1"/>
            </w14:solidFill>
          </w14:textFill>
        </w:rPr>
        <w:t>混凝土养护过程中会产生少量的混凝土养护废水，自然蒸发处理。</w:t>
      </w:r>
    </w:p>
    <w:p w14:paraId="1A490E8C">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②压裂返排液</w:t>
      </w:r>
    </w:p>
    <w:p w14:paraId="7FBFD0EB">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储层改造过程中会产生一定的压裂返排液，中</w:t>
      </w:r>
      <w:r>
        <w:rPr>
          <w:color w:val="000000" w:themeColor="text1"/>
          <w14:textFill>
            <w14:solidFill>
              <w14:schemeClr w14:val="tx1"/>
            </w14:solidFill>
          </w14:textFill>
        </w:rPr>
        <w:t>渗透油井单井加砂压裂过程压裂返排液产生量为</w:t>
      </w:r>
      <w:r>
        <w:rPr>
          <w:rFonts w:hint="eastAsia"/>
          <w:color w:val="000000" w:themeColor="text1"/>
          <w14:textFill>
            <w14:solidFill>
              <w14:schemeClr w14:val="tx1"/>
            </w14:solidFill>
          </w14:textFill>
        </w:rPr>
        <w:t>36000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/井，本项目单井采油前实施压裂一次，压裂液全部返回地面，则压裂返排液产生量为</w:t>
      </w:r>
      <w:r>
        <w:rPr>
          <w:rFonts w:hint="eastAsia"/>
          <w:color w:val="000000" w:themeColor="text1"/>
          <w14:textFill>
            <w14:solidFill>
              <w14:schemeClr w14:val="tx1"/>
            </w14:solidFill>
          </w14:textFill>
        </w:rPr>
        <w:t>237.6×10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压裂返排液排至收集罐中，集中收集后送至吉祥联合站采出水处理系统处理后回注油藏，不外排。</w:t>
      </w:r>
    </w:p>
    <w:p w14:paraId="7CBED32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③生活污水</w:t>
      </w:r>
    </w:p>
    <w:p w14:paraId="3FB8B02E">
      <w:pPr>
        <w:pStyle w:val="120"/>
        <w:rPr>
          <w:rFonts w:hint="default" w:eastAsia="宋体"/>
          <w:color w:val="000000" w:themeColor="text1"/>
          <w:lang w:val="en-US" w:eastAsia="zh-CN"/>
          <w14:textFill>
            <w14:solidFill>
              <w14:schemeClr w14:val="tx1"/>
            </w14:solidFill>
          </w14:textFill>
        </w:rPr>
      </w:pPr>
      <w:r>
        <w:rPr>
          <w:rFonts w:hint="eastAsia"/>
          <w:snapToGrid w:val="0"/>
          <w:color w:val="000000" w:themeColor="text1"/>
          <w14:textFill>
            <w14:solidFill>
              <w14:schemeClr w14:val="tx1"/>
            </w14:solidFill>
          </w14:textFill>
        </w:rPr>
        <w:t>本项目不新建生活营地，钻井期施工人员住宿租赁</w:t>
      </w:r>
      <w:r>
        <w:rPr>
          <w:rFonts w:hint="eastAsia"/>
          <w:snapToGrid w:val="0"/>
          <w:color w:val="000000" w:themeColor="text1"/>
          <w:lang w:eastAsia="zh-CN"/>
          <w14:textFill>
            <w14:solidFill>
              <w14:schemeClr w14:val="tx1"/>
            </w14:solidFill>
          </w14:textFill>
        </w:rPr>
        <w:t>吉木萨尔县金宗石油工程技术服务有限责任公司</w:t>
      </w:r>
      <w:r>
        <w:rPr>
          <w:rFonts w:hint="eastAsia"/>
          <w:snapToGrid w:val="0"/>
          <w:color w:val="000000" w:themeColor="text1"/>
          <w14:textFill>
            <w14:solidFill>
              <w14:schemeClr w14:val="tx1"/>
            </w14:solidFill>
          </w14:textFill>
        </w:rPr>
        <w:t>的员工宿舍</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施工区不产生生活污水。</w:t>
      </w:r>
    </w:p>
    <w:p w14:paraId="2B4BA32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（3）噪声</w:t>
      </w:r>
    </w:p>
    <w:p w14:paraId="0FBF3C8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噪声源主要为施工机械及施工车辆噪声，噪声级在</w:t>
      </w:r>
      <w:r>
        <w:rPr>
          <w:color w:val="000000" w:themeColor="text1"/>
          <w14:textFill>
            <w14:solidFill>
              <w14:schemeClr w14:val="tx1"/>
            </w14:solidFill>
          </w14:textFill>
        </w:rPr>
        <w:t>60</w:t>
      </w:r>
      <w:r>
        <w:rPr>
          <w:rFonts w:hint="eastAsia"/>
          <w:color w:val="000000" w:themeColor="text1"/>
          <w14:textFill>
            <w14:solidFill>
              <w14:schemeClr w14:val="tx1"/>
            </w14:solidFill>
          </w14:textFill>
        </w:rPr>
        <w:t>dB（A）～1</w:t>
      </w:r>
      <w:r>
        <w:rPr>
          <w:color w:val="000000" w:themeColor="text1"/>
          <w14:textFill>
            <w14:solidFill>
              <w14:schemeClr w14:val="tx1"/>
            </w14:solidFill>
          </w14:textFill>
        </w:rPr>
        <w:t>05</w:t>
      </w:r>
      <w:r>
        <w:rPr>
          <w:rFonts w:hint="eastAsia"/>
          <w:color w:val="000000" w:themeColor="text1"/>
          <w14:textFill>
            <w14:solidFill>
              <w14:schemeClr w14:val="tx1"/>
            </w14:solidFill>
          </w14:textFill>
        </w:rPr>
        <w:t>dB（A）之间。各噪声源噪声排放情况见表</w:t>
      </w:r>
      <w:r>
        <w:rPr>
          <w:color w:val="000000" w:themeColor="text1"/>
          <w14:textFill>
            <w14:solidFill>
              <w14:schemeClr w14:val="tx1"/>
            </w14:solidFill>
          </w14:textFill>
        </w:rPr>
        <w:t>3.3-1</w:t>
      </w:r>
      <w:r>
        <w:rPr>
          <w:rFonts w:hint="eastAsia"/>
          <w:color w:val="000000" w:themeColor="text1"/>
          <w14:textFill>
            <w14:solidFill>
              <w14:schemeClr w14:val="tx1"/>
            </w14:solidFill>
          </w14:textFill>
        </w:rPr>
        <w:t>。</w:t>
      </w:r>
    </w:p>
    <w:p w14:paraId="3682D333">
      <w:pPr>
        <w:pStyle w:val="112"/>
        <w:rPr>
          <w:rFonts w:hint="eastAsia"/>
          <w:color w:val="000000" w:themeColor="text1"/>
          <w14:textFill>
            <w14:solidFill>
              <w14:schemeClr w14:val="tx1"/>
            </w14:solidFill>
          </w14:textFill>
        </w:rPr>
      </w:pPr>
      <w:r>
        <w:rPr>
          <w:color w:val="000000" w:themeColor="text1"/>
          <w14:textFill>
            <w14:solidFill>
              <w14:schemeClr w14:val="tx1"/>
            </w14:solidFill>
          </w14:textFill>
        </w:rPr>
        <w:t>表3.3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施工期噪声排放情况一览表</w:t>
      </w:r>
    </w:p>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16"/>
        <w:gridCol w:w="723"/>
        <w:gridCol w:w="1397"/>
        <w:gridCol w:w="1756"/>
        <w:gridCol w:w="1474"/>
        <w:gridCol w:w="1194"/>
        <w:gridCol w:w="1470"/>
      </w:tblGrid>
      <w:tr w14:paraId="20E530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Align w:val="center"/>
          </w:tcPr>
          <w:p w14:paraId="53ED2D88">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bookmarkStart w:id="280" w:name="_Hlk207389014"/>
            <w:bookmarkStart w:id="281" w:name="_Hlk207389012"/>
            <w:bookmarkStart w:id="282" w:name="_Hlk175250100"/>
            <w:bookmarkStart w:id="283" w:name="_Hlk40734687"/>
            <w:bookmarkStart w:id="284" w:name="_Hlk111760850"/>
            <w:r>
              <w:rPr>
                <w:rFonts w:hint="eastAsia" w:ascii="宋体" w:hAnsi="宋体" w:eastAsia="宋体"/>
                <w:color w:val="000000" w:themeColor="text1"/>
                <w:szCs w:val="21"/>
                <w14:textFill>
                  <w14:solidFill>
                    <w14:schemeClr w14:val="tx1"/>
                  </w14:solidFill>
                </w14:textFill>
              </w:rPr>
              <w:t>序号</w:t>
            </w:r>
          </w:p>
        </w:tc>
        <w:tc>
          <w:tcPr>
            <w:tcW w:w="414" w:type="pct"/>
            <w:vAlign w:val="center"/>
          </w:tcPr>
          <w:p w14:paraId="4CF8AAB9">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项目</w:t>
            </w:r>
          </w:p>
        </w:tc>
        <w:tc>
          <w:tcPr>
            <w:tcW w:w="800" w:type="pct"/>
            <w:vAlign w:val="center"/>
          </w:tcPr>
          <w:p w14:paraId="7ABA5FC2">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设备名称</w:t>
            </w:r>
          </w:p>
        </w:tc>
        <w:tc>
          <w:tcPr>
            <w:tcW w:w="1006" w:type="pct"/>
            <w:vAlign w:val="center"/>
          </w:tcPr>
          <w:p w14:paraId="5AF88C89">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声压级[dB（A）]</w:t>
            </w:r>
          </w:p>
        </w:tc>
        <w:tc>
          <w:tcPr>
            <w:tcW w:w="844" w:type="pct"/>
            <w:vAlign w:val="center"/>
          </w:tcPr>
          <w:p w14:paraId="0C3455BD">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排放规律</w:t>
            </w:r>
          </w:p>
        </w:tc>
        <w:tc>
          <w:tcPr>
            <w:tcW w:w="684" w:type="pct"/>
            <w:vAlign w:val="center"/>
          </w:tcPr>
          <w:p w14:paraId="4EC9F1B3">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噪声特性</w:t>
            </w:r>
          </w:p>
        </w:tc>
        <w:tc>
          <w:tcPr>
            <w:tcW w:w="842" w:type="pct"/>
            <w:vAlign w:val="center"/>
          </w:tcPr>
          <w:p w14:paraId="344A4927">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降噪措施</w:t>
            </w:r>
          </w:p>
        </w:tc>
      </w:tr>
      <w:bookmarkEnd w:id="280"/>
      <w:tr w14:paraId="3381F7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restart"/>
            <w:vAlign w:val="center"/>
          </w:tcPr>
          <w:p w14:paraId="139343E0">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bookmarkStart w:id="285" w:name="_Hlk207389007"/>
            <w:r>
              <w:rPr>
                <w:rFonts w:hint="eastAsia" w:ascii="宋体" w:hAnsi="宋体" w:eastAsia="宋体"/>
                <w:color w:val="000000" w:themeColor="text1"/>
                <w:szCs w:val="21"/>
                <w14:textFill>
                  <w14:solidFill>
                    <w14:schemeClr w14:val="tx1"/>
                  </w14:solidFill>
                </w14:textFill>
              </w:rPr>
              <w:t>1</w:t>
            </w:r>
          </w:p>
        </w:tc>
        <w:tc>
          <w:tcPr>
            <w:tcW w:w="414" w:type="pct"/>
            <w:vMerge w:val="restart"/>
            <w:vAlign w:val="center"/>
          </w:tcPr>
          <w:p w14:paraId="139FB64E">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钻井</w:t>
            </w:r>
          </w:p>
        </w:tc>
        <w:tc>
          <w:tcPr>
            <w:tcW w:w="800" w:type="pct"/>
            <w:vAlign w:val="center"/>
          </w:tcPr>
          <w:p w14:paraId="71217E36">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钻机</w:t>
            </w:r>
          </w:p>
        </w:tc>
        <w:tc>
          <w:tcPr>
            <w:tcW w:w="1006" w:type="pct"/>
            <w:vAlign w:val="center"/>
          </w:tcPr>
          <w:p w14:paraId="2CF3E072">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95</w:t>
            </w:r>
          </w:p>
        </w:tc>
        <w:tc>
          <w:tcPr>
            <w:tcW w:w="844" w:type="pct"/>
            <w:vAlign w:val="center"/>
          </w:tcPr>
          <w:p w14:paraId="22F62E96">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5965FAAC">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restart"/>
            <w:vAlign w:val="center"/>
          </w:tcPr>
          <w:p w14:paraId="384E6B95">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设备选型上要求采用低噪声的设备，施工设备要经常检查维修，对噪声较大的设备采取基础减振措施</w:t>
            </w:r>
          </w:p>
        </w:tc>
      </w:tr>
      <w:tr w14:paraId="361EF6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1BFF5CE2">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2E9B1CF9">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0FB35241">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柴油发电机</w:t>
            </w:r>
          </w:p>
        </w:tc>
        <w:tc>
          <w:tcPr>
            <w:tcW w:w="1006" w:type="pct"/>
            <w:vAlign w:val="center"/>
          </w:tcPr>
          <w:p w14:paraId="6D673A43">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100</w:t>
            </w:r>
          </w:p>
        </w:tc>
        <w:tc>
          <w:tcPr>
            <w:tcW w:w="844" w:type="pct"/>
            <w:vAlign w:val="center"/>
          </w:tcPr>
          <w:p w14:paraId="2C331474">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3EA46036">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430BC8B1">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r>
      <w:bookmarkEnd w:id="285"/>
      <w:tr w14:paraId="41219E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5CDBFD87">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7E9A1328">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77DDF40B">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钻井液泵</w:t>
            </w:r>
          </w:p>
        </w:tc>
        <w:tc>
          <w:tcPr>
            <w:tcW w:w="1006" w:type="pct"/>
            <w:vAlign w:val="center"/>
          </w:tcPr>
          <w:p w14:paraId="18E8366C">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85</w:t>
            </w:r>
          </w:p>
        </w:tc>
        <w:tc>
          <w:tcPr>
            <w:tcW w:w="844" w:type="pct"/>
            <w:vAlign w:val="center"/>
          </w:tcPr>
          <w:p w14:paraId="1F7C7A6B">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057122A8">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604B3AF4">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r>
      <w:tr w14:paraId="0BD3E1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41BBF24A">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624AD15B">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6B4E6D0B">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振动筛</w:t>
            </w:r>
          </w:p>
        </w:tc>
        <w:tc>
          <w:tcPr>
            <w:tcW w:w="1006" w:type="pct"/>
            <w:vAlign w:val="center"/>
          </w:tcPr>
          <w:p w14:paraId="3ABA28CC">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80</w:t>
            </w:r>
          </w:p>
        </w:tc>
        <w:tc>
          <w:tcPr>
            <w:tcW w:w="844" w:type="pct"/>
            <w:vAlign w:val="center"/>
          </w:tcPr>
          <w:p w14:paraId="12BBDFDF">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4C88259C">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1E17A2F9">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r>
      <w:tr w14:paraId="2823A4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5A6BC631">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739F360A">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3DE92195">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除砂器</w:t>
            </w:r>
          </w:p>
        </w:tc>
        <w:tc>
          <w:tcPr>
            <w:tcW w:w="1006" w:type="pct"/>
            <w:vAlign w:val="center"/>
          </w:tcPr>
          <w:p w14:paraId="33BA2606">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80</w:t>
            </w:r>
          </w:p>
        </w:tc>
        <w:tc>
          <w:tcPr>
            <w:tcW w:w="844" w:type="pct"/>
            <w:vAlign w:val="center"/>
          </w:tcPr>
          <w:p w14:paraId="0751864E">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5D9A14CF">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7B1D250F">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r>
      <w:tr w14:paraId="2E529E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7A769CD8">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336C1024">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53B410B7">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除泥器</w:t>
            </w:r>
          </w:p>
        </w:tc>
        <w:tc>
          <w:tcPr>
            <w:tcW w:w="1006" w:type="pct"/>
            <w:vAlign w:val="center"/>
          </w:tcPr>
          <w:p w14:paraId="3DF21BF1">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80</w:t>
            </w:r>
          </w:p>
        </w:tc>
        <w:tc>
          <w:tcPr>
            <w:tcW w:w="844" w:type="pct"/>
            <w:vAlign w:val="center"/>
          </w:tcPr>
          <w:p w14:paraId="0C26AFC4">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4331A30E">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62493A68">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r>
      <w:tr w14:paraId="666E48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restart"/>
            <w:vAlign w:val="center"/>
          </w:tcPr>
          <w:p w14:paraId="329070E7">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bookmarkStart w:id="286" w:name="_Hlk207388985"/>
            <w:r>
              <w:rPr>
                <w:rFonts w:hint="eastAsia" w:ascii="宋体" w:hAnsi="宋体" w:eastAsia="宋体"/>
                <w:color w:val="000000" w:themeColor="text1"/>
                <w:szCs w:val="21"/>
                <w14:textFill>
                  <w14:solidFill>
                    <w14:schemeClr w14:val="tx1"/>
                  </w14:solidFill>
                </w14:textFill>
              </w:rPr>
              <w:t>2</w:t>
            </w:r>
          </w:p>
        </w:tc>
        <w:tc>
          <w:tcPr>
            <w:tcW w:w="414" w:type="pct"/>
            <w:vMerge w:val="restart"/>
            <w:vAlign w:val="center"/>
          </w:tcPr>
          <w:p w14:paraId="6A4821D6">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压裂</w:t>
            </w:r>
          </w:p>
        </w:tc>
        <w:tc>
          <w:tcPr>
            <w:tcW w:w="800" w:type="pct"/>
            <w:vAlign w:val="center"/>
          </w:tcPr>
          <w:p w14:paraId="6C46F95D">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压裂泵车</w:t>
            </w:r>
          </w:p>
        </w:tc>
        <w:tc>
          <w:tcPr>
            <w:tcW w:w="1006" w:type="pct"/>
            <w:vAlign w:val="center"/>
          </w:tcPr>
          <w:p w14:paraId="79D950D4">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100</w:t>
            </w:r>
          </w:p>
        </w:tc>
        <w:tc>
          <w:tcPr>
            <w:tcW w:w="844" w:type="pct"/>
            <w:vAlign w:val="center"/>
          </w:tcPr>
          <w:p w14:paraId="20FED286">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6ADF1BBE">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restart"/>
            <w:vAlign w:val="center"/>
          </w:tcPr>
          <w:p w14:paraId="0C3849A7">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加强保养维修</w:t>
            </w:r>
          </w:p>
        </w:tc>
      </w:tr>
      <w:bookmarkEnd w:id="281"/>
      <w:tr w14:paraId="1A8401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2FDDB014">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bookmarkStart w:id="287" w:name="_Hlk207389019"/>
          </w:p>
        </w:tc>
        <w:tc>
          <w:tcPr>
            <w:tcW w:w="414" w:type="pct"/>
            <w:vMerge w:val="continue"/>
            <w:vAlign w:val="center"/>
          </w:tcPr>
          <w:p w14:paraId="66B8BC5D">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581F3877">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混砂车</w:t>
            </w:r>
          </w:p>
        </w:tc>
        <w:tc>
          <w:tcPr>
            <w:tcW w:w="1006" w:type="pct"/>
            <w:vAlign w:val="center"/>
          </w:tcPr>
          <w:p w14:paraId="40C610A9">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85</w:t>
            </w:r>
          </w:p>
        </w:tc>
        <w:tc>
          <w:tcPr>
            <w:tcW w:w="844" w:type="pct"/>
            <w:vAlign w:val="center"/>
          </w:tcPr>
          <w:p w14:paraId="0979FEA9">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282B5603">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218F88E8">
            <w:pPr>
              <w:pStyle w:val="112"/>
              <w:adjustRightInd w:val="0"/>
              <w:snapToGrid w:val="0"/>
              <w:spacing w:line="300" w:lineRule="exact"/>
              <w:contextualSpacing/>
              <w:rPr>
                <w:rFonts w:hint="eastAsia" w:ascii="宋体" w:hAnsi="宋体" w:eastAsia="宋体"/>
                <w:color w:val="000000" w:themeColor="text1"/>
                <w:szCs w:val="21"/>
                <w14:textFill>
                  <w14:solidFill>
                    <w14:schemeClr w14:val="tx1"/>
                  </w14:solidFill>
                </w14:textFill>
              </w:rPr>
            </w:pPr>
          </w:p>
        </w:tc>
      </w:tr>
      <w:tr w14:paraId="2C40C9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553F2CB1">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73A26CC5">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3933C60A">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仪表车</w:t>
            </w:r>
          </w:p>
        </w:tc>
        <w:tc>
          <w:tcPr>
            <w:tcW w:w="1006" w:type="pct"/>
            <w:vAlign w:val="center"/>
          </w:tcPr>
          <w:p w14:paraId="12414CDF">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80</w:t>
            </w:r>
          </w:p>
        </w:tc>
        <w:tc>
          <w:tcPr>
            <w:tcW w:w="844" w:type="pct"/>
            <w:vAlign w:val="center"/>
          </w:tcPr>
          <w:p w14:paraId="6E2EB551">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10EEC802">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337BB7A3">
            <w:pPr>
              <w:pStyle w:val="112"/>
              <w:adjustRightInd w:val="0"/>
              <w:snapToGrid w:val="0"/>
              <w:spacing w:line="300" w:lineRule="exact"/>
              <w:contextualSpacing/>
              <w:rPr>
                <w:rFonts w:hint="eastAsia" w:ascii="宋体" w:hAnsi="宋体" w:eastAsia="宋体"/>
                <w:color w:val="000000" w:themeColor="text1"/>
                <w:szCs w:val="21"/>
                <w14:textFill>
                  <w14:solidFill>
                    <w14:schemeClr w14:val="tx1"/>
                  </w14:solidFill>
                </w14:textFill>
              </w:rPr>
            </w:pPr>
          </w:p>
        </w:tc>
      </w:tr>
      <w:tr w14:paraId="0D78E0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4C8F372E">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2D44AE63">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3EE2DB2A">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管汇车</w:t>
            </w:r>
          </w:p>
        </w:tc>
        <w:tc>
          <w:tcPr>
            <w:tcW w:w="1006" w:type="pct"/>
            <w:vAlign w:val="center"/>
          </w:tcPr>
          <w:p w14:paraId="1FFEB3E0">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80</w:t>
            </w:r>
          </w:p>
        </w:tc>
        <w:tc>
          <w:tcPr>
            <w:tcW w:w="844" w:type="pct"/>
            <w:vAlign w:val="center"/>
          </w:tcPr>
          <w:p w14:paraId="09475525">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109A2BD5">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0590577C">
            <w:pPr>
              <w:pStyle w:val="112"/>
              <w:adjustRightInd w:val="0"/>
              <w:snapToGrid w:val="0"/>
              <w:spacing w:line="300" w:lineRule="exact"/>
              <w:contextualSpacing/>
              <w:rPr>
                <w:rFonts w:hint="eastAsia" w:ascii="宋体" w:hAnsi="宋体" w:eastAsia="宋体"/>
                <w:color w:val="000000" w:themeColor="text1"/>
                <w:szCs w:val="21"/>
                <w14:textFill>
                  <w14:solidFill>
                    <w14:schemeClr w14:val="tx1"/>
                  </w14:solidFill>
                </w14:textFill>
              </w:rPr>
            </w:pPr>
          </w:p>
        </w:tc>
      </w:tr>
      <w:tr w14:paraId="525F41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7136436D">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49C5AE39">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3FB9A3D6">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提液泵</w:t>
            </w:r>
          </w:p>
        </w:tc>
        <w:tc>
          <w:tcPr>
            <w:tcW w:w="1006" w:type="pct"/>
            <w:vAlign w:val="center"/>
          </w:tcPr>
          <w:p w14:paraId="4FCF2E7F">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80</w:t>
            </w:r>
          </w:p>
        </w:tc>
        <w:tc>
          <w:tcPr>
            <w:tcW w:w="844" w:type="pct"/>
            <w:vAlign w:val="center"/>
          </w:tcPr>
          <w:p w14:paraId="5A378B3D">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1FE5797B">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417220C0">
            <w:pPr>
              <w:pStyle w:val="112"/>
              <w:adjustRightInd w:val="0"/>
              <w:snapToGrid w:val="0"/>
              <w:spacing w:line="300" w:lineRule="exact"/>
              <w:contextualSpacing/>
              <w:rPr>
                <w:rFonts w:hint="eastAsia" w:ascii="宋体" w:hAnsi="宋体" w:eastAsia="宋体"/>
                <w:color w:val="000000" w:themeColor="text1"/>
                <w:szCs w:val="21"/>
                <w14:textFill>
                  <w14:solidFill>
                    <w14:schemeClr w14:val="tx1"/>
                  </w14:solidFill>
                </w14:textFill>
              </w:rPr>
            </w:pPr>
          </w:p>
        </w:tc>
      </w:tr>
      <w:tr w14:paraId="4CFD44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restart"/>
            <w:vAlign w:val="center"/>
          </w:tcPr>
          <w:p w14:paraId="2B4DF312">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3</w:t>
            </w:r>
          </w:p>
        </w:tc>
        <w:tc>
          <w:tcPr>
            <w:tcW w:w="414" w:type="pct"/>
            <w:vMerge w:val="restart"/>
            <w:vAlign w:val="center"/>
          </w:tcPr>
          <w:p w14:paraId="6872D15A">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地面工程建设</w:t>
            </w:r>
          </w:p>
        </w:tc>
        <w:tc>
          <w:tcPr>
            <w:tcW w:w="800" w:type="pct"/>
            <w:vAlign w:val="center"/>
          </w:tcPr>
          <w:p w14:paraId="17D66568">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挖掘机</w:t>
            </w:r>
          </w:p>
        </w:tc>
        <w:tc>
          <w:tcPr>
            <w:tcW w:w="1006" w:type="pct"/>
            <w:vAlign w:val="center"/>
          </w:tcPr>
          <w:p w14:paraId="16FCF5FD">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92</w:t>
            </w:r>
          </w:p>
        </w:tc>
        <w:tc>
          <w:tcPr>
            <w:tcW w:w="844" w:type="pct"/>
            <w:vAlign w:val="center"/>
          </w:tcPr>
          <w:p w14:paraId="0175AF06">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1AC830EE">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0D09D356">
            <w:pPr>
              <w:pStyle w:val="112"/>
              <w:adjustRightInd w:val="0"/>
              <w:snapToGrid w:val="0"/>
              <w:spacing w:line="300" w:lineRule="exact"/>
              <w:contextualSpacing/>
              <w:rPr>
                <w:rFonts w:hint="eastAsia" w:ascii="宋体" w:hAnsi="宋体" w:eastAsia="宋体"/>
                <w:color w:val="000000" w:themeColor="text1"/>
                <w:szCs w:val="21"/>
                <w14:textFill>
                  <w14:solidFill>
                    <w14:schemeClr w14:val="tx1"/>
                  </w14:solidFill>
                </w14:textFill>
              </w:rPr>
            </w:pPr>
          </w:p>
        </w:tc>
      </w:tr>
      <w:tr w14:paraId="0A93CE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2B287297">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49C0CE24">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04B11944">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推土机</w:t>
            </w:r>
          </w:p>
        </w:tc>
        <w:tc>
          <w:tcPr>
            <w:tcW w:w="1006" w:type="pct"/>
            <w:vAlign w:val="center"/>
          </w:tcPr>
          <w:p w14:paraId="1923058B">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95</w:t>
            </w:r>
          </w:p>
        </w:tc>
        <w:tc>
          <w:tcPr>
            <w:tcW w:w="844" w:type="pct"/>
            <w:vAlign w:val="center"/>
          </w:tcPr>
          <w:p w14:paraId="6F98760B">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46F567F3">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4FA1BB1B">
            <w:pPr>
              <w:pStyle w:val="112"/>
              <w:adjustRightInd w:val="0"/>
              <w:snapToGrid w:val="0"/>
              <w:spacing w:line="300" w:lineRule="exact"/>
              <w:contextualSpacing/>
              <w:rPr>
                <w:rFonts w:hint="eastAsia" w:ascii="宋体" w:hAnsi="宋体" w:eastAsia="宋体"/>
                <w:color w:val="000000" w:themeColor="text1"/>
                <w:szCs w:val="21"/>
                <w14:textFill>
                  <w14:solidFill>
                    <w14:schemeClr w14:val="tx1"/>
                  </w14:solidFill>
                </w14:textFill>
              </w:rPr>
            </w:pPr>
          </w:p>
        </w:tc>
      </w:tr>
      <w:tr w14:paraId="78B8A0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10" w:type="pct"/>
            <w:vMerge w:val="continue"/>
            <w:vAlign w:val="center"/>
          </w:tcPr>
          <w:p w14:paraId="63745FEF">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414" w:type="pct"/>
            <w:vMerge w:val="continue"/>
            <w:vAlign w:val="center"/>
          </w:tcPr>
          <w:p w14:paraId="029137A2">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p>
        </w:tc>
        <w:tc>
          <w:tcPr>
            <w:tcW w:w="800" w:type="pct"/>
            <w:vAlign w:val="center"/>
          </w:tcPr>
          <w:p w14:paraId="180FF33B">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顶管机</w:t>
            </w:r>
          </w:p>
        </w:tc>
        <w:tc>
          <w:tcPr>
            <w:tcW w:w="1006" w:type="pct"/>
            <w:vAlign w:val="center"/>
          </w:tcPr>
          <w:p w14:paraId="36F2ECD0">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90</w:t>
            </w:r>
          </w:p>
        </w:tc>
        <w:tc>
          <w:tcPr>
            <w:tcW w:w="844" w:type="pct"/>
            <w:vAlign w:val="center"/>
          </w:tcPr>
          <w:p w14:paraId="2073B1E5">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间歇</w:t>
            </w:r>
          </w:p>
        </w:tc>
        <w:tc>
          <w:tcPr>
            <w:tcW w:w="684" w:type="pct"/>
            <w:vAlign w:val="center"/>
          </w:tcPr>
          <w:p w14:paraId="117C58DD">
            <w:pPr>
              <w:pStyle w:val="112"/>
              <w:adjustRightInd/>
              <w:snapToGrid/>
              <w:spacing w:line="300" w:lineRule="exact"/>
              <w:contextualSpacing/>
              <w:rPr>
                <w:rFonts w:hint="eastAsia"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机械</w:t>
            </w:r>
          </w:p>
        </w:tc>
        <w:tc>
          <w:tcPr>
            <w:tcW w:w="842" w:type="pct"/>
            <w:vMerge w:val="continue"/>
            <w:vAlign w:val="center"/>
          </w:tcPr>
          <w:p w14:paraId="6A69D260">
            <w:pPr>
              <w:pStyle w:val="112"/>
              <w:adjustRightInd w:val="0"/>
              <w:snapToGrid w:val="0"/>
              <w:spacing w:line="300" w:lineRule="exact"/>
              <w:contextualSpacing/>
              <w:rPr>
                <w:rFonts w:hint="eastAsia" w:ascii="宋体" w:hAnsi="宋体" w:eastAsia="宋体"/>
                <w:color w:val="000000" w:themeColor="text1"/>
                <w:szCs w:val="21"/>
                <w14:textFill>
                  <w14:solidFill>
                    <w14:schemeClr w14:val="tx1"/>
                  </w14:solidFill>
                </w14:textFill>
              </w:rPr>
            </w:pPr>
          </w:p>
        </w:tc>
      </w:tr>
      <w:bookmarkEnd w:id="286"/>
      <w:bookmarkEnd w:id="287"/>
    </w:tbl>
    <w:p w14:paraId="5DF77F6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（4）固体废物</w:t>
      </w:r>
    </w:p>
    <w:p w14:paraId="7ADF8BB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施工产生的土石方全部回填，无弃方产生；固体废物主要为废弃钻井液（水基废弃钻井液）、非磺化水基钻井岩屑、建筑垃圾</w:t>
      </w:r>
      <w:r>
        <w:rPr>
          <w:rFonts w:hint="eastAsia"/>
          <w:color w:val="000000" w:themeColor="text1"/>
          <w:lang w:val="en-US"/>
          <w14:textFill>
            <w14:solidFill>
              <w14:schemeClr w14:val="tx1"/>
            </w14:solidFill>
          </w14:textFill>
        </w:rPr>
        <w:t>、</w:t>
      </w:r>
      <w:r>
        <w:rPr>
          <w:rFonts w:hint="eastAsia"/>
          <w:color w:val="000000" w:themeColor="text1"/>
          <w14:textFill>
            <w14:solidFill>
              <w14:schemeClr w14:val="tx1"/>
            </w14:solidFill>
          </w14:textFill>
        </w:rPr>
        <w:t>废润滑油、废润滑油桶、沾油废防渗材料、焊接废渣和废危化品包装材料。</w:t>
      </w:r>
    </w:p>
    <w:p w14:paraId="6D003B5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①钻井岩屑</w:t>
      </w:r>
    </w:p>
    <w:p w14:paraId="3CF100EC">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过程中，岩石经钻头和钻井液的研磨而破碎成岩屑，随钻井液排出井口，进入钻井液不落地系统进行处理，分离出的液相回用于钻井液配置，钻井结束后由钻井队带至下一个井场继续使用，不外排。分离出固相即为钻井岩屑，进井场岩屑储罐，交由岩屑处置单位处理。岩</w:t>
      </w:r>
      <w:r>
        <w:rPr>
          <w:color w:val="000000" w:themeColor="text1"/>
          <w14:textFill>
            <w14:solidFill>
              <w14:schemeClr w14:val="tx1"/>
            </w14:solidFill>
          </w14:textFill>
        </w:rPr>
        <w:t>屑产生量与井身结构有关，可按下式计算：</w:t>
      </w:r>
    </w:p>
    <w:p w14:paraId="04BD3DDF">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i/>
          <w:color w:val="000000" w:themeColor="text1"/>
          <w14:textFill>
            <w14:solidFill>
              <w14:schemeClr w14:val="tx1"/>
            </w14:solidFill>
          </w14:textFill>
        </w:rPr>
        <w:t>W=1/4×π×D</w:t>
      </w:r>
      <w:r>
        <w:rPr>
          <w:i/>
          <w:color w:val="000000" w:themeColor="text1"/>
          <w:vertAlign w:val="superscript"/>
          <w14:textFill>
            <w14:solidFill>
              <w14:schemeClr w14:val="tx1"/>
            </w14:solidFill>
          </w14:textFill>
        </w:rPr>
        <w:t>2</w:t>
      </w:r>
      <w:r>
        <w:rPr>
          <w:i/>
          <w:color w:val="000000" w:themeColor="text1"/>
          <w14:textFill>
            <w14:solidFill>
              <w14:schemeClr w14:val="tx1"/>
            </w14:solidFill>
          </w14:textFill>
        </w:rPr>
        <w:t>×h×d</w:t>
      </w:r>
    </w:p>
    <w:p w14:paraId="6AFB4935">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式中：</w:t>
      </w:r>
      <w:r>
        <w:rPr>
          <w:i/>
          <w:color w:val="000000" w:themeColor="text1"/>
          <w14:textFill>
            <w14:solidFill>
              <w14:schemeClr w14:val="tx1"/>
            </w14:solidFill>
          </w14:textFill>
        </w:rPr>
        <w:t>W</w:t>
      </w:r>
      <w:r>
        <w:rPr>
          <w:color w:val="000000" w:themeColor="text1"/>
          <w14:textFill>
            <w14:solidFill>
              <w14:schemeClr w14:val="tx1"/>
            </w14:solidFill>
          </w14:textFill>
        </w:rPr>
        <w:t>——产生的岩屑量，</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4534751C">
      <w:pPr>
        <w:pStyle w:val="193"/>
        <w:rPr>
          <w:rFonts w:hint="eastAsia"/>
          <w:color w:val="000000" w:themeColor="text1"/>
          <w14:textFill>
            <w14:solidFill>
              <w14:schemeClr w14:val="tx1"/>
            </w14:solidFill>
          </w14:textFill>
        </w:rPr>
      </w:pPr>
      <w:r>
        <w:rPr>
          <w:rFonts w:hint="eastAsia"/>
          <w:i/>
          <w:color w:val="000000" w:themeColor="text1"/>
          <w14:textFill>
            <w14:solidFill>
              <w14:schemeClr w14:val="tx1"/>
            </w14:solidFill>
          </w14:textFill>
        </w:rPr>
        <w:t xml:space="preserve">      </w:t>
      </w:r>
      <w:r>
        <w:rPr>
          <w:i/>
          <w:color w:val="000000" w:themeColor="text1"/>
          <w14:textFill>
            <w14:solidFill>
              <w14:schemeClr w14:val="tx1"/>
            </w14:solidFill>
          </w14:textFill>
        </w:rPr>
        <w:t>D</w:t>
      </w:r>
      <w:r>
        <w:rPr>
          <w:color w:val="000000" w:themeColor="text1"/>
          <w14:textFill>
            <w14:solidFill>
              <w14:schemeClr w14:val="tx1"/>
            </w14:solidFill>
          </w14:textFill>
        </w:rPr>
        <w:t>——井眼平均井径，m；</w:t>
      </w:r>
    </w:p>
    <w:p w14:paraId="087D7A95">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      </w:t>
      </w:r>
      <w:r>
        <w:rPr>
          <w:i/>
          <w:color w:val="000000" w:themeColor="text1"/>
          <w14:textFill>
            <w14:solidFill>
              <w14:schemeClr w14:val="tx1"/>
            </w14:solidFill>
          </w14:textFill>
        </w:rPr>
        <w:t>h</w:t>
      </w:r>
      <w:r>
        <w:rPr>
          <w:color w:val="000000" w:themeColor="text1"/>
          <w14:textFill>
            <w14:solidFill>
              <w14:schemeClr w14:val="tx1"/>
            </w14:solidFill>
          </w14:textFill>
        </w:rPr>
        <w:t>——裸眼长度，m；</w:t>
      </w:r>
    </w:p>
    <w:p w14:paraId="50D45D93">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d——岩屑</w:t>
      </w:r>
      <w:r>
        <w:rPr>
          <w:rFonts w:hint="eastAsia"/>
          <w:color w:val="000000" w:themeColor="text1"/>
          <w14:textFill>
            <w14:solidFill>
              <w14:schemeClr w14:val="tx1"/>
            </w14:solidFill>
          </w14:textFill>
        </w:rPr>
        <w:t>膨胀系数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使用水基钻井液体系时取P=2.2；油基钻井液体系取P=4，岩屑密度2.5g/cm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7E16BA1F">
      <w:pPr>
        <w:pStyle w:val="193"/>
        <w:rPr>
          <w:rFonts w:hint="eastAsia" w:ascii="黑体" w:hAnsi="黑体" w:eastAsia="黑体" w:cs="黑体"/>
          <w:color w:val="000000" w:themeColor="text1"/>
          <w:szCs w:val="21"/>
          <w14:textFill>
            <w14:solidFill>
              <w14:schemeClr w14:val="tx1"/>
            </w14:solidFill>
          </w14:textFill>
        </w:rPr>
      </w:pPr>
      <w:r>
        <w:rPr>
          <w:rFonts w:hint="eastAsia"/>
          <w:color w:val="000000" w:themeColor="text1"/>
          <w14:textFill>
            <w14:solidFill>
              <w14:schemeClr w14:val="tx1"/>
            </w14:solidFill>
          </w14:textFill>
        </w:rPr>
        <w:t>本项目钻井总进尺为14411m，平均井深为</w:t>
      </w:r>
      <w:r>
        <w:rPr>
          <w:color w:val="000000" w:themeColor="text1"/>
          <w14:textFill>
            <w14:solidFill>
              <w14:schemeClr w14:val="tx1"/>
            </w14:solidFill>
          </w14:textFill>
        </w:rPr>
        <w:t>1801.375</w:t>
      </w:r>
      <w:r>
        <w:rPr>
          <w:rFonts w:hint="eastAsia"/>
          <w:color w:val="000000" w:themeColor="text1"/>
          <w14:textFill>
            <w14:solidFill>
              <w14:schemeClr w14:val="tx1"/>
            </w14:solidFill>
          </w14:textFill>
        </w:rPr>
        <w:t>m，根据井身结构计算钻井期岩屑产生量见表3.3-2。</w:t>
      </w:r>
    </w:p>
    <w:p w14:paraId="48EF42C7">
      <w:pPr>
        <w:pStyle w:val="5"/>
        <w:spacing w:after="0" w:line="500" w:lineRule="exact"/>
        <w:jc w:val="center"/>
        <w:rPr>
          <w:rFonts w:hint="eastAsia" w:ascii="黑体" w:hAnsi="黑体" w:eastAsia="黑体" w:cs="黑体"/>
          <w:color w:val="000000" w:themeColor="text1"/>
          <w:szCs w:val="21"/>
          <w14:textFill>
            <w14:solidFill>
              <w14:schemeClr w14:val="tx1"/>
            </w14:solidFill>
          </w14:textFill>
        </w:rPr>
      </w:pPr>
      <w:r>
        <w:rPr>
          <w:rFonts w:hint="eastAsia" w:ascii="黑体" w:hAnsi="黑体" w:eastAsia="黑体" w:cs="黑体"/>
          <w:color w:val="000000" w:themeColor="text1"/>
          <w:szCs w:val="21"/>
          <w14:textFill>
            <w14:solidFill>
              <w14:schemeClr w14:val="tx1"/>
            </w14:solidFill>
          </w14:textFill>
        </w:rPr>
        <w:t>表3.3-2    钻井岩屑产生情况表</w:t>
      </w:r>
    </w:p>
    <w:tbl>
      <w:tblPr>
        <w:tblStyle w:val="4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4"/>
        <w:gridCol w:w="2306"/>
        <w:gridCol w:w="1147"/>
        <w:gridCol w:w="1688"/>
        <w:gridCol w:w="1274"/>
        <w:gridCol w:w="1498"/>
      </w:tblGrid>
      <w:tr w14:paraId="31E243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340" w:hRule="atLeast"/>
          <w:jc w:val="center"/>
        </w:trPr>
        <w:tc>
          <w:tcPr>
            <w:tcW w:w="466" w:type="pct"/>
            <w:vAlign w:val="center"/>
          </w:tcPr>
          <w:p w14:paraId="1DE1AE8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井段</w:t>
            </w:r>
          </w:p>
        </w:tc>
        <w:tc>
          <w:tcPr>
            <w:tcW w:w="1321" w:type="pct"/>
            <w:vAlign w:val="center"/>
          </w:tcPr>
          <w:p w14:paraId="75F1298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钻井液体系</w:t>
            </w:r>
          </w:p>
        </w:tc>
        <w:tc>
          <w:tcPr>
            <w:tcW w:w="657" w:type="pct"/>
            <w:vAlign w:val="center"/>
          </w:tcPr>
          <w:p w14:paraId="3FD36B5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钻头尺寸（mm）</w:t>
            </w:r>
          </w:p>
        </w:tc>
        <w:tc>
          <w:tcPr>
            <w:tcW w:w="967" w:type="pct"/>
            <w:vAlign w:val="center"/>
          </w:tcPr>
          <w:p w14:paraId="2CC9210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井段（m）</w:t>
            </w:r>
          </w:p>
        </w:tc>
        <w:tc>
          <w:tcPr>
            <w:tcW w:w="730" w:type="pct"/>
            <w:vAlign w:val="center"/>
          </w:tcPr>
          <w:p w14:paraId="3B05B7A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单井岩屑产生量（m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858" w:type="pct"/>
            <w:vAlign w:val="center"/>
          </w:tcPr>
          <w:p w14:paraId="656369E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8口井岩屑量（m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）合计</w:t>
            </w:r>
          </w:p>
        </w:tc>
      </w:tr>
      <w:tr w14:paraId="5DE7AA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6" w:type="pct"/>
            <w:vAlign w:val="center"/>
          </w:tcPr>
          <w:p w14:paraId="5033CAF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一开</w:t>
            </w:r>
          </w:p>
        </w:tc>
        <w:tc>
          <w:tcPr>
            <w:tcW w:w="1321" w:type="pct"/>
            <w:vAlign w:val="center"/>
          </w:tcPr>
          <w:p w14:paraId="6DFDBC1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水基钻井液</w:t>
            </w:r>
          </w:p>
        </w:tc>
        <w:tc>
          <w:tcPr>
            <w:tcW w:w="657" w:type="pct"/>
            <w:vAlign w:val="center"/>
          </w:tcPr>
          <w:p w14:paraId="3A24D8A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381</w:t>
            </w:r>
          </w:p>
        </w:tc>
        <w:tc>
          <w:tcPr>
            <w:tcW w:w="967" w:type="pct"/>
            <w:vAlign w:val="center"/>
          </w:tcPr>
          <w:p w14:paraId="329952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0～400</w:t>
            </w:r>
          </w:p>
        </w:tc>
        <w:tc>
          <w:tcPr>
            <w:tcW w:w="730" w:type="pct"/>
            <w:vAlign w:val="center"/>
          </w:tcPr>
          <w:p w14:paraId="3EFD95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858" w:type="pct"/>
            <w:vAlign w:val="center"/>
          </w:tcPr>
          <w:p w14:paraId="215BE83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368</w:t>
            </w:r>
          </w:p>
        </w:tc>
      </w:tr>
      <w:tr w14:paraId="0972DA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66" w:type="pct"/>
            <w:vAlign w:val="center"/>
          </w:tcPr>
          <w:p w14:paraId="1B8765C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二开</w:t>
            </w:r>
          </w:p>
        </w:tc>
        <w:tc>
          <w:tcPr>
            <w:tcW w:w="1321" w:type="pct"/>
            <w:vAlign w:val="center"/>
          </w:tcPr>
          <w:p w14:paraId="34593D3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水基钻井液</w:t>
            </w:r>
          </w:p>
        </w:tc>
        <w:tc>
          <w:tcPr>
            <w:tcW w:w="657" w:type="pct"/>
            <w:vAlign w:val="center"/>
          </w:tcPr>
          <w:p w14:paraId="5E8F503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241.3</w:t>
            </w:r>
          </w:p>
        </w:tc>
        <w:tc>
          <w:tcPr>
            <w:tcW w:w="967" w:type="pct"/>
            <w:vAlign w:val="center"/>
          </w:tcPr>
          <w:p w14:paraId="3B04F58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400～平均井深</w:t>
            </w:r>
          </w:p>
        </w:tc>
        <w:tc>
          <w:tcPr>
            <w:tcW w:w="730" w:type="pct"/>
            <w:vAlign w:val="center"/>
          </w:tcPr>
          <w:p w14:paraId="484CABB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64</w:t>
            </w:r>
          </w:p>
        </w:tc>
        <w:tc>
          <w:tcPr>
            <w:tcW w:w="858" w:type="pct"/>
            <w:vAlign w:val="center"/>
          </w:tcPr>
          <w:p w14:paraId="40654E1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512</w:t>
            </w:r>
          </w:p>
        </w:tc>
      </w:tr>
    </w:tbl>
    <w:p w14:paraId="163ACE8D">
      <w:pPr>
        <w:pStyle w:val="120"/>
        <w:rPr>
          <w:rFonts w:hint="eastAsia"/>
          <w:color w:val="000000" w:themeColor="text1"/>
          <w14:textFill>
            <w14:solidFill>
              <w14:schemeClr w14:val="tx1"/>
            </w14:solidFill>
          </w14:textFill>
        </w:rPr>
      </w:pPr>
      <w:bookmarkStart w:id="288" w:name="_Hlk175072738"/>
      <w:r>
        <w:rPr>
          <w:rFonts w:hint="eastAsia"/>
          <w:color w:val="000000" w:themeColor="text1"/>
          <w14:textFill>
            <w14:solidFill>
              <w14:schemeClr w14:val="tx1"/>
            </w14:solidFill>
          </w14:textFill>
        </w:rPr>
        <w:t>一开、二开采用非磺化水基钻井液，由膨润土、氯化钙、重晶石粉、天然高分子材料合成的聚合物润滑封堵钻井液及防塌降滤失剂、封堵剂等主要成分配制而成，不含重金属等难降解物质、不涉及磺化钻井液、不涉及合成基钻井液。根据《关于发布＜危险废物排除管理清单（2021年版）＞的公告》（生态环境部公告 2021年第66号），非磺化水基钻井岩屑不属于危险废物，属于一般工业固体废物，</w:t>
      </w:r>
      <w:r>
        <w:rPr>
          <w:rFonts w:hint="eastAsia" w:cs="宋体"/>
          <w:color w:val="000000" w:themeColor="text1"/>
          <w14:textFill>
            <w14:solidFill>
              <w14:schemeClr w14:val="tx1"/>
            </w14:solidFill>
          </w14:textFill>
        </w:rPr>
        <w:t>根据《固体废物分类与代码目录》可知水基岩屑废物代码为071-001-S12，</w:t>
      </w:r>
      <w:r>
        <w:rPr>
          <w:rFonts w:hint="eastAsia"/>
          <w:color w:val="000000" w:themeColor="text1"/>
          <w14:textFill>
            <w14:solidFill>
              <w14:schemeClr w14:val="tx1"/>
            </w14:solidFill>
          </w14:textFill>
        </w:rPr>
        <w:t>由表3.3-2可知，8口井钻井期间产生的水基钻井岩屑共计约为</w:t>
      </w:r>
      <w:r>
        <w:rPr>
          <w:rFonts w:hint="eastAsia"/>
          <w:color w:val="000000" w:themeColor="text1"/>
          <w:lang w:val="en-US"/>
          <w14:textFill>
            <w14:solidFill>
              <w14:schemeClr w14:val="tx1"/>
            </w14:solidFill>
          </w14:textFill>
        </w:rPr>
        <w:t>880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，施工结束后委托专业单位处置。</w:t>
      </w:r>
    </w:p>
    <w:p w14:paraId="6912AC32">
      <w:pPr>
        <w:pStyle w:val="120"/>
        <w:rPr>
          <w:rFonts w:hint="eastAsia"/>
          <w:color w:val="000000" w:themeColor="text1"/>
          <w14:textFill>
            <w14:solidFill>
              <w14:schemeClr w14:val="tx1"/>
            </w14:solidFill>
          </w14:textFill>
        </w:rPr>
      </w:pPr>
      <w:bookmarkStart w:id="289" w:name="_Hlk178327212"/>
      <w:r>
        <w:rPr>
          <w:rFonts w:hint="eastAsia"/>
          <w:color w:val="000000" w:themeColor="text1"/>
          <w14:textFill>
            <w14:solidFill>
              <w14:schemeClr w14:val="tx1"/>
            </w14:solidFill>
          </w14:textFill>
        </w:rPr>
        <w:t>钻井时产生的钻井液和岩屑一起经不落地系统进行处理，分离出的液相即为钻井液，回用于钻井液配置，</w:t>
      </w:r>
      <w:bookmarkStart w:id="290" w:name="OLE_LINK250"/>
      <w:r>
        <w:rPr>
          <w:rFonts w:hint="eastAsia"/>
          <w:color w:val="000000" w:themeColor="text1"/>
          <w14:textFill>
            <w14:solidFill>
              <w14:schemeClr w14:val="tx1"/>
            </w14:solidFill>
          </w14:textFill>
        </w:rPr>
        <w:t>根据新疆油田分公司作业区同类钻井资料可知，钻井液的循环利用率约为95%，剩余未利用的约为5%沾到钻井岩屑上未完全分离，作为废弃</w:t>
      </w:r>
      <w:r>
        <w:rPr>
          <w:rFonts w:hint="eastAsia" w:cs="宋体"/>
          <w:color w:val="000000" w:themeColor="text1"/>
          <w14:textFill>
            <w14:solidFill>
              <w14:schemeClr w14:val="tx1"/>
            </w14:solidFill>
          </w14:textFill>
        </w:rPr>
        <w:t>钻井</w:t>
      </w:r>
      <w:r>
        <w:rPr>
          <w:rFonts w:hint="eastAsia"/>
          <w:color w:val="000000" w:themeColor="text1"/>
          <w14:textFill>
            <w14:solidFill>
              <w14:schemeClr w14:val="tx1"/>
            </w14:solidFill>
          </w14:textFill>
        </w:rPr>
        <w:t>液</w:t>
      </w:r>
      <w:r>
        <w:rPr>
          <w:rFonts w:hint="eastAsia" w:cs="宋体"/>
          <w:color w:val="000000" w:themeColor="text1"/>
          <w14:textFill>
            <w14:solidFill>
              <w14:schemeClr w14:val="tx1"/>
            </w14:solidFill>
          </w14:textFill>
        </w:rPr>
        <w:t>同钻井岩屑一同处置，钻井岩屑量计算时已考虑到未完全分离的钻井</w:t>
      </w:r>
      <w:r>
        <w:rPr>
          <w:rFonts w:hint="eastAsia"/>
          <w:color w:val="000000" w:themeColor="text1"/>
          <w14:textFill>
            <w14:solidFill>
              <w14:schemeClr w14:val="tx1"/>
            </w14:solidFill>
          </w14:textFill>
        </w:rPr>
        <w:t>液</w:t>
      </w:r>
      <w:r>
        <w:rPr>
          <w:rFonts w:hint="eastAsia" w:cs="宋体"/>
          <w:color w:val="000000" w:themeColor="text1"/>
          <w14:textFill>
            <w14:solidFill>
              <w14:schemeClr w14:val="tx1"/>
            </w14:solidFill>
          </w14:textFill>
        </w:rPr>
        <w:t>。</w:t>
      </w:r>
      <w:bookmarkEnd w:id="290"/>
      <w:r>
        <w:rPr>
          <w:rFonts w:hint="eastAsia" w:cs="宋体"/>
          <w:color w:val="000000" w:themeColor="text1"/>
          <w:szCs w:val="32"/>
          <w:lang w:val="zh-TW"/>
          <w14:textFill>
            <w14:solidFill>
              <w14:schemeClr w14:val="tx1"/>
            </w14:solidFill>
          </w14:textFill>
        </w:rPr>
        <w:t>钻井过程中</w:t>
      </w:r>
      <w:r>
        <w:rPr>
          <w:rFonts w:hint="eastAsia" w:cs="宋体"/>
          <w:color w:val="000000" w:themeColor="text1"/>
          <w:szCs w:val="32"/>
          <w14:textFill>
            <w14:solidFill>
              <w14:schemeClr w14:val="tx1"/>
            </w14:solidFill>
          </w14:textFill>
        </w:rPr>
        <w:t>废弃</w:t>
      </w:r>
      <w:r>
        <w:rPr>
          <w:rFonts w:hint="eastAsia" w:cs="宋体"/>
          <w:color w:val="000000" w:themeColor="text1"/>
          <w:szCs w:val="32"/>
          <w:lang w:val="zh-TW"/>
          <w14:textFill>
            <w14:solidFill>
              <w14:schemeClr w14:val="tx1"/>
            </w14:solidFill>
          </w14:textFill>
        </w:rPr>
        <w:t>非磺化水基钻井</w:t>
      </w:r>
      <w:r>
        <w:rPr>
          <w:rFonts w:hint="eastAsia"/>
          <w:color w:val="000000" w:themeColor="text1"/>
          <w14:textFill>
            <w14:solidFill>
              <w14:schemeClr w14:val="tx1"/>
            </w14:solidFill>
          </w14:textFill>
        </w:rPr>
        <w:t>液</w:t>
      </w:r>
      <w:r>
        <w:rPr>
          <w:rFonts w:hint="eastAsia" w:cs="宋体"/>
          <w:color w:val="000000" w:themeColor="text1"/>
          <w:szCs w:val="32"/>
          <w:lang w:val="zh-TW"/>
          <w14:textFill>
            <w14:solidFill>
              <w14:schemeClr w14:val="tx1"/>
            </w14:solidFill>
          </w14:textFill>
        </w:rPr>
        <w:t>约</w:t>
      </w:r>
      <w:r>
        <w:rPr>
          <w:rFonts w:hint="eastAsia" w:cs="宋体"/>
          <w:color w:val="000000" w:themeColor="text1"/>
          <w:szCs w:val="32"/>
          <w:lang w:val="en-US"/>
          <w14:textFill>
            <w14:solidFill>
              <w14:schemeClr w14:val="tx1"/>
            </w14:solidFill>
          </w14:textFill>
        </w:rPr>
        <w:t>113.5</w:t>
      </w:r>
      <w:r>
        <w:rPr>
          <w:rFonts w:hint="eastAsia" w:cs="宋体"/>
          <w:color w:val="000000" w:themeColor="text1"/>
          <w:szCs w:val="32"/>
          <w14:textFill>
            <w14:solidFill>
              <w14:schemeClr w14:val="tx1"/>
            </w14:solidFill>
          </w14:textFill>
        </w:rPr>
        <w:t>m</w:t>
      </w:r>
      <w:r>
        <w:rPr>
          <w:rFonts w:hint="eastAsia" w:cs="宋体"/>
          <w:color w:val="000000" w:themeColor="text1"/>
          <w:szCs w:val="32"/>
          <w:vertAlign w:val="superscript"/>
          <w14:textFill>
            <w14:solidFill>
              <w14:schemeClr w14:val="tx1"/>
            </w14:solidFill>
          </w14:textFill>
        </w:rPr>
        <w:t>3</w:t>
      </w:r>
      <w:r>
        <w:rPr>
          <w:rFonts w:hint="eastAsia" w:cs="宋体"/>
          <w:color w:val="000000" w:themeColor="text1"/>
          <w:szCs w:val="32"/>
          <w14:textFill>
            <w14:solidFill>
              <w14:schemeClr w14:val="tx1"/>
            </w14:solidFill>
          </w14:textFill>
        </w:rPr>
        <w:t>。</w:t>
      </w:r>
    </w:p>
    <w:p w14:paraId="0C64E41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根据《固体废物鉴别标准 通则》（GB34330-2017）中规定：“任何不需要修复和加工即可用于其原始用途的物质，可不作为固体废物管理”，分离出的钻井液，回用于钻井液配置，故钻井液不按固体废物管理。</w:t>
      </w:r>
    </w:p>
    <w:bookmarkEnd w:id="282"/>
    <w:bookmarkEnd w:id="288"/>
    <w:bookmarkEnd w:id="289"/>
    <w:p w14:paraId="1590003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②生活垃圾</w:t>
      </w:r>
    </w:p>
    <w:p w14:paraId="7812AF18">
      <w:pPr>
        <w:pStyle w:val="12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本项目不新建生活营地，钻井期施工人员住宿租赁</w:t>
      </w:r>
      <w:r>
        <w:rPr>
          <w:rFonts w:hint="eastAsia"/>
          <w:snapToGrid w:val="0"/>
          <w:color w:val="000000" w:themeColor="text1"/>
          <w:lang w:eastAsia="zh-CN"/>
          <w14:textFill>
            <w14:solidFill>
              <w14:schemeClr w14:val="tx1"/>
            </w14:solidFill>
          </w14:textFill>
        </w:rPr>
        <w:t>吉木萨尔县金宗石油工程技术服务有限责任公司</w:t>
      </w:r>
      <w:r>
        <w:rPr>
          <w:rFonts w:hint="eastAsia"/>
          <w:snapToGrid w:val="0"/>
          <w:color w:val="000000" w:themeColor="text1"/>
          <w14:textFill>
            <w14:solidFill>
              <w14:schemeClr w14:val="tx1"/>
            </w14:solidFill>
          </w14:textFill>
        </w:rPr>
        <w:t>的员工宿舍。</w:t>
      </w:r>
      <w:r>
        <w:rPr>
          <w:rFonts w:hint="eastAsia"/>
          <w:color w:val="000000" w:themeColor="text1"/>
          <w:lang w:val="en-US" w:eastAsia="zh-CN"/>
          <w14:textFill>
            <w14:solidFill>
              <w14:schemeClr w14:val="tx1"/>
            </w14:solidFill>
          </w14:textFill>
        </w:rPr>
        <w:t>施工区不产生生活垃圾。</w:t>
      </w:r>
    </w:p>
    <w:p w14:paraId="67B08336">
      <w:pPr>
        <w:pStyle w:val="120"/>
        <w:rPr>
          <w:rFonts w:hint="eastAsia"/>
          <w:bCs/>
          <w:color w:val="000000" w:themeColor="text1"/>
          <w14:textFill>
            <w14:solidFill>
              <w14:schemeClr w14:val="tx1"/>
            </w14:solidFill>
          </w14:textFill>
        </w:rPr>
      </w:pPr>
      <w:r>
        <w:rPr>
          <w:rFonts w:hint="eastAsia"/>
          <w:color w:val="000000" w:themeColor="text1"/>
          <w14:textFill>
            <w14:solidFill>
              <w14:schemeClr w14:val="tx1"/>
            </w14:solidFill>
          </w14:textFill>
        </w:rPr>
        <w:t>③建筑垃圾</w:t>
      </w:r>
    </w:p>
    <w:p w14:paraId="79A6AAD8">
      <w:pPr>
        <w:pStyle w:val="120"/>
        <w:rPr>
          <w:rFonts w:hint="eastAsia"/>
          <w:color w:val="000000" w:themeColor="text1"/>
          <w14:textFill>
            <w14:solidFill>
              <w14:schemeClr w14:val="tx1"/>
            </w14:solidFill>
          </w14:textFill>
        </w:rPr>
      </w:pPr>
      <w:r>
        <w:rPr>
          <w:rFonts w:hint="eastAsia"/>
          <w:bCs/>
          <w:color w:val="000000" w:themeColor="text1"/>
          <w14:textFill>
            <w14:solidFill>
              <w14:schemeClr w14:val="tx1"/>
            </w14:solidFill>
          </w14:textFill>
        </w:rPr>
        <w:t>建筑垃圾主要为</w:t>
      </w:r>
      <w:r>
        <w:rPr>
          <w:rFonts w:hint="eastAsia"/>
          <w:color w:val="000000" w:themeColor="text1"/>
          <w14:textFill>
            <w14:solidFill>
              <w14:schemeClr w14:val="tx1"/>
            </w14:solidFill>
          </w14:textFill>
        </w:rPr>
        <w:t>废边角料、废包装物等</w:t>
      </w:r>
      <w:r>
        <w:rPr>
          <w:rFonts w:hint="eastAsia"/>
          <w:bCs/>
          <w:color w:val="000000" w:themeColor="text1"/>
          <w14:textFill>
            <w14:solidFill>
              <w14:schemeClr w14:val="tx1"/>
            </w14:solidFill>
          </w14:textFill>
        </w:rPr>
        <w:t>，</w:t>
      </w:r>
      <w:r>
        <w:rPr>
          <w:rFonts w:hint="eastAsia"/>
          <w:color w:val="000000" w:themeColor="text1"/>
          <w14:textFill>
            <w14:solidFill>
              <w14:schemeClr w14:val="tx1"/>
            </w14:solidFill>
          </w14:textFill>
        </w:rPr>
        <w:t>产生量较少，收集后交由环卫部门统一处置。</w:t>
      </w:r>
    </w:p>
    <w:p w14:paraId="09F526D2">
      <w:pPr>
        <w:pStyle w:val="165"/>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④废润滑油</w:t>
      </w:r>
    </w:p>
    <w:p w14:paraId="1CDEEDA1">
      <w:pPr>
        <w:pStyle w:val="165"/>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钻井井场中的发电机、钻机和钻井液循环泵及其他动力设备，需要定期保养维护，保养维修过程中会产生一定量的废润滑油，</w:t>
      </w:r>
      <w:bookmarkStart w:id="291" w:name="_Hlk40357779"/>
      <w:r>
        <w:rPr>
          <w:rFonts w:hint="eastAsia"/>
          <w:color w:val="000000" w:themeColor="text1"/>
          <w14:textFill>
            <w14:solidFill>
              <w14:schemeClr w14:val="tx1"/>
            </w14:solidFill>
          </w14:textFill>
        </w:rPr>
        <w:t>参照新疆油田其他使用相同动力设备的井在钻井过程中产生废润滑油的数量可知</w:t>
      </w:r>
      <w:bookmarkEnd w:id="291"/>
      <w:r>
        <w:rPr>
          <w:rFonts w:hint="eastAsia"/>
          <w:color w:val="000000" w:themeColor="text1"/>
          <w14:textFill>
            <w14:solidFill>
              <w14:schemeClr w14:val="tx1"/>
            </w14:solidFill>
          </w14:textFill>
        </w:rPr>
        <w:t>，</w:t>
      </w:r>
      <w:bookmarkStart w:id="292" w:name="_Hlk40357811"/>
      <w:r>
        <w:rPr>
          <w:rFonts w:hint="eastAsia"/>
          <w:color w:val="000000" w:themeColor="text1"/>
          <w14:textFill>
            <w14:solidFill>
              <w14:schemeClr w14:val="tx1"/>
            </w14:solidFill>
          </w14:textFill>
        </w:rPr>
        <w:t>单井井场钻井期产生的废润滑油为0</w:t>
      </w:r>
      <w:r>
        <w:rPr>
          <w:color w:val="000000" w:themeColor="text1"/>
          <w14:textFill>
            <w14:solidFill>
              <w14:schemeClr w14:val="tx1"/>
            </w14:solidFill>
          </w14:textFill>
        </w:rPr>
        <w:t>.05t</w:t>
      </w:r>
      <w:r>
        <w:rPr>
          <w:rFonts w:hint="eastAsia"/>
          <w:color w:val="000000" w:themeColor="text1"/>
          <w14:textFill>
            <w14:solidFill>
              <w14:schemeClr w14:val="tx1"/>
            </w14:solidFill>
          </w14:textFill>
        </w:rPr>
        <w:t>，则8口井废润滑油产生量</w:t>
      </w:r>
      <w:r>
        <w:rPr>
          <w:rFonts w:hint="eastAsia"/>
          <w:color w:val="000000" w:themeColor="text1"/>
          <w:lang w:val="en-US"/>
          <w14:textFill>
            <w14:solidFill>
              <w14:schemeClr w14:val="tx1"/>
            </w14:solidFill>
          </w14:textFill>
        </w:rPr>
        <w:t>0.4</w:t>
      </w:r>
      <w:r>
        <w:rPr>
          <w:rFonts w:hint="eastAsia"/>
          <w:color w:val="000000" w:themeColor="text1"/>
          <w14:textFill>
            <w14:solidFill>
              <w14:schemeClr w14:val="tx1"/>
            </w14:solidFill>
          </w14:textFill>
        </w:rPr>
        <w:t>t。</w:t>
      </w:r>
      <w:bookmarkEnd w:id="292"/>
      <w:bookmarkStart w:id="293" w:name="_Hlk81138735"/>
      <w:r>
        <w:rPr>
          <w:rFonts w:hint="eastAsia"/>
          <w:color w:val="000000" w:themeColor="text1"/>
          <w14:textFill>
            <w14:solidFill>
              <w14:schemeClr w14:val="tx1"/>
            </w14:solidFill>
          </w14:textFill>
        </w:rPr>
        <w:t>废润滑油属于《国家危险废物名录（2025年版）》H</w:t>
      </w:r>
      <w:r>
        <w:rPr>
          <w:color w:val="000000" w:themeColor="text1"/>
          <w14:textFill>
            <w14:solidFill>
              <w14:schemeClr w14:val="tx1"/>
            </w14:solidFill>
          </w14:textFill>
        </w:rPr>
        <w:t>W08废矿物油与含矿物油类危险废物</w:t>
      </w:r>
      <w:r>
        <w:rPr>
          <w:rFonts w:hint="eastAsia"/>
          <w:color w:val="000000" w:themeColor="text1"/>
          <w14:textFill>
            <w14:solidFill>
              <w14:schemeClr w14:val="tx1"/>
            </w14:solidFill>
          </w14:textFill>
        </w:rPr>
        <w:t>，废物代码为</w:t>
      </w:r>
      <w:r>
        <w:rPr>
          <w:rFonts w:cs="宋体"/>
          <w:color w:val="000000" w:themeColor="text1"/>
          <w:kern w:val="0"/>
          <w:szCs w:val="21"/>
          <w14:textFill>
            <w14:solidFill>
              <w14:schemeClr w14:val="tx1"/>
            </w14:solidFill>
          </w14:textFill>
        </w:rPr>
        <w:t>900-214-08</w:t>
      </w:r>
      <w:r>
        <w:rPr>
          <w:rFonts w:hint="eastAsia" w:cs="宋体"/>
          <w:color w:val="000000" w:themeColor="text1"/>
          <w:kern w:val="0"/>
          <w:szCs w:val="21"/>
          <w14:textFill>
            <w14:solidFill>
              <w14:schemeClr w14:val="tx1"/>
            </w14:solidFill>
          </w14:textFill>
        </w:rPr>
        <w:t>，危险特性为</w:t>
      </w:r>
      <w:r>
        <w:rPr>
          <w:rFonts w:cs="宋体"/>
          <w:color w:val="000000" w:themeColor="text1"/>
          <w:kern w:val="0"/>
          <w:szCs w:val="21"/>
          <w14:textFill>
            <w14:solidFill>
              <w14:schemeClr w14:val="tx1"/>
            </w14:solidFill>
          </w14:textFill>
        </w:rPr>
        <w:t>T</w:t>
      </w:r>
      <w:r>
        <w:rPr>
          <w:rFonts w:hint="eastAsia" w:cs="宋体"/>
          <w:color w:val="000000" w:themeColor="text1"/>
          <w:kern w:val="0"/>
          <w:szCs w:val="21"/>
          <w14:textFill>
            <w14:solidFill>
              <w14:schemeClr w14:val="tx1"/>
            </w14:solidFill>
          </w14:textFill>
        </w:rPr>
        <w:t>，</w:t>
      </w:r>
      <w:r>
        <w:rPr>
          <w:rFonts w:cs="宋体"/>
          <w:color w:val="000000" w:themeColor="text1"/>
          <w:kern w:val="0"/>
          <w:szCs w:val="21"/>
          <w14:textFill>
            <w14:solidFill>
              <w14:schemeClr w14:val="tx1"/>
            </w14:solidFill>
          </w14:textFill>
        </w:rPr>
        <w:t>I</w:t>
      </w:r>
      <w:r>
        <w:rPr>
          <w:rFonts w:hint="eastAsia"/>
          <w:color w:val="000000" w:themeColor="text1"/>
          <w14:textFill>
            <w14:solidFill>
              <w14:schemeClr w14:val="tx1"/>
            </w14:solidFill>
          </w14:textFill>
        </w:rPr>
        <w:t>，交由有相应危险废物处置资质的单位进行回收处置。</w:t>
      </w:r>
    </w:p>
    <w:bookmarkEnd w:id="293"/>
    <w:p w14:paraId="2F4EFAD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⑤废润滑油桶</w:t>
      </w:r>
    </w:p>
    <w:p w14:paraId="03F9597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使用润滑油时会产生一定的废润滑油桶，根据润滑油的使用量计算出废润滑油桶的产生量为0.</w:t>
      </w:r>
      <w:r>
        <w:rPr>
          <w:rFonts w:hint="eastAsia"/>
          <w:color w:val="000000" w:themeColor="text1"/>
          <w:lang w:val="en-US"/>
          <w14:textFill>
            <w14:solidFill>
              <w14:schemeClr w14:val="tx1"/>
            </w14:solidFill>
          </w14:textFill>
        </w:rPr>
        <w:t>1</w:t>
      </w:r>
      <w:r>
        <w:rPr>
          <w:rFonts w:hint="eastAsia"/>
          <w:color w:val="000000" w:themeColor="text1"/>
          <w14:textFill>
            <w14:solidFill>
              <w14:schemeClr w14:val="tx1"/>
            </w14:solidFill>
          </w14:textFill>
        </w:rPr>
        <w:t>6t，废润滑油桶属于《国家危险废物名录（2025年版）》</w:t>
      </w:r>
      <w:r>
        <w:rPr>
          <w:color w:val="000000" w:themeColor="text1"/>
          <w14:textFill>
            <w14:solidFill>
              <w14:schemeClr w14:val="tx1"/>
            </w14:solidFill>
          </w14:textFill>
        </w:rPr>
        <w:t>HW08</w:t>
      </w:r>
      <w:r>
        <w:rPr>
          <w:rFonts w:hint="eastAsia"/>
          <w:color w:val="000000" w:themeColor="text1"/>
          <w14:textFill>
            <w14:solidFill>
              <w14:schemeClr w14:val="tx1"/>
            </w14:solidFill>
          </w14:textFill>
        </w:rPr>
        <w:t>废矿物油与含矿物油废物，废物代码为</w:t>
      </w:r>
      <w:r>
        <w:rPr>
          <w:color w:val="000000" w:themeColor="text1"/>
          <w14:textFill>
            <w14:solidFill>
              <w14:schemeClr w14:val="tx1"/>
            </w14:solidFill>
          </w14:textFill>
        </w:rPr>
        <w:t>900-2</w:t>
      </w:r>
      <w:r>
        <w:rPr>
          <w:rFonts w:hint="eastAsia"/>
          <w:color w:val="000000" w:themeColor="text1"/>
          <w14:textFill>
            <w14:solidFill>
              <w14:schemeClr w14:val="tx1"/>
            </w14:solidFill>
          </w14:textFill>
        </w:rPr>
        <w:t>49</w:t>
      </w:r>
      <w:r>
        <w:rPr>
          <w:color w:val="000000" w:themeColor="text1"/>
          <w14:textFill>
            <w14:solidFill>
              <w14:schemeClr w14:val="tx1"/>
            </w14:solidFill>
          </w14:textFill>
        </w:rPr>
        <w:t>-08</w:t>
      </w:r>
      <w:r>
        <w:rPr>
          <w:rFonts w:hint="eastAsia"/>
          <w:color w:val="000000" w:themeColor="text1"/>
          <w14:textFill>
            <w14:solidFill>
              <w14:schemeClr w14:val="tx1"/>
            </w14:solidFill>
          </w14:textFill>
        </w:rPr>
        <w:t>，危险特性为</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I</w:t>
      </w:r>
      <w:r>
        <w:rPr>
          <w:rFonts w:hint="eastAsia"/>
          <w:color w:val="000000" w:themeColor="text1"/>
          <w14:textFill>
            <w14:solidFill>
              <w14:schemeClr w14:val="tx1"/>
            </w14:solidFill>
          </w14:textFill>
        </w:rPr>
        <w:t>，交由有相应危险废物处置资质的单位处置。</w:t>
      </w:r>
    </w:p>
    <w:p w14:paraId="0FEA7B95">
      <w:pPr>
        <w:pStyle w:val="165"/>
        <w:rPr>
          <w:rFonts w:hint="eastAsia"/>
          <w:color w:val="000000" w:themeColor="text1"/>
          <w14:textFill>
            <w14:solidFill>
              <w14:schemeClr w14:val="tx1"/>
            </w14:solidFill>
          </w14:textFill>
        </w:rPr>
      </w:pPr>
      <w:bookmarkStart w:id="294" w:name="_Hlk175250112"/>
      <w:r>
        <w:rPr>
          <w:rFonts w:hint="eastAsia"/>
          <w:color w:val="000000" w:themeColor="text1"/>
          <w14:textFill>
            <w14:solidFill>
              <w14:schemeClr w14:val="tx1"/>
            </w14:solidFill>
          </w14:textFill>
        </w:rPr>
        <w:t>⑥废防渗材料</w:t>
      </w:r>
    </w:p>
    <w:p w14:paraId="3193C9F0">
      <w:pPr>
        <w:pStyle w:val="165"/>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场地清理时拆除的未破损且未沾油的防渗材料由施工单位集中回收利用，沾油废防渗材料属于危险废物（</w:t>
      </w:r>
      <w:r>
        <w:rPr>
          <w:color w:val="000000" w:themeColor="text1"/>
          <w14:textFill>
            <w14:solidFill>
              <w14:schemeClr w14:val="tx1"/>
            </w14:solidFill>
          </w14:textFill>
        </w:rPr>
        <w:t>HW08</w:t>
      </w:r>
      <w:r>
        <w:rPr>
          <w:rFonts w:hint="eastAsia"/>
          <w:color w:val="000000" w:themeColor="text1"/>
          <w14:textFill>
            <w14:solidFill>
              <w14:schemeClr w14:val="tx1"/>
            </w14:solidFill>
          </w14:textFill>
        </w:rPr>
        <w:t>类危险废物，废物代码：</w:t>
      </w:r>
      <w:r>
        <w:rPr>
          <w:color w:val="000000" w:themeColor="text1"/>
          <w14:textFill>
            <w14:solidFill>
              <w14:schemeClr w14:val="tx1"/>
            </w14:solidFill>
          </w14:textFill>
        </w:rPr>
        <w:t>900-249-08</w:t>
      </w:r>
      <w:r>
        <w:rPr>
          <w:rFonts w:hint="eastAsia"/>
          <w:color w:val="000000" w:themeColor="text1"/>
          <w14:textFill>
            <w14:solidFill>
              <w14:schemeClr w14:val="tx1"/>
            </w14:solidFill>
          </w14:textFill>
        </w:rPr>
        <w:t>），危险特性为毒性和易燃性，施工结束后交由具有相关危险废物处置资质的单位接收、转运以及处置。参照新疆油田其他使用相同动力设备的井在钻井过程中产生废润滑油的数量可知，单井井场钻井期产生的废防渗材料为0</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，则</w:t>
      </w:r>
      <w:r>
        <w:rPr>
          <w:rFonts w:hint="eastAsia"/>
          <w:color w:val="000000" w:themeColor="text1"/>
          <w:lang w:val="en-US"/>
          <w14:textFill>
            <w14:solidFill>
              <w14:schemeClr w14:val="tx1"/>
            </w14:solidFill>
          </w14:textFill>
        </w:rPr>
        <w:t>8</w:t>
      </w:r>
      <w:r>
        <w:rPr>
          <w:rFonts w:hint="eastAsia"/>
          <w:color w:val="000000" w:themeColor="text1"/>
          <w14:textFill>
            <w14:solidFill>
              <w14:schemeClr w14:val="tx1"/>
            </w14:solidFill>
          </w14:textFill>
        </w:rPr>
        <w:t>口井废润滑油产生量</w:t>
      </w:r>
      <w:r>
        <w:rPr>
          <w:rFonts w:hint="eastAsia"/>
          <w:color w:val="000000" w:themeColor="text1"/>
          <w:lang w:val="en-US"/>
          <w14:textFill>
            <w14:solidFill>
              <w14:schemeClr w14:val="tx1"/>
            </w14:solidFill>
          </w14:textFill>
        </w:rPr>
        <w:t>0.56</w:t>
      </w:r>
      <w:r>
        <w:rPr>
          <w:rFonts w:hint="eastAsia"/>
          <w:color w:val="000000" w:themeColor="text1"/>
          <w14:textFill>
            <w14:solidFill>
              <w14:schemeClr w14:val="tx1"/>
            </w14:solidFill>
          </w14:textFill>
        </w:rPr>
        <w:t>t。</w:t>
      </w:r>
    </w:p>
    <w:p w14:paraId="0DB6C89E">
      <w:pPr>
        <w:pStyle w:val="120"/>
        <w:spacing w:line="52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⑦焊接废渣</w:t>
      </w:r>
    </w:p>
    <w:p w14:paraId="383B135D">
      <w:pPr>
        <w:pStyle w:val="120"/>
        <w:spacing w:line="520" w:lineRule="exact"/>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管线施工过程中会产生少量的焊接废渣，根据《固体废物分类与代码目录》可知焊接废渣废物代码为</w:t>
      </w:r>
      <w:r>
        <w:rPr>
          <w:rFonts w:cs="宋体"/>
          <w:color w:val="000000" w:themeColor="text1"/>
          <w14:textFill>
            <w14:solidFill>
              <w14:schemeClr w14:val="tx1"/>
            </w14:solidFill>
          </w14:textFill>
        </w:rPr>
        <w:t>900-099-S59</w:t>
      </w:r>
      <w:r>
        <w:rPr>
          <w:rFonts w:hint="eastAsia" w:cs="宋体"/>
          <w:color w:val="000000" w:themeColor="text1"/>
          <w14:textFill>
            <w14:solidFill>
              <w14:schemeClr w14:val="tx1"/>
            </w14:solidFill>
          </w14:textFill>
        </w:rPr>
        <w:t>，</w:t>
      </w:r>
      <w:r>
        <w:rPr>
          <w:rFonts w:cs="宋体"/>
          <w:color w:val="000000" w:themeColor="text1"/>
          <w14:textFill>
            <w14:solidFill>
              <w14:schemeClr w14:val="tx1"/>
            </w14:solidFill>
          </w14:textFill>
        </w:rPr>
        <w:t>在每个焊接作业点配备铁桶或纸箱，焊接废渣直接放入容器中，施工结束后集中回收处置。</w:t>
      </w:r>
    </w:p>
    <w:p w14:paraId="4D62B8F1">
      <w:pPr>
        <w:pStyle w:val="120"/>
        <w:spacing w:line="520" w:lineRule="exact"/>
        <w:rPr>
          <w:rFonts w:hint="eastAsia" w:cs="宋体"/>
          <w:color w:val="000000" w:themeColor="text1"/>
          <w14:textFill>
            <w14:solidFill>
              <w14:schemeClr w14:val="tx1"/>
            </w14:solidFill>
          </w14:textFill>
        </w:rPr>
      </w:pPr>
      <w:bookmarkStart w:id="295" w:name="_Hlk211919288"/>
      <w:r>
        <w:rPr>
          <w:rFonts w:hint="eastAsia" w:cs="宋体"/>
          <w:color w:val="000000" w:themeColor="text1"/>
          <w14:textFill>
            <w14:solidFill>
              <w14:schemeClr w14:val="tx1"/>
            </w14:solidFill>
          </w14:textFill>
        </w:rPr>
        <w:t>⑧废危化品包装材料</w:t>
      </w:r>
    </w:p>
    <w:p w14:paraId="5F5DCD71">
      <w:pPr>
        <w:pStyle w:val="120"/>
        <w:spacing w:line="520" w:lineRule="exact"/>
        <w:rPr>
          <w:rFonts w:hint="eastAsia"/>
          <w:bCs/>
          <w:color w:val="000000" w:themeColor="text1"/>
          <w14:textFill>
            <w14:solidFill>
              <w14:schemeClr w14:val="tx1"/>
            </w14:solidFill>
          </w14:textFill>
        </w:rPr>
      </w:pPr>
      <w:r>
        <w:rPr>
          <w:rFonts w:hint="eastAsia" w:cs="宋体"/>
          <w:color w:val="000000" w:themeColor="text1"/>
          <w14:textFill>
            <w14:solidFill>
              <w14:schemeClr w14:val="tx1"/>
            </w14:solidFill>
          </w14:textFill>
        </w:rPr>
        <w:t>拟建项目钻井液配置辅料涉及氢氧化钠，属于危险化学品，氢氧化钠用量约</w:t>
      </w:r>
      <w:r>
        <w:rPr>
          <w:rFonts w:hint="eastAsia" w:cs="宋体"/>
          <w:color w:val="000000" w:themeColor="text1"/>
          <w:lang w:val="en-US"/>
          <w14:textFill>
            <w14:solidFill>
              <w14:schemeClr w14:val="tx1"/>
            </w14:solidFill>
          </w14:textFill>
        </w:rPr>
        <w:t>18</w:t>
      </w:r>
      <w:r>
        <w:rPr>
          <w:rFonts w:hint="eastAsia" w:cs="宋体"/>
          <w:color w:val="000000" w:themeColor="text1"/>
          <w14:textFill>
            <w14:solidFill>
              <w14:schemeClr w14:val="tx1"/>
            </w14:solidFill>
          </w14:textFill>
        </w:rPr>
        <w:t>t。拟建项目氢氧化钠外购成品吨包包装，采购量约为</w:t>
      </w:r>
      <w:r>
        <w:rPr>
          <w:rFonts w:hint="eastAsia" w:cs="宋体"/>
          <w:color w:val="000000" w:themeColor="text1"/>
          <w:lang w:val="en-US"/>
          <w14:textFill>
            <w14:solidFill>
              <w14:schemeClr w14:val="tx1"/>
            </w14:solidFill>
          </w14:textFill>
        </w:rPr>
        <w:t>18</w:t>
      </w:r>
      <w:r>
        <w:rPr>
          <w:rFonts w:hint="eastAsia" w:cs="宋体"/>
          <w:color w:val="000000" w:themeColor="text1"/>
          <w14:textFill>
            <w14:solidFill>
              <w14:schemeClr w14:val="tx1"/>
            </w14:solidFill>
          </w14:textFill>
        </w:rPr>
        <w:t>个吨包，单个废弃吨包重量约3kg，则废危化品包装材料产生量为0.0</w:t>
      </w:r>
      <w:r>
        <w:rPr>
          <w:rFonts w:hint="eastAsia" w:cs="宋体"/>
          <w:color w:val="000000" w:themeColor="text1"/>
          <w:lang w:val="en-US"/>
          <w14:textFill>
            <w14:solidFill>
              <w14:schemeClr w14:val="tx1"/>
            </w14:solidFill>
          </w14:textFill>
        </w:rPr>
        <w:t>54</w:t>
      </w:r>
      <w:r>
        <w:rPr>
          <w:rFonts w:hint="eastAsia" w:cs="宋体"/>
          <w:color w:val="000000" w:themeColor="text1"/>
          <w14:textFill>
            <w14:solidFill>
              <w14:schemeClr w14:val="tx1"/>
            </w14:solidFill>
          </w14:textFill>
        </w:rPr>
        <w:t>t，属于危险废物（HW49其他废物 900-041-49含有或沾染毒性、感染性危险废物的废弃包装物、容器、过滤吸附介质），最终委托危险废物处置资质的单位处置。</w:t>
      </w:r>
    </w:p>
    <w:bookmarkEnd w:id="283"/>
    <w:bookmarkEnd w:id="284"/>
    <w:bookmarkEnd w:id="295"/>
    <w:p w14:paraId="2C9F445D">
      <w:pPr>
        <w:pStyle w:val="120"/>
        <w:rPr>
          <w:rFonts w:hint="eastAsia"/>
          <w:color w:val="000000" w:themeColor="text1"/>
          <w14:textFill>
            <w14:solidFill>
              <w14:schemeClr w14:val="tx1"/>
            </w14:solidFill>
          </w14:textFill>
        </w:rPr>
      </w:pPr>
      <w:bookmarkStart w:id="296" w:name="_Hlk175262768"/>
      <w:bookmarkStart w:id="297" w:name="_Hlk160379837"/>
      <w:r>
        <w:rPr>
          <w:rFonts w:hint="eastAsia"/>
          <w:color w:val="000000" w:themeColor="text1"/>
          <w14:textFill>
            <w14:solidFill>
              <w14:schemeClr w14:val="tx1"/>
            </w14:solidFill>
          </w14:textFill>
        </w:rPr>
        <w:t>（5）生态影响分析</w:t>
      </w:r>
    </w:p>
    <w:bookmarkEnd w:id="296"/>
    <w:p w14:paraId="750E753B">
      <w:pPr>
        <w:pStyle w:val="120"/>
        <w:rPr>
          <w:rFonts w:hint="eastAsia"/>
          <w:color w:val="000000" w:themeColor="text1"/>
          <w14:textFill>
            <w14:solidFill>
              <w14:schemeClr w14:val="tx1"/>
            </w14:solidFill>
          </w14:textFill>
        </w:rPr>
      </w:pPr>
      <w:bookmarkStart w:id="298" w:name="_Hlk35693953"/>
      <w:bookmarkStart w:id="299" w:name="_Hlk147581732"/>
      <w:r>
        <w:rPr>
          <w:rFonts w:hint="eastAsia"/>
          <w:color w:val="000000" w:themeColor="text1"/>
          <w14:textFill>
            <w14:solidFill>
              <w14:schemeClr w14:val="tx1"/>
            </w14:solidFill>
          </w14:textFill>
        </w:rPr>
        <w:t>①工程占地</w:t>
      </w:r>
    </w:p>
    <w:p w14:paraId="46B44348">
      <w:pPr>
        <w:pStyle w:val="120"/>
        <w:rPr>
          <w:rFonts w:hint="eastAsia"/>
          <w:color w:val="000000" w:themeColor="text1"/>
          <w14:textFill>
            <w14:solidFill>
              <w14:schemeClr w14:val="tx1"/>
            </w14:solidFill>
          </w14:textFill>
        </w:rPr>
      </w:pPr>
      <w:bookmarkStart w:id="300" w:name="_Hlk175088382"/>
      <w:bookmarkStart w:id="301" w:name="_Hlk169019942"/>
      <w:bookmarkStart w:id="302" w:name="_Hlk175129647"/>
      <w:r>
        <w:rPr>
          <w:rFonts w:hint="eastAsia"/>
          <w:color w:val="000000" w:themeColor="text1"/>
          <w14:textFill>
            <w14:solidFill>
              <w14:schemeClr w14:val="tx1"/>
            </w14:solidFill>
          </w14:textFill>
        </w:rPr>
        <w:t>工程占地主要为单井采油井场、</w:t>
      </w:r>
      <w:r>
        <w:rPr>
          <w:color w:val="000000" w:themeColor="text1"/>
          <w14:textFill>
            <w14:solidFill>
              <w14:schemeClr w14:val="tx1"/>
            </w14:solidFill>
          </w14:textFill>
        </w:rPr>
        <w:t>2井平台井场</w:t>
      </w:r>
      <w:r>
        <w:rPr>
          <w:rFonts w:hint="eastAsia"/>
          <w:color w:val="000000" w:themeColor="text1"/>
          <w14:textFill>
            <w14:solidFill>
              <w14:schemeClr w14:val="tx1"/>
            </w14:solidFill>
          </w14:textFill>
        </w:rPr>
        <w:t>、注水井场、单井采油管线/单井掺热水管线、</w:t>
      </w:r>
      <w:bookmarkStart w:id="303" w:name="_Hlk140781340"/>
      <w:r>
        <w:rPr>
          <w:rFonts w:hint="eastAsia"/>
          <w:color w:val="000000" w:themeColor="text1"/>
          <w14:textFill>
            <w14:solidFill>
              <w14:schemeClr w14:val="tx1"/>
            </w14:solidFill>
          </w14:textFill>
        </w:rPr>
        <w:t>单井注水管线和巡检道路等，总占地面积为</w:t>
      </w:r>
      <w:bookmarkEnd w:id="298"/>
      <w:r>
        <w:rPr>
          <w:rFonts w:hint="eastAsia"/>
          <w:color w:val="000000" w:themeColor="text1"/>
          <w:lang w:eastAsia="zh-CN"/>
          <w14:textFill>
            <w14:solidFill>
              <w14:schemeClr w14:val="tx1"/>
            </w14:solidFill>
          </w14:textFill>
        </w:rPr>
        <w:t>90517</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，其中永久占地12462m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，临时占地</w:t>
      </w:r>
      <w:r>
        <w:rPr>
          <w:rFonts w:hint="eastAsia"/>
          <w:color w:val="000000" w:themeColor="text1"/>
          <w:lang w:eastAsia="zh-CN"/>
          <w14:textFill>
            <w14:solidFill>
              <w14:schemeClr w14:val="tx1"/>
            </w14:solidFill>
          </w14:textFill>
        </w:rPr>
        <w:t>78055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bookmarkEnd w:id="300"/>
      <w:bookmarkEnd w:id="303"/>
      <w:r>
        <w:rPr>
          <w:rFonts w:hint="eastAsia"/>
          <w:color w:val="000000" w:themeColor="text1"/>
          <w14:textFill>
            <w14:solidFill>
              <w14:schemeClr w14:val="tx1"/>
            </w14:solidFill>
          </w14:textFill>
        </w:rPr>
        <w:t>，</w:t>
      </w:r>
      <w:bookmarkEnd w:id="301"/>
      <w:r>
        <w:rPr>
          <w:color w:val="000000" w:themeColor="text1"/>
          <w14:textFill>
            <w14:solidFill>
              <w14:schemeClr w14:val="tx1"/>
            </w14:solidFill>
          </w14:textFill>
        </w:rPr>
        <w:t>详见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-3。</w:t>
      </w:r>
    </w:p>
    <w:p w14:paraId="7FE2D8C6">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占地概况一览表</w:t>
      </w:r>
    </w:p>
    <w:tbl>
      <w:tblPr>
        <w:tblStyle w:val="51"/>
        <w:tblW w:w="5024"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6" w:type="dxa"/>
          <w:bottom w:w="0" w:type="dxa"/>
          <w:right w:w="6" w:type="dxa"/>
        </w:tblCellMar>
      </w:tblPr>
      <w:tblGrid>
        <w:gridCol w:w="427"/>
        <w:gridCol w:w="426"/>
        <w:gridCol w:w="532"/>
        <w:gridCol w:w="756"/>
        <w:gridCol w:w="884"/>
        <w:gridCol w:w="849"/>
        <w:gridCol w:w="849"/>
        <w:gridCol w:w="851"/>
        <w:gridCol w:w="1656"/>
        <w:gridCol w:w="1502"/>
        <w:gridCol w:w="40"/>
      </w:tblGrid>
      <w:tr w14:paraId="5613E0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gridAfter w:val="1"/>
          <w:wAfter w:w="22" w:type="pct"/>
          <w:trHeight w:val="340" w:hRule="atLeast"/>
          <w:jc w:val="center"/>
        </w:trPr>
        <w:tc>
          <w:tcPr>
            <w:tcW w:w="243" w:type="pct"/>
            <w:vMerge w:val="restart"/>
            <w:vAlign w:val="center"/>
          </w:tcPr>
          <w:p w14:paraId="3CA31D04">
            <w:pPr>
              <w:pStyle w:val="280"/>
              <w:rPr>
                <w:rFonts w:hint="eastAsia"/>
                <w:color w:val="000000" w:themeColor="text1"/>
                <w14:textFill>
                  <w14:solidFill>
                    <w14:schemeClr w14:val="tx1"/>
                  </w14:solidFill>
                </w14:textFill>
              </w:rPr>
            </w:pPr>
            <w:bookmarkStart w:id="304" w:name="_Hlk93663307"/>
            <w:r>
              <w:rPr>
                <w:rFonts w:hint="eastAsia"/>
                <w:color w:val="000000" w:themeColor="text1"/>
                <w14:textFill>
                  <w14:solidFill>
                    <w14:schemeClr w14:val="tx1"/>
                  </w14:solidFill>
                </w14:textFill>
              </w:rPr>
              <w:t>序号</w:t>
            </w:r>
          </w:p>
        </w:tc>
        <w:tc>
          <w:tcPr>
            <w:tcW w:w="977" w:type="pct"/>
            <w:gridSpan w:val="3"/>
            <w:vMerge w:val="restart"/>
            <w:vAlign w:val="center"/>
          </w:tcPr>
          <w:p w14:paraId="589CEA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建设内容</w:t>
            </w:r>
          </w:p>
        </w:tc>
        <w:tc>
          <w:tcPr>
            <w:tcW w:w="503" w:type="pct"/>
            <w:vMerge w:val="restart"/>
            <w:vAlign w:val="center"/>
          </w:tcPr>
          <w:p w14:paraId="16D5B9F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1452" w:type="pct"/>
            <w:gridSpan w:val="3"/>
            <w:tcBorders>
              <w:bottom w:val="single" w:color="auto" w:sz="4" w:space="0"/>
              <w:right w:val="single" w:color="auto" w:sz="4" w:space="0"/>
            </w:tcBorders>
            <w:vAlign w:val="center"/>
          </w:tcPr>
          <w:p w14:paraId="204BBD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占地面积（m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943" w:type="pct"/>
            <w:vMerge w:val="restart"/>
            <w:tcBorders>
              <w:left w:val="single" w:color="auto" w:sz="4" w:space="0"/>
            </w:tcBorders>
            <w:vAlign w:val="center"/>
          </w:tcPr>
          <w:p w14:paraId="149E906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c>
          <w:tcPr>
            <w:tcW w:w="856" w:type="pct"/>
            <w:vMerge w:val="restart"/>
            <w:tcBorders>
              <w:left w:val="single" w:color="auto" w:sz="4" w:space="0"/>
            </w:tcBorders>
            <w:vAlign w:val="center"/>
          </w:tcPr>
          <w:p w14:paraId="22168C5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占地类型</w:t>
            </w:r>
          </w:p>
        </w:tc>
      </w:tr>
      <w:tr w14:paraId="2211FF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gridAfter w:val="1"/>
          <w:wAfter w:w="22" w:type="pct"/>
          <w:trHeight w:val="340" w:hRule="atLeast"/>
          <w:jc w:val="center"/>
        </w:trPr>
        <w:tc>
          <w:tcPr>
            <w:tcW w:w="243" w:type="pct"/>
            <w:vMerge w:val="continue"/>
            <w:vAlign w:val="center"/>
          </w:tcPr>
          <w:p w14:paraId="53A77680">
            <w:pPr>
              <w:pStyle w:val="280"/>
              <w:rPr>
                <w:rFonts w:hint="eastAsia"/>
                <w:color w:val="000000" w:themeColor="text1"/>
                <w14:textFill>
                  <w14:solidFill>
                    <w14:schemeClr w14:val="tx1"/>
                  </w14:solidFill>
                </w14:textFill>
              </w:rPr>
            </w:pPr>
          </w:p>
        </w:tc>
        <w:tc>
          <w:tcPr>
            <w:tcW w:w="977" w:type="pct"/>
            <w:gridSpan w:val="3"/>
            <w:vMerge w:val="continue"/>
            <w:vAlign w:val="center"/>
          </w:tcPr>
          <w:p w14:paraId="5A79E703">
            <w:pPr>
              <w:pStyle w:val="280"/>
              <w:rPr>
                <w:rFonts w:hint="eastAsia"/>
                <w:color w:val="000000" w:themeColor="text1"/>
                <w14:textFill>
                  <w14:solidFill>
                    <w14:schemeClr w14:val="tx1"/>
                  </w14:solidFill>
                </w14:textFill>
              </w:rPr>
            </w:pPr>
          </w:p>
        </w:tc>
        <w:tc>
          <w:tcPr>
            <w:tcW w:w="503" w:type="pct"/>
            <w:vMerge w:val="continue"/>
            <w:vAlign w:val="center"/>
          </w:tcPr>
          <w:p w14:paraId="11A0481E">
            <w:pPr>
              <w:pStyle w:val="280"/>
              <w:rPr>
                <w:rFonts w:hint="eastAsia"/>
                <w:color w:val="000000" w:themeColor="text1"/>
                <w14:textFill>
                  <w14:solidFill>
                    <w14:schemeClr w14:val="tx1"/>
                  </w14:solidFill>
                </w14:textFill>
              </w:rPr>
            </w:pPr>
          </w:p>
        </w:tc>
        <w:tc>
          <w:tcPr>
            <w:tcW w:w="483" w:type="pct"/>
            <w:tcBorders>
              <w:top w:val="single" w:color="auto" w:sz="4" w:space="0"/>
            </w:tcBorders>
            <w:vAlign w:val="center"/>
          </w:tcPr>
          <w:p w14:paraId="4CFB5B33">
            <w:pPr>
              <w:pStyle w:val="280"/>
              <w:rPr>
                <w:rFonts w:hint="eastAsia"/>
                <w:b/>
                <w:color w:val="000000" w:themeColor="text1"/>
                <w14:textFill>
                  <w14:solidFill>
                    <w14:schemeClr w14:val="tx1"/>
                  </w14:solidFill>
                </w14:textFill>
              </w:rPr>
            </w:pPr>
            <w:r>
              <w:rPr>
                <w:rFonts w:hint="eastAsia"/>
                <w:color w:val="000000" w:themeColor="text1"/>
                <w14:textFill>
                  <w14:solidFill>
                    <w14:schemeClr w14:val="tx1"/>
                  </w14:solidFill>
                </w14:textFill>
              </w:rPr>
              <w:t>永久征地</w:t>
            </w:r>
          </w:p>
        </w:tc>
        <w:tc>
          <w:tcPr>
            <w:tcW w:w="483" w:type="pct"/>
            <w:vAlign w:val="center"/>
          </w:tcPr>
          <w:p w14:paraId="61E6851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临时占地</w:t>
            </w:r>
          </w:p>
        </w:tc>
        <w:tc>
          <w:tcPr>
            <w:tcW w:w="484" w:type="pct"/>
            <w:tcBorders>
              <w:right w:val="single" w:color="auto" w:sz="4" w:space="0"/>
            </w:tcBorders>
            <w:vAlign w:val="center"/>
          </w:tcPr>
          <w:p w14:paraId="638DEF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943" w:type="pct"/>
            <w:vMerge w:val="continue"/>
            <w:tcBorders>
              <w:left w:val="single" w:color="auto" w:sz="4" w:space="0"/>
            </w:tcBorders>
            <w:vAlign w:val="center"/>
          </w:tcPr>
          <w:p w14:paraId="571871B4">
            <w:pPr>
              <w:pStyle w:val="280"/>
              <w:rPr>
                <w:rFonts w:hint="eastAsia"/>
                <w:color w:val="000000" w:themeColor="text1"/>
                <w14:textFill>
                  <w14:solidFill>
                    <w14:schemeClr w14:val="tx1"/>
                  </w14:solidFill>
                </w14:textFill>
              </w:rPr>
            </w:pPr>
          </w:p>
        </w:tc>
        <w:tc>
          <w:tcPr>
            <w:tcW w:w="856" w:type="pct"/>
            <w:vMerge w:val="continue"/>
            <w:tcBorders>
              <w:left w:val="single" w:color="auto" w:sz="4" w:space="0"/>
            </w:tcBorders>
            <w:vAlign w:val="center"/>
          </w:tcPr>
          <w:p w14:paraId="5FCEF821">
            <w:pPr>
              <w:pStyle w:val="280"/>
              <w:rPr>
                <w:rFonts w:hint="eastAsia"/>
                <w:color w:val="000000" w:themeColor="text1"/>
                <w14:textFill>
                  <w14:solidFill>
                    <w14:schemeClr w14:val="tx1"/>
                  </w14:solidFill>
                </w14:textFill>
              </w:rPr>
            </w:pPr>
          </w:p>
        </w:tc>
      </w:tr>
      <w:tr w14:paraId="2E1838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gridAfter w:val="1"/>
          <w:wAfter w:w="22" w:type="pct"/>
          <w:trHeight w:val="548" w:hRule="atLeast"/>
          <w:jc w:val="center"/>
        </w:trPr>
        <w:tc>
          <w:tcPr>
            <w:tcW w:w="243" w:type="pct"/>
            <w:vMerge w:val="restart"/>
            <w:vAlign w:val="center"/>
          </w:tcPr>
          <w:p w14:paraId="27911D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43" w:type="pct"/>
            <w:vMerge w:val="restart"/>
            <w:tcBorders>
              <w:right w:val="single" w:color="auto" w:sz="4" w:space="0"/>
            </w:tcBorders>
            <w:vAlign w:val="center"/>
          </w:tcPr>
          <w:p w14:paraId="051EA57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w:t>
            </w:r>
          </w:p>
        </w:tc>
        <w:tc>
          <w:tcPr>
            <w:tcW w:w="303" w:type="pct"/>
            <w:vMerge w:val="restart"/>
            <w:tcBorders>
              <w:left w:val="single" w:color="auto" w:sz="4" w:space="0"/>
              <w:right w:val="single" w:color="auto" w:sz="4" w:space="0"/>
            </w:tcBorders>
            <w:vAlign w:val="center"/>
          </w:tcPr>
          <w:p w14:paraId="03BD7A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单井井场</w:t>
            </w:r>
          </w:p>
        </w:tc>
        <w:tc>
          <w:tcPr>
            <w:tcW w:w="430" w:type="pct"/>
            <w:tcBorders>
              <w:left w:val="single" w:color="auto" w:sz="4" w:space="0"/>
              <w:bottom w:val="single" w:color="auto" w:sz="4" w:space="0"/>
            </w:tcBorders>
            <w:vAlign w:val="center"/>
          </w:tcPr>
          <w:p w14:paraId="17143EC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J6093A</w:t>
            </w:r>
          </w:p>
        </w:tc>
        <w:tc>
          <w:tcPr>
            <w:tcW w:w="503" w:type="pct"/>
            <w:tcBorders>
              <w:bottom w:val="single" w:color="auto" w:sz="4" w:space="0"/>
            </w:tcBorders>
            <w:vAlign w:val="center"/>
          </w:tcPr>
          <w:p w14:paraId="7EB94F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1座</w:t>
            </w:r>
          </w:p>
        </w:tc>
        <w:tc>
          <w:tcPr>
            <w:tcW w:w="483" w:type="pct"/>
            <w:tcBorders>
              <w:bottom w:val="single" w:color="auto" w:sz="4" w:space="0"/>
            </w:tcBorders>
            <w:vAlign w:val="center"/>
          </w:tcPr>
          <w:p w14:paraId="262341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750</w:t>
            </w:r>
          </w:p>
        </w:tc>
        <w:tc>
          <w:tcPr>
            <w:tcW w:w="483" w:type="pct"/>
            <w:tcBorders>
              <w:bottom w:val="single" w:color="auto" w:sz="4" w:space="0"/>
            </w:tcBorders>
            <w:vAlign w:val="center"/>
          </w:tcPr>
          <w:p w14:paraId="319CEB1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4775</w:t>
            </w:r>
          </w:p>
        </w:tc>
        <w:tc>
          <w:tcPr>
            <w:tcW w:w="484" w:type="pct"/>
            <w:tcBorders>
              <w:bottom w:val="single" w:color="auto" w:sz="4" w:space="0"/>
              <w:right w:val="single" w:color="auto" w:sz="4" w:space="0"/>
            </w:tcBorders>
            <w:vAlign w:val="center"/>
          </w:tcPr>
          <w:p w14:paraId="6BF485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5525</w:t>
            </w:r>
          </w:p>
        </w:tc>
        <w:tc>
          <w:tcPr>
            <w:tcW w:w="943" w:type="pct"/>
            <w:vMerge w:val="restart"/>
            <w:tcBorders>
              <w:left w:val="single" w:color="auto" w:sz="4" w:space="0"/>
            </w:tcBorders>
            <w:vAlign w:val="center"/>
          </w:tcPr>
          <w:p w14:paraId="1E9F96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钻井井场：单座尺寸85×65m</w:t>
            </w:r>
          </w:p>
          <w:p w14:paraId="6B6C515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永久占地：单座尺寸25×30m</w:t>
            </w:r>
          </w:p>
        </w:tc>
        <w:tc>
          <w:tcPr>
            <w:tcW w:w="856" w:type="pct"/>
            <w:tcBorders>
              <w:left w:val="single" w:color="auto" w:sz="4" w:space="0"/>
              <w:bottom w:val="single" w:color="auto" w:sz="4" w:space="0"/>
            </w:tcBorders>
            <w:vAlign w:val="center"/>
          </w:tcPr>
          <w:p w14:paraId="357A40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天然牧草地、采矿用地</w:t>
            </w:r>
          </w:p>
        </w:tc>
      </w:tr>
      <w:tr w14:paraId="79A649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gridAfter w:val="1"/>
          <w:wAfter w:w="22" w:type="pct"/>
          <w:trHeight w:val="422" w:hRule="atLeast"/>
          <w:jc w:val="center"/>
        </w:trPr>
        <w:tc>
          <w:tcPr>
            <w:tcW w:w="243" w:type="pct"/>
            <w:vMerge w:val="continue"/>
            <w:vAlign w:val="center"/>
          </w:tcPr>
          <w:p w14:paraId="722C3B84">
            <w:pPr>
              <w:pStyle w:val="280"/>
              <w:rPr>
                <w:rFonts w:hint="eastAsia"/>
                <w:color w:val="000000" w:themeColor="text1"/>
                <w14:textFill>
                  <w14:solidFill>
                    <w14:schemeClr w14:val="tx1"/>
                  </w14:solidFill>
                </w14:textFill>
              </w:rPr>
            </w:pPr>
          </w:p>
        </w:tc>
        <w:tc>
          <w:tcPr>
            <w:tcW w:w="243" w:type="pct"/>
            <w:vMerge w:val="continue"/>
            <w:tcBorders>
              <w:right w:val="single" w:color="auto" w:sz="4" w:space="0"/>
            </w:tcBorders>
            <w:vAlign w:val="center"/>
          </w:tcPr>
          <w:p w14:paraId="25F43882">
            <w:pPr>
              <w:pStyle w:val="280"/>
              <w:rPr>
                <w:rFonts w:hint="eastAsia"/>
                <w:color w:val="000000" w:themeColor="text1"/>
                <w14:textFill>
                  <w14:solidFill>
                    <w14:schemeClr w14:val="tx1"/>
                  </w14:solidFill>
                </w14:textFill>
              </w:rPr>
            </w:pPr>
          </w:p>
        </w:tc>
        <w:tc>
          <w:tcPr>
            <w:tcW w:w="303" w:type="pct"/>
            <w:vMerge w:val="continue"/>
            <w:tcBorders>
              <w:left w:val="single" w:color="auto" w:sz="4" w:space="0"/>
              <w:right w:val="single" w:color="auto" w:sz="4" w:space="0"/>
            </w:tcBorders>
            <w:vAlign w:val="center"/>
          </w:tcPr>
          <w:p w14:paraId="252888F4">
            <w:pPr>
              <w:pStyle w:val="280"/>
              <w:rPr>
                <w:rFonts w:hint="eastAsia"/>
                <w:color w:val="000000" w:themeColor="text1"/>
                <w14:textFill>
                  <w14:solidFill>
                    <w14:schemeClr w14:val="tx1"/>
                  </w14:solidFill>
                </w14:textFill>
              </w:rPr>
            </w:pPr>
          </w:p>
        </w:tc>
        <w:tc>
          <w:tcPr>
            <w:tcW w:w="430" w:type="pct"/>
            <w:tcBorders>
              <w:top w:val="single" w:color="auto" w:sz="4" w:space="0"/>
              <w:left w:val="single" w:color="auto" w:sz="4" w:space="0"/>
            </w:tcBorders>
            <w:vAlign w:val="center"/>
          </w:tcPr>
          <w:p w14:paraId="1F1AB5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JD8664A井</w:t>
            </w:r>
          </w:p>
        </w:tc>
        <w:tc>
          <w:tcPr>
            <w:tcW w:w="503" w:type="pct"/>
            <w:tcBorders>
              <w:top w:val="single" w:color="auto" w:sz="4" w:space="0"/>
            </w:tcBorders>
            <w:vAlign w:val="center"/>
          </w:tcPr>
          <w:p w14:paraId="5EA59CE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1座</w:t>
            </w:r>
          </w:p>
        </w:tc>
        <w:tc>
          <w:tcPr>
            <w:tcW w:w="483" w:type="pct"/>
            <w:tcBorders>
              <w:top w:val="single" w:color="auto" w:sz="4" w:space="0"/>
            </w:tcBorders>
            <w:vAlign w:val="center"/>
          </w:tcPr>
          <w:p w14:paraId="1281E3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750</w:t>
            </w:r>
          </w:p>
        </w:tc>
        <w:tc>
          <w:tcPr>
            <w:tcW w:w="483" w:type="pct"/>
            <w:tcBorders>
              <w:top w:val="single" w:color="auto" w:sz="4" w:space="0"/>
            </w:tcBorders>
            <w:vAlign w:val="center"/>
          </w:tcPr>
          <w:p w14:paraId="1BF5F0B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4775</w:t>
            </w:r>
          </w:p>
        </w:tc>
        <w:tc>
          <w:tcPr>
            <w:tcW w:w="484" w:type="pct"/>
            <w:tcBorders>
              <w:top w:val="single" w:color="auto" w:sz="4" w:space="0"/>
              <w:right w:val="single" w:color="auto" w:sz="4" w:space="0"/>
            </w:tcBorders>
            <w:vAlign w:val="center"/>
          </w:tcPr>
          <w:p w14:paraId="4520B0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5525</w:t>
            </w:r>
          </w:p>
        </w:tc>
        <w:tc>
          <w:tcPr>
            <w:tcW w:w="943" w:type="pct"/>
            <w:vMerge w:val="continue"/>
            <w:tcBorders>
              <w:left w:val="single" w:color="auto" w:sz="4" w:space="0"/>
            </w:tcBorders>
            <w:vAlign w:val="center"/>
          </w:tcPr>
          <w:p w14:paraId="122CF476">
            <w:pPr>
              <w:pStyle w:val="280"/>
              <w:rPr>
                <w:rFonts w:hint="eastAsia"/>
                <w:color w:val="000000" w:themeColor="text1"/>
                <w14:textFill>
                  <w14:solidFill>
                    <w14:schemeClr w14:val="tx1"/>
                  </w14:solidFill>
                </w14:textFill>
              </w:rPr>
            </w:pPr>
          </w:p>
        </w:tc>
        <w:tc>
          <w:tcPr>
            <w:tcW w:w="856" w:type="pct"/>
            <w:tcBorders>
              <w:top w:val="single" w:color="auto" w:sz="4" w:space="0"/>
              <w:left w:val="single" w:color="auto" w:sz="4" w:space="0"/>
            </w:tcBorders>
            <w:vAlign w:val="center"/>
          </w:tcPr>
          <w:p w14:paraId="61AB09D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其他园地</w:t>
            </w:r>
          </w:p>
        </w:tc>
      </w:tr>
      <w:tr w14:paraId="777CA0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trHeight w:val="281" w:hRule="atLeast"/>
          <w:jc w:val="center"/>
        </w:trPr>
        <w:tc>
          <w:tcPr>
            <w:tcW w:w="243" w:type="pct"/>
            <w:vMerge w:val="restart"/>
            <w:vAlign w:val="center"/>
          </w:tcPr>
          <w:p w14:paraId="7B60F0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43" w:type="pct"/>
            <w:vMerge w:val="continue"/>
            <w:tcBorders>
              <w:right w:val="single" w:color="auto" w:sz="4" w:space="0"/>
            </w:tcBorders>
            <w:vAlign w:val="center"/>
          </w:tcPr>
          <w:p w14:paraId="5103D4D9">
            <w:pPr>
              <w:pStyle w:val="280"/>
              <w:rPr>
                <w:rFonts w:hint="eastAsia"/>
                <w:color w:val="000000" w:themeColor="text1"/>
                <w14:textFill>
                  <w14:solidFill>
                    <w14:schemeClr w14:val="tx1"/>
                  </w14:solidFill>
                </w14:textFill>
              </w:rPr>
            </w:pPr>
          </w:p>
        </w:tc>
        <w:tc>
          <w:tcPr>
            <w:tcW w:w="303" w:type="pct"/>
            <w:vMerge w:val="restart"/>
            <w:tcBorders>
              <w:left w:val="single" w:color="auto" w:sz="4" w:space="0"/>
              <w:right w:val="single" w:color="auto" w:sz="4" w:space="0"/>
            </w:tcBorders>
            <w:vAlign w:val="center"/>
          </w:tcPr>
          <w:p w14:paraId="1B096EF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2井平台井场</w:t>
            </w:r>
          </w:p>
        </w:tc>
        <w:tc>
          <w:tcPr>
            <w:tcW w:w="430" w:type="pct"/>
            <w:tcBorders>
              <w:left w:val="single" w:color="auto" w:sz="4" w:space="0"/>
              <w:bottom w:val="single" w:color="auto" w:sz="4" w:space="0"/>
            </w:tcBorders>
            <w:vAlign w:val="center"/>
          </w:tcPr>
          <w:p w14:paraId="53F29CF2">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平台-1</w:t>
            </w:r>
          </w:p>
        </w:tc>
        <w:tc>
          <w:tcPr>
            <w:tcW w:w="503" w:type="pct"/>
            <w:tcBorders>
              <w:bottom w:val="single" w:color="auto" w:sz="4" w:space="0"/>
            </w:tcBorders>
            <w:vAlign w:val="center"/>
          </w:tcPr>
          <w:p w14:paraId="1D7BD7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1座</w:t>
            </w:r>
          </w:p>
        </w:tc>
        <w:tc>
          <w:tcPr>
            <w:tcW w:w="483" w:type="pct"/>
            <w:tcBorders>
              <w:bottom w:val="single" w:color="auto" w:sz="4" w:space="0"/>
            </w:tcBorders>
            <w:vAlign w:val="center"/>
          </w:tcPr>
          <w:p w14:paraId="3319EA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3000</w:t>
            </w:r>
          </w:p>
        </w:tc>
        <w:tc>
          <w:tcPr>
            <w:tcW w:w="483" w:type="pct"/>
            <w:tcBorders>
              <w:bottom w:val="single" w:color="auto" w:sz="4" w:space="0"/>
            </w:tcBorders>
            <w:vAlign w:val="center"/>
          </w:tcPr>
          <w:p w14:paraId="043B09A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3175</w:t>
            </w:r>
          </w:p>
        </w:tc>
        <w:tc>
          <w:tcPr>
            <w:tcW w:w="484" w:type="pct"/>
            <w:tcBorders>
              <w:bottom w:val="single" w:color="auto" w:sz="4" w:space="0"/>
              <w:right w:val="single" w:color="auto" w:sz="4" w:space="0"/>
            </w:tcBorders>
            <w:vAlign w:val="center"/>
          </w:tcPr>
          <w:p w14:paraId="67ED7A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6175</w:t>
            </w:r>
          </w:p>
        </w:tc>
        <w:tc>
          <w:tcPr>
            <w:tcW w:w="943" w:type="pct"/>
            <w:vMerge w:val="restart"/>
            <w:tcBorders>
              <w:left w:val="single" w:color="auto" w:sz="4" w:space="0"/>
            </w:tcBorders>
            <w:vAlign w:val="center"/>
          </w:tcPr>
          <w:p w14:paraId="1C90846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钻井井场：单座尺寸95×65m</w:t>
            </w:r>
          </w:p>
          <w:p w14:paraId="6F3320E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永久占地：单座尺寸50×60m</w:t>
            </w:r>
          </w:p>
        </w:tc>
        <w:tc>
          <w:tcPr>
            <w:tcW w:w="878" w:type="pct"/>
            <w:gridSpan w:val="2"/>
            <w:vMerge w:val="restart"/>
            <w:tcBorders>
              <w:left w:val="single" w:color="auto" w:sz="4" w:space="0"/>
            </w:tcBorders>
            <w:vAlign w:val="center"/>
          </w:tcPr>
          <w:p w14:paraId="1782297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天然牧草地、采矿用地</w:t>
            </w:r>
          </w:p>
        </w:tc>
      </w:tr>
      <w:tr w14:paraId="6FFF3D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trHeight w:val="365" w:hRule="atLeast"/>
          <w:jc w:val="center"/>
        </w:trPr>
        <w:tc>
          <w:tcPr>
            <w:tcW w:w="243" w:type="pct"/>
            <w:vMerge w:val="continue"/>
            <w:vAlign w:val="center"/>
          </w:tcPr>
          <w:p w14:paraId="032DEC44">
            <w:pPr>
              <w:pStyle w:val="280"/>
              <w:rPr>
                <w:rFonts w:hint="eastAsia"/>
                <w:color w:val="000000" w:themeColor="text1"/>
                <w14:textFill>
                  <w14:solidFill>
                    <w14:schemeClr w14:val="tx1"/>
                  </w14:solidFill>
                </w14:textFill>
              </w:rPr>
            </w:pPr>
          </w:p>
        </w:tc>
        <w:tc>
          <w:tcPr>
            <w:tcW w:w="243" w:type="pct"/>
            <w:vMerge w:val="continue"/>
            <w:tcBorders>
              <w:right w:val="single" w:color="auto" w:sz="4" w:space="0"/>
            </w:tcBorders>
            <w:vAlign w:val="center"/>
          </w:tcPr>
          <w:p w14:paraId="13CD9C49">
            <w:pPr>
              <w:pStyle w:val="280"/>
              <w:rPr>
                <w:rFonts w:hint="eastAsia"/>
                <w:color w:val="000000" w:themeColor="text1"/>
                <w14:textFill>
                  <w14:solidFill>
                    <w14:schemeClr w14:val="tx1"/>
                  </w14:solidFill>
                </w14:textFill>
              </w:rPr>
            </w:pPr>
          </w:p>
        </w:tc>
        <w:tc>
          <w:tcPr>
            <w:tcW w:w="303" w:type="pct"/>
            <w:vMerge w:val="continue"/>
            <w:tcBorders>
              <w:left w:val="single" w:color="auto" w:sz="4" w:space="0"/>
              <w:right w:val="single" w:color="auto" w:sz="4" w:space="0"/>
            </w:tcBorders>
            <w:vAlign w:val="center"/>
          </w:tcPr>
          <w:p w14:paraId="51F15D1C">
            <w:pPr>
              <w:pStyle w:val="280"/>
              <w:rPr>
                <w:rFonts w:hint="eastAsia"/>
                <w:color w:val="000000" w:themeColor="text1"/>
                <w14:textFill>
                  <w14:solidFill>
                    <w14:schemeClr w14:val="tx1"/>
                  </w14:solidFill>
                </w14:textFill>
              </w:rPr>
            </w:pPr>
          </w:p>
        </w:tc>
        <w:tc>
          <w:tcPr>
            <w:tcW w:w="430" w:type="pct"/>
            <w:tcBorders>
              <w:top w:val="single" w:color="auto" w:sz="4" w:space="0"/>
              <w:left w:val="single" w:color="auto" w:sz="4" w:space="0"/>
              <w:bottom w:val="single" w:color="auto" w:sz="4" w:space="0"/>
            </w:tcBorders>
            <w:vAlign w:val="center"/>
          </w:tcPr>
          <w:p w14:paraId="338DDBAE">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平台-2</w:t>
            </w:r>
          </w:p>
        </w:tc>
        <w:tc>
          <w:tcPr>
            <w:tcW w:w="503" w:type="pct"/>
            <w:tcBorders>
              <w:top w:val="single" w:color="auto" w:sz="4" w:space="0"/>
              <w:bottom w:val="single" w:color="auto" w:sz="4" w:space="0"/>
            </w:tcBorders>
            <w:vAlign w:val="center"/>
          </w:tcPr>
          <w:p w14:paraId="64317A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1座</w:t>
            </w:r>
          </w:p>
        </w:tc>
        <w:tc>
          <w:tcPr>
            <w:tcW w:w="483" w:type="pct"/>
            <w:tcBorders>
              <w:top w:val="single" w:color="auto" w:sz="4" w:space="0"/>
              <w:bottom w:val="single" w:color="auto" w:sz="4" w:space="0"/>
            </w:tcBorders>
            <w:vAlign w:val="center"/>
          </w:tcPr>
          <w:p w14:paraId="592BD3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3000</w:t>
            </w:r>
          </w:p>
        </w:tc>
        <w:tc>
          <w:tcPr>
            <w:tcW w:w="483" w:type="pct"/>
            <w:tcBorders>
              <w:top w:val="single" w:color="auto" w:sz="4" w:space="0"/>
              <w:bottom w:val="single" w:color="auto" w:sz="4" w:space="0"/>
            </w:tcBorders>
            <w:vAlign w:val="center"/>
          </w:tcPr>
          <w:p w14:paraId="015D9EB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3175</w:t>
            </w:r>
          </w:p>
        </w:tc>
        <w:tc>
          <w:tcPr>
            <w:tcW w:w="484" w:type="pct"/>
            <w:tcBorders>
              <w:top w:val="single" w:color="auto" w:sz="4" w:space="0"/>
              <w:bottom w:val="single" w:color="auto" w:sz="4" w:space="0"/>
              <w:right w:val="single" w:color="auto" w:sz="4" w:space="0"/>
            </w:tcBorders>
            <w:vAlign w:val="center"/>
          </w:tcPr>
          <w:p w14:paraId="7F9E4A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6175</w:t>
            </w:r>
          </w:p>
        </w:tc>
        <w:tc>
          <w:tcPr>
            <w:tcW w:w="943" w:type="pct"/>
            <w:vMerge w:val="continue"/>
            <w:tcBorders>
              <w:left w:val="single" w:color="auto" w:sz="4" w:space="0"/>
            </w:tcBorders>
            <w:vAlign w:val="center"/>
          </w:tcPr>
          <w:p w14:paraId="76AF9F74">
            <w:pPr>
              <w:pStyle w:val="280"/>
              <w:rPr>
                <w:rFonts w:hint="eastAsia"/>
                <w:color w:val="000000" w:themeColor="text1"/>
                <w14:textFill>
                  <w14:solidFill>
                    <w14:schemeClr w14:val="tx1"/>
                  </w14:solidFill>
                </w14:textFill>
              </w:rPr>
            </w:pPr>
          </w:p>
        </w:tc>
        <w:tc>
          <w:tcPr>
            <w:tcW w:w="878" w:type="pct"/>
            <w:gridSpan w:val="2"/>
            <w:vMerge w:val="continue"/>
            <w:tcBorders>
              <w:left w:val="single" w:color="auto" w:sz="4" w:space="0"/>
            </w:tcBorders>
            <w:vAlign w:val="center"/>
          </w:tcPr>
          <w:p w14:paraId="4A851EE6">
            <w:pPr>
              <w:pStyle w:val="280"/>
              <w:rPr>
                <w:rFonts w:hint="eastAsia"/>
                <w:color w:val="000000" w:themeColor="text1"/>
                <w14:textFill>
                  <w14:solidFill>
                    <w14:schemeClr w14:val="tx1"/>
                  </w14:solidFill>
                </w14:textFill>
              </w:rPr>
            </w:pPr>
          </w:p>
        </w:tc>
      </w:tr>
      <w:tr w14:paraId="21ACD5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trHeight w:val="334" w:hRule="atLeast"/>
          <w:jc w:val="center"/>
        </w:trPr>
        <w:tc>
          <w:tcPr>
            <w:tcW w:w="243" w:type="pct"/>
            <w:vMerge w:val="continue"/>
            <w:vAlign w:val="center"/>
          </w:tcPr>
          <w:p w14:paraId="2DF4243E">
            <w:pPr>
              <w:pStyle w:val="280"/>
              <w:rPr>
                <w:rFonts w:hint="eastAsia"/>
                <w:color w:val="000000" w:themeColor="text1"/>
                <w14:textFill>
                  <w14:solidFill>
                    <w14:schemeClr w14:val="tx1"/>
                  </w14:solidFill>
                </w14:textFill>
              </w:rPr>
            </w:pPr>
          </w:p>
        </w:tc>
        <w:tc>
          <w:tcPr>
            <w:tcW w:w="243" w:type="pct"/>
            <w:vMerge w:val="continue"/>
            <w:tcBorders>
              <w:right w:val="single" w:color="auto" w:sz="4" w:space="0"/>
            </w:tcBorders>
            <w:vAlign w:val="center"/>
          </w:tcPr>
          <w:p w14:paraId="0A1F2EC6">
            <w:pPr>
              <w:pStyle w:val="280"/>
              <w:rPr>
                <w:rFonts w:hint="eastAsia"/>
                <w:color w:val="000000" w:themeColor="text1"/>
                <w14:textFill>
                  <w14:solidFill>
                    <w14:schemeClr w14:val="tx1"/>
                  </w14:solidFill>
                </w14:textFill>
              </w:rPr>
            </w:pPr>
          </w:p>
        </w:tc>
        <w:tc>
          <w:tcPr>
            <w:tcW w:w="303" w:type="pct"/>
            <w:vMerge w:val="continue"/>
            <w:tcBorders>
              <w:left w:val="single" w:color="auto" w:sz="4" w:space="0"/>
              <w:right w:val="single" w:color="auto" w:sz="4" w:space="0"/>
            </w:tcBorders>
            <w:vAlign w:val="center"/>
          </w:tcPr>
          <w:p w14:paraId="69522A02">
            <w:pPr>
              <w:pStyle w:val="280"/>
              <w:rPr>
                <w:rFonts w:hint="eastAsia"/>
                <w:color w:val="000000" w:themeColor="text1"/>
                <w14:textFill>
                  <w14:solidFill>
                    <w14:schemeClr w14:val="tx1"/>
                  </w14:solidFill>
                </w14:textFill>
              </w:rPr>
            </w:pPr>
          </w:p>
        </w:tc>
        <w:tc>
          <w:tcPr>
            <w:tcW w:w="430" w:type="pct"/>
            <w:tcBorders>
              <w:top w:val="single" w:color="auto" w:sz="4" w:space="0"/>
              <w:left w:val="single" w:color="auto" w:sz="4" w:space="0"/>
            </w:tcBorders>
            <w:vAlign w:val="center"/>
          </w:tcPr>
          <w:p w14:paraId="102284E4">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平台-3</w:t>
            </w:r>
          </w:p>
        </w:tc>
        <w:tc>
          <w:tcPr>
            <w:tcW w:w="503" w:type="pct"/>
            <w:tcBorders>
              <w:top w:val="single" w:color="auto" w:sz="4" w:space="0"/>
            </w:tcBorders>
            <w:vAlign w:val="center"/>
          </w:tcPr>
          <w:p w14:paraId="1750E37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1座</w:t>
            </w:r>
          </w:p>
        </w:tc>
        <w:tc>
          <w:tcPr>
            <w:tcW w:w="483" w:type="pct"/>
            <w:tcBorders>
              <w:top w:val="single" w:color="auto" w:sz="4" w:space="0"/>
            </w:tcBorders>
            <w:vAlign w:val="center"/>
          </w:tcPr>
          <w:p w14:paraId="15330E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3000</w:t>
            </w:r>
          </w:p>
        </w:tc>
        <w:tc>
          <w:tcPr>
            <w:tcW w:w="483" w:type="pct"/>
            <w:tcBorders>
              <w:top w:val="single" w:color="auto" w:sz="4" w:space="0"/>
            </w:tcBorders>
            <w:vAlign w:val="center"/>
          </w:tcPr>
          <w:p w14:paraId="62BBFB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3175</w:t>
            </w:r>
          </w:p>
        </w:tc>
        <w:tc>
          <w:tcPr>
            <w:tcW w:w="484" w:type="pct"/>
            <w:tcBorders>
              <w:top w:val="single" w:color="auto" w:sz="4" w:space="0"/>
              <w:right w:val="single" w:color="auto" w:sz="4" w:space="0"/>
            </w:tcBorders>
            <w:vAlign w:val="center"/>
          </w:tcPr>
          <w:p w14:paraId="609C058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6175</w:t>
            </w:r>
          </w:p>
        </w:tc>
        <w:tc>
          <w:tcPr>
            <w:tcW w:w="943" w:type="pct"/>
            <w:vMerge w:val="continue"/>
            <w:tcBorders>
              <w:left w:val="single" w:color="auto" w:sz="4" w:space="0"/>
            </w:tcBorders>
            <w:vAlign w:val="center"/>
          </w:tcPr>
          <w:p w14:paraId="5C8E09E0">
            <w:pPr>
              <w:pStyle w:val="280"/>
              <w:rPr>
                <w:rFonts w:hint="eastAsia"/>
                <w:color w:val="000000" w:themeColor="text1"/>
                <w14:textFill>
                  <w14:solidFill>
                    <w14:schemeClr w14:val="tx1"/>
                  </w14:solidFill>
                </w14:textFill>
              </w:rPr>
            </w:pPr>
          </w:p>
        </w:tc>
        <w:tc>
          <w:tcPr>
            <w:tcW w:w="878" w:type="pct"/>
            <w:gridSpan w:val="2"/>
            <w:vMerge w:val="continue"/>
            <w:tcBorders>
              <w:left w:val="single" w:color="auto" w:sz="4" w:space="0"/>
            </w:tcBorders>
            <w:vAlign w:val="center"/>
          </w:tcPr>
          <w:p w14:paraId="501DC8CA">
            <w:pPr>
              <w:pStyle w:val="280"/>
              <w:rPr>
                <w:rFonts w:hint="eastAsia"/>
                <w:color w:val="000000" w:themeColor="text1"/>
                <w14:textFill>
                  <w14:solidFill>
                    <w14:schemeClr w14:val="tx1"/>
                  </w14:solidFill>
                </w14:textFill>
              </w:rPr>
            </w:pPr>
          </w:p>
        </w:tc>
      </w:tr>
      <w:tr w14:paraId="25C6D9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gridAfter w:val="1"/>
          <w:wAfter w:w="22" w:type="pct"/>
          <w:trHeight w:val="340" w:hRule="atLeast"/>
          <w:jc w:val="center"/>
        </w:trPr>
        <w:tc>
          <w:tcPr>
            <w:tcW w:w="243" w:type="pct"/>
            <w:vAlign w:val="center"/>
          </w:tcPr>
          <w:p w14:paraId="58F62BD4">
            <w:pPr>
              <w:pStyle w:val="28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977" w:type="pct"/>
            <w:gridSpan w:val="3"/>
            <w:vAlign w:val="center"/>
          </w:tcPr>
          <w:p w14:paraId="76FC3C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单井采油</w:t>
            </w:r>
          </w:p>
          <w:p w14:paraId="459BAF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管线/单井掺热水管线</w:t>
            </w:r>
          </w:p>
        </w:tc>
        <w:tc>
          <w:tcPr>
            <w:tcW w:w="503" w:type="pct"/>
            <w:vAlign w:val="center"/>
          </w:tcPr>
          <w:p w14:paraId="009D496B">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1.82km</w:t>
            </w:r>
          </w:p>
        </w:tc>
        <w:tc>
          <w:tcPr>
            <w:tcW w:w="483" w:type="pct"/>
            <w:vAlign w:val="center"/>
          </w:tcPr>
          <w:p w14:paraId="2D16341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3" w:type="pct"/>
            <w:vAlign w:val="center"/>
          </w:tcPr>
          <w:p w14:paraId="47D8FB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21840</w:t>
            </w:r>
          </w:p>
        </w:tc>
        <w:tc>
          <w:tcPr>
            <w:tcW w:w="484" w:type="pct"/>
            <w:tcBorders>
              <w:right w:val="single" w:color="auto" w:sz="4" w:space="0"/>
            </w:tcBorders>
            <w:vAlign w:val="center"/>
          </w:tcPr>
          <w:p w14:paraId="6A4465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21840</w:t>
            </w:r>
          </w:p>
        </w:tc>
        <w:tc>
          <w:tcPr>
            <w:tcW w:w="943" w:type="pct"/>
            <w:tcBorders>
              <w:left w:val="single" w:color="auto" w:sz="4" w:space="0"/>
            </w:tcBorders>
            <w:vAlign w:val="center"/>
          </w:tcPr>
          <w:p w14:paraId="5CFAD28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施工作业带宽度12m，单井采油</w:t>
            </w:r>
          </w:p>
          <w:p w14:paraId="1D6C9D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管线/单井掺热水管线同沟敷设</w:t>
            </w:r>
          </w:p>
        </w:tc>
        <w:tc>
          <w:tcPr>
            <w:tcW w:w="856" w:type="pct"/>
            <w:tcBorders>
              <w:left w:val="single" w:color="auto" w:sz="4" w:space="0"/>
            </w:tcBorders>
            <w:vAlign w:val="center"/>
          </w:tcPr>
          <w:p w14:paraId="6ADC70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天然牧草地、采矿用地</w:t>
            </w:r>
          </w:p>
        </w:tc>
      </w:tr>
      <w:tr w14:paraId="55FB94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gridAfter w:val="1"/>
          <w:wAfter w:w="22" w:type="pct"/>
          <w:trHeight w:val="340" w:hRule="atLeast"/>
          <w:jc w:val="center"/>
        </w:trPr>
        <w:tc>
          <w:tcPr>
            <w:tcW w:w="243" w:type="pct"/>
            <w:vAlign w:val="center"/>
          </w:tcPr>
          <w:p w14:paraId="589823D8">
            <w:pPr>
              <w:pStyle w:val="28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977" w:type="pct"/>
            <w:gridSpan w:val="3"/>
            <w:vAlign w:val="center"/>
          </w:tcPr>
          <w:p w14:paraId="5FA4094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单井注水管线</w:t>
            </w:r>
          </w:p>
        </w:tc>
        <w:tc>
          <w:tcPr>
            <w:tcW w:w="503" w:type="pct"/>
            <w:vAlign w:val="center"/>
          </w:tcPr>
          <w:p w14:paraId="3305EE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1.92</w:t>
            </w:r>
            <w:r>
              <w:rPr>
                <w:rFonts w:hint="eastAsia"/>
                <w:color w:val="000000" w:themeColor="text1"/>
                <w:lang w:bidi="ar"/>
                <w14:textFill>
                  <w14:solidFill>
                    <w14:schemeClr w14:val="tx1"/>
                  </w14:solidFill>
                </w14:textFill>
              </w:rPr>
              <w:t>km</w:t>
            </w:r>
          </w:p>
        </w:tc>
        <w:tc>
          <w:tcPr>
            <w:tcW w:w="483" w:type="pct"/>
            <w:vAlign w:val="center"/>
          </w:tcPr>
          <w:p w14:paraId="059B4CF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3" w:type="pct"/>
            <w:vAlign w:val="center"/>
          </w:tcPr>
          <w:p w14:paraId="31E4568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23040</w:t>
            </w:r>
          </w:p>
        </w:tc>
        <w:tc>
          <w:tcPr>
            <w:tcW w:w="484" w:type="pct"/>
            <w:tcBorders>
              <w:right w:val="single" w:color="auto" w:sz="4" w:space="0"/>
            </w:tcBorders>
            <w:vAlign w:val="center"/>
          </w:tcPr>
          <w:p w14:paraId="1FD7643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23040</w:t>
            </w:r>
          </w:p>
        </w:tc>
        <w:tc>
          <w:tcPr>
            <w:tcW w:w="943" w:type="pct"/>
            <w:tcBorders>
              <w:left w:val="single" w:color="auto" w:sz="4" w:space="0"/>
            </w:tcBorders>
            <w:vAlign w:val="center"/>
          </w:tcPr>
          <w:p w14:paraId="252D35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施工作业带宽度12m</w:t>
            </w:r>
          </w:p>
        </w:tc>
        <w:tc>
          <w:tcPr>
            <w:tcW w:w="856" w:type="pct"/>
            <w:tcBorders>
              <w:left w:val="single" w:color="auto" w:sz="4" w:space="0"/>
            </w:tcBorders>
            <w:vAlign w:val="center"/>
          </w:tcPr>
          <w:p w14:paraId="52710C8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天然牧草地、采矿用地、其他园地</w:t>
            </w:r>
          </w:p>
        </w:tc>
      </w:tr>
      <w:tr w14:paraId="526DBB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gridAfter w:val="1"/>
          <w:wAfter w:w="22" w:type="pct"/>
          <w:trHeight w:val="340" w:hRule="atLeast"/>
          <w:jc w:val="center"/>
        </w:trPr>
        <w:tc>
          <w:tcPr>
            <w:tcW w:w="243" w:type="pct"/>
            <w:vAlign w:val="center"/>
          </w:tcPr>
          <w:p w14:paraId="2F7168F5">
            <w:pPr>
              <w:pStyle w:val="28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977" w:type="pct"/>
            <w:gridSpan w:val="3"/>
            <w:vAlign w:val="center"/>
          </w:tcPr>
          <w:p w14:paraId="2CD43F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架空线路</w:t>
            </w:r>
          </w:p>
        </w:tc>
        <w:tc>
          <w:tcPr>
            <w:tcW w:w="503" w:type="pct"/>
            <w:vAlign w:val="center"/>
          </w:tcPr>
          <w:p w14:paraId="658A145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5km</w:t>
            </w:r>
          </w:p>
        </w:tc>
        <w:tc>
          <w:tcPr>
            <w:tcW w:w="483" w:type="pct"/>
            <w:vAlign w:val="center"/>
          </w:tcPr>
          <w:p w14:paraId="7D3C4FD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483" w:type="pct"/>
            <w:vAlign w:val="center"/>
          </w:tcPr>
          <w:p w14:paraId="0DD0927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14100</w:t>
            </w:r>
          </w:p>
        </w:tc>
        <w:tc>
          <w:tcPr>
            <w:tcW w:w="484" w:type="pct"/>
            <w:tcBorders>
              <w:right w:val="single" w:color="auto" w:sz="4" w:space="0"/>
            </w:tcBorders>
            <w:vAlign w:val="center"/>
          </w:tcPr>
          <w:p w14:paraId="159006F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15000</w:t>
            </w:r>
          </w:p>
        </w:tc>
        <w:tc>
          <w:tcPr>
            <w:tcW w:w="943" w:type="pct"/>
            <w:tcBorders>
              <w:left w:val="single" w:color="auto" w:sz="4" w:space="0"/>
            </w:tcBorders>
            <w:vAlign w:val="center"/>
          </w:tcPr>
          <w:p w14:paraId="516932B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施工作业带宽度3m</w:t>
            </w:r>
          </w:p>
        </w:tc>
        <w:tc>
          <w:tcPr>
            <w:tcW w:w="856" w:type="pct"/>
            <w:tcBorders>
              <w:left w:val="single" w:color="auto" w:sz="4" w:space="0"/>
            </w:tcBorders>
            <w:vAlign w:val="center"/>
          </w:tcPr>
          <w:p w14:paraId="4BCB54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天然牧草地、采矿用地</w:t>
            </w:r>
          </w:p>
        </w:tc>
      </w:tr>
      <w:tr w14:paraId="18610A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gridAfter w:val="1"/>
          <w:wAfter w:w="22" w:type="pct"/>
          <w:trHeight w:val="356" w:hRule="atLeast"/>
          <w:jc w:val="center"/>
        </w:trPr>
        <w:tc>
          <w:tcPr>
            <w:tcW w:w="243" w:type="pct"/>
            <w:vAlign w:val="center"/>
          </w:tcPr>
          <w:p w14:paraId="56CB9426">
            <w:pPr>
              <w:pStyle w:val="28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977" w:type="pct"/>
            <w:gridSpan w:val="3"/>
            <w:vAlign w:val="center"/>
          </w:tcPr>
          <w:p w14:paraId="5AFF515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巡检道路</w:t>
            </w:r>
          </w:p>
        </w:tc>
        <w:tc>
          <w:tcPr>
            <w:tcW w:w="503" w:type="pct"/>
            <w:vAlign w:val="center"/>
          </w:tcPr>
          <w:p w14:paraId="0FE15BA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236m</w:t>
            </w:r>
          </w:p>
        </w:tc>
        <w:tc>
          <w:tcPr>
            <w:tcW w:w="483" w:type="pct"/>
            <w:vAlign w:val="center"/>
          </w:tcPr>
          <w:p w14:paraId="538569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1062</w:t>
            </w:r>
          </w:p>
        </w:tc>
        <w:tc>
          <w:tcPr>
            <w:tcW w:w="483" w:type="pct"/>
            <w:vAlign w:val="center"/>
          </w:tcPr>
          <w:p w14:paraId="403CE67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84" w:type="pct"/>
            <w:tcBorders>
              <w:right w:val="single" w:color="auto" w:sz="4" w:space="0"/>
            </w:tcBorders>
            <w:vAlign w:val="center"/>
          </w:tcPr>
          <w:p w14:paraId="7B6310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1062</w:t>
            </w:r>
          </w:p>
        </w:tc>
        <w:tc>
          <w:tcPr>
            <w:tcW w:w="943" w:type="pct"/>
            <w:tcBorders>
              <w:left w:val="single" w:color="auto" w:sz="4" w:space="0"/>
            </w:tcBorders>
            <w:vAlign w:val="center"/>
          </w:tcPr>
          <w:p w14:paraId="228BDF9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路宽4.5m</w:t>
            </w:r>
          </w:p>
        </w:tc>
        <w:tc>
          <w:tcPr>
            <w:tcW w:w="856" w:type="pct"/>
            <w:tcBorders>
              <w:left w:val="single" w:color="auto" w:sz="4" w:space="0"/>
            </w:tcBorders>
            <w:vAlign w:val="center"/>
          </w:tcPr>
          <w:p w14:paraId="6B0E22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天然牧草地、采矿用地</w:t>
            </w:r>
          </w:p>
        </w:tc>
      </w:tr>
      <w:tr w14:paraId="3FA7AA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6" w:type="dxa"/>
            <w:bottom w:w="0" w:type="dxa"/>
            <w:right w:w="6" w:type="dxa"/>
          </w:tblCellMar>
        </w:tblPrEx>
        <w:trPr>
          <w:gridAfter w:val="1"/>
          <w:wAfter w:w="22" w:type="pct"/>
          <w:trHeight w:val="340" w:hRule="atLeast"/>
          <w:jc w:val="center"/>
        </w:trPr>
        <w:tc>
          <w:tcPr>
            <w:tcW w:w="243" w:type="pct"/>
            <w:vAlign w:val="center"/>
          </w:tcPr>
          <w:p w14:paraId="5DCB226F">
            <w:pPr>
              <w:pStyle w:val="28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977" w:type="pct"/>
            <w:gridSpan w:val="3"/>
            <w:vAlign w:val="center"/>
          </w:tcPr>
          <w:p w14:paraId="54F4DF6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503" w:type="pct"/>
            <w:vAlign w:val="center"/>
          </w:tcPr>
          <w:p w14:paraId="512A6B0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83" w:type="pct"/>
            <w:vAlign w:val="center"/>
          </w:tcPr>
          <w:p w14:paraId="6358966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12462</w:t>
            </w:r>
          </w:p>
        </w:tc>
        <w:tc>
          <w:tcPr>
            <w:tcW w:w="483" w:type="pct"/>
            <w:vAlign w:val="center"/>
          </w:tcPr>
          <w:p w14:paraId="588EC35C">
            <w:pPr>
              <w:pStyle w:val="280"/>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78055</w:t>
            </w:r>
          </w:p>
        </w:tc>
        <w:tc>
          <w:tcPr>
            <w:tcW w:w="484" w:type="pct"/>
            <w:tcBorders>
              <w:right w:val="single" w:color="auto" w:sz="4" w:space="0"/>
            </w:tcBorders>
            <w:vAlign w:val="center"/>
          </w:tcPr>
          <w:p w14:paraId="77E9875F">
            <w:pPr>
              <w:pStyle w:val="280"/>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90517</w:t>
            </w:r>
          </w:p>
        </w:tc>
        <w:tc>
          <w:tcPr>
            <w:tcW w:w="943" w:type="pct"/>
            <w:tcBorders>
              <w:left w:val="single" w:color="auto" w:sz="4" w:space="0"/>
            </w:tcBorders>
            <w:vAlign w:val="center"/>
          </w:tcPr>
          <w:p w14:paraId="54FB376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c>
          <w:tcPr>
            <w:tcW w:w="856" w:type="pct"/>
            <w:tcBorders>
              <w:left w:val="single" w:color="auto" w:sz="4" w:space="0"/>
            </w:tcBorders>
            <w:vAlign w:val="center"/>
          </w:tcPr>
          <w:p w14:paraId="448865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bookmarkEnd w:id="294"/>
      <w:bookmarkEnd w:id="297"/>
      <w:bookmarkEnd w:id="299"/>
      <w:bookmarkEnd w:id="302"/>
      <w:bookmarkEnd w:id="304"/>
    </w:tbl>
    <w:p w14:paraId="1E3BB7DD">
      <w:pPr>
        <w:pStyle w:val="120"/>
        <w:spacing w:line="240" w:lineRule="auto"/>
        <w:ind w:firstLine="0" w:firstLineChars="0"/>
        <w:rPr>
          <w:rFonts w:hint="eastAsia"/>
          <w:b/>
          <w:bCs/>
          <w:color w:val="000000" w:themeColor="text1"/>
          <w:sz w:val="21"/>
          <w:szCs w:val="21"/>
          <w:lang w:val="en-US"/>
          <w14:textFill>
            <w14:solidFill>
              <w14:schemeClr w14:val="tx1"/>
            </w14:solidFill>
          </w14:textFill>
        </w:rPr>
      </w:pPr>
      <w:bookmarkStart w:id="305" w:name="_Hlk175250120"/>
      <w:r>
        <w:rPr>
          <w:rFonts w:hint="eastAsia"/>
          <w:b/>
          <w:bCs/>
          <w:color w:val="000000" w:themeColor="text1"/>
          <w:sz w:val="21"/>
          <w:szCs w:val="21"/>
          <w:lang w:val="en-US"/>
          <w14:textFill>
            <w14:solidFill>
              <w14:schemeClr w14:val="tx1"/>
            </w14:solidFill>
          </w14:textFill>
        </w:rPr>
        <w:t>备注：由于巡检道路建设过程中临时占地位于永久占地范围内，本次新建巡检道路仅计算永久占地面积，不计算临时占地面积。</w:t>
      </w:r>
    </w:p>
    <w:p w14:paraId="740965D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②土石方平衡</w:t>
      </w:r>
    </w:p>
    <w:p w14:paraId="27959B3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土石方主要产生于单井采油管线/单井掺热水管线、</w:t>
      </w:r>
      <w:r>
        <w:rPr>
          <w:color w:val="000000" w:themeColor="text1"/>
          <w14:textFill>
            <w14:solidFill>
              <w14:schemeClr w14:val="tx1"/>
            </w14:solidFill>
          </w14:textFill>
        </w:rPr>
        <w:t>单井注水管线</w:t>
      </w:r>
      <w:r>
        <w:rPr>
          <w:rFonts w:hint="eastAsia"/>
          <w:color w:val="000000" w:themeColor="text1"/>
          <w14:textFill>
            <w14:solidFill>
              <w14:schemeClr w14:val="tx1"/>
            </w14:solidFill>
          </w14:textFill>
        </w:rPr>
        <w:t>建设过程中，单井采油管线/单井掺热水管线埋深1.</w:t>
      </w:r>
      <w:r>
        <w:rPr>
          <w:rFonts w:hint="eastAsia"/>
          <w:color w:val="000000" w:themeColor="text1"/>
          <w:lang w:val="en-US"/>
          <w14:textFill>
            <w14:solidFill>
              <w14:schemeClr w14:val="tx1"/>
            </w14:solidFill>
          </w14:textFill>
        </w:rPr>
        <w:t>7</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单井注水管线</w:t>
      </w:r>
      <w:r>
        <w:rPr>
          <w:rFonts w:hint="eastAsia"/>
          <w:color w:val="000000" w:themeColor="text1"/>
          <w14:textFill>
            <w14:solidFill>
              <w14:schemeClr w14:val="tx1"/>
            </w14:solidFill>
          </w14:textFill>
        </w:rPr>
        <w:t>埋深</w:t>
      </w:r>
      <w:r>
        <w:rPr>
          <w:rFonts w:hint="eastAsia"/>
          <w:color w:val="000000" w:themeColor="text1"/>
          <w:lang w:val="en-US"/>
          <w14:textFill>
            <w14:solidFill>
              <w14:schemeClr w14:val="tx1"/>
            </w14:solidFill>
          </w14:textFill>
        </w:rPr>
        <w:t>1.8</w:t>
      </w:r>
      <w:r>
        <w:rPr>
          <w:rFonts w:hint="eastAsia"/>
          <w:color w:val="000000" w:themeColor="text1"/>
          <w14:textFill>
            <w14:solidFill>
              <w14:schemeClr w14:val="tx1"/>
            </w14:solidFill>
          </w14:textFill>
        </w:rPr>
        <w:t>m，边坡比为1:0.33，挖方量约</w:t>
      </w:r>
      <w:r>
        <w:rPr>
          <w:rFonts w:hint="eastAsia"/>
          <w:color w:val="000000" w:themeColor="text1"/>
          <w:lang w:val="en-US"/>
          <w14:textFill>
            <w14:solidFill>
              <w14:schemeClr w14:val="tx1"/>
            </w14:solidFill>
          </w14:textFill>
        </w:rPr>
        <w:t>8915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，填方量为</w:t>
      </w:r>
      <w:r>
        <w:rPr>
          <w:rFonts w:hint="eastAsia"/>
          <w:color w:val="000000" w:themeColor="text1"/>
          <w:lang w:val="en-US"/>
          <w14:textFill>
            <w14:solidFill>
              <w14:schemeClr w14:val="tx1"/>
            </w14:solidFill>
          </w14:textFill>
        </w:rPr>
        <w:t>8915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，土石方在管沟旁堆放时应覆盖防尘布，土石方全部回填，无弃方产生。</w:t>
      </w:r>
      <w:r>
        <w:rPr>
          <w:rFonts w:hint="eastAsia"/>
          <w:color w:val="000000" w:themeColor="text1"/>
          <w:lang w:val="en-US" w:eastAsia="zh-CN"/>
          <w14:textFill>
            <w14:solidFill>
              <w14:schemeClr w14:val="tx1"/>
            </w14:solidFill>
          </w14:textFill>
        </w:rPr>
        <w:t>项目不设弃土场。</w:t>
      </w:r>
    </w:p>
    <w:bookmarkEnd w:id="305"/>
    <w:p w14:paraId="316F5A6D">
      <w:pPr>
        <w:pStyle w:val="8"/>
        <w:rPr>
          <w:rFonts w:hint="eastAsia"/>
          <w:color w:val="000000" w:themeColor="text1"/>
          <w14:textFill>
            <w14:solidFill>
              <w14:schemeClr w14:val="tx1"/>
            </w14:solidFill>
          </w14:textFill>
        </w:rPr>
      </w:pPr>
      <w:bookmarkStart w:id="306" w:name="_Hlk175250164"/>
      <w:bookmarkStart w:id="307" w:name="_Hlk169010862"/>
      <w:r>
        <w:rPr>
          <w:rFonts w:hint="eastAsia"/>
          <w:color w:val="000000" w:themeColor="text1"/>
          <w14:textFill>
            <w14:solidFill>
              <w14:schemeClr w14:val="tx1"/>
            </w14:solidFill>
          </w14:textFill>
        </w:rPr>
        <w:t>运营期污染源源强核算</w:t>
      </w:r>
    </w:p>
    <w:bookmarkEnd w:id="306"/>
    <w:p w14:paraId="17ECE735">
      <w:pPr>
        <w:pStyle w:val="120"/>
        <w:rPr>
          <w:rFonts w:hint="eastAsia"/>
          <w:color w:val="000000" w:themeColor="text1"/>
          <w14:textFill>
            <w14:solidFill>
              <w14:schemeClr w14:val="tx1"/>
            </w14:solidFill>
          </w14:textFill>
        </w:rPr>
      </w:pPr>
      <w:bookmarkStart w:id="308" w:name="_Hlk175250182"/>
      <w:bookmarkStart w:id="309" w:name="_Hlk128559881"/>
      <w:bookmarkStart w:id="310" w:name="_Hlk129686223"/>
      <w:bookmarkStart w:id="311" w:name="_Hlk129356350"/>
      <w:bookmarkStart w:id="312" w:name="_Hlk129592962"/>
      <w:r>
        <w:rPr>
          <w:rFonts w:hint="eastAsia"/>
          <w:color w:val="000000" w:themeColor="text1"/>
          <w14:textFill>
            <w14:solidFill>
              <w14:schemeClr w14:val="tx1"/>
            </w14:solidFill>
          </w14:textFill>
        </w:rPr>
        <w:t>（1）废气</w:t>
      </w:r>
    </w:p>
    <w:bookmarkEnd w:id="308"/>
    <w:p w14:paraId="766EAD66">
      <w:pPr>
        <w:adjustRightInd w:val="0"/>
        <w:snapToGrid w:val="0"/>
        <w:spacing w:line="500" w:lineRule="exact"/>
        <w:ind w:firstLine="480" w:firstLineChars="200"/>
        <w:textAlignment w:val="baseline"/>
        <w:rPr>
          <w:rFonts w:hint="eastAsia" w:ascii="宋体" w:hAnsi="宋体"/>
          <w:color w:val="000000" w:themeColor="text1"/>
          <w:sz w:val="24"/>
          <w14:textFill>
            <w14:solidFill>
              <w14:schemeClr w14:val="tx1"/>
            </w14:solidFill>
          </w14:textFill>
        </w:rPr>
      </w:pPr>
      <w:bookmarkStart w:id="313" w:name="_Hlk482206006"/>
      <w:bookmarkStart w:id="314" w:name="_Hlk129276672"/>
      <w:r>
        <w:rPr>
          <w:rFonts w:hint="eastAsia" w:ascii="宋体" w:hAnsi="宋体"/>
          <w:color w:val="000000" w:themeColor="text1"/>
          <w:sz w:val="24"/>
          <w14:textFill>
            <w14:solidFill>
              <w14:schemeClr w14:val="tx1"/>
            </w14:solidFill>
          </w14:textFill>
        </w:rPr>
        <w:t>废气主要为油气集输过程中阀门、法兰等部位产生的无组织挥发性有机物（以非甲烷总烃计）和无组织硫化氢。</w:t>
      </w:r>
    </w:p>
    <w:p w14:paraId="0EFF1765">
      <w:pPr>
        <w:adjustRightInd w:val="0"/>
        <w:snapToGrid w:val="0"/>
        <w:spacing w:line="500" w:lineRule="exact"/>
        <w:ind w:firstLine="480"/>
        <w:textAlignment w:val="baseline"/>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①无组织挥发性有机物</w:t>
      </w:r>
    </w:p>
    <w:p w14:paraId="6B31428C">
      <w:pPr>
        <w:adjustRightInd w:val="0"/>
        <w:snapToGrid w:val="0"/>
        <w:spacing w:line="500" w:lineRule="exact"/>
        <w:ind w:firstLine="480" w:firstLineChars="200"/>
        <w:textAlignment w:val="baseline"/>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无组织挥发性有机物目前无相应的源强核算技术指南，本次参考</w:t>
      </w:r>
      <w:bookmarkStart w:id="315" w:name="_Hlk85450421"/>
      <w:r>
        <w:rPr>
          <w:rFonts w:hint="eastAsia" w:ascii="宋体" w:hAnsi="宋体"/>
          <w:color w:val="000000" w:themeColor="text1"/>
          <w:sz w:val="24"/>
          <w14:textFill>
            <w14:solidFill>
              <w14:schemeClr w14:val="tx1"/>
            </w14:solidFill>
          </w14:textFill>
        </w:rPr>
        <w:t>《污染源源强核算技术指南</w:t>
      </w:r>
      <w:r>
        <w:rPr>
          <w:rFonts w:ascii="宋体" w:hAnsi="宋体"/>
          <w:color w:val="000000" w:themeColor="text1"/>
          <w:sz w:val="24"/>
          <w14:textFill>
            <w14:solidFill>
              <w14:schemeClr w14:val="tx1"/>
            </w14:solidFill>
          </w14:textFill>
        </w:rPr>
        <w:t xml:space="preserve"> 石油炼制工业</w:t>
      </w:r>
      <w:r>
        <w:rPr>
          <w:rFonts w:hint="eastAsia" w:ascii="宋体" w:hAnsi="宋体"/>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HJ982-2018</w:t>
      </w:r>
      <w:r>
        <w:rPr>
          <w:rFonts w:hint="eastAsia" w:ascii="宋体" w:hAnsi="宋体"/>
          <w:color w:val="000000" w:themeColor="text1"/>
          <w:sz w:val="24"/>
          <w14:textFill>
            <w14:solidFill>
              <w14:schemeClr w14:val="tx1"/>
            </w14:solidFill>
          </w14:textFill>
        </w:rPr>
        <w:t>）中设备动静密封点泄漏平均排放系数法进行核算，计算公式具体如下：</w:t>
      </w:r>
    </w:p>
    <w:p w14:paraId="5BD2F24A">
      <w:pPr>
        <w:adjustRightInd w:val="0"/>
        <w:snapToGrid w:val="0"/>
        <w:spacing w:line="360" w:lineRule="auto"/>
        <w:jc w:val="center"/>
        <w:textAlignment w:val="baseline"/>
        <w:rPr>
          <w:rFonts w:hint="eastAsia"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2339340" cy="465455"/>
            <wp:effectExtent l="0" t="0" r="0" b="0"/>
            <wp:docPr id="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339340" cy="465455"/>
                    </a:xfrm>
                    <a:prstGeom prst="rect">
                      <a:avLst/>
                    </a:prstGeom>
                    <a:noFill/>
                    <a:ln>
                      <a:noFill/>
                    </a:ln>
                  </pic:spPr>
                </pic:pic>
              </a:graphicData>
            </a:graphic>
          </wp:inline>
        </w:drawing>
      </w:r>
    </w:p>
    <w:p w14:paraId="46A5DD6B">
      <w:pPr>
        <w:adjustRightInd w:val="0"/>
        <w:snapToGrid w:val="0"/>
        <w:spacing w:line="500" w:lineRule="exact"/>
        <w:ind w:firstLine="480" w:firstLineChars="200"/>
        <w:jc w:val="left"/>
        <w:textAlignment w:val="baseline"/>
        <w:rPr>
          <w:rFonts w:hint="eastAsia" w:ascii="宋体" w:hAnsi="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式中：</w:t>
      </w:r>
      <w:r>
        <w:rPr>
          <w:rFonts w:ascii="宋体" w:hAnsi="宋体"/>
          <w:color w:val="000000" w:themeColor="text1"/>
          <w:kern w:val="0"/>
          <w:sz w:val="24"/>
          <w14:textFill>
            <w14:solidFill>
              <w14:schemeClr w14:val="tx1"/>
            </w14:solidFill>
          </w14:textFill>
        </w:rPr>
        <w:t>D</w:t>
      </w:r>
      <w:r>
        <w:rPr>
          <w:rFonts w:hint="eastAsia" w:ascii="宋体" w:hAnsi="宋体"/>
          <w:color w:val="000000" w:themeColor="text1"/>
          <w:kern w:val="0"/>
          <w:sz w:val="24"/>
          <w:vertAlign w:val="subscript"/>
          <w14:textFill>
            <w14:solidFill>
              <w14:schemeClr w14:val="tx1"/>
            </w14:solidFill>
          </w14:textFill>
        </w:rPr>
        <w:t>设备</w:t>
      </w:r>
      <w:r>
        <w:rPr>
          <w:rFonts w:hint="eastAsia" w:ascii="宋体" w:hAnsi="宋体"/>
          <w:color w:val="000000" w:themeColor="text1"/>
          <w:kern w:val="0"/>
          <w:sz w:val="24"/>
          <w14:textFill>
            <w14:solidFill>
              <w14:schemeClr w14:val="tx1"/>
            </w14:solidFill>
          </w14:textFill>
        </w:rPr>
        <w:t>：—核算时段内设备与管线组件密封点泄漏的挥发性有机物的量，kg；</w:t>
      </w:r>
    </w:p>
    <w:p w14:paraId="642C3839">
      <w:pPr>
        <w:adjustRightInd w:val="0"/>
        <w:snapToGrid w:val="0"/>
        <w:spacing w:line="500" w:lineRule="exact"/>
        <w:ind w:firstLine="480" w:firstLineChars="200"/>
        <w:jc w:val="left"/>
        <w:textAlignment w:val="baseline"/>
        <w:rPr>
          <w:rFonts w:hint="eastAsia" w:ascii="宋体" w:hAnsi="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α—设备与管线组件密封点的泄漏比例，本次取0</w:t>
      </w:r>
      <w:r>
        <w:rPr>
          <w:rFonts w:ascii="宋体" w:hAnsi="宋体"/>
          <w:color w:val="000000" w:themeColor="text1"/>
          <w:kern w:val="0"/>
          <w:sz w:val="24"/>
          <w14:textFill>
            <w14:solidFill>
              <w14:schemeClr w14:val="tx1"/>
            </w14:solidFill>
          </w14:textFill>
        </w:rPr>
        <w:t>.003</w:t>
      </w:r>
      <w:r>
        <w:rPr>
          <w:rFonts w:hint="eastAsia" w:ascii="宋体" w:hAnsi="宋体"/>
          <w:color w:val="000000" w:themeColor="text1"/>
          <w:kern w:val="0"/>
          <w:sz w:val="24"/>
          <w14:textFill>
            <w14:solidFill>
              <w14:schemeClr w14:val="tx1"/>
            </w14:solidFill>
          </w14:textFill>
        </w:rPr>
        <w:t>；</w:t>
      </w:r>
    </w:p>
    <w:p w14:paraId="0F75C132">
      <w:pPr>
        <w:adjustRightInd w:val="0"/>
        <w:snapToGrid w:val="0"/>
        <w:spacing w:line="500" w:lineRule="exact"/>
        <w:ind w:firstLine="480" w:firstLineChars="200"/>
        <w:jc w:val="left"/>
        <w:textAlignment w:val="baseline"/>
        <w:rPr>
          <w:rFonts w:hint="eastAsia" w:ascii="宋体" w:hAnsi="宋体"/>
          <w:color w:val="000000" w:themeColor="text1"/>
          <w:kern w:val="0"/>
          <w:sz w:val="24"/>
          <w14:textFill>
            <w14:solidFill>
              <w14:schemeClr w14:val="tx1"/>
            </w14:solidFill>
          </w14:textFill>
        </w:rPr>
      </w:pPr>
      <w:r>
        <w:rPr>
          <w:rFonts w:ascii="宋体" w:hAnsi="宋体"/>
          <w:color w:val="000000" w:themeColor="text1"/>
          <w:kern w:val="0"/>
          <w:sz w:val="24"/>
          <w14:textFill>
            <w14:solidFill>
              <w14:schemeClr w14:val="tx1"/>
            </w14:solidFill>
          </w14:textFill>
        </w:rPr>
        <w:t>WF</w:t>
      </w:r>
      <w:r>
        <w:rPr>
          <w:rFonts w:hint="eastAsia" w:ascii="宋体" w:hAnsi="宋体"/>
          <w:color w:val="000000" w:themeColor="text1"/>
          <w:kern w:val="0"/>
          <w:sz w:val="24"/>
          <w:vertAlign w:val="subscript"/>
          <w14:textFill>
            <w14:solidFill>
              <w14:schemeClr w14:val="tx1"/>
            </w14:solidFill>
          </w14:textFill>
        </w:rPr>
        <w:t>VOCs,i</w:t>
      </w:r>
      <w:r>
        <w:rPr>
          <w:rFonts w:hint="eastAsia" w:ascii="宋体" w:hAnsi="宋体"/>
          <w:color w:val="000000" w:themeColor="text1"/>
          <w:kern w:val="0"/>
          <w:sz w:val="24"/>
          <w14:textFill>
            <w14:solidFill>
              <w14:schemeClr w14:val="tx1"/>
            </w14:solidFill>
          </w14:textFill>
        </w:rPr>
        <w:t>—流经密封点i的物料中挥发性有机物平均质量分数；</w:t>
      </w:r>
    </w:p>
    <w:p w14:paraId="33815084">
      <w:pPr>
        <w:adjustRightInd w:val="0"/>
        <w:snapToGrid w:val="0"/>
        <w:spacing w:line="500" w:lineRule="exact"/>
        <w:ind w:firstLine="480" w:firstLineChars="200"/>
        <w:textAlignment w:val="baseline"/>
        <w:rPr>
          <w:rFonts w:hint="eastAsia" w:ascii="宋体" w:hAnsi="宋体"/>
          <w:color w:val="000000" w:themeColor="text1"/>
          <w:kern w:val="0"/>
          <w:sz w:val="24"/>
          <w14:textFill>
            <w14:solidFill>
              <w14:schemeClr w14:val="tx1"/>
            </w14:solidFill>
          </w14:textFill>
        </w:rPr>
      </w:pPr>
      <w:r>
        <w:rPr>
          <w:rFonts w:ascii="宋体" w:hAnsi="宋体"/>
          <w:color w:val="000000" w:themeColor="text1"/>
          <w:kern w:val="0"/>
          <w:sz w:val="24"/>
          <w14:textFill>
            <w14:solidFill>
              <w14:schemeClr w14:val="tx1"/>
            </w14:solidFill>
          </w14:textFill>
        </w:rPr>
        <w:t>WF</w:t>
      </w:r>
      <w:r>
        <w:rPr>
          <w:rFonts w:ascii="宋体" w:hAnsi="宋体"/>
          <w:color w:val="000000" w:themeColor="text1"/>
          <w:kern w:val="0"/>
          <w:sz w:val="24"/>
          <w:vertAlign w:val="subscript"/>
          <w14:textFill>
            <w14:solidFill>
              <w14:schemeClr w14:val="tx1"/>
            </w14:solidFill>
          </w14:textFill>
        </w:rPr>
        <w:t>TOC</w:t>
      </w:r>
      <w:r>
        <w:rPr>
          <w:rFonts w:hint="eastAsia" w:ascii="宋体" w:hAnsi="宋体"/>
          <w:color w:val="000000" w:themeColor="text1"/>
          <w:kern w:val="0"/>
          <w:sz w:val="24"/>
          <w:vertAlign w:val="subscript"/>
          <w14:textFill>
            <w14:solidFill>
              <w14:schemeClr w14:val="tx1"/>
            </w14:solidFill>
          </w14:textFill>
        </w:rPr>
        <w:t>,i</w:t>
      </w:r>
      <w:r>
        <w:rPr>
          <w:rFonts w:hint="eastAsia" w:ascii="宋体" w:hAnsi="宋体"/>
          <w:color w:val="000000" w:themeColor="text1"/>
          <w:kern w:val="0"/>
          <w:sz w:val="24"/>
          <w14:textFill>
            <w14:solidFill>
              <w14:schemeClr w14:val="tx1"/>
            </w14:solidFill>
          </w14:textFill>
        </w:rPr>
        <w:t>—流经密封点i的物料中总有机碳（TOC）平均质量分数</w:t>
      </w:r>
      <w:r>
        <w:rPr>
          <w:rFonts w:ascii="宋体" w:hAnsi="宋体"/>
          <w:color w:val="000000" w:themeColor="text1"/>
          <w:kern w:val="0"/>
          <w:sz w:val="24"/>
          <w14:textFill>
            <w14:solidFill>
              <w14:schemeClr w14:val="tx1"/>
            </w14:solidFill>
          </w14:textFill>
        </w:rPr>
        <w:t>；</w:t>
      </w:r>
    </w:p>
    <w:p w14:paraId="02FA9805">
      <w:pPr>
        <w:adjustRightInd w:val="0"/>
        <w:snapToGrid w:val="0"/>
        <w:spacing w:line="500" w:lineRule="exact"/>
        <w:ind w:firstLine="480" w:firstLineChars="200"/>
        <w:jc w:val="left"/>
        <w:textAlignment w:val="baseline"/>
        <w:rPr>
          <w:rFonts w:hint="eastAsia" w:ascii="宋体" w:hAnsi="宋体"/>
          <w:color w:val="000000" w:themeColor="text1"/>
          <w:kern w:val="0"/>
          <w:sz w:val="24"/>
          <w14:textFill>
            <w14:solidFill>
              <w14:schemeClr w14:val="tx1"/>
            </w14:solidFill>
          </w14:textFill>
        </w:rPr>
      </w:pPr>
      <w:r>
        <w:rPr>
          <w:rFonts w:ascii="宋体" w:hAnsi="宋体"/>
          <w:color w:val="000000" w:themeColor="text1"/>
          <w:kern w:val="0"/>
          <w:sz w:val="24"/>
          <w14:textFill>
            <w14:solidFill>
              <w14:schemeClr w14:val="tx1"/>
            </w14:solidFill>
          </w14:textFill>
        </w:rPr>
        <w:t>e</w:t>
      </w:r>
      <w:r>
        <w:rPr>
          <w:rFonts w:ascii="宋体" w:hAnsi="宋体"/>
          <w:color w:val="000000" w:themeColor="text1"/>
          <w:kern w:val="0"/>
          <w:sz w:val="24"/>
          <w:vertAlign w:val="subscript"/>
          <w14:textFill>
            <w14:solidFill>
              <w14:schemeClr w14:val="tx1"/>
            </w14:solidFill>
          </w14:textFill>
        </w:rPr>
        <w:t>TOC,i</w:t>
      </w:r>
      <w:r>
        <w:rPr>
          <w:rFonts w:ascii="宋体" w:hAnsi="宋体"/>
          <w:color w:val="000000" w:themeColor="text1"/>
          <w:kern w:val="0"/>
          <w:sz w:val="24"/>
          <w14:textFill>
            <w14:solidFill>
              <w14:schemeClr w14:val="tx1"/>
            </w14:solidFill>
          </w14:textFill>
        </w:rPr>
        <w:t>一密封点i的总有机碳（TOC</w:t>
      </w:r>
      <w:r>
        <w:rPr>
          <w:rFonts w:hint="eastAsia" w:ascii="宋体" w:hAnsi="宋体"/>
          <w:color w:val="000000" w:themeColor="text1"/>
          <w:kern w:val="0"/>
          <w:sz w:val="24"/>
          <w14:textFill>
            <w14:solidFill>
              <w14:schemeClr w14:val="tx1"/>
            </w14:solidFill>
          </w14:textFill>
        </w:rPr>
        <w:t>）</w:t>
      </w:r>
      <w:r>
        <w:rPr>
          <w:rFonts w:ascii="宋体" w:hAnsi="宋体"/>
          <w:color w:val="000000" w:themeColor="text1"/>
          <w:kern w:val="0"/>
          <w:sz w:val="24"/>
          <w14:textFill>
            <w14:solidFill>
              <w14:schemeClr w14:val="tx1"/>
            </w14:solidFill>
          </w14:textFill>
        </w:rPr>
        <w:t>排放速率（泄漏浓度大于10000umol/mol</w:t>
      </w:r>
      <w:r>
        <w:rPr>
          <w:rFonts w:hint="eastAsia" w:ascii="宋体" w:hAnsi="宋体"/>
          <w:color w:val="000000" w:themeColor="text1"/>
          <w:kern w:val="0"/>
          <w:sz w:val="24"/>
          <w14:textFill>
            <w14:solidFill>
              <w14:schemeClr w14:val="tx1"/>
            </w14:solidFill>
          </w14:textFill>
        </w:rPr>
        <w:t>）</w:t>
      </w:r>
      <w:r>
        <w:rPr>
          <w:rFonts w:ascii="宋体" w:hAnsi="宋体"/>
          <w:color w:val="000000" w:themeColor="text1"/>
          <w:kern w:val="0"/>
          <w:sz w:val="24"/>
          <w14:textFill>
            <w14:solidFill>
              <w14:schemeClr w14:val="tx1"/>
            </w14:solidFill>
          </w14:textFill>
        </w:rPr>
        <w:t>，kg/h</w:t>
      </w:r>
      <w:r>
        <w:rPr>
          <w:rFonts w:hint="eastAsia" w:ascii="宋体" w:hAnsi="宋体"/>
          <w:color w:val="000000" w:themeColor="text1"/>
          <w:kern w:val="0"/>
          <w:sz w:val="24"/>
          <w14:textFill>
            <w14:solidFill>
              <w14:schemeClr w14:val="tx1"/>
            </w14:solidFill>
          </w14:textFill>
        </w:rPr>
        <w:t>；</w:t>
      </w:r>
    </w:p>
    <w:p w14:paraId="62A6B6E7">
      <w:pPr>
        <w:adjustRightInd w:val="0"/>
        <w:snapToGrid w:val="0"/>
        <w:spacing w:line="500" w:lineRule="exact"/>
        <w:ind w:firstLine="480" w:firstLineChars="200"/>
        <w:jc w:val="left"/>
        <w:textAlignment w:val="baseline"/>
        <w:rPr>
          <w:rFonts w:hint="eastAsia" w:ascii="宋体" w:hAnsi="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n—挥发性有机物流经的设备与管线组件密封点数。</w:t>
      </w:r>
    </w:p>
    <w:p w14:paraId="30C3B9E0">
      <w:pPr>
        <w:adjustRightInd w:val="0"/>
        <w:snapToGrid w:val="0"/>
        <w:spacing w:line="500" w:lineRule="exact"/>
        <w:ind w:firstLine="480" w:firstLineChars="200"/>
        <w:jc w:val="left"/>
        <w:textAlignment w:val="baseline"/>
        <w:rPr>
          <w:rFonts w:hint="eastAsia" w:ascii="宋体" w:hAnsi="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t</w:t>
      </w:r>
      <w:r>
        <w:rPr>
          <w:rFonts w:hint="eastAsia" w:ascii="宋体" w:hAnsi="宋体"/>
          <w:color w:val="000000" w:themeColor="text1"/>
          <w:kern w:val="0"/>
          <w:sz w:val="24"/>
          <w:vertAlign w:val="subscript"/>
          <w14:textFill>
            <w14:solidFill>
              <w14:schemeClr w14:val="tx1"/>
            </w14:solidFill>
          </w14:textFill>
        </w:rPr>
        <w:t>i</w:t>
      </w:r>
      <w:r>
        <w:rPr>
          <w:rFonts w:hint="eastAsia" w:ascii="宋体" w:hAnsi="宋体"/>
          <w:color w:val="000000" w:themeColor="text1"/>
          <w:kern w:val="0"/>
          <w:sz w:val="24"/>
          <w14:textFill>
            <w14:solidFill>
              <w14:schemeClr w14:val="tx1"/>
            </w14:solidFill>
          </w14:textFill>
        </w:rPr>
        <w:t>—核算时段内密封点i的运行时间，h，本次取</w:t>
      </w:r>
      <w:r>
        <w:rPr>
          <w:rFonts w:ascii="宋体" w:hAnsi="宋体"/>
          <w:color w:val="000000" w:themeColor="text1"/>
          <w:kern w:val="0"/>
          <w:sz w:val="24"/>
          <w14:textFill>
            <w14:solidFill>
              <w14:schemeClr w14:val="tx1"/>
            </w14:solidFill>
          </w14:textFill>
        </w:rPr>
        <w:t>7920</w:t>
      </w:r>
      <w:r>
        <w:rPr>
          <w:rFonts w:hint="eastAsia" w:ascii="宋体" w:hAnsi="宋体"/>
          <w:color w:val="000000" w:themeColor="text1"/>
          <w:kern w:val="0"/>
          <w:sz w:val="24"/>
          <w14:textFill>
            <w14:solidFill>
              <w14:schemeClr w14:val="tx1"/>
            </w14:solidFill>
          </w14:textFill>
        </w:rPr>
        <w:t>h。</w:t>
      </w:r>
    </w:p>
    <w:bookmarkEnd w:id="315"/>
    <w:p w14:paraId="5FBE9DD1">
      <w:pPr>
        <w:adjustRightInd w:val="0"/>
        <w:snapToGrid w:val="0"/>
        <w:spacing w:line="500" w:lineRule="exact"/>
        <w:ind w:firstLine="480" w:firstLineChars="200"/>
        <w:jc w:val="left"/>
        <w:textAlignment w:val="baseline"/>
        <w:rPr>
          <w:rStyle w:val="192"/>
          <w:rFonts w:hint="eastAsia"/>
          <w:color w:val="000000" w:themeColor="text1"/>
          <w14:textFill>
            <w14:solidFill>
              <w14:schemeClr w14:val="tx1"/>
            </w14:solidFill>
          </w14:textFill>
        </w:rPr>
      </w:pPr>
      <w:bookmarkStart w:id="316" w:name="_Hlk169004065"/>
      <w:bookmarkStart w:id="317" w:name="_Hlk173420160"/>
      <w:r>
        <w:rPr>
          <w:rFonts w:hint="eastAsia" w:ascii="宋体" w:hAnsi="宋体"/>
          <w:color w:val="000000" w:themeColor="text1"/>
          <w:kern w:val="0"/>
          <w:sz w:val="24"/>
          <w14:textFill>
            <w14:solidFill>
              <w14:schemeClr w14:val="tx1"/>
            </w14:solidFill>
          </w14:textFill>
        </w:rPr>
        <w:t>本项目共部署6口采油井，每座采油井井口装置中阀门数量为5个、法兰数量为10个、连接件数量为60个</w:t>
      </w:r>
      <w:bookmarkEnd w:id="316"/>
      <w:r>
        <w:rPr>
          <w:rFonts w:hint="eastAsia" w:ascii="宋体" w:hAnsi="宋体"/>
          <w:color w:val="000000" w:themeColor="text1"/>
          <w:kern w:val="0"/>
          <w:sz w:val="24"/>
          <w14:textFill>
            <w14:solidFill>
              <w14:schemeClr w14:val="tx1"/>
            </w14:solidFill>
          </w14:textFill>
        </w:rPr>
        <w:t>，根据上述公式计算油气集输过程中的无组织挥发性废气产生</w:t>
      </w:r>
      <w:r>
        <w:rPr>
          <w:rStyle w:val="192"/>
          <w:rFonts w:hint="eastAsia"/>
          <w:color w:val="000000" w:themeColor="text1"/>
          <w14:textFill>
            <w14:solidFill>
              <w14:schemeClr w14:val="tx1"/>
            </w14:solidFill>
          </w14:textFill>
        </w:rPr>
        <w:t>量见表</w:t>
      </w:r>
      <w:r>
        <w:rPr>
          <w:rStyle w:val="192"/>
          <w:color w:val="000000" w:themeColor="text1"/>
          <w14:textFill>
            <w14:solidFill>
              <w14:schemeClr w14:val="tx1"/>
            </w14:solidFill>
          </w14:textFill>
        </w:rPr>
        <w:t>3.3</w:t>
      </w:r>
      <w:r>
        <w:rPr>
          <w:rStyle w:val="192"/>
          <w:rFonts w:hint="eastAsia"/>
          <w:color w:val="000000" w:themeColor="text1"/>
          <w14:textFill>
            <w14:solidFill>
              <w14:schemeClr w14:val="tx1"/>
            </w14:solidFill>
          </w14:textFill>
        </w:rPr>
        <w:t>-4。</w:t>
      </w:r>
    </w:p>
    <w:p w14:paraId="2EB933CB">
      <w:pPr>
        <w:pStyle w:val="112"/>
        <w:rPr>
          <w:rFonts w:hint="eastAsia"/>
          <w:color w:val="000000" w:themeColor="text1"/>
          <w14:textFill>
            <w14:solidFill>
              <w14:schemeClr w14:val="tx1"/>
            </w14:solidFill>
          </w14:textFill>
        </w:rPr>
      </w:pPr>
      <w:bookmarkStart w:id="318" w:name="_Hlk166020982"/>
      <w:bookmarkStart w:id="319" w:name="_Hlk173438168"/>
      <w:bookmarkStart w:id="320" w:name="_Hlk141714413"/>
      <w:r>
        <w:rPr>
          <w:rFonts w:hint="eastAsia"/>
          <w:color w:val="000000" w:themeColor="text1"/>
          <w14:textFill>
            <w14:solidFill>
              <w14:schemeClr w14:val="tx1"/>
            </w14:solidFill>
          </w14:textFill>
        </w:rPr>
        <w:t>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排放系数、设备类型数量及污染物排放量</w:t>
      </w:r>
    </w:p>
    <w:bookmarkEnd w:id="313"/>
    <w:bookmarkEnd w:id="318"/>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66"/>
        <w:gridCol w:w="766"/>
        <w:gridCol w:w="1198"/>
        <w:gridCol w:w="1873"/>
        <w:gridCol w:w="1505"/>
        <w:gridCol w:w="2122"/>
      </w:tblGrid>
      <w:tr w14:paraId="292B09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Align w:val="center"/>
          </w:tcPr>
          <w:p w14:paraId="1204B68F">
            <w:pPr>
              <w:pStyle w:val="280"/>
              <w:spacing w:line="300" w:lineRule="exact"/>
              <w:rPr>
                <w:rFonts w:hint="eastAsia"/>
                <w:snapToGrid w:val="0"/>
                <w:color w:val="000000" w:themeColor="text1"/>
                <w14:textFill>
                  <w14:solidFill>
                    <w14:schemeClr w14:val="tx1"/>
                  </w14:solidFill>
                </w14:textFill>
              </w:rPr>
            </w:pPr>
            <w:bookmarkStart w:id="321" w:name="_Hlk93663413"/>
            <w:bookmarkStart w:id="322" w:name="_Hlk169007171"/>
            <w:bookmarkStart w:id="323" w:name="_Hlk172919244"/>
            <w:r>
              <w:rPr>
                <w:rFonts w:hint="eastAsia"/>
                <w:snapToGrid w:val="0"/>
                <w:color w:val="000000" w:themeColor="text1"/>
                <w14:textFill>
                  <w14:solidFill>
                    <w14:schemeClr w14:val="tx1"/>
                  </w14:solidFill>
                </w14:textFill>
              </w:rPr>
              <w:t>平台号</w:t>
            </w:r>
          </w:p>
        </w:tc>
        <w:tc>
          <w:tcPr>
            <w:tcW w:w="1124" w:type="pct"/>
            <w:gridSpan w:val="2"/>
            <w:vAlign w:val="center"/>
          </w:tcPr>
          <w:p w14:paraId="59DC4E2F">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设备类型</w:t>
            </w:r>
          </w:p>
        </w:tc>
        <w:tc>
          <w:tcPr>
            <w:tcW w:w="1073" w:type="pct"/>
            <w:vAlign w:val="center"/>
          </w:tcPr>
          <w:p w14:paraId="73B050C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排放速率（kg/h/排放源）</w:t>
            </w:r>
          </w:p>
        </w:tc>
        <w:tc>
          <w:tcPr>
            <w:tcW w:w="862" w:type="pct"/>
            <w:vAlign w:val="center"/>
          </w:tcPr>
          <w:p w14:paraId="4E184EE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设备数量</w:t>
            </w:r>
          </w:p>
          <w:p w14:paraId="159858D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（个/台）</w:t>
            </w:r>
          </w:p>
        </w:tc>
        <w:tc>
          <w:tcPr>
            <w:tcW w:w="1215" w:type="pct"/>
            <w:vAlign w:val="center"/>
          </w:tcPr>
          <w:p w14:paraId="10946D1F">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污染物排放量（t/a）</w:t>
            </w:r>
          </w:p>
        </w:tc>
      </w:tr>
      <w:bookmarkEnd w:id="321"/>
      <w:tr w14:paraId="366D26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restart"/>
            <w:vAlign w:val="center"/>
          </w:tcPr>
          <w:p w14:paraId="730F48B9">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平台-1（JD6110、JD6089）</w:t>
            </w:r>
          </w:p>
        </w:tc>
        <w:tc>
          <w:tcPr>
            <w:tcW w:w="439" w:type="pct"/>
            <w:vMerge w:val="restart"/>
            <w:vAlign w:val="center"/>
          </w:tcPr>
          <w:p w14:paraId="2C65C4F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2口井</w:t>
            </w:r>
          </w:p>
        </w:tc>
        <w:tc>
          <w:tcPr>
            <w:tcW w:w="686" w:type="pct"/>
            <w:vAlign w:val="center"/>
          </w:tcPr>
          <w:p w14:paraId="5740FC09">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阀门</w:t>
            </w:r>
          </w:p>
        </w:tc>
        <w:tc>
          <w:tcPr>
            <w:tcW w:w="1073" w:type="pct"/>
            <w:vAlign w:val="center"/>
          </w:tcPr>
          <w:p w14:paraId="7311BEB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0.064</w:t>
            </w:r>
          </w:p>
        </w:tc>
        <w:tc>
          <w:tcPr>
            <w:tcW w:w="862" w:type="pct"/>
            <w:vAlign w:val="center"/>
          </w:tcPr>
          <w:p w14:paraId="0ACF077E">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10</w:t>
            </w:r>
          </w:p>
        </w:tc>
        <w:tc>
          <w:tcPr>
            <w:tcW w:w="1215" w:type="pct"/>
            <w:vAlign w:val="center"/>
          </w:tcPr>
          <w:p w14:paraId="435F347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0.0152 </w:t>
            </w:r>
          </w:p>
        </w:tc>
      </w:tr>
      <w:tr w14:paraId="384E6A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1457CD9B">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0777739A">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0C9A889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法兰</w:t>
            </w:r>
          </w:p>
        </w:tc>
        <w:tc>
          <w:tcPr>
            <w:tcW w:w="1073" w:type="pct"/>
            <w:vAlign w:val="center"/>
          </w:tcPr>
          <w:p w14:paraId="1F7660FF">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0.085</w:t>
            </w:r>
          </w:p>
        </w:tc>
        <w:tc>
          <w:tcPr>
            <w:tcW w:w="862" w:type="pct"/>
            <w:vAlign w:val="center"/>
          </w:tcPr>
          <w:p w14:paraId="1B73D83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20</w:t>
            </w:r>
          </w:p>
        </w:tc>
        <w:tc>
          <w:tcPr>
            <w:tcW w:w="1215" w:type="pct"/>
            <w:vAlign w:val="center"/>
          </w:tcPr>
          <w:p w14:paraId="4639F3E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0.0404 </w:t>
            </w:r>
          </w:p>
        </w:tc>
      </w:tr>
      <w:tr w14:paraId="651266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725" w:type="pct"/>
            <w:vMerge w:val="continue"/>
            <w:vAlign w:val="center"/>
          </w:tcPr>
          <w:p w14:paraId="3348BC4A">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086C24C0">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37CA804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连接件</w:t>
            </w:r>
          </w:p>
        </w:tc>
        <w:tc>
          <w:tcPr>
            <w:tcW w:w="1073" w:type="pct"/>
            <w:vAlign w:val="center"/>
          </w:tcPr>
          <w:p w14:paraId="6EA7721D">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0.028</w:t>
            </w:r>
          </w:p>
        </w:tc>
        <w:tc>
          <w:tcPr>
            <w:tcW w:w="862" w:type="pct"/>
            <w:vAlign w:val="center"/>
          </w:tcPr>
          <w:p w14:paraId="28D1B25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120</w:t>
            </w:r>
          </w:p>
        </w:tc>
        <w:tc>
          <w:tcPr>
            <w:tcW w:w="1215" w:type="pct"/>
            <w:vAlign w:val="center"/>
          </w:tcPr>
          <w:p w14:paraId="0FB31AA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0.0798 </w:t>
            </w:r>
          </w:p>
        </w:tc>
      </w:tr>
      <w:tr w14:paraId="7C01B6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0DE814E4">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1B761831">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1C8ACD7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小计</w:t>
            </w:r>
          </w:p>
        </w:tc>
        <w:tc>
          <w:tcPr>
            <w:tcW w:w="1073" w:type="pct"/>
            <w:vAlign w:val="center"/>
          </w:tcPr>
          <w:p w14:paraId="13F93AE1">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862" w:type="pct"/>
            <w:vAlign w:val="center"/>
          </w:tcPr>
          <w:p w14:paraId="5B548BC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215" w:type="pct"/>
            <w:vAlign w:val="center"/>
          </w:tcPr>
          <w:p w14:paraId="55821F9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0.1354 </w:t>
            </w:r>
          </w:p>
        </w:tc>
      </w:tr>
      <w:tr w14:paraId="37B29A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restart"/>
            <w:vAlign w:val="center"/>
          </w:tcPr>
          <w:p w14:paraId="68D06D0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平台-2（JD6167、JD6186）</w:t>
            </w:r>
          </w:p>
        </w:tc>
        <w:tc>
          <w:tcPr>
            <w:tcW w:w="439" w:type="pct"/>
            <w:vMerge w:val="restart"/>
            <w:vAlign w:val="center"/>
          </w:tcPr>
          <w:p w14:paraId="1EF2DF56">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2口井</w:t>
            </w:r>
          </w:p>
        </w:tc>
        <w:tc>
          <w:tcPr>
            <w:tcW w:w="686" w:type="pct"/>
            <w:vAlign w:val="center"/>
          </w:tcPr>
          <w:p w14:paraId="666EB883">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阀门</w:t>
            </w:r>
          </w:p>
        </w:tc>
        <w:tc>
          <w:tcPr>
            <w:tcW w:w="1073" w:type="pct"/>
            <w:vAlign w:val="center"/>
          </w:tcPr>
          <w:p w14:paraId="40A9645D">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0.064</w:t>
            </w:r>
          </w:p>
        </w:tc>
        <w:tc>
          <w:tcPr>
            <w:tcW w:w="862" w:type="pct"/>
            <w:vAlign w:val="center"/>
          </w:tcPr>
          <w:p w14:paraId="3D7C176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10</w:t>
            </w:r>
          </w:p>
        </w:tc>
        <w:tc>
          <w:tcPr>
            <w:tcW w:w="1215" w:type="pct"/>
            <w:vAlign w:val="center"/>
          </w:tcPr>
          <w:p w14:paraId="5C9ABF8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0.0152 </w:t>
            </w:r>
          </w:p>
        </w:tc>
      </w:tr>
      <w:tr w14:paraId="62EC8B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59E0CEE5">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206E0AB3">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389D30E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法兰</w:t>
            </w:r>
          </w:p>
        </w:tc>
        <w:tc>
          <w:tcPr>
            <w:tcW w:w="1073" w:type="pct"/>
            <w:vAlign w:val="center"/>
          </w:tcPr>
          <w:p w14:paraId="0169A00E">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0.085</w:t>
            </w:r>
          </w:p>
        </w:tc>
        <w:tc>
          <w:tcPr>
            <w:tcW w:w="862" w:type="pct"/>
            <w:vAlign w:val="center"/>
          </w:tcPr>
          <w:p w14:paraId="4C2DEAE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20</w:t>
            </w:r>
          </w:p>
        </w:tc>
        <w:tc>
          <w:tcPr>
            <w:tcW w:w="1215" w:type="pct"/>
            <w:vAlign w:val="center"/>
          </w:tcPr>
          <w:p w14:paraId="1899E4D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0.0404 </w:t>
            </w:r>
          </w:p>
        </w:tc>
      </w:tr>
      <w:tr w14:paraId="15F76E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27BC422B">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7C432769">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374BE566">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连接件</w:t>
            </w:r>
          </w:p>
        </w:tc>
        <w:tc>
          <w:tcPr>
            <w:tcW w:w="1073" w:type="pct"/>
            <w:vAlign w:val="center"/>
          </w:tcPr>
          <w:p w14:paraId="75AC567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0.028</w:t>
            </w:r>
          </w:p>
        </w:tc>
        <w:tc>
          <w:tcPr>
            <w:tcW w:w="862" w:type="pct"/>
            <w:vAlign w:val="center"/>
          </w:tcPr>
          <w:p w14:paraId="6F7D0577">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120</w:t>
            </w:r>
          </w:p>
        </w:tc>
        <w:tc>
          <w:tcPr>
            <w:tcW w:w="1215" w:type="pct"/>
            <w:vAlign w:val="center"/>
          </w:tcPr>
          <w:p w14:paraId="2A478CF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0.0798 </w:t>
            </w:r>
          </w:p>
        </w:tc>
      </w:tr>
      <w:tr w14:paraId="36CD91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50456A12">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120318B9">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1BD81F11">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小计</w:t>
            </w:r>
          </w:p>
        </w:tc>
        <w:tc>
          <w:tcPr>
            <w:tcW w:w="1073" w:type="pct"/>
            <w:vAlign w:val="center"/>
          </w:tcPr>
          <w:p w14:paraId="4D2C88F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862" w:type="pct"/>
            <w:vAlign w:val="center"/>
          </w:tcPr>
          <w:p w14:paraId="408E877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215" w:type="pct"/>
            <w:vAlign w:val="center"/>
          </w:tcPr>
          <w:p w14:paraId="36F02BD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0.1354 </w:t>
            </w:r>
          </w:p>
        </w:tc>
      </w:tr>
      <w:tr w14:paraId="1836EB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restart"/>
            <w:vAlign w:val="center"/>
          </w:tcPr>
          <w:p w14:paraId="0762D509">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平台-3（仅</w:t>
            </w:r>
            <w:r>
              <w:rPr>
                <w:rFonts w:hint="eastAsia"/>
                <w:color w:val="000000" w:themeColor="text1"/>
                <w:lang w:bidi="ar"/>
                <w14:textFill>
                  <w14:solidFill>
                    <w14:schemeClr w14:val="tx1"/>
                  </w14:solidFill>
                </w14:textFill>
              </w:rPr>
              <w:t>J9100A参与核算，JD8399A为注水井，无废气产生</w:t>
            </w:r>
            <w:r>
              <w:rPr>
                <w:rFonts w:hint="eastAsia"/>
                <w:snapToGrid w:val="0"/>
                <w:color w:val="000000" w:themeColor="text1"/>
                <w14:textFill>
                  <w14:solidFill>
                    <w14:schemeClr w14:val="tx1"/>
                  </w14:solidFill>
                </w14:textFill>
              </w:rPr>
              <w:t>）</w:t>
            </w:r>
          </w:p>
        </w:tc>
        <w:tc>
          <w:tcPr>
            <w:tcW w:w="439" w:type="pct"/>
            <w:vMerge w:val="restart"/>
            <w:vAlign w:val="center"/>
          </w:tcPr>
          <w:p w14:paraId="759381C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1口井</w:t>
            </w:r>
          </w:p>
        </w:tc>
        <w:tc>
          <w:tcPr>
            <w:tcW w:w="686" w:type="pct"/>
            <w:vAlign w:val="center"/>
          </w:tcPr>
          <w:p w14:paraId="36E5878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阀门</w:t>
            </w:r>
          </w:p>
        </w:tc>
        <w:tc>
          <w:tcPr>
            <w:tcW w:w="1073" w:type="pct"/>
            <w:vAlign w:val="center"/>
          </w:tcPr>
          <w:p w14:paraId="1E8D2BB9">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0.064</w:t>
            </w:r>
          </w:p>
        </w:tc>
        <w:tc>
          <w:tcPr>
            <w:tcW w:w="862" w:type="pct"/>
            <w:vAlign w:val="center"/>
          </w:tcPr>
          <w:p w14:paraId="28D31E57">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5</w:t>
            </w:r>
          </w:p>
        </w:tc>
        <w:tc>
          <w:tcPr>
            <w:tcW w:w="1215" w:type="pct"/>
            <w:vAlign w:val="center"/>
          </w:tcPr>
          <w:p w14:paraId="463FCA0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0.0076 </w:t>
            </w:r>
          </w:p>
        </w:tc>
      </w:tr>
      <w:tr w14:paraId="6436A7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0DE43083">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0625BC74">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70BB5DB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法兰</w:t>
            </w:r>
          </w:p>
        </w:tc>
        <w:tc>
          <w:tcPr>
            <w:tcW w:w="1073" w:type="pct"/>
            <w:vAlign w:val="center"/>
          </w:tcPr>
          <w:p w14:paraId="5F0742C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0.085</w:t>
            </w:r>
          </w:p>
        </w:tc>
        <w:tc>
          <w:tcPr>
            <w:tcW w:w="862" w:type="pct"/>
            <w:vAlign w:val="center"/>
          </w:tcPr>
          <w:p w14:paraId="349A55C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10</w:t>
            </w:r>
          </w:p>
        </w:tc>
        <w:tc>
          <w:tcPr>
            <w:tcW w:w="1215" w:type="pct"/>
            <w:vAlign w:val="center"/>
          </w:tcPr>
          <w:p w14:paraId="1FD908E3">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0.0202 </w:t>
            </w:r>
          </w:p>
        </w:tc>
      </w:tr>
      <w:tr w14:paraId="3B46DD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1FBC658D">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19909762">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5B0C572D">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连接件</w:t>
            </w:r>
          </w:p>
        </w:tc>
        <w:tc>
          <w:tcPr>
            <w:tcW w:w="1073" w:type="pct"/>
            <w:vAlign w:val="center"/>
          </w:tcPr>
          <w:p w14:paraId="03794B9E">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0.028</w:t>
            </w:r>
          </w:p>
        </w:tc>
        <w:tc>
          <w:tcPr>
            <w:tcW w:w="862" w:type="pct"/>
            <w:vAlign w:val="center"/>
          </w:tcPr>
          <w:p w14:paraId="5F569FF3">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60</w:t>
            </w:r>
          </w:p>
        </w:tc>
        <w:tc>
          <w:tcPr>
            <w:tcW w:w="1215" w:type="pct"/>
            <w:vAlign w:val="center"/>
          </w:tcPr>
          <w:p w14:paraId="194305EC">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0.0399 </w:t>
            </w:r>
          </w:p>
        </w:tc>
      </w:tr>
      <w:tr w14:paraId="74D331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28B1AB2E">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4300CBF1">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109CBA4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小计</w:t>
            </w:r>
          </w:p>
        </w:tc>
        <w:tc>
          <w:tcPr>
            <w:tcW w:w="1073" w:type="pct"/>
            <w:vAlign w:val="center"/>
          </w:tcPr>
          <w:p w14:paraId="67A36546">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862" w:type="pct"/>
            <w:vAlign w:val="center"/>
          </w:tcPr>
          <w:p w14:paraId="027117B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215" w:type="pct"/>
            <w:vAlign w:val="center"/>
          </w:tcPr>
          <w:p w14:paraId="47A73619">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0.0677</w:t>
            </w:r>
          </w:p>
        </w:tc>
      </w:tr>
      <w:tr w14:paraId="251C52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restart"/>
            <w:vAlign w:val="center"/>
          </w:tcPr>
          <w:p w14:paraId="651FEDB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单井采油井（</w:t>
            </w:r>
            <w:r>
              <w:rPr>
                <w:snapToGrid w:val="0"/>
                <w:color w:val="000000" w:themeColor="text1"/>
                <w14:textFill>
                  <w14:solidFill>
                    <w14:schemeClr w14:val="tx1"/>
                  </w14:solidFill>
                </w14:textFill>
              </w:rPr>
              <w:t>J6093A</w:t>
            </w:r>
            <w:r>
              <w:rPr>
                <w:rFonts w:hint="eastAsia"/>
                <w:snapToGrid w:val="0"/>
                <w:color w:val="000000" w:themeColor="text1"/>
                <w14:textFill>
                  <w14:solidFill>
                    <w14:schemeClr w14:val="tx1"/>
                  </w14:solidFill>
                </w14:textFill>
              </w:rPr>
              <w:t>）</w:t>
            </w:r>
          </w:p>
        </w:tc>
        <w:tc>
          <w:tcPr>
            <w:tcW w:w="439" w:type="pct"/>
            <w:vMerge w:val="restart"/>
            <w:vAlign w:val="center"/>
          </w:tcPr>
          <w:p w14:paraId="14EF986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1口井</w:t>
            </w:r>
          </w:p>
        </w:tc>
        <w:tc>
          <w:tcPr>
            <w:tcW w:w="686" w:type="pct"/>
            <w:vAlign w:val="center"/>
          </w:tcPr>
          <w:p w14:paraId="46B6FBE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阀门</w:t>
            </w:r>
          </w:p>
        </w:tc>
        <w:tc>
          <w:tcPr>
            <w:tcW w:w="1073" w:type="pct"/>
            <w:vAlign w:val="center"/>
          </w:tcPr>
          <w:p w14:paraId="74EB1EF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0.064</w:t>
            </w:r>
          </w:p>
        </w:tc>
        <w:tc>
          <w:tcPr>
            <w:tcW w:w="862" w:type="pct"/>
            <w:vAlign w:val="center"/>
          </w:tcPr>
          <w:p w14:paraId="7B0EE2B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5</w:t>
            </w:r>
          </w:p>
        </w:tc>
        <w:tc>
          <w:tcPr>
            <w:tcW w:w="1215" w:type="pct"/>
            <w:vAlign w:val="center"/>
          </w:tcPr>
          <w:p w14:paraId="051C2DF9">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0.0076 </w:t>
            </w:r>
          </w:p>
        </w:tc>
      </w:tr>
      <w:tr w14:paraId="57DEFC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4A93A09A">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1C850ED6">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3796E7E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法兰</w:t>
            </w:r>
          </w:p>
        </w:tc>
        <w:tc>
          <w:tcPr>
            <w:tcW w:w="1073" w:type="pct"/>
            <w:vAlign w:val="center"/>
          </w:tcPr>
          <w:p w14:paraId="334A8F29">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0.085</w:t>
            </w:r>
          </w:p>
        </w:tc>
        <w:tc>
          <w:tcPr>
            <w:tcW w:w="862" w:type="pct"/>
            <w:vAlign w:val="center"/>
          </w:tcPr>
          <w:p w14:paraId="4E62EB5D">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10</w:t>
            </w:r>
          </w:p>
        </w:tc>
        <w:tc>
          <w:tcPr>
            <w:tcW w:w="1215" w:type="pct"/>
            <w:vAlign w:val="center"/>
          </w:tcPr>
          <w:p w14:paraId="43EC35F6">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0.0202 </w:t>
            </w:r>
          </w:p>
        </w:tc>
      </w:tr>
      <w:tr w14:paraId="5B5B69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2094330A">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7076CAD1">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184F990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连接件</w:t>
            </w:r>
          </w:p>
        </w:tc>
        <w:tc>
          <w:tcPr>
            <w:tcW w:w="1073" w:type="pct"/>
            <w:vAlign w:val="center"/>
          </w:tcPr>
          <w:p w14:paraId="40AD968D">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0.028</w:t>
            </w:r>
          </w:p>
        </w:tc>
        <w:tc>
          <w:tcPr>
            <w:tcW w:w="862" w:type="pct"/>
            <w:vAlign w:val="center"/>
          </w:tcPr>
          <w:p w14:paraId="5E757B3C">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60</w:t>
            </w:r>
          </w:p>
        </w:tc>
        <w:tc>
          <w:tcPr>
            <w:tcW w:w="1215" w:type="pct"/>
            <w:vAlign w:val="center"/>
          </w:tcPr>
          <w:p w14:paraId="5C0588BC">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 xml:space="preserve">0.0399 </w:t>
            </w:r>
          </w:p>
        </w:tc>
      </w:tr>
      <w:tr w14:paraId="30442B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Merge w:val="continue"/>
            <w:vAlign w:val="center"/>
          </w:tcPr>
          <w:p w14:paraId="5CE22ECB">
            <w:pPr>
              <w:pStyle w:val="280"/>
              <w:spacing w:line="300" w:lineRule="exact"/>
              <w:rPr>
                <w:rFonts w:hint="eastAsia"/>
                <w:snapToGrid w:val="0"/>
                <w:color w:val="000000" w:themeColor="text1"/>
                <w14:textFill>
                  <w14:solidFill>
                    <w14:schemeClr w14:val="tx1"/>
                  </w14:solidFill>
                </w14:textFill>
              </w:rPr>
            </w:pPr>
          </w:p>
        </w:tc>
        <w:tc>
          <w:tcPr>
            <w:tcW w:w="439" w:type="pct"/>
            <w:vMerge w:val="continue"/>
            <w:vAlign w:val="center"/>
          </w:tcPr>
          <w:p w14:paraId="6C29FA75">
            <w:pPr>
              <w:pStyle w:val="280"/>
              <w:spacing w:line="300" w:lineRule="exact"/>
              <w:rPr>
                <w:rFonts w:hint="eastAsia"/>
                <w:snapToGrid w:val="0"/>
                <w:color w:val="000000" w:themeColor="text1"/>
                <w14:textFill>
                  <w14:solidFill>
                    <w14:schemeClr w14:val="tx1"/>
                  </w14:solidFill>
                </w14:textFill>
              </w:rPr>
            </w:pPr>
          </w:p>
        </w:tc>
        <w:tc>
          <w:tcPr>
            <w:tcW w:w="686" w:type="pct"/>
            <w:vAlign w:val="center"/>
          </w:tcPr>
          <w:p w14:paraId="217A5D1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小计</w:t>
            </w:r>
          </w:p>
        </w:tc>
        <w:tc>
          <w:tcPr>
            <w:tcW w:w="1073" w:type="pct"/>
            <w:vAlign w:val="center"/>
          </w:tcPr>
          <w:p w14:paraId="6E529F5C">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862" w:type="pct"/>
            <w:vAlign w:val="center"/>
          </w:tcPr>
          <w:p w14:paraId="72B8825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215" w:type="pct"/>
            <w:vAlign w:val="center"/>
          </w:tcPr>
          <w:p w14:paraId="2B6DD9A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0.0677</w:t>
            </w:r>
          </w:p>
        </w:tc>
      </w:tr>
      <w:tr w14:paraId="33C30A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25" w:type="pct"/>
            <w:vAlign w:val="center"/>
          </w:tcPr>
          <w:p w14:paraId="423DC299">
            <w:pPr>
              <w:pStyle w:val="280"/>
              <w:spacing w:line="300" w:lineRule="exact"/>
              <w:rPr>
                <w:rFonts w:hint="eastAsia"/>
                <w:snapToGrid w:val="0"/>
                <w:color w:val="000000" w:themeColor="text1"/>
                <w14:textFill>
                  <w14:solidFill>
                    <w14:schemeClr w14:val="tx1"/>
                  </w14:solidFill>
                </w14:textFill>
              </w:rPr>
            </w:pPr>
            <w:bookmarkStart w:id="324" w:name="_Hlk175250214"/>
            <w:r>
              <w:rPr>
                <w:rFonts w:hint="eastAsia"/>
                <w:snapToGrid w:val="0"/>
                <w:color w:val="000000" w:themeColor="text1"/>
                <w14:textFill>
                  <w14:solidFill>
                    <w14:schemeClr w14:val="tx1"/>
                  </w14:solidFill>
                </w14:textFill>
              </w:rPr>
              <w:t>合计</w:t>
            </w:r>
          </w:p>
        </w:tc>
        <w:tc>
          <w:tcPr>
            <w:tcW w:w="439" w:type="pct"/>
            <w:vAlign w:val="center"/>
          </w:tcPr>
          <w:p w14:paraId="565F4611">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686" w:type="pct"/>
            <w:vAlign w:val="center"/>
          </w:tcPr>
          <w:p w14:paraId="200FD5E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073" w:type="pct"/>
            <w:vAlign w:val="center"/>
          </w:tcPr>
          <w:p w14:paraId="1A8D4BE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862" w:type="pct"/>
            <w:vAlign w:val="center"/>
          </w:tcPr>
          <w:p w14:paraId="39A54F4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215" w:type="pct"/>
            <w:vAlign w:val="center"/>
          </w:tcPr>
          <w:p w14:paraId="15DF54C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0.4062</w:t>
            </w:r>
          </w:p>
        </w:tc>
      </w:tr>
      <w:bookmarkEnd w:id="319"/>
      <w:bookmarkEnd w:id="322"/>
      <w:bookmarkEnd w:id="323"/>
    </w:tbl>
    <w:p w14:paraId="130B3ABF">
      <w:pPr>
        <w:adjustRightInd w:val="0"/>
        <w:snapToGrid w:val="0"/>
        <w:jc w:val="left"/>
        <w:textAlignment w:val="baseline"/>
        <w:rPr>
          <w:rFonts w:hint="eastAsia" w:ascii="宋体" w:hAnsi="宋体" w:eastAsia="宋体"/>
          <w:b/>
          <w:bCs/>
          <w:color w:val="000000" w:themeColor="text1"/>
          <w:kern w:val="0"/>
          <w:szCs w:val="21"/>
          <w:lang w:eastAsia="zh-CN"/>
          <w14:textFill>
            <w14:solidFill>
              <w14:schemeClr w14:val="tx1"/>
            </w14:solidFill>
          </w14:textFill>
        </w:rPr>
      </w:pPr>
      <w:bookmarkStart w:id="325" w:name="_Hlk217131380"/>
      <w:r>
        <w:rPr>
          <w:rFonts w:hint="eastAsia" w:ascii="宋体" w:hAnsi="宋体"/>
          <w:b/>
          <w:bCs/>
          <w:color w:val="000000" w:themeColor="text1"/>
          <w:kern w:val="0"/>
          <w:szCs w:val="21"/>
          <w14:textFill>
            <w14:solidFill>
              <w14:schemeClr w14:val="tx1"/>
            </w14:solidFill>
          </w14:textFill>
        </w:rPr>
        <w:t>备注：本次</w:t>
      </w:r>
      <w:r>
        <w:rPr>
          <w:rFonts w:hint="eastAsia" w:ascii="宋体" w:hAnsi="宋体"/>
          <w:b/>
          <w:bCs/>
          <w:color w:val="000000" w:themeColor="text1"/>
          <w:kern w:val="0"/>
          <w:szCs w:val="21"/>
          <w:lang w:val="en-US" w:eastAsia="zh-CN"/>
          <w14:textFill>
            <w14:solidFill>
              <w14:schemeClr w14:val="tx1"/>
            </w14:solidFill>
          </w14:textFill>
        </w:rPr>
        <w:t>新部署</w:t>
      </w:r>
      <w:r>
        <w:rPr>
          <w:rFonts w:hint="eastAsia" w:ascii="宋体" w:hAnsi="宋体"/>
          <w:b/>
          <w:bCs/>
          <w:color w:val="000000" w:themeColor="text1"/>
          <w:kern w:val="0"/>
          <w:szCs w:val="21"/>
          <w14:textFill>
            <w14:solidFill>
              <w14:schemeClr w14:val="tx1"/>
            </w14:solidFill>
          </w14:textFill>
        </w:rPr>
        <w:t>的6口</w:t>
      </w:r>
      <w:r>
        <w:rPr>
          <w:rFonts w:hint="eastAsia" w:ascii="宋体" w:hAnsi="宋体"/>
          <w:b/>
          <w:bCs/>
          <w:color w:val="000000" w:themeColor="text1"/>
          <w:kern w:val="0"/>
          <w:szCs w:val="21"/>
          <w:lang w:val="en-US" w:eastAsia="zh-CN"/>
          <w14:textFill>
            <w14:solidFill>
              <w14:schemeClr w14:val="tx1"/>
            </w14:solidFill>
          </w14:textFill>
        </w:rPr>
        <w:t>采油井</w:t>
      </w:r>
      <w:r>
        <w:rPr>
          <w:rFonts w:hint="eastAsia" w:ascii="宋体" w:hAnsi="宋体"/>
          <w:b/>
          <w:bCs/>
          <w:color w:val="000000" w:themeColor="text1"/>
          <w:kern w:val="0"/>
          <w:szCs w:val="21"/>
          <w14:textFill>
            <w14:solidFill>
              <w14:schemeClr w14:val="tx1"/>
            </w14:solidFill>
          </w14:textFill>
        </w:rPr>
        <w:t>分别接入</w:t>
      </w:r>
      <w:r>
        <w:rPr>
          <w:rFonts w:hint="eastAsia" w:ascii="宋体" w:hAnsi="宋体"/>
          <w:b/>
          <w:bCs/>
          <w:color w:val="000000" w:themeColor="text1"/>
          <w:kern w:val="0"/>
          <w:szCs w:val="21"/>
          <w:lang w:val="en-US" w:eastAsia="zh-CN"/>
          <w14:textFill>
            <w14:solidFill>
              <w14:schemeClr w14:val="tx1"/>
            </w14:solidFill>
          </w14:textFill>
        </w:rPr>
        <w:t>吉7井区</w:t>
      </w:r>
      <w:r>
        <w:rPr>
          <w:rFonts w:hint="eastAsia" w:ascii="宋体" w:hAnsi="宋体"/>
          <w:b/>
          <w:bCs/>
          <w:color w:val="000000" w:themeColor="text1"/>
          <w:kern w:val="0"/>
          <w:szCs w:val="21"/>
          <w14:textFill>
            <w14:solidFill>
              <w14:schemeClr w14:val="tx1"/>
            </w14:solidFill>
          </w14:textFill>
        </w:rPr>
        <w:t>已建的</w:t>
      </w:r>
      <w:r>
        <w:rPr>
          <w:rFonts w:hint="eastAsia" w:ascii="宋体" w:hAnsi="宋体"/>
          <w:b/>
          <w:bCs/>
          <w:color w:val="000000" w:themeColor="text1"/>
          <w:kern w:val="0"/>
          <w:szCs w:val="21"/>
          <w:lang w:val="en-US" w:eastAsia="zh-CN"/>
          <w14:textFill>
            <w14:solidFill>
              <w14:schemeClr w14:val="tx1"/>
            </w14:solidFill>
          </w14:textFill>
        </w:rPr>
        <w:t>5</w:t>
      </w:r>
      <w:r>
        <w:rPr>
          <w:rFonts w:hint="eastAsia" w:ascii="宋体" w:hAnsi="宋体"/>
          <w:b/>
          <w:bCs/>
          <w:color w:val="000000" w:themeColor="text1"/>
          <w:kern w:val="0"/>
          <w:szCs w:val="21"/>
          <w14:textFill>
            <w14:solidFill>
              <w14:schemeClr w14:val="tx1"/>
            </w14:solidFill>
          </w14:textFill>
        </w:rPr>
        <w:t>座计量站剩余的空头，在计量站进行单井来</w:t>
      </w:r>
      <w:r>
        <w:rPr>
          <w:rFonts w:hint="eastAsia" w:ascii="宋体" w:hAnsi="宋体"/>
          <w:b/>
          <w:bCs/>
          <w:color w:val="000000" w:themeColor="text1"/>
          <w:kern w:val="0"/>
          <w:szCs w:val="21"/>
          <w:lang w:val="en-US" w:eastAsia="zh-CN"/>
          <w14:textFill>
            <w14:solidFill>
              <w14:schemeClr w14:val="tx1"/>
            </w14:solidFill>
          </w14:textFill>
        </w:rPr>
        <w:t>油气</w:t>
      </w:r>
      <w:r>
        <w:rPr>
          <w:rFonts w:hint="eastAsia" w:ascii="宋体" w:hAnsi="宋体"/>
          <w:b/>
          <w:bCs/>
          <w:color w:val="000000" w:themeColor="text1"/>
          <w:kern w:val="0"/>
          <w:szCs w:val="21"/>
          <w14:textFill>
            <w14:solidFill>
              <w14:schemeClr w14:val="tx1"/>
            </w14:solidFill>
          </w14:textFill>
        </w:rPr>
        <w:t>的计量，依托的6座已建计量站无组织挥发排放的非甲烷总烃主要来源于计量站阀门、法兰和连接件等动静密封点逸散排放的非甲烷总烃，这部分排放量已在计量站环评阶段按照计量站阀门、法兰和连接件等动静密封点最大个数进行了核算，本项目不对</w:t>
      </w:r>
      <w:r>
        <w:rPr>
          <w:rFonts w:hint="eastAsia" w:ascii="宋体" w:hAnsi="宋体"/>
          <w:b/>
          <w:bCs/>
          <w:color w:val="000000" w:themeColor="text1"/>
          <w:kern w:val="0"/>
          <w:szCs w:val="21"/>
          <w:lang w:val="en-US" w:eastAsia="zh-CN"/>
          <w14:textFill>
            <w14:solidFill>
              <w14:schemeClr w14:val="tx1"/>
            </w14:solidFill>
          </w14:textFill>
        </w:rPr>
        <w:t>吉7</w:t>
      </w:r>
      <w:r>
        <w:rPr>
          <w:rFonts w:hint="eastAsia" w:ascii="宋体" w:hAnsi="宋体"/>
          <w:b/>
          <w:bCs/>
          <w:color w:val="000000" w:themeColor="text1"/>
          <w:kern w:val="0"/>
          <w:szCs w:val="21"/>
          <w14:textFill>
            <w14:solidFill>
              <w14:schemeClr w14:val="tx1"/>
            </w14:solidFill>
          </w14:textFill>
        </w:rPr>
        <w:t>井区已建计量站进行改造，不新增已建计量站阀门、法兰和连接件等动静密封点的个数，计量的介质为区块开采的伴生气</w:t>
      </w:r>
      <w:r>
        <w:rPr>
          <w:rFonts w:hint="eastAsia" w:ascii="宋体" w:hAnsi="宋体"/>
          <w:b/>
          <w:bCs/>
          <w:color w:val="000000" w:themeColor="text1"/>
          <w:kern w:val="0"/>
          <w:szCs w:val="21"/>
          <w:lang w:val="en-US" w:eastAsia="zh-CN"/>
          <w14:textFill>
            <w14:solidFill>
              <w14:schemeClr w14:val="tx1"/>
            </w14:solidFill>
          </w14:textFill>
        </w:rPr>
        <w:t>和采出液</w:t>
      </w:r>
      <w:r>
        <w:rPr>
          <w:rFonts w:hint="eastAsia" w:ascii="宋体" w:hAnsi="宋体"/>
          <w:b/>
          <w:bCs/>
          <w:color w:val="000000" w:themeColor="text1"/>
          <w:kern w:val="0"/>
          <w:szCs w:val="21"/>
          <w14:textFill>
            <w14:solidFill>
              <w14:schemeClr w14:val="tx1"/>
            </w14:solidFill>
          </w14:textFill>
        </w:rPr>
        <w:t>，与原环评阶段计量介质相似，故依托的6座计量站不新增</w:t>
      </w:r>
      <w:bookmarkStart w:id="326" w:name="OLE_LINK51"/>
      <w:r>
        <w:rPr>
          <w:rFonts w:hint="eastAsia" w:ascii="宋体" w:hAnsi="宋体"/>
          <w:b/>
          <w:bCs/>
          <w:color w:val="000000" w:themeColor="text1"/>
          <w:kern w:val="0"/>
          <w:szCs w:val="21"/>
          <w14:textFill>
            <w14:solidFill>
              <w14:schemeClr w14:val="tx1"/>
            </w14:solidFill>
          </w14:textFill>
        </w:rPr>
        <w:t>非甲烷总烃的排放</w:t>
      </w:r>
      <w:bookmarkEnd w:id="326"/>
      <w:r>
        <w:rPr>
          <w:rFonts w:hint="eastAsia" w:ascii="宋体" w:hAnsi="宋体"/>
          <w:b/>
          <w:bCs/>
          <w:color w:val="000000" w:themeColor="text1"/>
          <w:kern w:val="0"/>
          <w:szCs w:val="21"/>
          <w:lang w:eastAsia="zh-CN"/>
          <w14:textFill>
            <w14:solidFill>
              <w14:schemeClr w14:val="tx1"/>
            </w14:solidFill>
          </w14:textFill>
        </w:rPr>
        <w:t>。</w:t>
      </w:r>
    </w:p>
    <w:bookmarkEnd w:id="325"/>
    <w:p w14:paraId="5C6AB55E">
      <w:pPr>
        <w:adjustRightInd w:val="0"/>
        <w:snapToGrid w:val="0"/>
        <w:spacing w:line="500" w:lineRule="exact"/>
        <w:ind w:firstLine="480" w:firstLineChars="200"/>
        <w:jc w:val="left"/>
        <w:textAlignment w:val="baseline"/>
        <w:rPr>
          <w:rFonts w:hint="eastAsia" w:ascii="宋体" w:hAnsi="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②硫化氢</w:t>
      </w:r>
    </w:p>
    <w:p w14:paraId="04BCC080">
      <w:pPr>
        <w:adjustRightInd w:val="0"/>
        <w:snapToGrid w:val="0"/>
        <w:spacing w:line="500" w:lineRule="exact"/>
        <w:ind w:firstLine="480" w:firstLineChars="200"/>
        <w:textAlignment w:val="baseline"/>
        <w:rPr>
          <w:rFonts w:hint="default" w:ascii="宋体" w:hAnsi="宋体" w:eastAsia="宋体"/>
          <w:color w:val="000000" w:themeColor="text1"/>
          <w:kern w:val="0"/>
          <w:sz w:val="24"/>
          <w:lang w:val="en-US" w:eastAsia="zh-CN"/>
          <w14:textFill>
            <w14:solidFill>
              <w14:schemeClr w14:val="tx1"/>
            </w14:solidFill>
          </w14:textFill>
        </w:rPr>
      </w:pPr>
      <w:r>
        <w:rPr>
          <w:rFonts w:hint="eastAsia" w:ascii="宋体" w:hAnsi="宋体"/>
          <w:color w:val="000000" w:themeColor="text1"/>
          <w:kern w:val="0"/>
          <w:sz w:val="24"/>
          <w14:textFill>
            <w14:solidFill>
              <w14:schemeClr w14:val="tx1"/>
            </w14:solidFill>
          </w14:textFill>
        </w:rPr>
        <w:t>根据伴生气性质可知，伴生气中硫化氢的浓度为3mg/m</w:t>
      </w:r>
      <w:r>
        <w:rPr>
          <w:rFonts w:hint="eastAsia" w:ascii="宋体" w:hAnsi="宋体"/>
          <w:color w:val="000000" w:themeColor="text1"/>
          <w:kern w:val="0"/>
          <w:sz w:val="24"/>
          <w:vertAlign w:val="superscript"/>
          <w14:textFill>
            <w14:solidFill>
              <w14:schemeClr w14:val="tx1"/>
            </w14:solidFill>
          </w14:textFill>
        </w:rPr>
        <w:t>3</w:t>
      </w:r>
      <w:r>
        <w:rPr>
          <w:rFonts w:hint="eastAsia" w:ascii="宋体" w:hAnsi="宋体"/>
          <w:color w:val="000000" w:themeColor="text1"/>
          <w:kern w:val="0"/>
          <w:sz w:val="24"/>
          <w:lang w:eastAsia="zh-CN"/>
          <w14:textFill>
            <w14:solidFill>
              <w14:schemeClr w14:val="tx1"/>
            </w14:solidFill>
          </w14:textFill>
        </w:rPr>
        <w:t>。</w:t>
      </w:r>
      <w:r>
        <w:rPr>
          <w:rFonts w:hint="eastAsia" w:ascii="宋体" w:hAnsi="宋体"/>
          <w:color w:val="000000" w:themeColor="text1"/>
          <w:kern w:val="0"/>
          <w:sz w:val="24"/>
          <w:lang w:val="en-US" w:eastAsia="zh-CN"/>
          <w14:textFill>
            <w14:solidFill>
              <w14:schemeClr w14:val="tx1"/>
            </w14:solidFill>
          </w14:textFill>
        </w:rPr>
        <w:t>根据前文产能预测表可知，</w:t>
      </w:r>
      <w:r>
        <w:rPr>
          <w:rFonts w:hint="eastAsia" w:ascii="宋体" w:hAnsi="宋体"/>
          <w:color w:val="000000" w:themeColor="text1"/>
          <w:kern w:val="0"/>
          <w:sz w:val="24"/>
          <w14:textFill>
            <w14:solidFill>
              <w14:schemeClr w14:val="tx1"/>
            </w14:solidFill>
          </w14:textFill>
        </w:rPr>
        <w:t>本项目伴生气</w:t>
      </w:r>
      <w:r>
        <w:rPr>
          <w:rFonts w:hint="eastAsia" w:ascii="宋体" w:hAnsi="宋体"/>
          <w:color w:val="000000" w:themeColor="text1"/>
          <w:kern w:val="0"/>
          <w:sz w:val="24"/>
          <w:lang w:val="en-US" w:eastAsia="zh-CN"/>
          <w14:textFill>
            <w14:solidFill>
              <w14:schemeClr w14:val="tx1"/>
            </w14:solidFill>
          </w14:textFill>
        </w:rPr>
        <w:t>最大产量</w:t>
      </w:r>
      <w:r>
        <w:rPr>
          <w:rFonts w:hint="eastAsia" w:ascii="宋体" w:hAnsi="宋体"/>
          <w:color w:val="000000" w:themeColor="text1"/>
          <w:kern w:val="0"/>
          <w:sz w:val="24"/>
          <w14:textFill>
            <w14:solidFill>
              <w14:schemeClr w14:val="tx1"/>
            </w14:solidFill>
          </w14:textFill>
        </w:rPr>
        <w:t>约</w:t>
      </w:r>
      <w:r>
        <w:rPr>
          <w:rFonts w:hint="eastAsia" w:ascii="宋体" w:hAnsi="宋体"/>
          <w:color w:val="000000" w:themeColor="text1"/>
          <w:kern w:val="0"/>
          <w:sz w:val="24"/>
          <w:lang w:val="en-US" w:eastAsia="zh-CN"/>
          <w14:textFill>
            <w14:solidFill>
              <w14:schemeClr w14:val="tx1"/>
            </w14:solidFill>
          </w14:textFill>
        </w:rPr>
        <w:t>为21.76</w:t>
      </w:r>
      <w:r>
        <w:rPr>
          <w:rFonts w:hint="eastAsia" w:ascii="宋体" w:hAnsi="宋体"/>
          <w:color w:val="000000" w:themeColor="text1"/>
          <w:kern w:val="0"/>
          <w:sz w:val="24"/>
          <w14:textFill>
            <w14:solidFill>
              <w14:schemeClr w14:val="tx1"/>
            </w14:solidFill>
          </w14:textFill>
        </w:rPr>
        <w:t>×10</w:t>
      </w:r>
      <w:r>
        <w:rPr>
          <w:rFonts w:hint="eastAsia" w:ascii="宋体" w:hAnsi="宋体"/>
          <w:color w:val="000000" w:themeColor="text1"/>
          <w:kern w:val="0"/>
          <w:sz w:val="24"/>
          <w:vertAlign w:val="superscript"/>
          <w:lang w:val="en-US" w:eastAsia="zh-CN"/>
          <w14:textFill>
            <w14:solidFill>
              <w14:schemeClr w14:val="tx1"/>
            </w14:solidFill>
          </w14:textFill>
        </w:rPr>
        <w:t>4</w:t>
      </w:r>
      <w:r>
        <w:rPr>
          <w:rFonts w:hint="eastAsia" w:ascii="宋体" w:hAnsi="宋体"/>
          <w:color w:val="000000" w:themeColor="text1"/>
          <w:kern w:val="0"/>
          <w:sz w:val="24"/>
          <w14:textFill>
            <w14:solidFill>
              <w14:schemeClr w14:val="tx1"/>
            </w14:solidFill>
          </w14:textFill>
        </w:rPr>
        <w:t>m</w:t>
      </w:r>
      <w:r>
        <w:rPr>
          <w:rFonts w:hint="eastAsia" w:ascii="宋体" w:hAnsi="宋体"/>
          <w:color w:val="000000" w:themeColor="text1"/>
          <w:kern w:val="0"/>
          <w:sz w:val="24"/>
          <w:vertAlign w:val="superscript"/>
          <w14:textFill>
            <w14:solidFill>
              <w14:schemeClr w14:val="tx1"/>
            </w14:solidFill>
          </w14:textFill>
        </w:rPr>
        <w:t>3</w:t>
      </w:r>
      <w:r>
        <w:rPr>
          <w:rFonts w:hint="eastAsia" w:ascii="宋体" w:hAnsi="宋体"/>
          <w:color w:val="000000" w:themeColor="text1"/>
          <w:kern w:val="0"/>
          <w:sz w:val="24"/>
          <w14:textFill>
            <w14:solidFill>
              <w14:schemeClr w14:val="tx1"/>
            </w14:solidFill>
          </w14:textFill>
        </w:rPr>
        <w:t>/a，据此核算出本项目伴生气中硫化氢最大</w:t>
      </w:r>
      <w:r>
        <w:rPr>
          <w:rFonts w:hint="eastAsia" w:ascii="宋体" w:hAnsi="宋体"/>
          <w:color w:val="000000" w:themeColor="text1"/>
          <w:kern w:val="0"/>
          <w:sz w:val="24"/>
          <w:lang w:val="en-US" w:eastAsia="zh-CN"/>
          <w14:textFill>
            <w14:solidFill>
              <w14:schemeClr w14:val="tx1"/>
            </w14:solidFill>
          </w14:textFill>
        </w:rPr>
        <w:t>排放</w:t>
      </w:r>
      <w:r>
        <w:rPr>
          <w:rFonts w:hint="eastAsia" w:ascii="宋体" w:hAnsi="宋体"/>
          <w:color w:val="000000" w:themeColor="text1"/>
          <w:kern w:val="0"/>
          <w:sz w:val="24"/>
          <w14:textFill>
            <w14:solidFill>
              <w14:schemeClr w14:val="tx1"/>
            </w14:solidFill>
          </w14:textFill>
        </w:rPr>
        <w:t>量为</w:t>
      </w:r>
      <w:r>
        <w:rPr>
          <w:rFonts w:hint="eastAsia" w:ascii="宋体" w:hAnsi="宋体"/>
          <w:color w:val="000000" w:themeColor="text1"/>
          <w:kern w:val="0"/>
          <w:sz w:val="24"/>
          <w:lang w:val="en-US" w:eastAsia="zh-CN"/>
          <w14:textFill>
            <w14:solidFill>
              <w14:schemeClr w14:val="tx1"/>
            </w14:solidFill>
          </w14:textFill>
        </w:rPr>
        <w:t>652.8g</w:t>
      </w:r>
      <w:r>
        <w:rPr>
          <w:rFonts w:hint="eastAsia" w:ascii="宋体" w:hAnsi="宋体"/>
          <w:color w:val="000000" w:themeColor="text1"/>
          <w:kern w:val="0"/>
          <w:sz w:val="24"/>
          <w14:textFill>
            <w14:solidFill>
              <w14:schemeClr w14:val="tx1"/>
            </w14:solidFill>
          </w14:textFill>
        </w:rPr>
        <w:t>/a。根</w:t>
      </w:r>
      <w:r>
        <w:rPr>
          <w:rFonts w:hint="eastAsia" w:ascii="宋体" w:hAnsi="宋体" w:eastAsia="宋体" w:cs="Times New Roman"/>
          <w:color w:val="000000" w:themeColor="text1"/>
          <w:sz w:val="24"/>
          <w:szCs w:val="24"/>
          <w:lang w:val="en-US" w:eastAsia="zh-CN"/>
          <w14:textFill>
            <w14:solidFill>
              <w14:schemeClr w14:val="tx1"/>
            </w14:solidFill>
          </w14:textFill>
        </w:rPr>
        <w:t>据油田现有资料及污染源调查数据分析，油气集输损失按照伴生气最大产能的0.1‰损失计算，则本项目硫化氢无组织排放量约为0.0653</w:t>
      </w:r>
      <w:r>
        <w:rPr>
          <w:rFonts w:hint="eastAsia" w:ascii="宋体" w:hAnsi="宋体"/>
          <w:color w:val="000000" w:themeColor="text1"/>
          <w:kern w:val="0"/>
          <w:sz w:val="24"/>
          <w:lang w:val="en-US" w:eastAsia="zh-CN"/>
          <w14:textFill>
            <w14:solidFill>
              <w14:schemeClr w14:val="tx1"/>
            </w14:solidFill>
          </w14:textFill>
        </w:rPr>
        <w:t>g</w:t>
      </w:r>
      <w:r>
        <w:rPr>
          <w:rFonts w:hint="eastAsia" w:ascii="宋体" w:hAnsi="宋体" w:eastAsia="宋体" w:cs="Times New Roman"/>
          <w:color w:val="000000" w:themeColor="text1"/>
          <w:sz w:val="24"/>
          <w:szCs w:val="24"/>
          <w:lang w:val="en-US" w:eastAsia="zh-CN"/>
          <w14:textFill>
            <w14:solidFill>
              <w14:schemeClr w14:val="tx1"/>
            </w14:solidFill>
          </w14:textFill>
        </w:rPr>
        <w:t>/a，每个井场硫化氢无组织排放量具体如下：</w:t>
      </w:r>
    </w:p>
    <w:bookmarkEnd w:id="324"/>
    <w:p w14:paraId="5831B0CF">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硫化氢产生情况一览表</w:t>
      </w:r>
    </w:p>
    <w:tbl>
      <w:tblPr>
        <w:tblStyle w:val="51"/>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077"/>
        <w:gridCol w:w="2441"/>
        <w:gridCol w:w="2197"/>
      </w:tblGrid>
      <w:tr w14:paraId="2D3598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2339" w:type="pct"/>
            <w:tcBorders>
              <w:top w:val="single" w:color="000000" w:sz="12" w:space="0"/>
              <w:left w:val="nil"/>
              <w:bottom w:val="single" w:color="000000" w:sz="4" w:space="0"/>
              <w:right w:val="single" w:color="auto" w:sz="4" w:space="0"/>
            </w:tcBorders>
            <w:vAlign w:val="center"/>
          </w:tcPr>
          <w:p w14:paraId="0558EBE4">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名称</w:t>
            </w:r>
          </w:p>
        </w:tc>
        <w:tc>
          <w:tcPr>
            <w:tcW w:w="1400" w:type="pct"/>
            <w:tcBorders>
              <w:top w:val="single" w:color="000000" w:sz="12" w:space="0"/>
              <w:left w:val="single" w:color="000000" w:sz="4" w:space="0"/>
              <w:bottom w:val="single" w:color="000000" w:sz="4" w:space="0"/>
              <w:right w:val="single" w:color="auto" w:sz="4" w:space="0"/>
            </w:tcBorders>
            <w:vAlign w:val="center"/>
          </w:tcPr>
          <w:p w14:paraId="3F5E3284">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硫化氢含量（mg/m</w:t>
            </w:r>
            <w:r>
              <w:rPr>
                <w:rFonts w:hint="eastAsia"/>
                <w:snapToGrid w:val="0"/>
                <w:color w:val="000000" w:themeColor="text1"/>
                <w:vertAlign w:val="superscript"/>
                <w14:textFill>
                  <w14:solidFill>
                    <w14:schemeClr w14:val="tx1"/>
                  </w14:solidFill>
                </w14:textFill>
              </w:rPr>
              <w:t>3</w:t>
            </w:r>
            <w:r>
              <w:rPr>
                <w:rFonts w:hint="eastAsia"/>
                <w:snapToGrid w:val="0"/>
                <w:color w:val="000000" w:themeColor="text1"/>
                <w14:textFill>
                  <w14:solidFill>
                    <w14:schemeClr w14:val="tx1"/>
                  </w14:solidFill>
                </w14:textFill>
              </w:rPr>
              <w:t>）</w:t>
            </w:r>
          </w:p>
        </w:tc>
        <w:tc>
          <w:tcPr>
            <w:tcW w:w="1260" w:type="pct"/>
            <w:tcBorders>
              <w:top w:val="single" w:color="000000" w:sz="12" w:space="0"/>
              <w:left w:val="single" w:color="auto" w:sz="4" w:space="0"/>
              <w:bottom w:val="single" w:color="000000" w:sz="4" w:space="0"/>
              <w:right w:val="nil"/>
            </w:tcBorders>
            <w:vAlign w:val="center"/>
          </w:tcPr>
          <w:p w14:paraId="074640EE">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硫化氢产生量（g/a）</w:t>
            </w:r>
          </w:p>
        </w:tc>
      </w:tr>
      <w:tr w14:paraId="6D35B9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1" w:hRule="atLeast"/>
          <w:jc w:val="center"/>
        </w:trPr>
        <w:tc>
          <w:tcPr>
            <w:tcW w:w="2339" w:type="pct"/>
            <w:tcBorders>
              <w:left w:val="nil"/>
              <w:right w:val="single" w:color="auto" w:sz="4" w:space="0"/>
            </w:tcBorders>
            <w:vAlign w:val="center"/>
          </w:tcPr>
          <w:p w14:paraId="7C1E5BAF">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平台-1（JD6110、JD6089）</w:t>
            </w:r>
          </w:p>
        </w:tc>
        <w:tc>
          <w:tcPr>
            <w:tcW w:w="1400" w:type="pct"/>
            <w:tcBorders>
              <w:top w:val="single" w:color="000000" w:sz="4" w:space="0"/>
              <w:left w:val="single" w:color="000000" w:sz="4" w:space="0"/>
              <w:bottom w:val="single" w:color="000000" w:sz="4" w:space="0"/>
              <w:right w:val="single" w:color="auto" w:sz="4" w:space="0"/>
            </w:tcBorders>
            <w:vAlign w:val="center"/>
          </w:tcPr>
          <w:p w14:paraId="33B04E9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260" w:type="pct"/>
            <w:tcBorders>
              <w:top w:val="single" w:color="000000" w:sz="4" w:space="0"/>
              <w:left w:val="single" w:color="auto" w:sz="4" w:space="0"/>
              <w:bottom w:val="single" w:color="000000" w:sz="4" w:space="0"/>
              <w:right w:val="nil"/>
            </w:tcBorders>
            <w:vAlign w:val="center"/>
          </w:tcPr>
          <w:p w14:paraId="5105F931">
            <w:pPr>
              <w:widowControl/>
              <w:jc w:val="center"/>
              <w:textAlignment w:val="center"/>
              <w:rPr>
                <w:rFonts w:hint="default" w:ascii="宋体" w:hAnsi="宋体" w:eastAsia="宋体"/>
                <w:color w:val="000000" w:themeColor="text1"/>
                <w:kern w:val="0"/>
                <w:szCs w:val="21"/>
                <w:lang w:val="en-US" w:eastAsia="zh-CN" w:bidi="ar"/>
                <w14:textFill>
                  <w14:solidFill>
                    <w14:schemeClr w14:val="tx1"/>
                  </w14:solidFill>
                </w14:textFill>
              </w:rPr>
            </w:pPr>
            <w:r>
              <w:rPr>
                <w:rFonts w:hint="eastAsia" w:ascii="宋体" w:hAnsi="宋体"/>
                <w:color w:val="000000" w:themeColor="text1"/>
                <w:kern w:val="0"/>
                <w:szCs w:val="21"/>
                <w:lang w:val="en-US" w:eastAsia="zh-CN" w:bidi="ar"/>
                <w14:textFill>
                  <w14:solidFill>
                    <w14:schemeClr w14:val="tx1"/>
                  </w14:solidFill>
                </w14:textFill>
              </w:rPr>
              <w:t>0.0219</w:t>
            </w:r>
          </w:p>
        </w:tc>
      </w:tr>
      <w:tr w14:paraId="784FCB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39" w:type="pct"/>
            <w:tcBorders>
              <w:left w:val="nil"/>
              <w:right w:val="single" w:color="auto" w:sz="4" w:space="0"/>
            </w:tcBorders>
            <w:vAlign w:val="center"/>
          </w:tcPr>
          <w:p w14:paraId="410CB34F">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平台-2（JD6167、JD6186）</w:t>
            </w:r>
          </w:p>
        </w:tc>
        <w:tc>
          <w:tcPr>
            <w:tcW w:w="1400" w:type="pct"/>
            <w:tcBorders>
              <w:top w:val="single" w:color="000000" w:sz="4" w:space="0"/>
              <w:left w:val="single" w:color="000000" w:sz="4" w:space="0"/>
              <w:bottom w:val="single" w:color="000000" w:sz="4" w:space="0"/>
              <w:right w:val="single" w:color="auto" w:sz="4" w:space="0"/>
            </w:tcBorders>
            <w:vAlign w:val="center"/>
          </w:tcPr>
          <w:p w14:paraId="1F47A2B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260" w:type="pct"/>
            <w:tcBorders>
              <w:top w:val="single" w:color="000000" w:sz="4" w:space="0"/>
              <w:left w:val="single" w:color="auto" w:sz="4" w:space="0"/>
              <w:bottom w:val="single" w:color="000000" w:sz="4" w:space="0"/>
              <w:right w:val="nil"/>
            </w:tcBorders>
            <w:vAlign w:val="center"/>
          </w:tcPr>
          <w:p w14:paraId="23D688EE">
            <w:pPr>
              <w:widowControl/>
              <w:jc w:val="center"/>
              <w:textAlignment w:val="center"/>
              <w:rPr>
                <w:rFonts w:hint="default" w:ascii="宋体" w:hAnsi="宋体" w:eastAsia="宋体"/>
                <w:color w:val="000000" w:themeColor="text1"/>
                <w:kern w:val="0"/>
                <w:szCs w:val="21"/>
                <w:lang w:val="en-US" w:eastAsia="zh-CN" w:bidi="ar"/>
                <w14:textFill>
                  <w14:solidFill>
                    <w14:schemeClr w14:val="tx1"/>
                  </w14:solidFill>
                </w14:textFill>
              </w:rPr>
            </w:pPr>
            <w:r>
              <w:rPr>
                <w:rFonts w:hint="eastAsia" w:ascii="宋体" w:hAnsi="宋体"/>
                <w:color w:val="000000" w:themeColor="text1"/>
                <w:kern w:val="0"/>
                <w:szCs w:val="21"/>
                <w:lang w:val="en-US" w:eastAsia="zh-CN" w:bidi="ar"/>
                <w14:textFill>
                  <w14:solidFill>
                    <w14:schemeClr w14:val="tx1"/>
                  </w14:solidFill>
                </w14:textFill>
              </w:rPr>
              <w:t>0.0219</w:t>
            </w:r>
          </w:p>
        </w:tc>
      </w:tr>
      <w:tr w14:paraId="5272E8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39" w:type="pct"/>
            <w:tcBorders>
              <w:left w:val="nil"/>
              <w:right w:val="single" w:color="auto" w:sz="4" w:space="0"/>
            </w:tcBorders>
            <w:vAlign w:val="center"/>
          </w:tcPr>
          <w:p w14:paraId="28498FC6">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平台-3（仅</w:t>
            </w:r>
            <w:r>
              <w:rPr>
                <w:rFonts w:hint="eastAsia"/>
                <w:color w:val="000000" w:themeColor="text1"/>
                <w:lang w:bidi="ar"/>
                <w14:textFill>
                  <w14:solidFill>
                    <w14:schemeClr w14:val="tx1"/>
                  </w14:solidFill>
                </w14:textFill>
              </w:rPr>
              <w:t>J9100A参与核算，JD8399A为注水井</w:t>
            </w:r>
            <w:r>
              <w:rPr>
                <w:rFonts w:hint="eastAsia"/>
                <w:snapToGrid w:val="0"/>
                <w:color w:val="000000" w:themeColor="text1"/>
                <w14:textFill>
                  <w14:solidFill>
                    <w14:schemeClr w14:val="tx1"/>
                  </w14:solidFill>
                </w14:textFill>
              </w:rPr>
              <w:t>）</w:t>
            </w:r>
          </w:p>
        </w:tc>
        <w:tc>
          <w:tcPr>
            <w:tcW w:w="1400" w:type="pct"/>
            <w:tcBorders>
              <w:top w:val="single" w:color="000000" w:sz="4" w:space="0"/>
              <w:left w:val="single" w:color="000000" w:sz="4" w:space="0"/>
              <w:bottom w:val="single" w:color="000000" w:sz="4" w:space="0"/>
              <w:right w:val="single" w:color="auto" w:sz="4" w:space="0"/>
            </w:tcBorders>
            <w:vAlign w:val="center"/>
          </w:tcPr>
          <w:p w14:paraId="291D69C9">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260" w:type="pct"/>
            <w:tcBorders>
              <w:top w:val="single" w:color="000000" w:sz="4" w:space="0"/>
              <w:left w:val="single" w:color="auto" w:sz="4" w:space="0"/>
              <w:bottom w:val="single" w:color="000000" w:sz="4" w:space="0"/>
              <w:right w:val="nil"/>
            </w:tcBorders>
            <w:shd w:val="clear" w:color="auto" w:fill="auto"/>
            <w:vAlign w:val="center"/>
          </w:tcPr>
          <w:p w14:paraId="5CDAD6E5">
            <w:pPr>
              <w:keepNext w:val="0"/>
              <w:keepLines w:val="0"/>
              <w:widowControl/>
              <w:suppressLineNumbers w:val="0"/>
              <w:jc w:val="center"/>
              <w:textAlignment w:val="center"/>
              <w:rPr>
                <w:rFonts w:hint="default" w:ascii="宋体" w:hAnsi="宋体" w:eastAsia="宋体" w:cs="宋体"/>
                <w:i w:val="0"/>
                <w:iCs w:val="0"/>
                <w:color w:val="000000" w:themeColor="text1"/>
                <w:kern w:val="2"/>
                <w:sz w:val="22"/>
                <w:szCs w:val="22"/>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0.0123</w:t>
            </w:r>
          </w:p>
        </w:tc>
      </w:tr>
      <w:tr w14:paraId="1B3749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39" w:type="pct"/>
            <w:tcBorders>
              <w:left w:val="nil"/>
              <w:right w:val="single" w:color="auto" w:sz="4" w:space="0"/>
            </w:tcBorders>
            <w:vAlign w:val="center"/>
          </w:tcPr>
          <w:p w14:paraId="1D572A19">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单井采油井（</w:t>
            </w:r>
            <w:r>
              <w:rPr>
                <w:snapToGrid w:val="0"/>
                <w:color w:val="000000" w:themeColor="text1"/>
                <w14:textFill>
                  <w14:solidFill>
                    <w14:schemeClr w14:val="tx1"/>
                  </w14:solidFill>
                </w14:textFill>
              </w:rPr>
              <w:t>J6093A</w:t>
            </w:r>
            <w:r>
              <w:rPr>
                <w:rFonts w:hint="eastAsia"/>
                <w:snapToGrid w:val="0"/>
                <w:color w:val="000000" w:themeColor="text1"/>
                <w14:textFill>
                  <w14:solidFill>
                    <w14:schemeClr w14:val="tx1"/>
                  </w14:solidFill>
                </w14:textFill>
              </w:rPr>
              <w:t>）</w:t>
            </w:r>
          </w:p>
        </w:tc>
        <w:tc>
          <w:tcPr>
            <w:tcW w:w="1400" w:type="pct"/>
            <w:tcBorders>
              <w:top w:val="single" w:color="000000" w:sz="4" w:space="0"/>
              <w:left w:val="single" w:color="000000" w:sz="4" w:space="0"/>
              <w:bottom w:val="single" w:color="000000" w:sz="4" w:space="0"/>
              <w:right w:val="single" w:color="auto" w:sz="4" w:space="0"/>
            </w:tcBorders>
            <w:vAlign w:val="center"/>
          </w:tcPr>
          <w:p w14:paraId="33F6C49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260" w:type="pct"/>
            <w:tcBorders>
              <w:top w:val="single" w:color="000000" w:sz="4" w:space="0"/>
              <w:left w:val="single" w:color="auto" w:sz="4" w:space="0"/>
              <w:bottom w:val="single" w:color="000000" w:sz="4" w:space="0"/>
              <w:right w:val="nil"/>
            </w:tcBorders>
            <w:shd w:val="clear" w:color="auto" w:fill="auto"/>
            <w:vAlign w:val="center"/>
          </w:tcPr>
          <w:p w14:paraId="5EB685C9">
            <w:pPr>
              <w:keepNext w:val="0"/>
              <w:keepLines w:val="0"/>
              <w:widowControl/>
              <w:suppressLineNumbers w:val="0"/>
              <w:jc w:val="center"/>
              <w:textAlignment w:val="center"/>
              <w:rPr>
                <w:rFonts w:hint="default" w:ascii="宋体" w:hAnsi="宋体" w:eastAsia="宋体" w:cs="宋体"/>
                <w:i w:val="0"/>
                <w:iCs w:val="0"/>
                <w:color w:val="000000" w:themeColor="text1"/>
                <w:kern w:val="2"/>
                <w:sz w:val="22"/>
                <w:szCs w:val="22"/>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0.0092</w:t>
            </w:r>
          </w:p>
        </w:tc>
      </w:tr>
      <w:tr w14:paraId="0334F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39" w:type="pct"/>
            <w:tcBorders>
              <w:left w:val="nil"/>
              <w:bottom w:val="single" w:color="auto" w:sz="12" w:space="0"/>
              <w:right w:val="single" w:color="auto" w:sz="4" w:space="0"/>
            </w:tcBorders>
            <w:vAlign w:val="center"/>
          </w:tcPr>
          <w:p w14:paraId="330DCF1D">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合计</w:t>
            </w:r>
          </w:p>
        </w:tc>
        <w:tc>
          <w:tcPr>
            <w:tcW w:w="1400" w:type="pct"/>
            <w:tcBorders>
              <w:top w:val="single" w:color="000000" w:sz="4" w:space="0"/>
              <w:left w:val="single" w:color="000000" w:sz="4" w:space="0"/>
              <w:bottom w:val="single" w:color="auto" w:sz="12" w:space="0"/>
              <w:right w:val="single" w:color="auto" w:sz="4" w:space="0"/>
            </w:tcBorders>
            <w:vAlign w:val="center"/>
          </w:tcPr>
          <w:p w14:paraId="33CF4F0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p>
        </w:tc>
        <w:tc>
          <w:tcPr>
            <w:tcW w:w="1260" w:type="pct"/>
            <w:tcBorders>
              <w:top w:val="single" w:color="000000" w:sz="4" w:space="0"/>
              <w:left w:val="single" w:color="auto" w:sz="4" w:space="0"/>
              <w:bottom w:val="single" w:color="auto" w:sz="12" w:space="0"/>
              <w:right w:val="nil"/>
            </w:tcBorders>
            <w:vAlign w:val="center"/>
          </w:tcPr>
          <w:p w14:paraId="17B7DA0E">
            <w:pPr>
              <w:widowControl/>
              <w:jc w:val="center"/>
              <w:textAlignment w:val="center"/>
              <w:rPr>
                <w:rFonts w:hint="default" w:ascii="宋体" w:hAnsi="宋体" w:eastAsia="宋体"/>
                <w:color w:val="000000" w:themeColor="text1"/>
                <w:kern w:val="0"/>
                <w:szCs w:val="21"/>
                <w:lang w:val="en-US" w:eastAsia="zh-CN" w:bidi="ar"/>
                <w14:textFill>
                  <w14:solidFill>
                    <w14:schemeClr w14:val="tx1"/>
                  </w14:solidFill>
                </w14:textFill>
              </w:rPr>
            </w:pPr>
            <w:r>
              <w:rPr>
                <w:rFonts w:hint="eastAsia" w:ascii="宋体" w:hAnsi="宋体"/>
                <w:color w:val="000000" w:themeColor="text1"/>
                <w:kern w:val="0"/>
                <w:szCs w:val="21"/>
                <w:lang w:val="en-US" w:eastAsia="zh-CN" w:bidi="ar"/>
                <w14:textFill>
                  <w14:solidFill>
                    <w14:schemeClr w14:val="tx1"/>
                  </w14:solidFill>
                </w14:textFill>
              </w:rPr>
              <w:t>0.0653</w:t>
            </w:r>
          </w:p>
        </w:tc>
      </w:tr>
      <w:bookmarkEnd w:id="317"/>
    </w:tbl>
    <w:p w14:paraId="23056CC3">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项目实施后无组织废气排放量核算表见表3</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-6。</w:t>
      </w:r>
    </w:p>
    <w:p w14:paraId="222A4099">
      <w:pPr>
        <w:adjustRightInd w:val="0"/>
        <w:snapToGrid w:val="0"/>
        <w:spacing w:line="500" w:lineRule="exact"/>
        <w:ind w:firstLine="480"/>
        <w:jc w:val="center"/>
        <w:textAlignment w:val="baseline"/>
        <w:rPr>
          <w:rFonts w:hint="eastAsia" w:ascii="黑体" w:hAnsi="黑体" w:eastAsia="黑体"/>
          <w:color w:val="000000" w:themeColor="text1"/>
          <w:kern w:val="0"/>
          <w:szCs w:val="21"/>
          <w14:textFill>
            <w14:solidFill>
              <w14:schemeClr w14:val="tx1"/>
            </w14:solidFill>
          </w14:textFill>
        </w:rPr>
      </w:pPr>
      <w:r>
        <w:rPr>
          <w:rFonts w:hint="eastAsia" w:ascii="黑体" w:hAnsi="黑体" w:eastAsia="黑体"/>
          <w:color w:val="000000" w:themeColor="text1"/>
          <w:kern w:val="0"/>
          <w:szCs w:val="21"/>
          <w14:textFill>
            <w14:solidFill>
              <w14:schemeClr w14:val="tx1"/>
            </w14:solidFill>
          </w14:textFill>
        </w:rPr>
        <w:t>表</w:t>
      </w:r>
      <w:r>
        <w:rPr>
          <w:rFonts w:ascii="黑体" w:hAnsi="黑体" w:eastAsia="黑体"/>
          <w:color w:val="000000" w:themeColor="text1"/>
          <w:kern w:val="0"/>
          <w:szCs w:val="21"/>
          <w14:textFill>
            <w14:solidFill>
              <w14:schemeClr w14:val="tx1"/>
            </w14:solidFill>
          </w14:textFill>
        </w:rPr>
        <w:t>3.3</w:t>
      </w:r>
      <w:r>
        <w:rPr>
          <w:rFonts w:hint="eastAsia" w:ascii="黑体" w:hAnsi="黑体" w:eastAsia="黑体"/>
          <w:color w:val="000000" w:themeColor="text1"/>
          <w:kern w:val="0"/>
          <w:szCs w:val="21"/>
          <w14:textFill>
            <w14:solidFill>
              <w14:schemeClr w14:val="tx1"/>
            </w14:solidFill>
          </w14:textFill>
        </w:rPr>
        <w:t>-6  大气污染物无组织排放量核算表</w:t>
      </w:r>
    </w:p>
    <w:tbl>
      <w:tblPr>
        <w:tblStyle w:val="5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26"/>
        <w:gridCol w:w="714"/>
        <w:gridCol w:w="1042"/>
        <w:gridCol w:w="761"/>
        <w:gridCol w:w="1726"/>
        <w:gridCol w:w="1663"/>
        <w:gridCol w:w="1237"/>
        <w:gridCol w:w="1161"/>
      </w:tblGrid>
      <w:tr w14:paraId="0DACFE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243" w:type="pct"/>
            <w:vMerge w:val="restart"/>
            <w:vAlign w:val="center"/>
          </w:tcPr>
          <w:p w14:paraId="49FCEA33">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序号</w:t>
            </w:r>
          </w:p>
        </w:tc>
        <w:tc>
          <w:tcPr>
            <w:tcW w:w="431" w:type="pct"/>
            <w:vMerge w:val="restart"/>
            <w:vAlign w:val="center"/>
          </w:tcPr>
          <w:p w14:paraId="06B17E59">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排放口编号</w:t>
            </w:r>
          </w:p>
        </w:tc>
        <w:tc>
          <w:tcPr>
            <w:tcW w:w="619" w:type="pct"/>
            <w:vMerge w:val="restart"/>
            <w:vAlign w:val="center"/>
          </w:tcPr>
          <w:p w14:paraId="6248CB4F">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产污环节</w:t>
            </w:r>
          </w:p>
        </w:tc>
        <w:tc>
          <w:tcPr>
            <w:tcW w:w="458" w:type="pct"/>
            <w:vMerge w:val="restart"/>
            <w:vAlign w:val="center"/>
          </w:tcPr>
          <w:p w14:paraId="1DAC91A2">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污染物</w:t>
            </w:r>
          </w:p>
        </w:tc>
        <w:tc>
          <w:tcPr>
            <w:tcW w:w="1010" w:type="pct"/>
            <w:vMerge w:val="restart"/>
            <w:vAlign w:val="center"/>
          </w:tcPr>
          <w:p w14:paraId="005BB7F7">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主要污染</w:t>
            </w:r>
          </w:p>
          <w:p w14:paraId="59AD367A">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防治措施</w:t>
            </w:r>
          </w:p>
        </w:tc>
        <w:tc>
          <w:tcPr>
            <w:tcW w:w="1704" w:type="pct"/>
            <w:gridSpan w:val="2"/>
            <w:vAlign w:val="center"/>
          </w:tcPr>
          <w:p w14:paraId="650FC58E">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国家污染物排放标准</w:t>
            </w:r>
          </w:p>
        </w:tc>
        <w:tc>
          <w:tcPr>
            <w:tcW w:w="534" w:type="pct"/>
            <w:vMerge w:val="restart"/>
            <w:vAlign w:val="center"/>
          </w:tcPr>
          <w:p w14:paraId="291ABBA5">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年排</w:t>
            </w:r>
          </w:p>
          <w:p w14:paraId="019D615E">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放量</w:t>
            </w:r>
          </w:p>
        </w:tc>
      </w:tr>
      <w:tr w14:paraId="610885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243" w:type="pct"/>
            <w:vMerge w:val="continue"/>
            <w:vAlign w:val="center"/>
          </w:tcPr>
          <w:p w14:paraId="409968AC">
            <w:pPr>
              <w:pStyle w:val="280"/>
              <w:rPr>
                <w:rFonts w:hint="eastAsia"/>
                <w:snapToGrid w:val="0"/>
                <w:color w:val="000000" w:themeColor="text1"/>
                <w14:textFill>
                  <w14:solidFill>
                    <w14:schemeClr w14:val="tx1"/>
                  </w14:solidFill>
                </w14:textFill>
              </w:rPr>
            </w:pPr>
          </w:p>
        </w:tc>
        <w:tc>
          <w:tcPr>
            <w:tcW w:w="431" w:type="pct"/>
            <w:vMerge w:val="continue"/>
            <w:vAlign w:val="center"/>
          </w:tcPr>
          <w:p w14:paraId="58515A93">
            <w:pPr>
              <w:pStyle w:val="280"/>
              <w:rPr>
                <w:rFonts w:hint="eastAsia"/>
                <w:snapToGrid w:val="0"/>
                <w:color w:val="000000" w:themeColor="text1"/>
                <w14:textFill>
                  <w14:solidFill>
                    <w14:schemeClr w14:val="tx1"/>
                  </w14:solidFill>
                </w14:textFill>
              </w:rPr>
            </w:pPr>
          </w:p>
        </w:tc>
        <w:tc>
          <w:tcPr>
            <w:tcW w:w="619" w:type="pct"/>
            <w:vMerge w:val="continue"/>
            <w:vAlign w:val="center"/>
          </w:tcPr>
          <w:p w14:paraId="440C9185">
            <w:pPr>
              <w:pStyle w:val="280"/>
              <w:rPr>
                <w:rFonts w:hint="eastAsia"/>
                <w:snapToGrid w:val="0"/>
                <w:color w:val="000000" w:themeColor="text1"/>
                <w14:textFill>
                  <w14:solidFill>
                    <w14:schemeClr w14:val="tx1"/>
                  </w14:solidFill>
                </w14:textFill>
              </w:rPr>
            </w:pPr>
          </w:p>
        </w:tc>
        <w:tc>
          <w:tcPr>
            <w:tcW w:w="458" w:type="pct"/>
            <w:vMerge w:val="continue"/>
            <w:vAlign w:val="center"/>
          </w:tcPr>
          <w:p w14:paraId="3137662C">
            <w:pPr>
              <w:pStyle w:val="280"/>
              <w:rPr>
                <w:rFonts w:hint="eastAsia"/>
                <w:snapToGrid w:val="0"/>
                <w:color w:val="000000" w:themeColor="text1"/>
                <w14:textFill>
                  <w14:solidFill>
                    <w14:schemeClr w14:val="tx1"/>
                  </w14:solidFill>
                </w14:textFill>
              </w:rPr>
            </w:pPr>
          </w:p>
        </w:tc>
        <w:tc>
          <w:tcPr>
            <w:tcW w:w="1010" w:type="pct"/>
            <w:vMerge w:val="continue"/>
            <w:vAlign w:val="center"/>
          </w:tcPr>
          <w:p w14:paraId="35576B12">
            <w:pPr>
              <w:pStyle w:val="280"/>
              <w:rPr>
                <w:rFonts w:hint="eastAsia"/>
                <w:snapToGrid w:val="0"/>
                <w:color w:val="000000" w:themeColor="text1"/>
                <w14:textFill>
                  <w14:solidFill>
                    <w14:schemeClr w14:val="tx1"/>
                  </w14:solidFill>
                </w14:textFill>
              </w:rPr>
            </w:pPr>
          </w:p>
        </w:tc>
        <w:tc>
          <w:tcPr>
            <w:tcW w:w="974" w:type="pct"/>
            <w:vAlign w:val="center"/>
          </w:tcPr>
          <w:p w14:paraId="75B35725">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标准名称</w:t>
            </w:r>
          </w:p>
        </w:tc>
        <w:tc>
          <w:tcPr>
            <w:tcW w:w="730" w:type="pct"/>
            <w:vAlign w:val="center"/>
          </w:tcPr>
          <w:p w14:paraId="7C231CD3">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浓度限值（mg/m</w:t>
            </w:r>
            <w:r>
              <w:rPr>
                <w:rFonts w:hint="eastAsia"/>
                <w:snapToGrid w:val="0"/>
                <w:color w:val="000000" w:themeColor="text1"/>
                <w:vertAlign w:val="superscript"/>
                <w14:textFill>
                  <w14:solidFill>
                    <w14:schemeClr w14:val="tx1"/>
                  </w14:solidFill>
                </w14:textFill>
              </w:rPr>
              <w:t>3</w:t>
            </w:r>
            <w:r>
              <w:rPr>
                <w:rFonts w:hint="eastAsia"/>
                <w:snapToGrid w:val="0"/>
                <w:color w:val="000000" w:themeColor="text1"/>
                <w14:textFill>
                  <w14:solidFill>
                    <w14:schemeClr w14:val="tx1"/>
                  </w14:solidFill>
                </w14:textFill>
              </w:rPr>
              <w:t>）</w:t>
            </w:r>
          </w:p>
        </w:tc>
        <w:tc>
          <w:tcPr>
            <w:tcW w:w="534" w:type="pct"/>
            <w:vMerge w:val="continue"/>
            <w:vAlign w:val="center"/>
          </w:tcPr>
          <w:p w14:paraId="6A15CA8D">
            <w:pPr>
              <w:pStyle w:val="280"/>
              <w:rPr>
                <w:rFonts w:hint="eastAsia"/>
                <w:snapToGrid w:val="0"/>
                <w:color w:val="000000" w:themeColor="text1"/>
                <w14:textFill>
                  <w14:solidFill>
                    <w14:schemeClr w14:val="tx1"/>
                  </w14:solidFill>
                </w14:textFill>
              </w:rPr>
            </w:pPr>
          </w:p>
        </w:tc>
      </w:tr>
      <w:bookmarkEnd w:id="314"/>
      <w:tr w14:paraId="1D89A4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43" w:type="pct"/>
            <w:vMerge w:val="restart"/>
            <w:vAlign w:val="center"/>
          </w:tcPr>
          <w:p w14:paraId="1F02BA22">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431" w:type="pct"/>
            <w:vMerge w:val="restart"/>
            <w:vAlign w:val="center"/>
          </w:tcPr>
          <w:p w14:paraId="46AB72F5">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M1</w:t>
            </w:r>
          </w:p>
        </w:tc>
        <w:tc>
          <w:tcPr>
            <w:tcW w:w="619" w:type="pct"/>
            <w:vMerge w:val="restart"/>
            <w:vAlign w:val="center"/>
          </w:tcPr>
          <w:p w14:paraId="3A65FB38">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采油井场阀门、法兰及连接件等</w:t>
            </w:r>
          </w:p>
        </w:tc>
        <w:tc>
          <w:tcPr>
            <w:tcW w:w="458" w:type="pct"/>
            <w:vAlign w:val="center"/>
          </w:tcPr>
          <w:p w14:paraId="7563617E">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N</w:t>
            </w:r>
            <w:r>
              <w:rPr>
                <w:snapToGrid w:val="0"/>
                <w:color w:val="000000" w:themeColor="text1"/>
                <w14:textFill>
                  <w14:solidFill>
                    <w14:schemeClr w14:val="tx1"/>
                  </w14:solidFill>
                </w14:textFill>
              </w:rPr>
              <w:t>MHC</w:t>
            </w:r>
          </w:p>
        </w:tc>
        <w:tc>
          <w:tcPr>
            <w:tcW w:w="1010" w:type="pct"/>
            <w:vMerge w:val="restart"/>
            <w:vAlign w:val="center"/>
          </w:tcPr>
          <w:p w14:paraId="00A009ED">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选用质量可靠的设备、仪表、阀门等；定期对站场的设备、阀门等检查</w:t>
            </w:r>
          </w:p>
        </w:tc>
        <w:tc>
          <w:tcPr>
            <w:tcW w:w="974" w:type="pct"/>
            <w:vAlign w:val="center"/>
          </w:tcPr>
          <w:p w14:paraId="16A972FC">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GB16297-1996无组织排放监控浓度限值</w:t>
            </w:r>
          </w:p>
        </w:tc>
        <w:tc>
          <w:tcPr>
            <w:tcW w:w="730" w:type="pct"/>
            <w:vAlign w:val="center"/>
          </w:tcPr>
          <w:p w14:paraId="7DACF5A0">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4</w:t>
            </w:r>
          </w:p>
        </w:tc>
        <w:tc>
          <w:tcPr>
            <w:tcW w:w="534" w:type="pct"/>
            <w:vAlign w:val="center"/>
          </w:tcPr>
          <w:p w14:paraId="6F57FCC9">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0.4062t/a</w:t>
            </w:r>
          </w:p>
        </w:tc>
      </w:tr>
      <w:tr w14:paraId="24203F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43" w:type="pct"/>
            <w:vMerge w:val="continue"/>
            <w:vAlign w:val="center"/>
          </w:tcPr>
          <w:p w14:paraId="44834693">
            <w:pPr>
              <w:pStyle w:val="280"/>
              <w:rPr>
                <w:rFonts w:hint="eastAsia"/>
                <w:snapToGrid w:val="0"/>
                <w:color w:val="000000" w:themeColor="text1"/>
                <w14:textFill>
                  <w14:solidFill>
                    <w14:schemeClr w14:val="tx1"/>
                  </w14:solidFill>
                </w14:textFill>
              </w:rPr>
            </w:pPr>
          </w:p>
        </w:tc>
        <w:tc>
          <w:tcPr>
            <w:tcW w:w="431" w:type="pct"/>
            <w:vMerge w:val="continue"/>
            <w:vAlign w:val="center"/>
          </w:tcPr>
          <w:p w14:paraId="7B375EE6">
            <w:pPr>
              <w:pStyle w:val="280"/>
              <w:rPr>
                <w:rFonts w:hint="eastAsia"/>
                <w:snapToGrid w:val="0"/>
                <w:color w:val="000000" w:themeColor="text1"/>
                <w14:textFill>
                  <w14:solidFill>
                    <w14:schemeClr w14:val="tx1"/>
                  </w14:solidFill>
                </w14:textFill>
              </w:rPr>
            </w:pPr>
          </w:p>
        </w:tc>
        <w:tc>
          <w:tcPr>
            <w:tcW w:w="619" w:type="pct"/>
            <w:vMerge w:val="continue"/>
            <w:vAlign w:val="center"/>
          </w:tcPr>
          <w:p w14:paraId="1640942B">
            <w:pPr>
              <w:pStyle w:val="280"/>
              <w:rPr>
                <w:rFonts w:hint="eastAsia"/>
                <w:snapToGrid w:val="0"/>
                <w:color w:val="000000" w:themeColor="text1"/>
                <w14:textFill>
                  <w14:solidFill>
                    <w14:schemeClr w14:val="tx1"/>
                  </w14:solidFill>
                </w14:textFill>
              </w:rPr>
            </w:pPr>
          </w:p>
        </w:tc>
        <w:tc>
          <w:tcPr>
            <w:tcW w:w="458" w:type="pct"/>
            <w:vAlign w:val="center"/>
          </w:tcPr>
          <w:p w14:paraId="4680FDC7">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硫化氢</w:t>
            </w:r>
          </w:p>
        </w:tc>
        <w:tc>
          <w:tcPr>
            <w:tcW w:w="1010" w:type="pct"/>
            <w:vMerge w:val="continue"/>
            <w:vAlign w:val="center"/>
          </w:tcPr>
          <w:p w14:paraId="5D94920F">
            <w:pPr>
              <w:pStyle w:val="280"/>
              <w:rPr>
                <w:rFonts w:hint="eastAsia"/>
                <w:snapToGrid w:val="0"/>
                <w:color w:val="000000" w:themeColor="text1"/>
                <w14:textFill>
                  <w14:solidFill>
                    <w14:schemeClr w14:val="tx1"/>
                  </w14:solidFill>
                </w14:textFill>
              </w:rPr>
            </w:pPr>
          </w:p>
        </w:tc>
        <w:tc>
          <w:tcPr>
            <w:tcW w:w="974" w:type="pct"/>
            <w:vAlign w:val="center"/>
          </w:tcPr>
          <w:p w14:paraId="27B43054">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GB14554-93表1</w:t>
            </w:r>
          </w:p>
        </w:tc>
        <w:tc>
          <w:tcPr>
            <w:tcW w:w="730" w:type="pct"/>
            <w:vAlign w:val="center"/>
          </w:tcPr>
          <w:p w14:paraId="46AEC90D">
            <w:pPr>
              <w:pStyle w:val="280"/>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0.06</w:t>
            </w:r>
          </w:p>
        </w:tc>
        <w:tc>
          <w:tcPr>
            <w:tcW w:w="534" w:type="pct"/>
            <w:vAlign w:val="center"/>
          </w:tcPr>
          <w:p w14:paraId="3A63DCF4">
            <w:pPr>
              <w:pStyle w:val="280"/>
              <w:rPr>
                <w:rFonts w:hint="eastAsia" w:eastAsia="宋体"/>
                <w:snapToGrid w:val="0"/>
                <w:color w:val="000000" w:themeColor="text1"/>
                <w:lang w:eastAsia="zh-CN"/>
                <w14:textFill>
                  <w14:solidFill>
                    <w14:schemeClr w14:val="tx1"/>
                  </w14:solidFill>
                </w14:textFill>
              </w:rPr>
            </w:pPr>
            <w:r>
              <w:rPr>
                <w:rFonts w:hint="eastAsia"/>
                <w:snapToGrid w:val="0"/>
                <w:color w:val="000000" w:themeColor="text1"/>
                <w:lang w:eastAsia="zh-CN"/>
                <w14:textFill>
                  <w14:solidFill>
                    <w14:schemeClr w14:val="tx1"/>
                  </w14:solidFill>
                </w14:textFill>
              </w:rPr>
              <w:t>0.0653g/a</w:t>
            </w:r>
          </w:p>
        </w:tc>
      </w:tr>
    </w:tbl>
    <w:p w14:paraId="042A4652">
      <w:pPr>
        <w:pStyle w:val="120"/>
        <w:rPr>
          <w:rFonts w:hint="eastAsia"/>
          <w:color w:val="000000" w:themeColor="text1"/>
          <w14:textFill>
            <w14:solidFill>
              <w14:schemeClr w14:val="tx1"/>
            </w14:solidFill>
          </w14:textFill>
        </w:rPr>
      </w:pPr>
      <w:bookmarkStart w:id="327" w:name="_Hlk160375551"/>
      <w:r>
        <w:rPr>
          <w:rFonts w:hint="eastAsia"/>
          <w:color w:val="000000" w:themeColor="text1"/>
          <w14:textFill>
            <w14:solidFill>
              <w14:schemeClr w14:val="tx1"/>
            </w14:solidFill>
          </w14:textFill>
        </w:rPr>
        <w:t>（2）废水</w:t>
      </w:r>
    </w:p>
    <w:bookmarkEnd w:id="320"/>
    <w:p w14:paraId="64D8723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废水主要为洗井废水和井下作业废液（压裂返排液和废洗井液）。</w:t>
      </w:r>
    </w:p>
    <w:p w14:paraId="5EA33559">
      <w:pPr>
        <w:pStyle w:val="120"/>
        <w:numPr>
          <w:ilvl w:val="0"/>
          <w:numId w:val="3"/>
        </w:numPr>
        <w:ind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洗井废水</w:t>
      </w:r>
    </w:p>
    <w:p w14:paraId="3642711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洗井废水产生量无相应的源强核算技术指南，本次评价参照《排放源统计调查产排污核算方法和系数手册》（</w:t>
      </w:r>
      <w:r>
        <w:rPr>
          <w:color w:val="000000" w:themeColor="text1"/>
          <w14:textFill>
            <w14:solidFill>
              <w14:schemeClr w14:val="tx1"/>
            </w14:solidFill>
          </w14:textFill>
        </w:rPr>
        <w:t>2021</w:t>
      </w:r>
      <w:r>
        <w:rPr>
          <w:rFonts w:hint="eastAsia"/>
          <w:color w:val="000000" w:themeColor="text1"/>
          <w14:textFill>
            <w14:solidFill>
              <w14:schemeClr w14:val="tx1"/>
            </w14:solidFill>
          </w14:textFill>
        </w:rPr>
        <w:t>年第</w:t>
      </w:r>
      <w:r>
        <w:rPr>
          <w:color w:val="000000" w:themeColor="text1"/>
          <w14:textFill>
            <w14:solidFill>
              <w14:schemeClr w14:val="tx1"/>
            </w14:solidFill>
          </w14:textFill>
        </w:rPr>
        <w:t>24</w:t>
      </w:r>
      <w:r>
        <w:rPr>
          <w:rFonts w:hint="eastAsia"/>
          <w:color w:val="000000" w:themeColor="text1"/>
          <w14:textFill>
            <w14:solidFill>
              <w14:schemeClr w14:val="tx1"/>
            </w14:solidFill>
          </w14:textFill>
        </w:rPr>
        <w:t>号）中的《工业源产排污核算方法和系数手册》</w:t>
      </w:r>
      <w:r>
        <w:rPr>
          <w:color w:val="000000" w:themeColor="text1"/>
          <w14:textFill>
            <w14:solidFill>
              <w14:schemeClr w14:val="tx1"/>
            </w14:solidFill>
          </w14:textFill>
        </w:rPr>
        <w:t>-1120</w:t>
      </w:r>
      <w:r>
        <w:rPr>
          <w:rFonts w:hint="eastAsia"/>
          <w:color w:val="000000" w:themeColor="text1"/>
          <w14:textFill>
            <w14:solidFill>
              <w14:schemeClr w14:val="tx1"/>
            </w14:solidFill>
          </w14:textFill>
        </w:rPr>
        <w:t>石油和天然气开采专业及辅助性活动行业系数手册中的产排污系数（见表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-7）进行核算。</w:t>
      </w:r>
    </w:p>
    <w:p w14:paraId="2DF996C9">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-7  与石油和天然气开采有关的服务活动产排污系数一览表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5"/>
        <w:gridCol w:w="863"/>
        <w:gridCol w:w="1569"/>
        <w:gridCol w:w="1788"/>
        <w:gridCol w:w="1262"/>
        <w:gridCol w:w="1364"/>
        <w:gridCol w:w="785"/>
      </w:tblGrid>
      <w:tr w14:paraId="34DDF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5" w:type="dxa"/>
            <w:vAlign w:val="center"/>
          </w:tcPr>
          <w:p w14:paraId="5B1A7A87">
            <w:pPr>
              <w:pStyle w:val="280"/>
              <w:rPr>
                <w:rFonts w:hint="eastAsia"/>
                <w:color w:val="000000" w:themeColor="text1"/>
                <w:lang w:bidi="ar"/>
                <w14:textFill>
                  <w14:solidFill>
                    <w14:schemeClr w14:val="tx1"/>
                  </w14:solidFill>
                </w14:textFill>
              </w:rPr>
            </w:pPr>
            <w:bookmarkStart w:id="328" w:name="_Hlk36741739"/>
            <w:r>
              <w:rPr>
                <w:rFonts w:hint="eastAsia"/>
                <w:color w:val="000000" w:themeColor="text1"/>
                <w:lang w:bidi="ar"/>
                <w14:textFill>
                  <w14:solidFill>
                    <w14:schemeClr w14:val="tx1"/>
                  </w14:solidFill>
                </w14:textFill>
              </w:rPr>
              <w:t>工艺名称</w:t>
            </w:r>
          </w:p>
        </w:tc>
        <w:tc>
          <w:tcPr>
            <w:tcW w:w="863" w:type="dxa"/>
            <w:vAlign w:val="center"/>
          </w:tcPr>
          <w:p w14:paraId="21DB814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规模</w:t>
            </w:r>
          </w:p>
          <w:p w14:paraId="7CFA903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等级</w:t>
            </w:r>
          </w:p>
        </w:tc>
        <w:tc>
          <w:tcPr>
            <w:tcW w:w="1569" w:type="dxa"/>
            <w:vAlign w:val="center"/>
          </w:tcPr>
          <w:p w14:paraId="337CC7D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污染物指标</w:t>
            </w:r>
          </w:p>
        </w:tc>
        <w:tc>
          <w:tcPr>
            <w:tcW w:w="1788" w:type="dxa"/>
            <w:vAlign w:val="center"/>
          </w:tcPr>
          <w:p w14:paraId="550B157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单位</w:t>
            </w:r>
          </w:p>
        </w:tc>
        <w:tc>
          <w:tcPr>
            <w:tcW w:w="1262" w:type="dxa"/>
            <w:vAlign w:val="center"/>
          </w:tcPr>
          <w:p w14:paraId="25433CF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产污系数</w:t>
            </w:r>
          </w:p>
        </w:tc>
        <w:tc>
          <w:tcPr>
            <w:tcW w:w="1364" w:type="dxa"/>
            <w:vAlign w:val="center"/>
          </w:tcPr>
          <w:p w14:paraId="1F86953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末端治理技术名称</w:t>
            </w:r>
          </w:p>
        </w:tc>
        <w:tc>
          <w:tcPr>
            <w:tcW w:w="785" w:type="dxa"/>
            <w:vAlign w:val="center"/>
          </w:tcPr>
          <w:p w14:paraId="09163AE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排污系数</w:t>
            </w:r>
          </w:p>
        </w:tc>
      </w:tr>
      <w:tr w14:paraId="0A07A5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5" w:type="dxa"/>
            <w:vMerge w:val="restart"/>
            <w:vAlign w:val="center"/>
          </w:tcPr>
          <w:p w14:paraId="4289644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非低渗透油井洗井作业</w:t>
            </w:r>
          </w:p>
        </w:tc>
        <w:tc>
          <w:tcPr>
            <w:tcW w:w="863" w:type="dxa"/>
            <w:vMerge w:val="restart"/>
            <w:vAlign w:val="center"/>
          </w:tcPr>
          <w:p w14:paraId="2BD9A88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所有</w:t>
            </w:r>
          </w:p>
          <w:p w14:paraId="5823129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规模</w:t>
            </w:r>
          </w:p>
        </w:tc>
        <w:tc>
          <w:tcPr>
            <w:tcW w:w="1569" w:type="dxa"/>
            <w:vAlign w:val="center"/>
          </w:tcPr>
          <w:p w14:paraId="548E0D7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工业废水量</w:t>
            </w:r>
          </w:p>
        </w:tc>
        <w:tc>
          <w:tcPr>
            <w:tcW w:w="1788" w:type="dxa"/>
            <w:vAlign w:val="center"/>
          </w:tcPr>
          <w:p w14:paraId="68A8694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t/井次-产品</w:t>
            </w:r>
          </w:p>
        </w:tc>
        <w:tc>
          <w:tcPr>
            <w:tcW w:w="1262" w:type="dxa"/>
            <w:vAlign w:val="center"/>
          </w:tcPr>
          <w:p w14:paraId="1FDC703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76.0</w:t>
            </w:r>
          </w:p>
        </w:tc>
        <w:tc>
          <w:tcPr>
            <w:tcW w:w="1364" w:type="dxa"/>
            <w:vAlign w:val="center"/>
          </w:tcPr>
          <w:p w14:paraId="66CA8FA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回收回注</w:t>
            </w:r>
          </w:p>
        </w:tc>
        <w:tc>
          <w:tcPr>
            <w:tcW w:w="785" w:type="dxa"/>
            <w:vAlign w:val="center"/>
          </w:tcPr>
          <w:p w14:paraId="03F5DC0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r>
      <w:tr w14:paraId="34B2D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5" w:type="dxa"/>
            <w:vMerge w:val="continue"/>
            <w:vAlign w:val="center"/>
          </w:tcPr>
          <w:p w14:paraId="6257BF7A">
            <w:pPr>
              <w:pStyle w:val="280"/>
              <w:rPr>
                <w:rFonts w:hint="eastAsia"/>
                <w:color w:val="000000" w:themeColor="text1"/>
                <w:lang w:bidi="ar"/>
                <w14:textFill>
                  <w14:solidFill>
                    <w14:schemeClr w14:val="tx1"/>
                  </w14:solidFill>
                </w14:textFill>
              </w:rPr>
            </w:pPr>
          </w:p>
        </w:tc>
        <w:tc>
          <w:tcPr>
            <w:tcW w:w="863" w:type="dxa"/>
            <w:vMerge w:val="continue"/>
            <w:vAlign w:val="center"/>
          </w:tcPr>
          <w:p w14:paraId="5B59A441">
            <w:pPr>
              <w:pStyle w:val="280"/>
              <w:rPr>
                <w:rFonts w:hint="eastAsia"/>
                <w:color w:val="000000" w:themeColor="text1"/>
                <w:lang w:bidi="ar"/>
                <w14:textFill>
                  <w14:solidFill>
                    <w14:schemeClr w14:val="tx1"/>
                  </w14:solidFill>
                </w14:textFill>
              </w:rPr>
            </w:pPr>
          </w:p>
        </w:tc>
        <w:tc>
          <w:tcPr>
            <w:tcW w:w="1569" w:type="dxa"/>
            <w:vAlign w:val="center"/>
          </w:tcPr>
          <w:p w14:paraId="18FF31E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化学需氧量</w:t>
            </w:r>
          </w:p>
        </w:tc>
        <w:tc>
          <w:tcPr>
            <w:tcW w:w="1788" w:type="dxa"/>
            <w:vAlign w:val="center"/>
          </w:tcPr>
          <w:p w14:paraId="112A07B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g/井次-产品</w:t>
            </w:r>
          </w:p>
        </w:tc>
        <w:tc>
          <w:tcPr>
            <w:tcW w:w="1262" w:type="dxa"/>
            <w:vAlign w:val="center"/>
          </w:tcPr>
          <w:p w14:paraId="1475E18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104525</w:t>
            </w:r>
          </w:p>
        </w:tc>
        <w:tc>
          <w:tcPr>
            <w:tcW w:w="1364" w:type="dxa"/>
            <w:vAlign w:val="center"/>
          </w:tcPr>
          <w:p w14:paraId="095AA64F">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回收回注</w:t>
            </w:r>
          </w:p>
        </w:tc>
        <w:tc>
          <w:tcPr>
            <w:tcW w:w="785" w:type="dxa"/>
            <w:vAlign w:val="center"/>
          </w:tcPr>
          <w:p w14:paraId="75AACE2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r>
      <w:tr w14:paraId="3E869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5" w:type="dxa"/>
            <w:vMerge w:val="continue"/>
            <w:vAlign w:val="center"/>
          </w:tcPr>
          <w:p w14:paraId="4C4913DB">
            <w:pPr>
              <w:pStyle w:val="280"/>
              <w:rPr>
                <w:rFonts w:hint="eastAsia"/>
                <w:color w:val="000000" w:themeColor="text1"/>
                <w:lang w:bidi="ar"/>
                <w14:textFill>
                  <w14:solidFill>
                    <w14:schemeClr w14:val="tx1"/>
                  </w14:solidFill>
                </w14:textFill>
              </w:rPr>
            </w:pPr>
          </w:p>
        </w:tc>
        <w:tc>
          <w:tcPr>
            <w:tcW w:w="863" w:type="dxa"/>
            <w:vMerge w:val="continue"/>
            <w:vAlign w:val="center"/>
          </w:tcPr>
          <w:p w14:paraId="2A8BA14F">
            <w:pPr>
              <w:pStyle w:val="280"/>
              <w:rPr>
                <w:rFonts w:hint="eastAsia"/>
                <w:color w:val="000000" w:themeColor="text1"/>
                <w:lang w:bidi="ar"/>
                <w14:textFill>
                  <w14:solidFill>
                    <w14:schemeClr w14:val="tx1"/>
                  </w14:solidFill>
                </w14:textFill>
              </w:rPr>
            </w:pPr>
          </w:p>
        </w:tc>
        <w:tc>
          <w:tcPr>
            <w:tcW w:w="1569" w:type="dxa"/>
            <w:vAlign w:val="center"/>
          </w:tcPr>
          <w:p w14:paraId="49B82AF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石油类</w:t>
            </w:r>
          </w:p>
        </w:tc>
        <w:tc>
          <w:tcPr>
            <w:tcW w:w="1788" w:type="dxa"/>
            <w:vAlign w:val="center"/>
          </w:tcPr>
          <w:p w14:paraId="39561D3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g/井次-产品</w:t>
            </w:r>
          </w:p>
        </w:tc>
        <w:tc>
          <w:tcPr>
            <w:tcW w:w="1262" w:type="dxa"/>
            <w:vAlign w:val="center"/>
          </w:tcPr>
          <w:p w14:paraId="37AB1FF2">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17645</w:t>
            </w:r>
          </w:p>
        </w:tc>
        <w:tc>
          <w:tcPr>
            <w:tcW w:w="1364" w:type="dxa"/>
            <w:vAlign w:val="center"/>
          </w:tcPr>
          <w:p w14:paraId="3AF5486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回收回注</w:t>
            </w:r>
          </w:p>
        </w:tc>
        <w:tc>
          <w:tcPr>
            <w:tcW w:w="785" w:type="dxa"/>
            <w:vAlign w:val="center"/>
          </w:tcPr>
          <w:p w14:paraId="6EE767D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r>
      <w:tr w14:paraId="2BFC9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5" w:type="dxa"/>
            <w:vMerge w:val="restart"/>
            <w:vAlign w:val="center"/>
          </w:tcPr>
          <w:p w14:paraId="4BC0157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低渗透油井洗井作业</w:t>
            </w:r>
          </w:p>
        </w:tc>
        <w:tc>
          <w:tcPr>
            <w:tcW w:w="863" w:type="dxa"/>
            <w:vMerge w:val="restart"/>
            <w:vAlign w:val="center"/>
          </w:tcPr>
          <w:p w14:paraId="2304885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所有</w:t>
            </w:r>
          </w:p>
          <w:p w14:paraId="7FEF531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规模</w:t>
            </w:r>
          </w:p>
        </w:tc>
        <w:tc>
          <w:tcPr>
            <w:tcW w:w="1569" w:type="dxa"/>
            <w:vAlign w:val="center"/>
          </w:tcPr>
          <w:p w14:paraId="1B5358E6">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工业废水量</w:t>
            </w:r>
          </w:p>
        </w:tc>
        <w:tc>
          <w:tcPr>
            <w:tcW w:w="1788" w:type="dxa"/>
            <w:vAlign w:val="center"/>
          </w:tcPr>
          <w:p w14:paraId="6786243A">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t/井次-产品</w:t>
            </w:r>
          </w:p>
        </w:tc>
        <w:tc>
          <w:tcPr>
            <w:tcW w:w="1262" w:type="dxa"/>
            <w:vAlign w:val="center"/>
          </w:tcPr>
          <w:p w14:paraId="2028B98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27.13</w:t>
            </w:r>
          </w:p>
        </w:tc>
        <w:tc>
          <w:tcPr>
            <w:tcW w:w="1364" w:type="dxa"/>
            <w:vAlign w:val="center"/>
          </w:tcPr>
          <w:p w14:paraId="5561946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回收回注</w:t>
            </w:r>
          </w:p>
        </w:tc>
        <w:tc>
          <w:tcPr>
            <w:tcW w:w="785" w:type="dxa"/>
            <w:vAlign w:val="center"/>
          </w:tcPr>
          <w:p w14:paraId="1B872E0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r>
      <w:tr w14:paraId="3A7909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5" w:type="dxa"/>
            <w:vMerge w:val="continue"/>
            <w:vAlign w:val="center"/>
          </w:tcPr>
          <w:p w14:paraId="141871EB">
            <w:pPr>
              <w:pStyle w:val="280"/>
              <w:rPr>
                <w:rFonts w:hint="eastAsia"/>
                <w:color w:val="000000" w:themeColor="text1"/>
                <w:lang w:bidi="ar"/>
                <w14:textFill>
                  <w14:solidFill>
                    <w14:schemeClr w14:val="tx1"/>
                  </w14:solidFill>
                </w14:textFill>
              </w:rPr>
            </w:pPr>
          </w:p>
        </w:tc>
        <w:tc>
          <w:tcPr>
            <w:tcW w:w="863" w:type="dxa"/>
            <w:vMerge w:val="continue"/>
            <w:vAlign w:val="center"/>
          </w:tcPr>
          <w:p w14:paraId="08D6F680">
            <w:pPr>
              <w:pStyle w:val="280"/>
              <w:rPr>
                <w:rFonts w:hint="eastAsia"/>
                <w:color w:val="000000" w:themeColor="text1"/>
                <w:lang w:bidi="ar"/>
                <w14:textFill>
                  <w14:solidFill>
                    <w14:schemeClr w14:val="tx1"/>
                  </w14:solidFill>
                </w14:textFill>
              </w:rPr>
            </w:pPr>
          </w:p>
        </w:tc>
        <w:tc>
          <w:tcPr>
            <w:tcW w:w="1569" w:type="dxa"/>
            <w:vAlign w:val="center"/>
          </w:tcPr>
          <w:p w14:paraId="39BB53D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化学需氧量</w:t>
            </w:r>
          </w:p>
        </w:tc>
        <w:tc>
          <w:tcPr>
            <w:tcW w:w="1788" w:type="dxa"/>
            <w:vAlign w:val="center"/>
          </w:tcPr>
          <w:p w14:paraId="628BE93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g/井次-产品</w:t>
            </w:r>
          </w:p>
        </w:tc>
        <w:tc>
          <w:tcPr>
            <w:tcW w:w="1262" w:type="dxa"/>
            <w:vAlign w:val="center"/>
          </w:tcPr>
          <w:p w14:paraId="2C7EF731">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34679</w:t>
            </w:r>
          </w:p>
        </w:tc>
        <w:tc>
          <w:tcPr>
            <w:tcW w:w="1364" w:type="dxa"/>
            <w:vAlign w:val="center"/>
          </w:tcPr>
          <w:p w14:paraId="1DDDD138">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回收回注</w:t>
            </w:r>
          </w:p>
        </w:tc>
        <w:tc>
          <w:tcPr>
            <w:tcW w:w="785" w:type="dxa"/>
            <w:vAlign w:val="center"/>
          </w:tcPr>
          <w:p w14:paraId="61B0109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r>
      <w:tr w14:paraId="798C16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5" w:type="dxa"/>
            <w:vMerge w:val="continue"/>
            <w:vAlign w:val="center"/>
          </w:tcPr>
          <w:p w14:paraId="50745097">
            <w:pPr>
              <w:pStyle w:val="280"/>
              <w:rPr>
                <w:rFonts w:hint="eastAsia"/>
                <w:color w:val="000000" w:themeColor="text1"/>
                <w:lang w:bidi="ar"/>
                <w14:textFill>
                  <w14:solidFill>
                    <w14:schemeClr w14:val="tx1"/>
                  </w14:solidFill>
                </w14:textFill>
              </w:rPr>
            </w:pPr>
          </w:p>
        </w:tc>
        <w:tc>
          <w:tcPr>
            <w:tcW w:w="863" w:type="dxa"/>
            <w:vMerge w:val="continue"/>
            <w:vAlign w:val="center"/>
          </w:tcPr>
          <w:p w14:paraId="1944938A">
            <w:pPr>
              <w:pStyle w:val="280"/>
              <w:rPr>
                <w:rFonts w:hint="eastAsia"/>
                <w:color w:val="000000" w:themeColor="text1"/>
                <w:lang w:bidi="ar"/>
                <w14:textFill>
                  <w14:solidFill>
                    <w14:schemeClr w14:val="tx1"/>
                  </w14:solidFill>
                </w14:textFill>
              </w:rPr>
            </w:pPr>
          </w:p>
        </w:tc>
        <w:tc>
          <w:tcPr>
            <w:tcW w:w="1569" w:type="dxa"/>
            <w:vAlign w:val="center"/>
          </w:tcPr>
          <w:p w14:paraId="76DCD113">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石油类</w:t>
            </w:r>
          </w:p>
        </w:tc>
        <w:tc>
          <w:tcPr>
            <w:tcW w:w="1788" w:type="dxa"/>
            <w:vAlign w:val="center"/>
          </w:tcPr>
          <w:p w14:paraId="104DABB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g/井次-产品</w:t>
            </w:r>
          </w:p>
        </w:tc>
        <w:tc>
          <w:tcPr>
            <w:tcW w:w="1262" w:type="dxa"/>
            <w:vAlign w:val="center"/>
          </w:tcPr>
          <w:p w14:paraId="0EC1F91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6122</w:t>
            </w:r>
          </w:p>
        </w:tc>
        <w:tc>
          <w:tcPr>
            <w:tcW w:w="1364" w:type="dxa"/>
            <w:vAlign w:val="center"/>
          </w:tcPr>
          <w:p w14:paraId="427D4D6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回收回注</w:t>
            </w:r>
          </w:p>
        </w:tc>
        <w:tc>
          <w:tcPr>
            <w:tcW w:w="785" w:type="dxa"/>
            <w:vAlign w:val="center"/>
          </w:tcPr>
          <w:p w14:paraId="5C1054A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r>
      <w:bookmarkEnd w:id="328"/>
    </w:tbl>
    <w:p w14:paraId="0E37084E">
      <w:pPr>
        <w:pStyle w:val="120"/>
        <w:rPr>
          <w:rFonts w:hint="eastAsia" w:cs="黑体"/>
          <w:color w:val="000000" w:themeColor="text1"/>
          <w14:textFill>
            <w14:solidFill>
              <w14:schemeClr w14:val="tx1"/>
            </w14:solidFill>
          </w14:textFill>
        </w:rPr>
      </w:pPr>
      <w:r>
        <w:rPr>
          <w:rFonts w:hint="eastAsia"/>
          <w:color w:val="000000" w:themeColor="text1"/>
          <w:lang w:val="en-US"/>
          <w14:textFill>
            <w14:solidFill>
              <w14:schemeClr w14:val="tx1"/>
            </w14:solidFill>
          </w14:textFill>
        </w:rPr>
        <w:t>根据吉7井区地质资料，吉7井区梧桐沟组油藏具有中孔、中渗特征，</w:t>
      </w:r>
      <w:r>
        <w:rPr>
          <w:rFonts w:hint="eastAsia"/>
          <w:color w:val="000000" w:themeColor="text1"/>
          <w14:textFill>
            <w14:solidFill>
              <w14:schemeClr w14:val="tx1"/>
            </w14:solidFill>
          </w14:textFill>
        </w:rPr>
        <w:t>项目区为</w:t>
      </w:r>
      <w:r>
        <w:rPr>
          <w:rFonts w:hint="eastAsia"/>
          <w:color w:val="000000" w:themeColor="text1"/>
          <w:lang w:val="en-US"/>
          <w14:textFill>
            <w14:solidFill>
              <w14:schemeClr w14:val="tx1"/>
            </w14:solidFill>
          </w14:textFill>
        </w:rPr>
        <w:t>中</w:t>
      </w:r>
      <w:r>
        <w:rPr>
          <w:rFonts w:hint="eastAsia"/>
          <w:color w:val="000000" w:themeColor="text1"/>
          <w14:textFill>
            <w14:solidFill>
              <w14:schemeClr w14:val="tx1"/>
            </w14:solidFill>
          </w14:textFill>
        </w:rPr>
        <w:t>渗透油井，采用表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-7非低渗透油井洗井作业产污系数计算洗井废水及废水中各污染物的产生量，计算结果详见表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-8。</w:t>
      </w:r>
      <w:bookmarkStart w:id="329" w:name="_Hlk20135089"/>
    </w:p>
    <w:p w14:paraId="70465D7E">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-8  洗井废水产生量一览表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8"/>
        <w:gridCol w:w="2767"/>
        <w:gridCol w:w="4145"/>
      </w:tblGrid>
      <w:tr w14:paraId="6D0C42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vAlign w:val="center"/>
          </w:tcPr>
          <w:p w14:paraId="567D9DB6">
            <w:pPr>
              <w:pStyle w:val="47"/>
              <w:widowControl w:val="0"/>
              <w:adjustRightInd w:val="0"/>
              <w:snapToGrid w:val="0"/>
              <w:spacing w:line="240" w:lineRule="exact"/>
              <w:ind w:firstLine="420"/>
              <w:jc w:val="center"/>
              <w:rPr>
                <w:rFonts w:hint="eastAsia" w:ascii="宋体" w:hAnsi="宋体"/>
                <w:color w:val="000000" w:themeColor="text1"/>
                <w:kern w:val="2"/>
                <w:sz w:val="21"/>
                <w:szCs w:val="21"/>
                <w:lang w:bidi="ar"/>
                <w14:textFill>
                  <w14:solidFill>
                    <w14:schemeClr w14:val="tx1"/>
                  </w14:solidFill>
                </w14:textFill>
              </w:rPr>
            </w:pPr>
            <w:bookmarkStart w:id="330" w:name="_Hlk35868192"/>
            <w:r>
              <w:rPr>
                <w:rFonts w:hint="eastAsia" w:ascii="宋体" w:hAnsi="宋体"/>
                <w:color w:val="000000" w:themeColor="text1"/>
                <w:sz w:val="21"/>
                <w:szCs w:val="21"/>
                <w14:textFill>
                  <w14:solidFill>
                    <w14:schemeClr w14:val="tx1"/>
                  </w14:solidFill>
                </w14:textFill>
              </w:rPr>
              <w:t>污染物指标</w:t>
            </w:r>
          </w:p>
        </w:tc>
        <w:tc>
          <w:tcPr>
            <w:tcW w:w="1585" w:type="pct"/>
            <w:vAlign w:val="center"/>
          </w:tcPr>
          <w:p w14:paraId="2C184189">
            <w:pPr>
              <w:pStyle w:val="47"/>
              <w:widowControl w:val="0"/>
              <w:adjustRightInd w:val="0"/>
              <w:snapToGrid w:val="0"/>
              <w:spacing w:line="240" w:lineRule="exact"/>
              <w:ind w:firstLine="420"/>
              <w:jc w:val="center"/>
              <w:rPr>
                <w:rFonts w:hint="eastAsia" w:ascii="宋体" w:hAnsi="宋体"/>
                <w:color w:val="000000" w:themeColor="text1"/>
                <w:kern w:val="2"/>
                <w:sz w:val="21"/>
                <w:szCs w:val="21"/>
                <w:lang w:bidi="ar"/>
                <w14:textFill>
                  <w14:solidFill>
                    <w14:schemeClr w14:val="tx1"/>
                  </w14:solidFill>
                </w14:textFill>
              </w:rPr>
            </w:pPr>
            <w:r>
              <w:rPr>
                <w:rFonts w:hint="eastAsia" w:ascii="宋体" w:hAnsi="宋体"/>
                <w:color w:val="000000" w:themeColor="text1"/>
                <w:sz w:val="21"/>
                <w:szCs w:val="21"/>
                <w14:textFill>
                  <w14:solidFill>
                    <w14:schemeClr w14:val="tx1"/>
                  </w14:solidFill>
                </w14:textFill>
              </w:rPr>
              <w:t>产污系数</w:t>
            </w:r>
          </w:p>
        </w:tc>
        <w:tc>
          <w:tcPr>
            <w:tcW w:w="2374" w:type="pct"/>
            <w:vAlign w:val="center"/>
          </w:tcPr>
          <w:p w14:paraId="3996E642">
            <w:pPr>
              <w:pStyle w:val="47"/>
              <w:widowControl w:val="0"/>
              <w:adjustRightInd w:val="0"/>
              <w:snapToGrid w:val="0"/>
              <w:spacing w:line="240" w:lineRule="exact"/>
              <w:ind w:firstLine="420"/>
              <w:jc w:val="center"/>
              <w:rPr>
                <w:rFonts w:hint="eastAsia" w:ascii="宋体" w:hAnsi="宋体"/>
                <w:color w:val="000000" w:themeColor="text1"/>
                <w:kern w:val="2"/>
                <w:sz w:val="21"/>
                <w:szCs w:val="21"/>
                <w:lang w:bidi="ar"/>
                <w14:textFill>
                  <w14:solidFill>
                    <w14:schemeClr w14:val="tx1"/>
                  </w14:solidFill>
                </w14:textFill>
              </w:rPr>
            </w:pPr>
            <w:r>
              <w:rPr>
                <w:rFonts w:hint="eastAsia" w:ascii="宋体" w:hAnsi="宋体"/>
                <w:color w:val="000000" w:themeColor="text1"/>
                <w:sz w:val="21"/>
                <w:szCs w:val="21"/>
                <w14:textFill>
                  <w14:solidFill>
                    <w14:schemeClr w14:val="tx1"/>
                  </w14:solidFill>
                </w14:textFill>
              </w:rPr>
              <w:t>8口井合计产生量（t</w:t>
            </w:r>
            <w:r>
              <w:rPr>
                <w:rFonts w:ascii="宋体" w:hAnsi="宋体"/>
                <w:color w:val="000000" w:themeColor="text1"/>
                <w:sz w:val="21"/>
                <w:szCs w:val="21"/>
                <w14:textFill>
                  <w14:solidFill>
                    <w14:schemeClr w14:val="tx1"/>
                  </w14:solidFill>
                </w14:textFill>
              </w:rPr>
              <w:t>/a</w:t>
            </w:r>
            <w:r>
              <w:rPr>
                <w:rFonts w:hint="eastAsia" w:ascii="宋体" w:hAnsi="宋体"/>
                <w:color w:val="000000" w:themeColor="text1"/>
                <w:sz w:val="21"/>
                <w:szCs w:val="21"/>
                <w14:textFill>
                  <w14:solidFill>
                    <w14:schemeClr w14:val="tx1"/>
                  </w14:solidFill>
                </w14:textFill>
              </w:rPr>
              <w:t>）</w:t>
            </w:r>
          </w:p>
        </w:tc>
      </w:tr>
      <w:tr w14:paraId="51554A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vAlign w:val="center"/>
          </w:tcPr>
          <w:p w14:paraId="0A5B32E5">
            <w:pPr>
              <w:pStyle w:val="47"/>
              <w:widowControl w:val="0"/>
              <w:adjustRightInd w:val="0"/>
              <w:snapToGrid w:val="0"/>
              <w:spacing w:line="240" w:lineRule="exact"/>
              <w:ind w:firstLine="420"/>
              <w:jc w:val="center"/>
              <w:rPr>
                <w:rFonts w:hint="eastAsia" w:ascii="宋体" w:hAnsi="宋体"/>
                <w:color w:val="000000" w:themeColor="text1"/>
                <w:kern w:val="2"/>
                <w:sz w:val="21"/>
                <w:szCs w:val="21"/>
                <w:lang w:bidi="ar"/>
                <w14:textFill>
                  <w14:solidFill>
                    <w14:schemeClr w14:val="tx1"/>
                  </w14:solidFill>
                </w14:textFill>
              </w:rPr>
            </w:pPr>
            <w:r>
              <w:rPr>
                <w:rFonts w:hint="eastAsia" w:ascii="宋体" w:hAnsi="宋体"/>
                <w:color w:val="000000" w:themeColor="text1"/>
                <w:sz w:val="21"/>
                <w:szCs w:val="21"/>
                <w14:textFill>
                  <w14:solidFill>
                    <w14:schemeClr w14:val="tx1"/>
                  </w14:solidFill>
                </w14:textFill>
              </w:rPr>
              <w:t>工业废水量</w:t>
            </w:r>
          </w:p>
        </w:tc>
        <w:tc>
          <w:tcPr>
            <w:tcW w:w="1585" w:type="pct"/>
            <w:vAlign w:val="center"/>
          </w:tcPr>
          <w:p w14:paraId="67BC42BF">
            <w:pPr>
              <w:pStyle w:val="47"/>
              <w:widowControl w:val="0"/>
              <w:adjustRightInd w:val="0"/>
              <w:snapToGrid w:val="0"/>
              <w:spacing w:line="240" w:lineRule="exact"/>
              <w:ind w:firstLine="420"/>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76.0t/井次－产品</w:t>
            </w:r>
          </w:p>
        </w:tc>
        <w:tc>
          <w:tcPr>
            <w:tcW w:w="2374" w:type="pct"/>
            <w:vAlign w:val="center"/>
          </w:tcPr>
          <w:p w14:paraId="3C598522">
            <w:pPr>
              <w:pStyle w:val="47"/>
              <w:widowControl w:val="0"/>
              <w:adjustRightInd w:val="0"/>
              <w:snapToGrid w:val="0"/>
              <w:spacing w:line="240" w:lineRule="exact"/>
              <w:ind w:firstLine="420"/>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608</w:t>
            </w:r>
          </w:p>
        </w:tc>
      </w:tr>
      <w:tr w14:paraId="0FAEB0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vAlign w:val="center"/>
          </w:tcPr>
          <w:p w14:paraId="5024B348">
            <w:pPr>
              <w:pStyle w:val="47"/>
              <w:widowControl w:val="0"/>
              <w:adjustRightInd w:val="0"/>
              <w:snapToGrid w:val="0"/>
              <w:spacing w:line="240" w:lineRule="exact"/>
              <w:ind w:firstLine="420"/>
              <w:jc w:val="center"/>
              <w:rPr>
                <w:rFonts w:hint="eastAsia" w:ascii="宋体" w:hAnsi="宋体"/>
                <w:color w:val="000000" w:themeColor="text1"/>
                <w:kern w:val="2"/>
                <w:sz w:val="21"/>
                <w:szCs w:val="21"/>
                <w:lang w:bidi="ar"/>
                <w14:textFill>
                  <w14:solidFill>
                    <w14:schemeClr w14:val="tx1"/>
                  </w14:solidFill>
                </w14:textFill>
              </w:rPr>
            </w:pPr>
            <w:r>
              <w:rPr>
                <w:rFonts w:hint="eastAsia" w:ascii="宋体" w:hAnsi="宋体"/>
                <w:color w:val="000000" w:themeColor="text1"/>
                <w:sz w:val="21"/>
                <w:szCs w:val="21"/>
                <w14:textFill>
                  <w14:solidFill>
                    <w14:schemeClr w14:val="tx1"/>
                  </w14:solidFill>
                </w14:textFill>
              </w:rPr>
              <w:t>化学需氧量</w:t>
            </w:r>
          </w:p>
        </w:tc>
        <w:tc>
          <w:tcPr>
            <w:tcW w:w="1585" w:type="pct"/>
            <w:vAlign w:val="center"/>
          </w:tcPr>
          <w:p w14:paraId="2AFEAC32">
            <w:pPr>
              <w:pStyle w:val="47"/>
              <w:widowControl w:val="0"/>
              <w:adjustRightInd w:val="0"/>
              <w:snapToGrid w:val="0"/>
              <w:spacing w:line="240" w:lineRule="exact"/>
              <w:ind w:firstLine="420"/>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104525g/井次-产品</w:t>
            </w:r>
          </w:p>
        </w:tc>
        <w:tc>
          <w:tcPr>
            <w:tcW w:w="2374" w:type="pct"/>
            <w:vAlign w:val="center"/>
          </w:tcPr>
          <w:p w14:paraId="0720C83E">
            <w:pPr>
              <w:pStyle w:val="47"/>
              <w:widowControl w:val="0"/>
              <w:adjustRightInd w:val="0"/>
              <w:snapToGrid w:val="0"/>
              <w:spacing w:line="240" w:lineRule="exact"/>
              <w:ind w:firstLine="420"/>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0.8362</w:t>
            </w:r>
          </w:p>
        </w:tc>
      </w:tr>
      <w:tr w14:paraId="0567E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vAlign w:val="center"/>
          </w:tcPr>
          <w:p w14:paraId="3BAFCDD3">
            <w:pPr>
              <w:pStyle w:val="47"/>
              <w:widowControl w:val="0"/>
              <w:adjustRightInd w:val="0"/>
              <w:snapToGrid w:val="0"/>
              <w:spacing w:line="240" w:lineRule="exact"/>
              <w:ind w:firstLine="420"/>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石油类</w:t>
            </w:r>
          </w:p>
        </w:tc>
        <w:tc>
          <w:tcPr>
            <w:tcW w:w="1585" w:type="pct"/>
            <w:vAlign w:val="center"/>
          </w:tcPr>
          <w:p w14:paraId="6277F7C9">
            <w:pPr>
              <w:pStyle w:val="47"/>
              <w:widowControl w:val="0"/>
              <w:adjustRightInd w:val="0"/>
              <w:snapToGrid w:val="0"/>
              <w:spacing w:line="240" w:lineRule="exact"/>
              <w:ind w:firstLine="420"/>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17645g/井次-产品</w:t>
            </w:r>
          </w:p>
        </w:tc>
        <w:tc>
          <w:tcPr>
            <w:tcW w:w="2374" w:type="pct"/>
            <w:vAlign w:val="center"/>
          </w:tcPr>
          <w:p w14:paraId="2F69B595">
            <w:pPr>
              <w:pStyle w:val="47"/>
              <w:widowControl w:val="0"/>
              <w:adjustRightInd w:val="0"/>
              <w:snapToGrid w:val="0"/>
              <w:spacing w:line="240" w:lineRule="exact"/>
              <w:ind w:firstLine="420"/>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0.1412</w:t>
            </w:r>
          </w:p>
        </w:tc>
      </w:tr>
      <w:bookmarkEnd w:id="329"/>
      <w:bookmarkEnd w:id="330"/>
    </w:tbl>
    <w:p w14:paraId="7F13B417">
      <w:pPr>
        <w:pStyle w:val="120"/>
        <w:numPr>
          <w:ilvl w:val="0"/>
          <w:numId w:val="3"/>
        </w:numPr>
        <w:ind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井下作业废液</w:t>
      </w:r>
    </w:p>
    <w:p w14:paraId="31F0D390">
      <w:pPr>
        <w:pStyle w:val="120"/>
        <w:rPr>
          <w:rFonts w:hint="eastAsia" w:ascii="黑体" w:hAnsi="黑体"/>
          <w:color w:val="000000" w:themeColor="text1"/>
          <w:szCs w:val="21"/>
          <w14:textFill>
            <w14:solidFill>
              <w14:schemeClr w14:val="tx1"/>
            </w14:solidFill>
          </w14:textFill>
        </w:rPr>
      </w:pPr>
      <w:r>
        <w:rPr>
          <w:rFonts w:hint="eastAsia" w:cs="宋体"/>
          <w:color w:val="000000" w:themeColor="text1"/>
          <w14:textFill>
            <w14:solidFill>
              <w14:schemeClr w14:val="tx1"/>
            </w14:solidFill>
          </w14:textFill>
        </w:rPr>
        <w:t>井下作业进行压裂工序时，会产生一定的压裂返排液，修井时会产生一定的废洗井液，</w:t>
      </w:r>
      <w:r>
        <w:rPr>
          <w:rFonts w:hint="eastAsia"/>
          <w:color w:val="000000" w:themeColor="text1"/>
          <w14:textFill>
            <w14:solidFill>
              <w14:schemeClr w14:val="tx1"/>
            </w14:solidFill>
          </w14:textFill>
        </w:rPr>
        <w:t>井下作业废液主要包括压裂返排液和废洗井液。</w:t>
      </w:r>
      <w:r>
        <w:rPr>
          <w:rFonts w:hint="eastAsia" w:cs="宋体"/>
          <w:color w:val="000000" w:themeColor="text1"/>
          <w14:textFill>
            <w14:solidFill>
              <w14:schemeClr w14:val="tx1"/>
            </w14:solidFill>
          </w14:textFill>
        </w:rPr>
        <w:t>其产生量无相应的源强核算指南，本次评价</w:t>
      </w:r>
      <w:r>
        <w:rPr>
          <w:rFonts w:hint="eastAsia"/>
          <w:color w:val="000000" w:themeColor="text1"/>
          <w14:textFill>
            <w14:solidFill>
              <w14:schemeClr w14:val="tx1"/>
            </w14:solidFill>
          </w14:textFill>
        </w:rPr>
        <w:t>采用《排放源统计调查产排污核算方法和系数手册》中的《工业源产排污核算方法和系数手册》</w:t>
      </w:r>
      <w:r>
        <w:rPr>
          <w:color w:val="000000" w:themeColor="text1"/>
          <w14:textFill>
            <w14:solidFill>
              <w14:schemeClr w14:val="tx1"/>
            </w14:solidFill>
          </w14:textFill>
        </w:rPr>
        <w:t>-1120</w:t>
      </w:r>
      <w:r>
        <w:rPr>
          <w:rFonts w:hint="eastAsia"/>
          <w:color w:val="000000" w:themeColor="text1"/>
          <w14:textFill>
            <w14:solidFill>
              <w14:schemeClr w14:val="tx1"/>
            </w14:solidFill>
          </w14:textFill>
        </w:rPr>
        <w:t>石油和天然气开采专业及辅助性活动行业系数手册中的产排污系数进行核算</w:t>
      </w:r>
      <w:r>
        <w:rPr>
          <w:rFonts w:hint="eastAsia" w:cs="宋体"/>
          <w:color w:val="000000" w:themeColor="text1"/>
          <w14:textFill>
            <w14:solidFill>
              <w14:schemeClr w14:val="tx1"/>
            </w14:solidFill>
          </w14:textFill>
        </w:rPr>
        <w:t>，产污系数见表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-9。</w:t>
      </w:r>
    </w:p>
    <w:p w14:paraId="6DB80652">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 xml:space="preserve">-9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压裂返排液及废洗井液产生量一览表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1774"/>
        <w:gridCol w:w="2759"/>
        <w:gridCol w:w="2861"/>
      </w:tblGrid>
      <w:tr w14:paraId="32DE0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1" w:type="pct"/>
            <w:gridSpan w:val="2"/>
            <w:vAlign w:val="center"/>
          </w:tcPr>
          <w:p w14:paraId="47D76BB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1580" w:type="pct"/>
            <w:vAlign w:val="center"/>
          </w:tcPr>
          <w:p w14:paraId="2E4BB23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产污系数</w:t>
            </w:r>
          </w:p>
        </w:tc>
        <w:tc>
          <w:tcPr>
            <w:tcW w:w="1638" w:type="pct"/>
            <w:vAlign w:val="center"/>
          </w:tcPr>
          <w:p w14:paraId="2901531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8口井合计产生量</w:t>
            </w:r>
          </w:p>
        </w:tc>
      </w:tr>
      <w:tr w14:paraId="12A601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5" w:type="pct"/>
            <w:vMerge w:val="restart"/>
            <w:vAlign w:val="center"/>
          </w:tcPr>
          <w:p w14:paraId="0B86CE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非低渗透油井加砂压裂</w:t>
            </w:r>
          </w:p>
        </w:tc>
        <w:tc>
          <w:tcPr>
            <w:tcW w:w="1016" w:type="pct"/>
            <w:vAlign w:val="center"/>
          </w:tcPr>
          <w:p w14:paraId="4DB68DD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压裂返排液</w:t>
            </w:r>
          </w:p>
        </w:tc>
        <w:tc>
          <w:tcPr>
            <w:tcW w:w="1580" w:type="pct"/>
            <w:vAlign w:val="center"/>
          </w:tcPr>
          <w:p w14:paraId="6F6D49A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119.94m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/井·次</w:t>
            </w:r>
          </w:p>
        </w:tc>
        <w:tc>
          <w:tcPr>
            <w:tcW w:w="1638" w:type="pct"/>
            <w:vAlign w:val="center"/>
          </w:tcPr>
          <w:p w14:paraId="4EAE60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959.52m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r>
      <w:tr w14:paraId="097A39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5" w:type="pct"/>
            <w:vMerge w:val="continue"/>
            <w:vAlign w:val="center"/>
          </w:tcPr>
          <w:p w14:paraId="058D8368">
            <w:pPr>
              <w:pStyle w:val="280"/>
              <w:rPr>
                <w:rFonts w:hint="eastAsia"/>
                <w:color w:val="000000" w:themeColor="text1"/>
                <w14:textFill>
                  <w14:solidFill>
                    <w14:schemeClr w14:val="tx1"/>
                  </w14:solidFill>
                </w14:textFill>
              </w:rPr>
            </w:pPr>
          </w:p>
        </w:tc>
        <w:tc>
          <w:tcPr>
            <w:tcW w:w="1016" w:type="pct"/>
            <w:vAlign w:val="center"/>
          </w:tcPr>
          <w:p w14:paraId="20F6CD6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废洗井液</w:t>
            </w:r>
          </w:p>
        </w:tc>
        <w:tc>
          <w:tcPr>
            <w:tcW w:w="1580" w:type="pct"/>
            <w:vAlign w:val="center"/>
          </w:tcPr>
          <w:p w14:paraId="3731B63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5.29</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井</w:t>
            </w:r>
          </w:p>
        </w:tc>
        <w:tc>
          <w:tcPr>
            <w:tcW w:w="1638" w:type="pct"/>
            <w:vAlign w:val="center"/>
          </w:tcPr>
          <w:p w14:paraId="09291E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202.32t/</w:t>
            </w:r>
            <w:r>
              <w:rPr>
                <w:color w:val="000000" w:themeColor="text1"/>
                <w14:textFill>
                  <w14:solidFill>
                    <w14:schemeClr w14:val="tx1"/>
                  </w14:solidFill>
                </w14:textFill>
              </w:rPr>
              <w:t>a</w:t>
            </w:r>
          </w:p>
        </w:tc>
      </w:tr>
    </w:tbl>
    <w:p w14:paraId="3107F19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压裂返排液及废洗井液收集至专用储罐中，由罐车拉运至吉祥联合站采出水处理系统处理，出水水质《碎屑岩油藏注水水质指标技术要求及分析方法》（SY/T5329-2022）相关标准要求后，回注油藏。</w:t>
      </w:r>
    </w:p>
    <w:bookmarkEnd w:id="327"/>
    <w:p w14:paraId="18CC2DB0">
      <w:pPr>
        <w:adjustRightInd w:val="0"/>
        <w:snapToGrid w:val="0"/>
        <w:spacing w:line="500" w:lineRule="exact"/>
        <w:ind w:firstLine="480" w:firstLineChars="200"/>
        <w:jc w:val="left"/>
        <w:textAlignment w:val="baseline"/>
        <w:rPr>
          <w:rFonts w:hint="eastAsia" w:ascii="宋体" w:hAnsi="宋体"/>
          <w:color w:val="000000" w:themeColor="text1"/>
          <w:kern w:val="0"/>
          <w:sz w:val="24"/>
          <w14:textFill>
            <w14:solidFill>
              <w14:schemeClr w14:val="tx1"/>
            </w14:solidFill>
          </w14:textFill>
        </w:rPr>
      </w:pPr>
      <w:bookmarkStart w:id="331" w:name="_Hlk175250243"/>
      <w:r>
        <w:rPr>
          <w:rFonts w:hint="eastAsia" w:ascii="宋体" w:hAnsi="宋体"/>
          <w:color w:val="000000" w:themeColor="text1"/>
          <w:kern w:val="0"/>
          <w:sz w:val="24"/>
          <w14:textFill>
            <w14:solidFill>
              <w14:schemeClr w14:val="tx1"/>
            </w14:solidFill>
          </w14:textFill>
        </w:rPr>
        <w:t>（3）噪声</w:t>
      </w:r>
    </w:p>
    <w:p w14:paraId="6C0167C4">
      <w:pPr>
        <w:pStyle w:val="120"/>
        <w:rPr>
          <w:rFonts w:hint="eastAsia"/>
          <w:color w:val="000000" w:themeColor="text1"/>
          <w14:textFill>
            <w14:solidFill>
              <w14:schemeClr w14:val="tx1"/>
            </w14:solidFill>
          </w14:textFill>
        </w:rPr>
      </w:pPr>
      <w:bookmarkStart w:id="332" w:name="_Hlk148008301"/>
      <w:r>
        <w:rPr>
          <w:rFonts w:hint="eastAsia"/>
          <w:color w:val="000000" w:themeColor="text1"/>
          <w14:textFill>
            <w14:solidFill>
              <w14:schemeClr w14:val="tx1"/>
            </w14:solidFill>
          </w14:textFill>
        </w:rPr>
        <w:t>噪声源主要为井场内的机泵、巡检车辆等，</w:t>
      </w:r>
      <w:bookmarkEnd w:id="332"/>
      <w:r>
        <w:rPr>
          <w:rFonts w:hint="eastAsia"/>
          <w:color w:val="000000" w:themeColor="text1"/>
          <w14:textFill>
            <w14:solidFill>
              <w14:schemeClr w14:val="tx1"/>
            </w14:solidFill>
          </w14:textFill>
        </w:rPr>
        <w:t>噪声排放情况见表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-10。</w:t>
      </w:r>
    </w:p>
    <w:p w14:paraId="0CF6B834">
      <w:pPr>
        <w:pStyle w:val="112"/>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7" w:charSpace="0"/>
        </w:sectPr>
      </w:pPr>
    </w:p>
    <w:p w14:paraId="700548E0">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表3.3-10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运营期噪声排放情况一览表（室外声源）</w:t>
      </w:r>
    </w:p>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5"/>
        <w:gridCol w:w="1347"/>
        <w:gridCol w:w="1689"/>
        <w:gridCol w:w="2061"/>
        <w:gridCol w:w="843"/>
        <w:gridCol w:w="832"/>
        <w:gridCol w:w="832"/>
        <w:gridCol w:w="851"/>
        <w:gridCol w:w="846"/>
        <w:gridCol w:w="1182"/>
        <w:gridCol w:w="938"/>
        <w:gridCol w:w="1736"/>
      </w:tblGrid>
      <w:tr w14:paraId="4EC0EE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02" w:type="pct"/>
            <w:vMerge w:val="restart"/>
            <w:vAlign w:val="center"/>
          </w:tcPr>
          <w:p w14:paraId="15C9BD1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序号</w:t>
            </w:r>
          </w:p>
        </w:tc>
        <w:tc>
          <w:tcPr>
            <w:tcW w:w="481" w:type="pct"/>
            <w:vMerge w:val="restart"/>
            <w:vAlign w:val="center"/>
          </w:tcPr>
          <w:p w14:paraId="77684E82">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噪声源所在场站</w:t>
            </w:r>
          </w:p>
        </w:tc>
        <w:tc>
          <w:tcPr>
            <w:tcW w:w="603" w:type="pct"/>
            <w:vMerge w:val="restart"/>
            <w:vAlign w:val="center"/>
          </w:tcPr>
          <w:p w14:paraId="7798B6A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井号</w:t>
            </w:r>
          </w:p>
        </w:tc>
        <w:tc>
          <w:tcPr>
            <w:tcW w:w="736" w:type="pct"/>
            <w:vMerge w:val="restart"/>
            <w:vAlign w:val="center"/>
          </w:tcPr>
          <w:p w14:paraId="38A508F4">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噪声源名称</w:t>
            </w:r>
          </w:p>
        </w:tc>
        <w:tc>
          <w:tcPr>
            <w:tcW w:w="301" w:type="pct"/>
            <w:vMerge w:val="restart"/>
            <w:vAlign w:val="center"/>
          </w:tcPr>
          <w:p w14:paraId="2E55471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型号</w:t>
            </w:r>
          </w:p>
        </w:tc>
        <w:tc>
          <w:tcPr>
            <w:tcW w:w="897" w:type="pct"/>
            <w:gridSpan w:val="3"/>
            <w:vAlign w:val="center"/>
          </w:tcPr>
          <w:p w14:paraId="18951E04">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空间相对位置</w:t>
            </w:r>
          </w:p>
        </w:tc>
        <w:tc>
          <w:tcPr>
            <w:tcW w:w="302" w:type="pct"/>
            <w:vMerge w:val="restart"/>
            <w:vAlign w:val="center"/>
          </w:tcPr>
          <w:p w14:paraId="2BAD3F1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数量（台）</w:t>
            </w:r>
          </w:p>
        </w:tc>
        <w:tc>
          <w:tcPr>
            <w:tcW w:w="422" w:type="pct"/>
            <w:vMerge w:val="restart"/>
            <w:vAlign w:val="center"/>
          </w:tcPr>
          <w:p w14:paraId="3059512F">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源强d</w:t>
            </w: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（A）</w:t>
            </w:r>
          </w:p>
        </w:tc>
        <w:tc>
          <w:tcPr>
            <w:tcW w:w="335" w:type="pct"/>
            <w:vMerge w:val="restart"/>
            <w:vAlign w:val="center"/>
          </w:tcPr>
          <w:p w14:paraId="6D8C4207">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声源控制措施</w:t>
            </w:r>
          </w:p>
        </w:tc>
        <w:tc>
          <w:tcPr>
            <w:tcW w:w="621" w:type="pct"/>
            <w:vMerge w:val="restart"/>
            <w:vAlign w:val="center"/>
          </w:tcPr>
          <w:p w14:paraId="38CDEB19">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运行时段</w:t>
            </w:r>
          </w:p>
        </w:tc>
      </w:tr>
      <w:tr w14:paraId="224954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02" w:type="pct"/>
            <w:vMerge w:val="continue"/>
            <w:vAlign w:val="center"/>
          </w:tcPr>
          <w:p w14:paraId="5A9AF9ED">
            <w:pPr>
              <w:pStyle w:val="280"/>
              <w:spacing w:line="300" w:lineRule="exact"/>
              <w:rPr>
                <w:rFonts w:hint="eastAsia"/>
                <w:snapToGrid w:val="0"/>
                <w:color w:val="000000" w:themeColor="text1"/>
                <w14:textFill>
                  <w14:solidFill>
                    <w14:schemeClr w14:val="tx1"/>
                  </w14:solidFill>
                </w14:textFill>
              </w:rPr>
            </w:pPr>
          </w:p>
        </w:tc>
        <w:tc>
          <w:tcPr>
            <w:tcW w:w="481" w:type="pct"/>
            <w:vMerge w:val="continue"/>
            <w:vAlign w:val="center"/>
          </w:tcPr>
          <w:p w14:paraId="0672CE4C">
            <w:pPr>
              <w:pStyle w:val="280"/>
              <w:spacing w:line="300" w:lineRule="exact"/>
              <w:rPr>
                <w:rFonts w:hint="eastAsia"/>
                <w:snapToGrid w:val="0"/>
                <w:color w:val="000000" w:themeColor="text1"/>
                <w14:textFill>
                  <w14:solidFill>
                    <w14:schemeClr w14:val="tx1"/>
                  </w14:solidFill>
                </w14:textFill>
              </w:rPr>
            </w:pPr>
          </w:p>
        </w:tc>
        <w:tc>
          <w:tcPr>
            <w:tcW w:w="603" w:type="pct"/>
            <w:vMerge w:val="continue"/>
            <w:vAlign w:val="center"/>
          </w:tcPr>
          <w:p w14:paraId="7D60DAE0">
            <w:pPr>
              <w:pStyle w:val="280"/>
              <w:spacing w:line="300" w:lineRule="exact"/>
              <w:rPr>
                <w:rFonts w:hint="eastAsia"/>
                <w:snapToGrid w:val="0"/>
                <w:color w:val="000000" w:themeColor="text1"/>
                <w14:textFill>
                  <w14:solidFill>
                    <w14:schemeClr w14:val="tx1"/>
                  </w14:solidFill>
                </w14:textFill>
              </w:rPr>
            </w:pPr>
          </w:p>
        </w:tc>
        <w:tc>
          <w:tcPr>
            <w:tcW w:w="736" w:type="pct"/>
            <w:vMerge w:val="continue"/>
            <w:vAlign w:val="center"/>
          </w:tcPr>
          <w:p w14:paraId="07B9B618">
            <w:pPr>
              <w:pStyle w:val="280"/>
              <w:spacing w:line="300" w:lineRule="exact"/>
              <w:rPr>
                <w:rFonts w:hint="eastAsia"/>
                <w:snapToGrid w:val="0"/>
                <w:color w:val="000000" w:themeColor="text1"/>
                <w14:textFill>
                  <w14:solidFill>
                    <w14:schemeClr w14:val="tx1"/>
                  </w14:solidFill>
                </w14:textFill>
              </w:rPr>
            </w:pPr>
          </w:p>
        </w:tc>
        <w:tc>
          <w:tcPr>
            <w:tcW w:w="301" w:type="pct"/>
            <w:vMerge w:val="continue"/>
            <w:vAlign w:val="center"/>
          </w:tcPr>
          <w:p w14:paraId="7A8B6DCA">
            <w:pPr>
              <w:pStyle w:val="280"/>
              <w:spacing w:line="300" w:lineRule="exact"/>
              <w:rPr>
                <w:rFonts w:hint="eastAsia"/>
                <w:snapToGrid w:val="0"/>
                <w:color w:val="000000" w:themeColor="text1"/>
                <w14:textFill>
                  <w14:solidFill>
                    <w14:schemeClr w14:val="tx1"/>
                  </w14:solidFill>
                </w14:textFill>
              </w:rPr>
            </w:pPr>
          </w:p>
        </w:tc>
        <w:tc>
          <w:tcPr>
            <w:tcW w:w="297" w:type="pct"/>
            <w:vAlign w:val="center"/>
          </w:tcPr>
          <w:p w14:paraId="51FFCBA1">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X</w:t>
            </w:r>
          </w:p>
        </w:tc>
        <w:tc>
          <w:tcPr>
            <w:tcW w:w="297" w:type="pct"/>
            <w:vAlign w:val="center"/>
          </w:tcPr>
          <w:p w14:paraId="5D33B308">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Y</w:t>
            </w:r>
          </w:p>
        </w:tc>
        <w:tc>
          <w:tcPr>
            <w:tcW w:w="304" w:type="pct"/>
            <w:vAlign w:val="center"/>
          </w:tcPr>
          <w:p w14:paraId="2368280E">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Z</w:t>
            </w:r>
          </w:p>
        </w:tc>
        <w:tc>
          <w:tcPr>
            <w:tcW w:w="302" w:type="pct"/>
            <w:vMerge w:val="continue"/>
            <w:vAlign w:val="center"/>
          </w:tcPr>
          <w:p w14:paraId="6DD55502">
            <w:pPr>
              <w:pStyle w:val="280"/>
              <w:spacing w:line="300" w:lineRule="exact"/>
              <w:rPr>
                <w:rFonts w:hint="eastAsia"/>
                <w:snapToGrid w:val="0"/>
                <w:color w:val="000000" w:themeColor="text1"/>
                <w14:textFill>
                  <w14:solidFill>
                    <w14:schemeClr w14:val="tx1"/>
                  </w14:solidFill>
                </w14:textFill>
              </w:rPr>
            </w:pPr>
          </w:p>
        </w:tc>
        <w:tc>
          <w:tcPr>
            <w:tcW w:w="422" w:type="pct"/>
            <w:vMerge w:val="continue"/>
            <w:vAlign w:val="center"/>
          </w:tcPr>
          <w:p w14:paraId="2C2B2936">
            <w:pPr>
              <w:pStyle w:val="280"/>
              <w:spacing w:line="300" w:lineRule="exact"/>
              <w:rPr>
                <w:rFonts w:hint="eastAsia"/>
                <w:snapToGrid w:val="0"/>
                <w:color w:val="000000" w:themeColor="text1"/>
                <w14:textFill>
                  <w14:solidFill>
                    <w14:schemeClr w14:val="tx1"/>
                  </w14:solidFill>
                </w14:textFill>
              </w:rPr>
            </w:pPr>
          </w:p>
        </w:tc>
        <w:tc>
          <w:tcPr>
            <w:tcW w:w="335" w:type="pct"/>
            <w:vMerge w:val="continue"/>
            <w:vAlign w:val="center"/>
          </w:tcPr>
          <w:p w14:paraId="0ED8BD49">
            <w:pPr>
              <w:pStyle w:val="280"/>
              <w:spacing w:line="300" w:lineRule="exact"/>
              <w:rPr>
                <w:rFonts w:hint="eastAsia"/>
                <w:snapToGrid w:val="0"/>
                <w:color w:val="000000" w:themeColor="text1"/>
                <w14:textFill>
                  <w14:solidFill>
                    <w14:schemeClr w14:val="tx1"/>
                  </w14:solidFill>
                </w14:textFill>
              </w:rPr>
            </w:pPr>
          </w:p>
        </w:tc>
        <w:tc>
          <w:tcPr>
            <w:tcW w:w="621" w:type="pct"/>
            <w:vMerge w:val="continue"/>
            <w:vAlign w:val="center"/>
          </w:tcPr>
          <w:p w14:paraId="2BE243A1">
            <w:pPr>
              <w:pStyle w:val="280"/>
              <w:spacing w:line="300" w:lineRule="exact"/>
              <w:rPr>
                <w:rFonts w:hint="eastAsia"/>
                <w:snapToGrid w:val="0"/>
                <w:color w:val="000000" w:themeColor="text1"/>
                <w14:textFill>
                  <w14:solidFill>
                    <w14:schemeClr w14:val="tx1"/>
                  </w14:solidFill>
                </w14:textFill>
              </w:rPr>
            </w:pPr>
          </w:p>
        </w:tc>
      </w:tr>
      <w:tr w14:paraId="340FD2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02" w:type="pct"/>
            <w:vAlign w:val="center"/>
          </w:tcPr>
          <w:p w14:paraId="723A8FC1">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w:t>
            </w:r>
          </w:p>
        </w:tc>
        <w:tc>
          <w:tcPr>
            <w:tcW w:w="481" w:type="pct"/>
            <w:vMerge w:val="restart"/>
            <w:vAlign w:val="center"/>
          </w:tcPr>
          <w:p w14:paraId="4BA9CB3C">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平台-1（JD6110、JD6089）</w:t>
            </w:r>
          </w:p>
        </w:tc>
        <w:tc>
          <w:tcPr>
            <w:tcW w:w="603" w:type="pct"/>
            <w:vAlign w:val="center"/>
          </w:tcPr>
          <w:p w14:paraId="4BE69AD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JD6110</w:t>
            </w:r>
          </w:p>
        </w:tc>
        <w:tc>
          <w:tcPr>
            <w:tcW w:w="736" w:type="pct"/>
            <w:vAlign w:val="center"/>
          </w:tcPr>
          <w:p w14:paraId="68CEB5A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投捞式电潜螺杆泵</w:t>
            </w:r>
          </w:p>
        </w:tc>
        <w:tc>
          <w:tcPr>
            <w:tcW w:w="301" w:type="pct"/>
            <w:vAlign w:val="center"/>
          </w:tcPr>
          <w:p w14:paraId="5D1B53B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297" w:type="pct"/>
            <w:vAlign w:val="center"/>
          </w:tcPr>
          <w:p w14:paraId="7C681023">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84</w:t>
            </w:r>
          </w:p>
        </w:tc>
        <w:tc>
          <w:tcPr>
            <w:tcW w:w="297" w:type="pct"/>
            <w:vAlign w:val="center"/>
          </w:tcPr>
          <w:p w14:paraId="3F3FFB70">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304" w:type="pct"/>
            <w:vAlign w:val="center"/>
          </w:tcPr>
          <w:p w14:paraId="149DC0BF">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0.5</w:t>
            </w:r>
          </w:p>
        </w:tc>
        <w:tc>
          <w:tcPr>
            <w:tcW w:w="302" w:type="pct"/>
            <w:vAlign w:val="center"/>
          </w:tcPr>
          <w:p w14:paraId="02F816B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422" w:type="pct"/>
            <w:vAlign w:val="center"/>
          </w:tcPr>
          <w:p w14:paraId="028B135E">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85～90</w:t>
            </w:r>
          </w:p>
        </w:tc>
        <w:tc>
          <w:tcPr>
            <w:tcW w:w="335" w:type="pct"/>
            <w:vMerge w:val="restart"/>
            <w:vAlign w:val="center"/>
          </w:tcPr>
          <w:p w14:paraId="2C729DD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优化站场总图布置，采用低噪声设备、基础减振</w:t>
            </w:r>
          </w:p>
        </w:tc>
        <w:tc>
          <w:tcPr>
            <w:tcW w:w="621" w:type="pct"/>
            <w:vAlign w:val="center"/>
          </w:tcPr>
          <w:p w14:paraId="441D534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昼夜连续运行</w:t>
            </w:r>
          </w:p>
        </w:tc>
      </w:tr>
      <w:tr w14:paraId="549B2A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02" w:type="pct"/>
            <w:vAlign w:val="center"/>
          </w:tcPr>
          <w:p w14:paraId="5E0117AB">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c>
          <w:tcPr>
            <w:tcW w:w="481" w:type="pct"/>
            <w:vMerge w:val="continue"/>
            <w:vAlign w:val="center"/>
          </w:tcPr>
          <w:p w14:paraId="6AF5ED16">
            <w:pPr>
              <w:pStyle w:val="280"/>
              <w:spacing w:line="300" w:lineRule="exact"/>
              <w:rPr>
                <w:rFonts w:hint="eastAsia"/>
                <w:color w:val="000000" w:themeColor="text1"/>
                <w:lang w:bidi="ar"/>
                <w14:textFill>
                  <w14:solidFill>
                    <w14:schemeClr w14:val="tx1"/>
                  </w14:solidFill>
                </w14:textFill>
              </w:rPr>
            </w:pPr>
          </w:p>
        </w:tc>
        <w:tc>
          <w:tcPr>
            <w:tcW w:w="603" w:type="pct"/>
            <w:vAlign w:val="center"/>
          </w:tcPr>
          <w:p w14:paraId="7795496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JD608</w:t>
            </w:r>
          </w:p>
        </w:tc>
        <w:tc>
          <w:tcPr>
            <w:tcW w:w="736" w:type="pct"/>
            <w:vAlign w:val="center"/>
          </w:tcPr>
          <w:p w14:paraId="352D90D1">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投捞式电潜螺杆泵</w:t>
            </w:r>
          </w:p>
        </w:tc>
        <w:tc>
          <w:tcPr>
            <w:tcW w:w="301" w:type="pct"/>
            <w:vAlign w:val="center"/>
          </w:tcPr>
          <w:p w14:paraId="301975C6">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297" w:type="pct"/>
            <w:vAlign w:val="center"/>
          </w:tcPr>
          <w:p w14:paraId="5BC7EA38">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77</w:t>
            </w:r>
          </w:p>
        </w:tc>
        <w:tc>
          <w:tcPr>
            <w:tcW w:w="297" w:type="pct"/>
            <w:vAlign w:val="center"/>
          </w:tcPr>
          <w:p w14:paraId="1F715684">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304" w:type="pct"/>
            <w:vAlign w:val="center"/>
          </w:tcPr>
          <w:p w14:paraId="5A10B63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0.5</w:t>
            </w:r>
          </w:p>
        </w:tc>
        <w:tc>
          <w:tcPr>
            <w:tcW w:w="302" w:type="pct"/>
            <w:vAlign w:val="center"/>
          </w:tcPr>
          <w:p w14:paraId="4E2AE831">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422" w:type="pct"/>
            <w:vAlign w:val="center"/>
          </w:tcPr>
          <w:p w14:paraId="5F1A90F1">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85～90</w:t>
            </w:r>
          </w:p>
        </w:tc>
        <w:tc>
          <w:tcPr>
            <w:tcW w:w="335" w:type="pct"/>
            <w:vMerge w:val="continue"/>
            <w:vAlign w:val="center"/>
          </w:tcPr>
          <w:p w14:paraId="19375208">
            <w:pPr>
              <w:pStyle w:val="280"/>
              <w:spacing w:line="300" w:lineRule="exact"/>
              <w:rPr>
                <w:rFonts w:hint="eastAsia"/>
                <w:snapToGrid w:val="0"/>
                <w:color w:val="000000" w:themeColor="text1"/>
                <w14:textFill>
                  <w14:solidFill>
                    <w14:schemeClr w14:val="tx1"/>
                  </w14:solidFill>
                </w14:textFill>
              </w:rPr>
            </w:pPr>
          </w:p>
        </w:tc>
        <w:tc>
          <w:tcPr>
            <w:tcW w:w="621" w:type="pct"/>
            <w:vAlign w:val="center"/>
          </w:tcPr>
          <w:p w14:paraId="7A52C6A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昼夜连续运行</w:t>
            </w:r>
          </w:p>
        </w:tc>
      </w:tr>
      <w:tr w14:paraId="3D2E24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02" w:type="pct"/>
            <w:vAlign w:val="center"/>
          </w:tcPr>
          <w:p w14:paraId="5FC83D6B">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481" w:type="pct"/>
            <w:vMerge w:val="restart"/>
            <w:vAlign w:val="center"/>
          </w:tcPr>
          <w:p w14:paraId="1FE9299C">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平台-2（JD6167、JD6186）</w:t>
            </w:r>
          </w:p>
        </w:tc>
        <w:tc>
          <w:tcPr>
            <w:tcW w:w="603" w:type="pct"/>
            <w:vAlign w:val="center"/>
          </w:tcPr>
          <w:p w14:paraId="4EEE033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JD6167</w:t>
            </w:r>
          </w:p>
        </w:tc>
        <w:tc>
          <w:tcPr>
            <w:tcW w:w="736" w:type="pct"/>
            <w:vAlign w:val="center"/>
          </w:tcPr>
          <w:p w14:paraId="1BFD2726">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投捞式电潜螺杆泵</w:t>
            </w:r>
          </w:p>
        </w:tc>
        <w:tc>
          <w:tcPr>
            <w:tcW w:w="301" w:type="pct"/>
            <w:vAlign w:val="center"/>
          </w:tcPr>
          <w:p w14:paraId="59D3A70F">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297" w:type="pct"/>
            <w:vAlign w:val="center"/>
          </w:tcPr>
          <w:p w14:paraId="27BCC484">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81</w:t>
            </w:r>
          </w:p>
        </w:tc>
        <w:tc>
          <w:tcPr>
            <w:tcW w:w="297" w:type="pct"/>
            <w:vAlign w:val="center"/>
          </w:tcPr>
          <w:p w14:paraId="0FCBBC2C">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304" w:type="pct"/>
            <w:vAlign w:val="center"/>
          </w:tcPr>
          <w:p w14:paraId="15FE8AA6">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0.5</w:t>
            </w:r>
          </w:p>
        </w:tc>
        <w:tc>
          <w:tcPr>
            <w:tcW w:w="302" w:type="pct"/>
            <w:vAlign w:val="center"/>
          </w:tcPr>
          <w:p w14:paraId="6119D1A7">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422" w:type="pct"/>
            <w:vAlign w:val="center"/>
          </w:tcPr>
          <w:p w14:paraId="368CDB38">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85～90</w:t>
            </w:r>
          </w:p>
        </w:tc>
        <w:tc>
          <w:tcPr>
            <w:tcW w:w="335" w:type="pct"/>
            <w:vMerge w:val="continue"/>
            <w:vAlign w:val="center"/>
          </w:tcPr>
          <w:p w14:paraId="54C2CE3B">
            <w:pPr>
              <w:pStyle w:val="280"/>
              <w:spacing w:line="300" w:lineRule="exact"/>
              <w:rPr>
                <w:rFonts w:hint="eastAsia"/>
                <w:snapToGrid w:val="0"/>
                <w:color w:val="000000" w:themeColor="text1"/>
                <w14:textFill>
                  <w14:solidFill>
                    <w14:schemeClr w14:val="tx1"/>
                  </w14:solidFill>
                </w14:textFill>
              </w:rPr>
            </w:pPr>
          </w:p>
        </w:tc>
        <w:tc>
          <w:tcPr>
            <w:tcW w:w="621" w:type="pct"/>
            <w:vAlign w:val="center"/>
          </w:tcPr>
          <w:p w14:paraId="506E93EF">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昼夜连续运行</w:t>
            </w:r>
          </w:p>
        </w:tc>
      </w:tr>
      <w:tr w14:paraId="778127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02" w:type="pct"/>
            <w:vAlign w:val="center"/>
          </w:tcPr>
          <w:p w14:paraId="2E31585C">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w:t>
            </w:r>
          </w:p>
        </w:tc>
        <w:tc>
          <w:tcPr>
            <w:tcW w:w="481" w:type="pct"/>
            <w:vMerge w:val="continue"/>
            <w:vAlign w:val="center"/>
          </w:tcPr>
          <w:p w14:paraId="3617823C">
            <w:pPr>
              <w:pStyle w:val="280"/>
              <w:spacing w:line="300" w:lineRule="exact"/>
              <w:rPr>
                <w:rFonts w:hint="eastAsia"/>
                <w:color w:val="000000" w:themeColor="text1"/>
                <w:lang w:bidi="ar"/>
                <w14:textFill>
                  <w14:solidFill>
                    <w14:schemeClr w14:val="tx1"/>
                  </w14:solidFill>
                </w14:textFill>
              </w:rPr>
            </w:pPr>
          </w:p>
        </w:tc>
        <w:tc>
          <w:tcPr>
            <w:tcW w:w="603" w:type="pct"/>
            <w:vAlign w:val="center"/>
          </w:tcPr>
          <w:p w14:paraId="3EEC163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JD6186</w:t>
            </w:r>
          </w:p>
        </w:tc>
        <w:tc>
          <w:tcPr>
            <w:tcW w:w="736" w:type="pct"/>
            <w:vAlign w:val="center"/>
          </w:tcPr>
          <w:p w14:paraId="021CC40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投捞式电潜螺杆泵</w:t>
            </w:r>
          </w:p>
        </w:tc>
        <w:tc>
          <w:tcPr>
            <w:tcW w:w="301" w:type="pct"/>
            <w:vAlign w:val="center"/>
          </w:tcPr>
          <w:p w14:paraId="2497F830">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297" w:type="pct"/>
            <w:vAlign w:val="center"/>
          </w:tcPr>
          <w:p w14:paraId="75190827">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77</w:t>
            </w:r>
          </w:p>
        </w:tc>
        <w:tc>
          <w:tcPr>
            <w:tcW w:w="297" w:type="pct"/>
            <w:vAlign w:val="center"/>
          </w:tcPr>
          <w:p w14:paraId="5C5AB248">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304" w:type="pct"/>
            <w:vAlign w:val="center"/>
          </w:tcPr>
          <w:p w14:paraId="1E766693">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0.5</w:t>
            </w:r>
          </w:p>
        </w:tc>
        <w:tc>
          <w:tcPr>
            <w:tcW w:w="302" w:type="pct"/>
            <w:vAlign w:val="center"/>
          </w:tcPr>
          <w:p w14:paraId="3F49D6E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422" w:type="pct"/>
            <w:vAlign w:val="center"/>
          </w:tcPr>
          <w:p w14:paraId="0EC5B93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85～90</w:t>
            </w:r>
          </w:p>
        </w:tc>
        <w:tc>
          <w:tcPr>
            <w:tcW w:w="335" w:type="pct"/>
            <w:vMerge w:val="continue"/>
            <w:vAlign w:val="center"/>
          </w:tcPr>
          <w:p w14:paraId="525FBC16">
            <w:pPr>
              <w:pStyle w:val="280"/>
              <w:spacing w:line="300" w:lineRule="exact"/>
              <w:rPr>
                <w:rFonts w:hint="eastAsia"/>
                <w:snapToGrid w:val="0"/>
                <w:color w:val="000000" w:themeColor="text1"/>
                <w14:textFill>
                  <w14:solidFill>
                    <w14:schemeClr w14:val="tx1"/>
                  </w14:solidFill>
                </w14:textFill>
              </w:rPr>
            </w:pPr>
          </w:p>
        </w:tc>
        <w:tc>
          <w:tcPr>
            <w:tcW w:w="621" w:type="pct"/>
            <w:vAlign w:val="center"/>
          </w:tcPr>
          <w:p w14:paraId="3DBF85E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昼夜连续运行</w:t>
            </w:r>
          </w:p>
        </w:tc>
      </w:tr>
      <w:tr w14:paraId="240282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4" w:hRule="atLeast"/>
          <w:jc w:val="center"/>
        </w:trPr>
        <w:tc>
          <w:tcPr>
            <w:tcW w:w="302" w:type="pct"/>
            <w:vAlign w:val="center"/>
          </w:tcPr>
          <w:p w14:paraId="30D108D0">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w:t>
            </w:r>
          </w:p>
        </w:tc>
        <w:tc>
          <w:tcPr>
            <w:tcW w:w="481" w:type="pct"/>
            <w:vAlign w:val="center"/>
          </w:tcPr>
          <w:p w14:paraId="5E4BD32D">
            <w:pPr>
              <w:pStyle w:val="280"/>
              <w:spacing w:line="300" w:lineRule="exact"/>
              <w:rPr>
                <w:rFonts w:hint="eastAsia"/>
                <w:color w:val="000000" w:themeColor="text1"/>
                <w:lang w:bidi="ar"/>
                <w14:textFill>
                  <w14:solidFill>
                    <w14:schemeClr w14:val="tx1"/>
                  </w14:solidFill>
                </w14:textFill>
              </w:rPr>
            </w:pPr>
            <w:r>
              <w:rPr>
                <w:rFonts w:hint="eastAsia"/>
                <w:snapToGrid w:val="0"/>
                <w:color w:val="000000" w:themeColor="text1"/>
                <w14:textFill>
                  <w14:solidFill>
                    <w14:schemeClr w14:val="tx1"/>
                  </w14:solidFill>
                </w14:textFill>
              </w:rPr>
              <w:t>平台-3（仅</w:t>
            </w:r>
            <w:r>
              <w:rPr>
                <w:rFonts w:hint="eastAsia"/>
                <w:color w:val="000000" w:themeColor="text1"/>
                <w:lang w:bidi="ar"/>
                <w14:textFill>
                  <w14:solidFill>
                    <w14:schemeClr w14:val="tx1"/>
                  </w14:solidFill>
                </w14:textFill>
              </w:rPr>
              <w:t>J9100A参与核算，JD8399A为注水井，无噪声</w:t>
            </w:r>
            <w:r>
              <w:rPr>
                <w:rFonts w:hint="eastAsia"/>
                <w:snapToGrid w:val="0"/>
                <w:color w:val="000000" w:themeColor="text1"/>
                <w14:textFill>
                  <w14:solidFill>
                    <w14:schemeClr w14:val="tx1"/>
                  </w14:solidFill>
                </w14:textFill>
              </w:rPr>
              <w:t>）</w:t>
            </w:r>
          </w:p>
        </w:tc>
        <w:tc>
          <w:tcPr>
            <w:tcW w:w="603" w:type="pct"/>
            <w:vAlign w:val="center"/>
          </w:tcPr>
          <w:p w14:paraId="1DF1475B">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lang w:bidi="ar"/>
                <w14:textFill>
                  <w14:solidFill>
                    <w14:schemeClr w14:val="tx1"/>
                  </w14:solidFill>
                </w14:textFill>
              </w:rPr>
              <w:t>J9100A</w:t>
            </w:r>
          </w:p>
        </w:tc>
        <w:tc>
          <w:tcPr>
            <w:tcW w:w="736" w:type="pct"/>
            <w:vAlign w:val="center"/>
          </w:tcPr>
          <w:p w14:paraId="4C4B3803">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投捞式电潜螺杆泵</w:t>
            </w:r>
          </w:p>
        </w:tc>
        <w:tc>
          <w:tcPr>
            <w:tcW w:w="301" w:type="pct"/>
            <w:vAlign w:val="center"/>
          </w:tcPr>
          <w:p w14:paraId="7CB0AFA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297" w:type="pct"/>
            <w:vAlign w:val="center"/>
          </w:tcPr>
          <w:p w14:paraId="214F1DA4">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54</w:t>
            </w:r>
          </w:p>
        </w:tc>
        <w:tc>
          <w:tcPr>
            <w:tcW w:w="297" w:type="pct"/>
            <w:vAlign w:val="center"/>
          </w:tcPr>
          <w:p w14:paraId="7330E82E">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304" w:type="pct"/>
            <w:vAlign w:val="center"/>
          </w:tcPr>
          <w:p w14:paraId="3648111E">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0.5</w:t>
            </w:r>
          </w:p>
        </w:tc>
        <w:tc>
          <w:tcPr>
            <w:tcW w:w="302" w:type="pct"/>
            <w:vAlign w:val="center"/>
          </w:tcPr>
          <w:p w14:paraId="05C56EAA">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422" w:type="pct"/>
            <w:vAlign w:val="center"/>
          </w:tcPr>
          <w:p w14:paraId="02331D2B">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85～90</w:t>
            </w:r>
          </w:p>
        </w:tc>
        <w:tc>
          <w:tcPr>
            <w:tcW w:w="335" w:type="pct"/>
            <w:vMerge w:val="continue"/>
            <w:vAlign w:val="center"/>
          </w:tcPr>
          <w:p w14:paraId="7DF2B0F1">
            <w:pPr>
              <w:pStyle w:val="280"/>
              <w:spacing w:line="300" w:lineRule="exact"/>
              <w:rPr>
                <w:rFonts w:hint="eastAsia"/>
                <w:snapToGrid w:val="0"/>
                <w:color w:val="000000" w:themeColor="text1"/>
                <w14:textFill>
                  <w14:solidFill>
                    <w14:schemeClr w14:val="tx1"/>
                  </w14:solidFill>
                </w14:textFill>
              </w:rPr>
            </w:pPr>
          </w:p>
        </w:tc>
        <w:tc>
          <w:tcPr>
            <w:tcW w:w="621" w:type="pct"/>
            <w:vAlign w:val="center"/>
          </w:tcPr>
          <w:p w14:paraId="627B01D7">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昼夜连续运行</w:t>
            </w:r>
          </w:p>
        </w:tc>
      </w:tr>
      <w:tr w14:paraId="2FB9B7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02" w:type="pct"/>
            <w:vAlign w:val="center"/>
          </w:tcPr>
          <w:p w14:paraId="0F5269F7">
            <w:pPr>
              <w:pStyle w:val="280"/>
              <w:spacing w:line="300" w:lineRule="exact"/>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w:t>
            </w:r>
          </w:p>
        </w:tc>
        <w:tc>
          <w:tcPr>
            <w:tcW w:w="481" w:type="pct"/>
            <w:vAlign w:val="center"/>
          </w:tcPr>
          <w:p w14:paraId="67B7DE74">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单井采油井（</w:t>
            </w:r>
            <w:r>
              <w:rPr>
                <w:snapToGrid w:val="0"/>
                <w:color w:val="000000" w:themeColor="text1"/>
                <w14:textFill>
                  <w14:solidFill>
                    <w14:schemeClr w14:val="tx1"/>
                  </w14:solidFill>
                </w14:textFill>
              </w:rPr>
              <w:t>J6093A</w:t>
            </w:r>
            <w:r>
              <w:rPr>
                <w:rFonts w:hint="eastAsia"/>
                <w:snapToGrid w:val="0"/>
                <w:color w:val="000000" w:themeColor="text1"/>
                <w14:textFill>
                  <w14:solidFill>
                    <w14:schemeClr w14:val="tx1"/>
                  </w14:solidFill>
                </w14:textFill>
              </w:rPr>
              <w:t>）</w:t>
            </w:r>
          </w:p>
        </w:tc>
        <w:tc>
          <w:tcPr>
            <w:tcW w:w="603" w:type="pct"/>
            <w:vAlign w:val="center"/>
          </w:tcPr>
          <w:p w14:paraId="13DDEB0D">
            <w:pPr>
              <w:pStyle w:val="280"/>
              <w:spacing w:line="300" w:lineRule="exact"/>
              <w:rPr>
                <w:rFonts w:hint="eastAsia"/>
                <w:snapToGrid w:val="0"/>
                <w:color w:val="000000" w:themeColor="text1"/>
                <w14:textFill>
                  <w14:solidFill>
                    <w14:schemeClr w14:val="tx1"/>
                  </w14:solidFill>
                </w14:textFill>
              </w:rPr>
            </w:pPr>
            <w:r>
              <w:rPr>
                <w:snapToGrid w:val="0"/>
                <w:color w:val="000000" w:themeColor="text1"/>
                <w14:textFill>
                  <w14:solidFill>
                    <w14:schemeClr w14:val="tx1"/>
                  </w14:solidFill>
                </w14:textFill>
              </w:rPr>
              <w:t>J6093A</w:t>
            </w:r>
          </w:p>
        </w:tc>
        <w:tc>
          <w:tcPr>
            <w:tcW w:w="736" w:type="pct"/>
            <w:vAlign w:val="center"/>
          </w:tcPr>
          <w:p w14:paraId="438EFC35">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投捞式电潜螺杆泵</w:t>
            </w:r>
          </w:p>
        </w:tc>
        <w:tc>
          <w:tcPr>
            <w:tcW w:w="301" w:type="pct"/>
            <w:vAlign w:val="center"/>
          </w:tcPr>
          <w:p w14:paraId="5F6E56B7">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297" w:type="pct"/>
            <w:vAlign w:val="center"/>
          </w:tcPr>
          <w:p w14:paraId="2701A60A">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297" w:type="pct"/>
            <w:vAlign w:val="center"/>
          </w:tcPr>
          <w:p w14:paraId="054B9545">
            <w:pPr>
              <w:pStyle w:val="280"/>
              <w:spacing w:line="300" w:lineRule="exact"/>
              <w:rPr>
                <w:rFonts w:hint="eastAsia"/>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304" w:type="pct"/>
            <w:vAlign w:val="center"/>
          </w:tcPr>
          <w:p w14:paraId="3FAA1E0E">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0.5</w:t>
            </w:r>
          </w:p>
        </w:tc>
        <w:tc>
          <w:tcPr>
            <w:tcW w:w="302" w:type="pct"/>
            <w:vAlign w:val="center"/>
          </w:tcPr>
          <w:p w14:paraId="7C4FDC71">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422" w:type="pct"/>
            <w:vAlign w:val="center"/>
          </w:tcPr>
          <w:p w14:paraId="1EC8E7B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85～90</w:t>
            </w:r>
          </w:p>
        </w:tc>
        <w:tc>
          <w:tcPr>
            <w:tcW w:w="335" w:type="pct"/>
            <w:vMerge w:val="continue"/>
            <w:vAlign w:val="center"/>
          </w:tcPr>
          <w:p w14:paraId="1C6D48E5">
            <w:pPr>
              <w:pStyle w:val="280"/>
              <w:spacing w:line="300" w:lineRule="exact"/>
              <w:rPr>
                <w:rFonts w:hint="eastAsia"/>
                <w:snapToGrid w:val="0"/>
                <w:color w:val="000000" w:themeColor="text1"/>
                <w14:textFill>
                  <w14:solidFill>
                    <w14:schemeClr w14:val="tx1"/>
                  </w14:solidFill>
                </w14:textFill>
              </w:rPr>
            </w:pPr>
          </w:p>
        </w:tc>
        <w:tc>
          <w:tcPr>
            <w:tcW w:w="621" w:type="pct"/>
            <w:vAlign w:val="center"/>
          </w:tcPr>
          <w:p w14:paraId="279239A2">
            <w:pPr>
              <w:pStyle w:val="280"/>
              <w:spacing w:line="300" w:lineRule="exac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昼夜连续运行</w:t>
            </w:r>
          </w:p>
        </w:tc>
      </w:tr>
      <w:tr w14:paraId="5E70E6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000" w:type="pct"/>
            <w:gridSpan w:val="12"/>
            <w:vAlign w:val="center"/>
          </w:tcPr>
          <w:p w14:paraId="02BE6D39">
            <w:pPr>
              <w:pStyle w:val="342"/>
              <w:overflowPunct w:val="0"/>
              <w:adjustRightInd/>
              <w:snapToGrid/>
              <w:spacing w:line="300" w:lineRule="exact"/>
              <w:ind w:firstLine="420"/>
              <w:contextualSpacing/>
              <w:jc w:val="left"/>
              <w:rPr>
                <w:rFonts w:hint="eastAsia" w:hAnsi="宋体"/>
                <w:snapToGrid w:val="0"/>
                <w:color w:val="000000" w:themeColor="text1"/>
                <w:sz w:val="21"/>
                <w:szCs w:val="21"/>
                <w14:textFill>
                  <w14:solidFill>
                    <w14:schemeClr w14:val="tx1"/>
                  </w14:solidFill>
                </w14:textFill>
              </w:rPr>
            </w:pPr>
            <w:r>
              <w:rPr>
                <w:rFonts w:hint="eastAsia" w:hAnsi="宋体"/>
                <w:snapToGrid w:val="0"/>
                <w:color w:val="000000" w:themeColor="text1"/>
                <w:sz w:val="21"/>
                <w:szCs w:val="21"/>
                <w14:textFill>
                  <w14:solidFill>
                    <w14:schemeClr w14:val="tx1"/>
                  </w14:solidFill>
                </w14:textFill>
              </w:rPr>
              <w:t>备注：所有2井式平台井场及单井采油井场均以井场的西南角作为（0.0）点</w:t>
            </w:r>
          </w:p>
        </w:tc>
      </w:tr>
    </w:tbl>
    <w:p w14:paraId="2C351E25">
      <w:pPr>
        <w:pStyle w:val="112"/>
        <w:rPr>
          <w:rFonts w:hint="eastAsia"/>
          <w:color w:val="000000" w:themeColor="text1"/>
          <w14:textFill>
            <w14:solidFill>
              <w14:schemeClr w14:val="tx1"/>
            </w14:solidFill>
          </w14:textFill>
        </w:rPr>
      </w:pPr>
    </w:p>
    <w:p w14:paraId="0CD23122">
      <w:pPr>
        <w:pStyle w:val="112"/>
        <w:rPr>
          <w:rFonts w:hint="eastAsia"/>
          <w:color w:val="000000" w:themeColor="text1"/>
          <w14:textFill>
            <w14:solidFill>
              <w14:schemeClr w14:val="tx1"/>
            </w14:solidFill>
          </w14:textFill>
        </w:rPr>
      </w:pPr>
    </w:p>
    <w:p w14:paraId="76B3A7F6">
      <w:pPr>
        <w:pStyle w:val="112"/>
        <w:rPr>
          <w:rFonts w:hint="eastAsia"/>
          <w:color w:val="000000" w:themeColor="text1"/>
          <w14:textFill>
            <w14:solidFill>
              <w14:schemeClr w14:val="tx1"/>
            </w14:solidFill>
          </w14:textFill>
        </w:rPr>
      </w:pPr>
    </w:p>
    <w:p w14:paraId="653F7490">
      <w:pPr>
        <w:pStyle w:val="112"/>
        <w:rPr>
          <w:rFonts w:hint="eastAsia"/>
          <w:color w:val="000000" w:themeColor="text1"/>
          <w14:textFill>
            <w14:solidFill>
              <w14:schemeClr w14:val="tx1"/>
            </w14:solidFill>
          </w14:textFill>
        </w:rPr>
        <w:sectPr>
          <w:pgSz w:w="16838" w:h="11906" w:orient="landscape"/>
          <w:pgMar w:top="1588" w:right="1418" w:bottom="1588" w:left="1418" w:header="1020" w:footer="1020" w:gutter="0"/>
          <w:cols w:space="720" w:num="1"/>
          <w:docGrid w:type="lines" w:linePitch="317" w:charSpace="0"/>
        </w:sectPr>
      </w:pPr>
    </w:p>
    <w:p w14:paraId="4E679D3E">
      <w:pPr>
        <w:adjustRightInd w:val="0"/>
        <w:snapToGrid w:val="0"/>
        <w:spacing w:line="500" w:lineRule="exact"/>
        <w:ind w:firstLine="480" w:firstLineChars="200"/>
        <w:jc w:val="left"/>
        <w:textAlignment w:val="baseline"/>
        <w:rPr>
          <w:rFonts w:hint="eastAsia" w:ascii="宋体" w:hAnsi="宋体"/>
          <w:color w:val="000000" w:themeColor="text1"/>
          <w:kern w:val="0"/>
          <w:sz w:val="24"/>
          <w14:textFill>
            <w14:solidFill>
              <w14:schemeClr w14:val="tx1"/>
            </w14:solidFill>
          </w14:textFill>
        </w:rPr>
      </w:pPr>
      <w:bookmarkStart w:id="333" w:name="_Hlk175071635"/>
      <w:r>
        <w:rPr>
          <w:rFonts w:hint="eastAsia" w:ascii="宋体" w:hAnsi="宋体"/>
          <w:color w:val="000000" w:themeColor="text1"/>
          <w:kern w:val="0"/>
          <w:sz w:val="24"/>
          <w14:textFill>
            <w14:solidFill>
              <w14:schemeClr w14:val="tx1"/>
            </w14:solidFill>
          </w14:textFill>
        </w:rPr>
        <w:t>（4）固体废物</w:t>
      </w:r>
    </w:p>
    <w:p w14:paraId="780820B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固体废物主要为危险废物——废润滑油、废润滑油桶、沾油废防渗材料、</w:t>
      </w:r>
      <w:r>
        <w:rPr>
          <w:rFonts w:hint="eastAsia"/>
          <w:color w:val="000000" w:themeColor="text1"/>
          <w:lang w:val="en-US"/>
          <w14:textFill>
            <w14:solidFill>
              <w14:schemeClr w14:val="tx1"/>
            </w14:solidFill>
          </w14:textFill>
        </w:rPr>
        <w:t>废弃</w:t>
      </w:r>
      <w:r>
        <w:rPr>
          <w:rFonts w:hint="eastAsia"/>
          <w:color w:val="000000" w:themeColor="text1"/>
          <w14:textFill>
            <w14:solidFill>
              <w14:schemeClr w14:val="tx1"/>
            </w14:solidFill>
          </w14:textFill>
        </w:rPr>
        <w:t>含油抹布和劳保用品。</w:t>
      </w:r>
    </w:p>
    <w:p w14:paraId="6ADB505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①废润滑油</w:t>
      </w:r>
    </w:p>
    <w:p w14:paraId="7AA4EC7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设备维修会产生废润滑油，单井产生量约为</w:t>
      </w:r>
      <w:r>
        <w:rPr>
          <w:color w:val="000000" w:themeColor="text1"/>
          <w14:textFill>
            <w14:solidFill>
              <w14:schemeClr w14:val="tx1"/>
            </w14:solidFill>
          </w14:textFill>
        </w:rPr>
        <w:t>0.05t/a</w:t>
      </w:r>
      <w:r>
        <w:rPr>
          <w:rFonts w:hint="eastAsia"/>
          <w:color w:val="000000" w:themeColor="text1"/>
          <w14:textFill>
            <w14:solidFill>
              <w14:schemeClr w14:val="tx1"/>
            </w14:solidFill>
          </w14:textFill>
        </w:rPr>
        <w:t>，则8口井合计产生量为</w:t>
      </w:r>
      <w:r>
        <w:rPr>
          <w:rFonts w:hint="eastAsia"/>
          <w:color w:val="000000" w:themeColor="text1"/>
          <w:lang w:val="en-US"/>
          <w14:textFill>
            <w14:solidFill>
              <w14:schemeClr w14:val="tx1"/>
            </w14:solidFill>
          </w14:textFill>
        </w:rPr>
        <w:t>0.4</w:t>
      </w:r>
      <w:r>
        <w:rPr>
          <w:rFonts w:hint="eastAsia"/>
          <w:color w:val="000000" w:themeColor="text1"/>
          <w14:textFill>
            <w14:solidFill>
              <w14:schemeClr w14:val="tx1"/>
            </w14:solidFill>
          </w14:textFill>
        </w:rPr>
        <w:t>t/a，废润滑油属于《国家危险废物名录（2025年版）》</w:t>
      </w:r>
      <w:r>
        <w:rPr>
          <w:color w:val="000000" w:themeColor="text1"/>
          <w14:textFill>
            <w14:solidFill>
              <w14:schemeClr w14:val="tx1"/>
            </w14:solidFill>
          </w14:textFill>
        </w:rPr>
        <w:t>HW08</w:t>
      </w:r>
      <w:r>
        <w:rPr>
          <w:rFonts w:hint="eastAsia"/>
          <w:color w:val="000000" w:themeColor="text1"/>
          <w14:textFill>
            <w14:solidFill>
              <w14:schemeClr w14:val="tx1"/>
            </w14:solidFill>
          </w14:textFill>
        </w:rPr>
        <w:t>废矿物油与含矿物油废物，废物代码为</w:t>
      </w:r>
      <w:r>
        <w:rPr>
          <w:color w:val="000000" w:themeColor="text1"/>
          <w14:textFill>
            <w14:solidFill>
              <w14:schemeClr w14:val="tx1"/>
            </w14:solidFill>
          </w14:textFill>
        </w:rPr>
        <w:t>900-2</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-08</w:t>
      </w:r>
      <w:r>
        <w:rPr>
          <w:rFonts w:hint="eastAsia"/>
          <w:color w:val="000000" w:themeColor="text1"/>
          <w14:textFill>
            <w14:solidFill>
              <w14:schemeClr w14:val="tx1"/>
            </w14:solidFill>
          </w14:textFill>
        </w:rPr>
        <w:t>，危险特性为</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I</w:t>
      </w:r>
      <w:r>
        <w:rPr>
          <w:rFonts w:hint="eastAsia"/>
          <w:color w:val="000000" w:themeColor="text1"/>
          <w14:textFill>
            <w14:solidFill>
              <w14:schemeClr w14:val="tx1"/>
            </w14:solidFill>
          </w14:textFill>
        </w:rPr>
        <w:t>，临时贮存在吉祥联合站危险废物临时贮存点，最终交由有相应危险废物处置资质的单位处置。</w:t>
      </w:r>
    </w:p>
    <w:p w14:paraId="240FB41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②废润滑油桶</w:t>
      </w:r>
    </w:p>
    <w:p w14:paraId="097CDF1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设备检维修过程中使用润滑油时会产生一定的废润滑油桶，根据润滑油的使用量计算出废润滑油桶的产生量为</w:t>
      </w:r>
      <w:r>
        <w:rPr>
          <w:rFonts w:hint="eastAsia"/>
          <w:color w:val="000000" w:themeColor="text1"/>
          <w:lang w:val="en-US"/>
          <w14:textFill>
            <w14:solidFill>
              <w14:schemeClr w14:val="tx1"/>
            </w14:solidFill>
          </w14:textFill>
        </w:rPr>
        <w:t>0.04</w:t>
      </w:r>
      <w:r>
        <w:rPr>
          <w:rFonts w:hint="eastAsia"/>
          <w:color w:val="000000" w:themeColor="text1"/>
          <w14:textFill>
            <w14:solidFill>
              <w14:schemeClr w14:val="tx1"/>
            </w14:solidFill>
          </w14:textFill>
        </w:rPr>
        <w:t>t/a，废润滑油桶属于《国家危险废物名录（2025年版）》</w:t>
      </w:r>
      <w:r>
        <w:rPr>
          <w:color w:val="000000" w:themeColor="text1"/>
          <w14:textFill>
            <w14:solidFill>
              <w14:schemeClr w14:val="tx1"/>
            </w14:solidFill>
          </w14:textFill>
        </w:rPr>
        <w:t>HW08</w:t>
      </w:r>
      <w:r>
        <w:rPr>
          <w:rFonts w:hint="eastAsia"/>
          <w:color w:val="000000" w:themeColor="text1"/>
          <w14:textFill>
            <w14:solidFill>
              <w14:schemeClr w14:val="tx1"/>
            </w14:solidFill>
          </w14:textFill>
        </w:rPr>
        <w:t>废矿物油与含矿物油废物，废物代码为</w:t>
      </w:r>
      <w:r>
        <w:rPr>
          <w:color w:val="000000" w:themeColor="text1"/>
          <w14:textFill>
            <w14:solidFill>
              <w14:schemeClr w14:val="tx1"/>
            </w14:solidFill>
          </w14:textFill>
        </w:rPr>
        <w:t>900-2</w:t>
      </w:r>
      <w:r>
        <w:rPr>
          <w:rFonts w:hint="eastAsia"/>
          <w:color w:val="000000" w:themeColor="text1"/>
          <w14:textFill>
            <w14:solidFill>
              <w14:schemeClr w14:val="tx1"/>
            </w14:solidFill>
          </w14:textFill>
        </w:rPr>
        <w:t>49</w:t>
      </w:r>
      <w:r>
        <w:rPr>
          <w:color w:val="000000" w:themeColor="text1"/>
          <w14:textFill>
            <w14:solidFill>
              <w14:schemeClr w14:val="tx1"/>
            </w14:solidFill>
          </w14:textFill>
        </w:rPr>
        <w:t>-08</w:t>
      </w:r>
      <w:r>
        <w:rPr>
          <w:rFonts w:hint="eastAsia"/>
          <w:color w:val="000000" w:themeColor="text1"/>
          <w14:textFill>
            <w14:solidFill>
              <w14:schemeClr w14:val="tx1"/>
            </w14:solidFill>
          </w14:textFill>
        </w:rPr>
        <w:t>，危险特性为</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I</w:t>
      </w:r>
      <w:r>
        <w:rPr>
          <w:rFonts w:hint="eastAsia"/>
          <w:color w:val="000000" w:themeColor="text1"/>
          <w14:textFill>
            <w14:solidFill>
              <w14:schemeClr w14:val="tx1"/>
            </w14:solidFill>
          </w14:textFill>
        </w:rPr>
        <w:t>，临时贮存在吉祥联合站危险废物临时贮存点，最终交由有相应危险废物处置资质的单位处置。</w:t>
      </w:r>
    </w:p>
    <w:p w14:paraId="1687AEE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③沾油废防渗材料</w:t>
      </w:r>
    </w:p>
    <w:p w14:paraId="6E4CBDA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采油井场日常巡检、检修过程中会产生一定的沾油废防渗膜，沾油废防渗膜属于《国家危险废物名录（2025年版）》</w:t>
      </w:r>
      <w:r>
        <w:rPr>
          <w:color w:val="000000" w:themeColor="text1"/>
          <w14:textFill>
            <w14:solidFill>
              <w14:schemeClr w14:val="tx1"/>
            </w14:solidFill>
          </w14:textFill>
        </w:rPr>
        <w:t>HW08</w:t>
      </w:r>
      <w:r>
        <w:rPr>
          <w:rFonts w:hint="eastAsia"/>
          <w:color w:val="000000" w:themeColor="text1"/>
          <w14:textFill>
            <w14:solidFill>
              <w14:schemeClr w14:val="tx1"/>
            </w14:solidFill>
          </w14:textFill>
        </w:rPr>
        <w:t>废矿物油与含矿物油废物，废物代码：</w:t>
      </w:r>
      <w:r>
        <w:rPr>
          <w:color w:val="000000" w:themeColor="text1"/>
          <w14:textFill>
            <w14:solidFill>
              <w14:schemeClr w14:val="tx1"/>
            </w14:solidFill>
          </w14:textFill>
        </w:rPr>
        <w:t>900-249-08</w:t>
      </w:r>
      <w:r>
        <w:rPr>
          <w:rFonts w:hint="eastAsia"/>
          <w:color w:val="000000" w:themeColor="text1"/>
          <w14:textFill>
            <w14:solidFill>
              <w14:schemeClr w14:val="tx1"/>
            </w14:solidFill>
          </w14:textFill>
        </w:rPr>
        <w:t>，危险特性为</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I</w:t>
      </w:r>
      <w:r>
        <w:rPr>
          <w:rFonts w:hint="eastAsia"/>
          <w:color w:val="000000" w:themeColor="text1"/>
          <w14:textFill>
            <w14:solidFill>
              <w14:schemeClr w14:val="tx1"/>
            </w14:solidFill>
          </w14:textFill>
        </w:rPr>
        <w:t>，根据现有采油井场实际产生情况估算，其单井产生量约</w:t>
      </w:r>
      <w:r>
        <w:rPr>
          <w:color w:val="000000" w:themeColor="text1"/>
          <w14:textFill>
            <w14:solidFill>
              <w14:schemeClr w14:val="tx1"/>
            </w14:solidFill>
          </w14:textFill>
        </w:rPr>
        <w:t>0.07t/a</w:t>
      </w:r>
      <w:r>
        <w:rPr>
          <w:rFonts w:hint="eastAsia"/>
          <w:color w:val="000000" w:themeColor="text1"/>
          <w14:textFill>
            <w14:solidFill>
              <w14:schemeClr w14:val="tx1"/>
            </w14:solidFill>
          </w14:textFill>
        </w:rPr>
        <w:t>，则</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口</w:t>
      </w:r>
      <w:r>
        <w:rPr>
          <w:rFonts w:hint="eastAsia"/>
          <w:color w:val="000000" w:themeColor="text1"/>
          <w:lang w:val="en-US" w:eastAsia="zh-CN"/>
          <w14:textFill>
            <w14:solidFill>
              <w14:schemeClr w14:val="tx1"/>
            </w14:solidFill>
          </w14:textFill>
        </w:rPr>
        <w:t>采油</w:t>
      </w:r>
      <w:r>
        <w:rPr>
          <w:rFonts w:hint="eastAsia"/>
          <w:color w:val="000000" w:themeColor="text1"/>
          <w14:textFill>
            <w14:solidFill>
              <w14:schemeClr w14:val="tx1"/>
            </w14:solidFill>
          </w14:textFill>
        </w:rPr>
        <w:t>井沾油废防渗膜产生量约为</w:t>
      </w:r>
      <w:r>
        <w:rPr>
          <w:rFonts w:hint="eastAsia"/>
          <w:color w:val="000000" w:themeColor="text1"/>
          <w:lang w:val="en-US" w:eastAsia="zh-CN"/>
          <w14:textFill>
            <w14:solidFill>
              <w14:schemeClr w14:val="tx1"/>
            </w14:solidFill>
          </w14:textFill>
        </w:rPr>
        <w:t>0.42</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，临时贮存在吉祥联合站危险废物临时贮存点，最终交由有相应危险废物处置资质的单位处置。</w:t>
      </w:r>
    </w:p>
    <w:p w14:paraId="1115DB8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rFonts w:hint="eastAsia"/>
          <w:color w:val="000000" w:themeColor="text1"/>
          <w:lang w:val="en-US"/>
          <w14:textFill>
            <w14:solidFill>
              <w14:schemeClr w14:val="tx1"/>
            </w14:solidFill>
          </w14:textFill>
        </w:rPr>
        <w:t>废弃</w:t>
      </w:r>
      <w:r>
        <w:rPr>
          <w:rFonts w:hint="eastAsia"/>
          <w:color w:val="000000" w:themeColor="text1"/>
          <w14:textFill>
            <w14:solidFill>
              <w14:schemeClr w14:val="tx1"/>
            </w14:solidFill>
          </w14:textFill>
        </w:rPr>
        <w:t>含油抹布和劳保用品</w:t>
      </w:r>
    </w:p>
    <w:p w14:paraId="0E92EAA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设备检维修过程中会产生一定的废含油抹布、劳保用品，产生量约为0.</w:t>
      </w:r>
      <w:r>
        <w:rPr>
          <w:rFonts w:hint="eastAsia"/>
          <w:color w:val="000000" w:themeColor="text1"/>
          <w:lang w:val="en-US"/>
          <w14:textFill>
            <w14:solidFill>
              <w14:schemeClr w14:val="tx1"/>
            </w14:solidFill>
          </w14:textFill>
        </w:rPr>
        <w:t>04</w:t>
      </w:r>
      <w:r>
        <w:rPr>
          <w:rFonts w:hint="eastAsia"/>
          <w:color w:val="000000" w:themeColor="text1"/>
          <w14:textFill>
            <w14:solidFill>
              <w14:schemeClr w14:val="tx1"/>
            </w14:solidFill>
          </w14:textFill>
        </w:rPr>
        <w:t>t/a。</w:t>
      </w:r>
      <w:r>
        <w:rPr>
          <w:rFonts w:hint="eastAsia"/>
          <w:color w:val="000000" w:themeColor="text1"/>
          <w:lang w:val="en-US"/>
          <w14:textFill>
            <w14:solidFill>
              <w14:schemeClr w14:val="tx1"/>
            </w14:solidFill>
          </w14:textFill>
        </w:rPr>
        <w:t>废弃</w:t>
      </w:r>
      <w:r>
        <w:rPr>
          <w:rFonts w:hint="eastAsia"/>
          <w:color w:val="000000" w:themeColor="text1"/>
          <w14:textFill>
            <w14:solidFill>
              <w14:schemeClr w14:val="tx1"/>
            </w14:solidFill>
          </w14:textFill>
        </w:rPr>
        <w:t>含油抹布和劳保用品属于《国家危险废物名录（2025年版）》HW49其他废物，废物代码为900-041-49，危险特性为T/In，临时贮存在吉祥联合站危险废物临时贮存点，最终交由有相应危险废物处置资质的单位处置。</w:t>
      </w:r>
    </w:p>
    <w:p w14:paraId="35412678">
      <w:pPr>
        <w:adjustRightInd w:val="0"/>
        <w:snapToGrid w:val="0"/>
        <w:spacing w:line="480" w:lineRule="exact"/>
        <w:ind w:firstLine="480" w:firstLineChars="200"/>
        <w:jc w:val="left"/>
        <w:textAlignment w:val="baseline"/>
        <w:rPr>
          <w:rFonts w:hint="eastAsia" w:ascii="黑体" w:hAnsi="黑体" w:eastAsia="黑体"/>
          <w:color w:val="000000" w:themeColor="text1"/>
          <w:kern w:val="0"/>
          <w:szCs w:val="21"/>
          <w14:textFill>
            <w14:solidFill>
              <w14:schemeClr w14:val="tx1"/>
            </w14:solidFill>
          </w14:textFill>
        </w:rPr>
      </w:pPr>
      <w:bookmarkStart w:id="334" w:name="_Hlk129276647"/>
      <w:r>
        <w:rPr>
          <w:rFonts w:hint="eastAsia" w:ascii="宋体" w:hAnsi="宋体"/>
          <w:color w:val="000000" w:themeColor="text1"/>
          <w:kern w:val="0"/>
          <w:sz w:val="24"/>
          <w14:textFill>
            <w14:solidFill>
              <w14:schemeClr w14:val="tx1"/>
            </w14:solidFill>
          </w14:textFill>
        </w:rPr>
        <w:t>各类危险废物汇总情况见表</w:t>
      </w:r>
      <w:r>
        <w:rPr>
          <w:rFonts w:ascii="宋体" w:hAnsi="宋体"/>
          <w:color w:val="000000" w:themeColor="text1"/>
          <w:kern w:val="0"/>
          <w:sz w:val="24"/>
          <w14:textFill>
            <w14:solidFill>
              <w14:schemeClr w14:val="tx1"/>
            </w14:solidFill>
          </w14:textFill>
        </w:rPr>
        <w:t>3.3-</w:t>
      </w:r>
      <w:r>
        <w:rPr>
          <w:rFonts w:hint="eastAsia" w:ascii="宋体" w:hAnsi="宋体"/>
          <w:color w:val="000000" w:themeColor="text1"/>
          <w:kern w:val="0"/>
          <w:sz w:val="24"/>
          <w14:textFill>
            <w14:solidFill>
              <w14:schemeClr w14:val="tx1"/>
            </w14:solidFill>
          </w14:textFill>
        </w:rPr>
        <w:t>11。</w:t>
      </w:r>
    </w:p>
    <w:p w14:paraId="1F6D919A">
      <w:pPr>
        <w:adjustRightInd w:val="0"/>
        <w:snapToGrid w:val="0"/>
        <w:spacing w:line="500" w:lineRule="exact"/>
        <w:ind w:firstLine="480"/>
        <w:jc w:val="center"/>
        <w:textAlignment w:val="baseline"/>
        <w:rPr>
          <w:rFonts w:hint="eastAsia" w:ascii="黑体" w:hAnsi="黑体" w:eastAsia="黑体"/>
          <w:color w:val="000000" w:themeColor="text1"/>
          <w:kern w:val="0"/>
          <w:szCs w:val="21"/>
          <w14:textFill>
            <w14:solidFill>
              <w14:schemeClr w14:val="tx1"/>
            </w14:solidFill>
          </w14:textFill>
        </w:rPr>
      </w:pPr>
    </w:p>
    <w:p w14:paraId="497789C6">
      <w:pPr>
        <w:adjustRightInd w:val="0"/>
        <w:snapToGrid w:val="0"/>
        <w:spacing w:line="500" w:lineRule="exact"/>
        <w:ind w:firstLine="480"/>
        <w:jc w:val="center"/>
        <w:textAlignment w:val="baseline"/>
        <w:rPr>
          <w:rFonts w:hint="eastAsia" w:ascii="黑体" w:hAnsi="黑体" w:eastAsia="黑体"/>
          <w:color w:val="000000" w:themeColor="text1"/>
          <w:kern w:val="0"/>
          <w:szCs w:val="21"/>
          <w14:textFill>
            <w14:solidFill>
              <w14:schemeClr w14:val="tx1"/>
            </w14:solidFill>
          </w14:textFill>
        </w:rPr>
      </w:pPr>
    </w:p>
    <w:p w14:paraId="09ED600D">
      <w:pPr>
        <w:adjustRightInd w:val="0"/>
        <w:snapToGrid w:val="0"/>
        <w:spacing w:line="500" w:lineRule="exact"/>
        <w:ind w:firstLine="480"/>
        <w:jc w:val="center"/>
        <w:textAlignment w:val="baseline"/>
        <w:rPr>
          <w:rFonts w:hint="eastAsia" w:ascii="黑体" w:hAnsi="黑体" w:eastAsia="黑体"/>
          <w:color w:val="000000" w:themeColor="text1"/>
          <w:kern w:val="0"/>
          <w:szCs w:val="21"/>
          <w14:textFill>
            <w14:solidFill>
              <w14:schemeClr w14:val="tx1"/>
            </w14:solidFill>
          </w14:textFill>
        </w:rPr>
      </w:pPr>
      <w:r>
        <w:rPr>
          <w:rFonts w:hint="eastAsia" w:ascii="黑体" w:hAnsi="黑体" w:eastAsia="黑体"/>
          <w:color w:val="000000" w:themeColor="text1"/>
          <w:kern w:val="0"/>
          <w:szCs w:val="21"/>
          <w14:textFill>
            <w14:solidFill>
              <w14:schemeClr w14:val="tx1"/>
            </w14:solidFill>
          </w14:textFill>
        </w:rPr>
        <w:t>表3</w:t>
      </w:r>
      <w:r>
        <w:rPr>
          <w:rFonts w:ascii="黑体" w:hAnsi="黑体" w:eastAsia="黑体"/>
          <w:color w:val="000000" w:themeColor="text1"/>
          <w:kern w:val="0"/>
          <w:szCs w:val="21"/>
          <w14:textFill>
            <w14:solidFill>
              <w14:schemeClr w14:val="tx1"/>
            </w14:solidFill>
          </w14:textFill>
        </w:rPr>
        <w:t>.3-</w:t>
      </w:r>
      <w:r>
        <w:rPr>
          <w:rFonts w:hint="eastAsia" w:ascii="黑体" w:hAnsi="黑体" w:eastAsia="黑体"/>
          <w:color w:val="000000" w:themeColor="text1"/>
          <w:kern w:val="0"/>
          <w:szCs w:val="21"/>
          <w14:textFill>
            <w14:solidFill>
              <w14:schemeClr w14:val="tx1"/>
            </w14:solidFill>
          </w14:textFill>
        </w:rPr>
        <w:t xml:space="preserve">11 </w:t>
      </w:r>
      <w:r>
        <w:rPr>
          <w:rFonts w:ascii="黑体" w:hAnsi="黑体" w:eastAsia="黑体"/>
          <w:color w:val="000000" w:themeColor="text1"/>
          <w:kern w:val="0"/>
          <w:szCs w:val="21"/>
          <w14:textFill>
            <w14:solidFill>
              <w14:schemeClr w14:val="tx1"/>
            </w14:solidFill>
          </w14:textFill>
        </w:rPr>
        <w:t xml:space="preserve"> </w:t>
      </w:r>
      <w:r>
        <w:rPr>
          <w:rFonts w:hint="eastAsia" w:ascii="黑体" w:hAnsi="黑体" w:eastAsia="黑体"/>
          <w:color w:val="000000" w:themeColor="text1"/>
          <w:kern w:val="0"/>
          <w:szCs w:val="21"/>
          <w14:textFill>
            <w14:solidFill>
              <w14:schemeClr w14:val="tx1"/>
            </w14:solidFill>
          </w14:textFill>
        </w:rPr>
        <w:t>危险废物汇总情况一览表</w:t>
      </w:r>
    </w:p>
    <w:bookmarkEnd w:id="334"/>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07"/>
        <w:gridCol w:w="856"/>
        <w:gridCol w:w="851"/>
        <w:gridCol w:w="988"/>
        <w:gridCol w:w="951"/>
        <w:gridCol w:w="1073"/>
        <w:gridCol w:w="669"/>
        <w:gridCol w:w="713"/>
        <w:gridCol w:w="713"/>
        <w:gridCol w:w="708"/>
        <w:gridCol w:w="701"/>
      </w:tblGrid>
      <w:tr w14:paraId="04E8A2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021" w:hRule="atLeast"/>
          <w:jc w:val="center"/>
        </w:trPr>
        <w:tc>
          <w:tcPr>
            <w:tcW w:w="290" w:type="pct"/>
            <w:vAlign w:val="center"/>
          </w:tcPr>
          <w:p w14:paraId="728A948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490" w:type="pct"/>
            <w:vAlign w:val="center"/>
          </w:tcPr>
          <w:p w14:paraId="49702B7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危险废物名称</w:t>
            </w:r>
          </w:p>
        </w:tc>
        <w:tc>
          <w:tcPr>
            <w:tcW w:w="487" w:type="pct"/>
            <w:vAlign w:val="center"/>
          </w:tcPr>
          <w:p w14:paraId="6F41931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危险废物类别</w:t>
            </w:r>
          </w:p>
        </w:tc>
        <w:tc>
          <w:tcPr>
            <w:tcW w:w="565" w:type="pct"/>
            <w:vAlign w:val="center"/>
          </w:tcPr>
          <w:p w14:paraId="41B5693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危险废物代码</w:t>
            </w:r>
          </w:p>
        </w:tc>
        <w:tc>
          <w:tcPr>
            <w:tcW w:w="544" w:type="pct"/>
            <w:vAlign w:val="center"/>
          </w:tcPr>
          <w:p w14:paraId="67917CB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产生量（t</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p>
        </w:tc>
        <w:tc>
          <w:tcPr>
            <w:tcW w:w="614" w:type="pct"/>
            <w:vAlign w:val="center"/>
          </w:tcPr>
          <w:p w14:paraId="5369E18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产生工序及装置</w:t>
            </w:r>
          </w:p>
        </w:tc>
        <w:tc>
          <w:tcPr>
            <w:tcW w:w="383" w:type="pct"/>
            <w:vAlign w:val="center"/>
          </w:tcPr>
          <w:p w14:paraId="1FFEC8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形态</w:t>
            </w:r>
          </w:p>
        </w:tc>
        <w:tc>
          <w:tcPr>
            <w:tcW w:w="408" w:type="pct"/>
            <w:vAlign w:val="center"/>
          </w:tcPr>
          <w:p w14:paraId="0C4F33D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主要成分</w:t>
            </w:r>
          </w:p>
        </w:tc>
        <w:tc>
          <w:tcPr>
            <w:tcW w:w="408" w:type="pct"/>
            <w:vAlign w:val="center"/>
          </w:tcPr>
          <w:p w14:paraId="5583660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有害成分</w:t>
            </w:r>
          </w:p>
        </w:tc>
        <w:tc>
          <w:tcPr>
            <w:tcW w:w="405" w:type="pct"/>
            <w:vAlign w:val="center"/>
          </w:tcPr>
          <w:p w14:paraId="2CEE5F4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w:t>
            </w:r>
          </w:p>
          <w:p w14:paraId="4FCB0CB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特性</w:t>
            </w:r>
          </w:p>
        </w:tc>
        <w:tc>
          <w:tcPr>
            <w:tcW w:w="401" w:type="pct"/>
            <w:vAlign w:val="center"/>
          </w:tcPr>
          <w:p w14:paraId="3BB409C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污染防治措施</w:t>
            </w:r>
          </w:p>
        </w:tc>
      </w:tr>
      <w:tr w14:paraId="2A395A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0" w:type="pct"/>
            <w:vAlign w:val="center"/>
          </w:tcPr>
          <w:p w14:paraId="6BBCC44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90" w:type="pct"/>
            <w:vAlign w:val="center"/>
          </w:tcPr>
          <w:p w14:paraId="43C21F3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w:t>
            </w:r>
          </w:p>
        </w:tc>
        <w:tc>
          <w:tcPr>
            <w:tcW w:w="487" w:type="pct"/>
            <w:vAlign w:val="center"/>
          </w:tcPr>
          <w:p w14:paraId="0934A24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color w:val="000000" w:themeColor="text1"/>
                <w14:textFill>
                  <w14:solidFill>
                    <w14:schemeClr w14:val="tx1"/>
                  </w14:solidFill>
                </w14:textFill>
              </w:rPr>
              <w:t>W08</w:t>
            </w:r>
          </w:p>
        </w:tc>
        <w:tc>
          <w:tcPr>
            <w:tcW w:w="565" w:type="pct"/>
            <w:vAlign w:val="center"/>
          </w:tcPr>
          <w:p w14:paraId="4343409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214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08</w:t>
            </w:r>
          </w:p>
        </w:tc>
        <w:tc>
          <w:tcPr>
            <w:tcW w:w="544" w:type="pct"/>
            <w:vAlign w:val="center"/>
          </w:tcPr>
          <w:p w14:paraId="0611817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0.4t/a</w:t>
            </w:r>
          </w:p>
        </w:tc>
        <w:tc>
          <w:tcPr>
            <w:tcW w:w="614" w:type="pct"/>
            <w:vAlign w:val="center"/>
          </w:tcPr>
          <w:p w14:paraId="689FF32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设备检维修</w:t>
            </w:r>
          </w:p>
        </w:tc>
        <w:tc>
          <w:tcPr>
            <w:tcW w:w="383" w:type="pct"/>
            <w:vAlign w:val="center"/>
          </w:tcPr>
          <w:p w14:paraId="5B3F882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408" w:type="pct"/>
            <w:vAlign w:val="center"/>
          </w:tcPr>
          <w:p w14:paraId="2F57962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油类</w:t>
            </w:r>
          </w:p>
        </w:tc>
        <w:tc>
          <w:tcPr>
            <w:tcW w:w="408" w:type="pct"/>
            <w:vAlign w:val="center"/>
          </w:tcPr>
          <w:p w14:paraId="4E289A1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油类</w:t>
            </w:r>
          </w:p>
        </w:tc>
        <w:tc>
          <w:tcPr>
            <w:tcW w:w="405" w:type="pct"/>
            <w:vAlign w:val="center"/>
          </w:tcPr>
          <w:p w14:paraId="06ACD74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T，I</w:t>
            </w:r>
          </w:p>
        </w:tc>
        <w:tc>
          <w:tcPr>
            <w:tcW w:w="401" w:type="pct"/>
            <w:vMerge w:val="restart"/>
            <w:vAlign w:val="center"/>
          </w:tcPr>
          <w:p w14:paraId="2FCB6DA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交由有相应危险废物处置资质的单位处置</w:t>
            </w:r>
          </w:p>
        </w:tc>
      </w:tr>
      <w:tr w14:paraId="5ED313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0" w:type="pct"/>
            <w:vAlign w:val="center"/>
          </w:tcPr>
          <w:p w14:paraId="755B90D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90" w:type="pct"/>
            <w:vAlign w:val="center"/>
          </w:tcPr>
          <w:p w14:paraId="54CFF26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废润滑油桶</w:t>
            </w:r>
          </w:p>
        </w:tc>
        <w:tc>
          <w:tcPr>
            <w:tcW w:w="487" w:type="pct"/>
            <w:vAlign w:val="center"/>
          </w:tcPr>
          <w:p w14:paraId="4892334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HW08</w:t>
            </w:r>
          </w:p>
        </w:tc>
        <w:tc>
          <w:tcPr>
            <w:tcW w:w="565" w:type="pct"/>
            <w:vAlign w:val="center"/>
          </w:tcPr>
          <w:p w14:paraId="2BC6F66D">
            <w:pPr>
              <w:pStyle w:val="280"/>
              <w:spacing w:line="300" w:lineRule="exact"/>
              <w:rPr>
                <w:rFonts w:hint="eastAsia"/>
                <w:color w:val="000000" w:themeColor="text1"/>
                <w14:textFill>
                  <w14:solidFill>
                    <w14:schemeClr w14:val="tx1"/>
                  </w14:solidFill>
                </w14:textFill>
              </w:rPr>
            </w:pPr>
            <w:r>
              <w:rPr>
                <w:color w:val="000000" w:themeColor="text1"/>
                <w:lang w:val="zh-CN"/>
                <w14:textFill>
                  <w14:solidFill>
                    <w14:schemeClr w14:val="tx1"/>
                  </w14:solidFill>
                </w14:textFill>
              </w:rPr>
              <w:t>900-2</w:t>
            </w:r>
            <w:r>
              <w:rPr>
                <w:rFonts w:hint="eastAsia"/>
                <w:color w:val="000000" w:themeColor="text1"/>
                <w:lang w:val="zh-CN"/>
                <w14:textFill>
                  <w14:solidFill>
                    <w14:schemeClr w14:val="tx1"/>
                  </w14:solidFill>
                </w14:textFill>
              </w:rPr>
              <w:t>49</w:t>
            </w:r>
            <w:r>
              <w:rPr>
                <w:color w:val="000000" w:themeColor="text1"/>
                <w:lang w:val="zh-CN"/>
                <w14:textFill>
                  <w14:solidFill>
                    <w14:schemeClr w14:val="tx1"/>
                  </w14:solidFill>
                </w14:textFill>
              </w:rPr>
              <w:t>-08</w:t>
            </w:r>
          </w:p>
        </w:tc>
        <w:tc>
          <w:tcPr>
            <w:tcW w:w="544" w:type="pct"/>
            <w:vAlign w:val="center"/>
          </w:tcPr>
          <w:p w14:paraId="0AE88B3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0.04t/a</w:t>
            </w:r>
          </w:p>
        </w:tc>
        <w:tc>
          <w:tcPr>
            <w:tcW w:w="614" w:type="pct"/>
            <w:vAlign w:val="center"/>
          </w:tcPr>
          <w:p w14:paraId="1630973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设备检维修</w:t>
            </w:r>
          </w:p>
        </w:tc>
        <w:tc>
          <w:tcPr>
            <w:tcW w:w="383" w:type="pct"/>
            <w:vAlign w:val="center"/>
          </w:tcPr>
          <w:p w14:paraId="6126E11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408" w:type="pct"/>
            <w:vAlign w:val="center"/>
          </w:tcPr>
          <w:p w14:paraId="2B9618B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油类</w:t>
            </w:r>
          </w:p>
        </w:tc>
        <w:tc>
          <w:tcPr>
            <w:tcW w:w="408" w:type="pct"/>
            <w:vAlign w:val="center"/>
          </w:tcPr>
          <w:p w14:paraId="383E9A1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油类</w:t>
            </w:r>
          </w:p>
        </w:tc>
        <w:tc>
          <w:tcPr>
            <w:tcW w:w="405" w:type="pct"/>
            <w:vAlign w:val="center"/>
          </w:tcPr>
          <w:p w14:paraId="54A94E7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T，I</w:t>
            </w:r>
          </w:p>
        </w:tc>
        <w:tc>
          <w:tcPr>
            <w:tcW w:w="401" w:type="pct"/>
            <w:vMerge w:val="continue"/>
            <w:vAlign w:val="center"/>
          </w:tcPr>
          <w:p w14:paraId="7E35538C">
            <w:pPr>
              <w:pStyle w:val="280"/>
              <w:spacing w:line="300" w:lineRule="exact"/>
              <w:rPr>
                <w:rFonts w:hint="eastAsia"/>
                <w:color w:val="000000" w:themeColor="text1"/>
                <w14:textFill>
                  <w14:solidFill>
                    <w14:schemeClr w14:val="tx1"/>
                  </w14:solidFill>
                </w14:textFill>
              </w:rPr>
            </w:pPr>
          </w:p>
        </w:tc>
      </w:tr>
      <w:tr w14:paraId="7C9C55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0" w:type="pct"/>
            <w:vAlign w:val="center"/>
          </w:tcPr>
          <w:p w14:paraId="62AF4A1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3</w:t>
            </w:r>
          </w:p>
        </w:tc>
        <w:tc>
          <w:tcPr>
            <w:tcW w:w="490" w:type="pct"/>
            <w:vAlign w:val="center"/>
          </w:tcPr>
          <w:p w14:paraId="79B9ADD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沾油废防渗材料</w:t>
            </w:r>
          </w:p>
        </w:tc>
        <w:tc>
          <w:tcPr>
            <w:tcW w:w="487" w:type="pct"/>
            <w:vAlign w:val="center"/>
          </w:tcPr>
          <w:p w14:paraId="634F035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HW08</w:t>
            </w:r>
          </w:p>
        </w:tc>
        <w:tc>
          <w:tcPr>
            <w:tcW w:w="565" w:type="pct"/>
            <w:vAlign w:val="center"/>
          </w:tcPr>
          <w:p w14:paraId="69412D80">
            <w:pPr>
              <w:pStyle w:val="280"/>
              <w:spacing w:line="300" w:lineRule="exact"/>
              <w:rPr>
                <w:rFonts w:hint="eastAsia"/>
                <w:color w:val="000000" w:themeColor="text1"/>
                <w14:textFill>
                  <w14:solidFill>
                    <w14:schemeClr w14:val="tx1"/>
                  </w14:solidFill>
                </w14:textFill>
              </w:rPr>
            </w:pPr>
            <w:r>
              <w:rPr>
                <w:color w:val="000000" w:themeColor="text1"/>
                <w:lang w:val="zh-CN"/>
                <w14:textFill>
                  <w14:solidFill>
                    <w14:schemeClr w14:val="tx1"/>
                  </w14:solidFill>
                </w14:textFill>
              </w:rPr>
              <w:t>900-2</w:t>
            </w:r>
            <w:r>
              <w:rPr>
                <w:rFonts w:hint="eastAsia"/>
                <w:color w:val="000000" w:themeColor="text1"/>
                <w:lang w:val="zh-CN"/>
                <w14:textFill>
                  <w14:solidFill>
                    <w14:schemeClr w14:val="tx1"/>
                  </w14:solidFill>
                </w14:textFill>
              </w:rPr>
              <w:t>49</w:t>
            </w:r>
            <w:r>
              <w:rPr>
                <w:color w:val="000000" w:themeColor="text1"/>
                <w:lang w:val="zh-CN"/>
                <w14:textFill>
                  <w14:solidFill>
                    <w14:schemeClr w14:val="tx1"/>
                  </w14:solidFill>
                </w14:textFill>
              </w:rPr>
              <w:t>-08</w:t>
            </w:r>
          </w:p>
        </w:tc>
        <w:tc>
          <w:tcPr>
            <w:tcW w:w="544" w:type="pct"/>
            <w:vAlign w:val="center"/>
          </w:tcPr>
          <w:p w14:paraId="047B671D">
            <w:pPr>
              <w:pStyle w:val="280"/>
              <w:spacing w:line="300" w:lineRule="exact"/>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0.42</w:t>
            </w:r>
            <w:r>
              <w:rPr>
                <w:rFonts w:hint="eastAsia"/>
                <w:color w:val="000000" w:themeColor="text1"/>
                <w14:textFill>
                  <w14:solidFill>
                    <w14:schemeClr w14:val="tx1"/>
                  </w14:solidFill>
                </w14:textFill>
              </w:rPr>
              <w:t>t/a</w:t>
            </w:r>
          </w:p>
        </w:tc>
        <w:tc>
          <w:tcPr>
            <w:tcW w:w="614" w:type="pct"/>
            <w:vAlign w:val="center"/>
          </w:tcPr>
          <w:p w14:paraId="0D2F6E5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井下作业</w:t>
            </w:r>
          </w:p>
        </w:tc>
        <w:tc>
          <w:tcPr>
            <w:tcW w:w="383" w:type="pct"/>
            <w:vAlign w:val="center"/>
          </w:tcPr>
          <w:p w14:paraId="6FA80EC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408" w:type="pct"/>
            <w:vAlign w:val="center"/>
          </w:tcPr>
          <w:p w14:paraId="1D4B39E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油类</w:t>
            </w:r>
          </w:p>
        </w:tc>
        <w:tc>
          <w:tcPr>
            <w:tcW w:w="408" w:type="pct"/>
            <w:vAlign w:val="center"/>
          </w:tcPr>
          <w:p w14:paraId="69F98F3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油类</w:t>
            </w:r>
          </w:p>
        </w:tc>
        <w:tc>
          <w:tcPr>
            <w:tcW w:w="405" w:type="pct"/>
            <w:vAlign w:val="center"/>
          </w:tcPr>
          <w:p w14:paraId="25F7F63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T，I</w:t>
            </w:r>
          </w:p>
        </w:tc>
        <w:tc>
          <w:tcPr>
            <w:tcW w:w="401" w:type="pct"/>
            <w:vMerge w:val="continue"/>
            <w:vAlign w:val="center"/>
          </w:tcPr>
          <w:p w14:paraId="34AD6F87">
            <w:pPr>
              <w:pStyle w:val="280"/>
              <w:spacing w:line="300" w:lineRule="exact"/>
              <w:rPr>
                <w:rFonts w:hint="eastAsia"/>
                <w:color w:val="000000" w:themeColor="text1"/>
                <w14:textFill>
                  <w14:solidFill>
                    <w14:schemeClr w14:val="tx1"/>
                  </w14:solidFill>
                </w14:textFill>
              </w:rPr>
            </w:pPr>
          </w:p>
        </w:tc>
      </w:tr>
      <w:tr w14:paraId="438440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0" w:type="pct"/>
            <w:vAlign w:val="center"/>
          </w:tcPr>
          <w:p w14:paraId="149559F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90" w:type="pct"/>
            <w:vAlign w:val="center"/>
          </w:tcPr>
          <w:p w14:paraId="40A847B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废含油抹布、劳保用品</w:t>
            </w:r>
          </w:p>
        </w:tc>
        <w:tc>
          <w:tcPr>
            <w:tcW w:w="487" w:type="pct"/>
            <w:vAlign w:val="center"/>
          </w:tcPr>
          <w:p w14:paraId="12D5320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HW49</w:t>
            </w:r>
          </w:p>
        </w:tc>
        <w:tc>
          <w:tcPr>
            <w:tcW w:w="565" w:type="pct"/>
            <w:vAlign w:val="center"/>
          </w:tcPr>
          <w:p w14:paraId="17ECB62C">
            <w:pPr>
              <w:pStyle w:val="280"/>
              <w:spacing w:line="300" w:lineRule="exact"/>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900-041-49</w:t>
            </w:r>
          </w:p>
        </w:tc>
        <w:tc>
          <w:tcPr>
            <w:tcW w:w="544" w:type="pct"/>
            <w:vAlign w:val="center"/>
          </w:tcPr>
          <w:p w14:paraId="6F156CF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0.04t/a</w:t>
            </w:r>
          </w:p>
        </w:tc>
        <w:tc>
          <w:tcPr>
            <w:tcW w:w="614" w:type="pct"/>
            <w:vAlign w:val="center"/>
          </w:tcPr>
          <w:p w14:paraId="2402BF7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设备检维修</w:t>
            </w:r>
          </w:p>
        </w:tc>
        <w:tc>
          <w:tcPr>
            <w:tcW w:w="383" w:type="pct"/>
            <w:vAlign w:val="center"/>
          </w:tcPr>
          <w:p w14:paraId="1877E97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408" w:type="pct"/>
            <w:vAlign w:val="center"/>
          </w:tcPr>
          <w:p w14:paraId="4B44144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油类</w:t>
            </w:r>
          </w:p>
        </w:tc>
        <w:tc>
          <w:tcPr>
            <w:tcW w:w="408" w:type="pct"/>
            <w:vAlign w:val="center"/>
          </w:tcPr>
          <w:p w14:paraId="0DCBD64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油类</w:t>
            </w:r>
          </w:p>
        </w:tc>
        <w:tc>
          <w:tcPr>
            <w:tcW w:w="405" w:type="pct"/>
            <w:vAlign w:val="center"/>
          </w:tcPr>
          <w:p w14:paraId="5FE7D80D">
            <w:pPr>
              <w:pStyle w:val="280"/>
              <w:spacing w:line="300" w:lineRule="exact"/>
              <w:rPr>
                <w:rFonts w:hint="eastAsia"/>
                <w:color w:val="000000" w:themeColor="text1"/>
                <w14:textFill>
                  <w14:solidFill>
                    <w14:schemeClr w14:val="tx1"/>
                  </w14:solidFill>
                </w14:textFill>
              </w:rPr>
            </w:pPr>
            <w:r>
              <w:rPr>
                <w:rFonts w:hint="eastAsia"/>
                <w:color w:val="000000" w:themeColor="text1"/>
                <w:lang w:val="zh-CN"/>
                <w14:textFill>
                  <w14:solidFill>
                    <w14:schemeClr w14:val="tx1"/>
                  </w14:solidFill>
                </w14:textFill>
              </w:rPr>
              <w:t>T/In</w:t>
            </w:r>
          </w:p>
        </w:tc>
        <w:tc>
          <w:tcPr>
            <w:tcW w:w="401" w:type="pct"/>
            <w:vMerge w:val="continue"/>
            <w:vAlign w:val="center"/>
          </w:tcPr>
          <w:p w14:paraId="5C585365">
            <w:pPr>
              <w:pStyle w:val="280"/>
              <w:spacing w:line="300" w:lineRule="exact"/>
              <w:rPr>
                <w:rFonts w:hint="eastAsia"/>
                <w:color w:val="000000" w:themeColor="text1"/>
                <w14:textFill>
                  <w14:solidFill>
                    <w14:schemeClr w14:val="tx1"/>
                  </w14:solidFill>
                </w14:textFill>
              </w:rPr>
            </w:pPr>
          </w:p>
        </w:tc>
      </w:tr>
      <w:bookmarkEnd w:id="307"/>
      <w:bookmarkEnd w:id="331"/>
      <w:bookmarkEnd w:id="333"/>
    </w:tbl>
    <w:p w14:paraId="43A6984A">
      <w:pPr>
        <w:adjustRightInd w:val="0"/>
        <w:snapToGrid w:val="0"/>
        <w:spacing w:line="480" w:lineRule="exact"/>
        <w:ind w:firstLine="480" w:firstLineChars="200"/>
        <w:textAlignment w:val="bottom"/>
        <w:rPr>
          <w:rFonts w:hint="eastAsia" w:ascii="宋体" w:hAnsi="宋体" w:cs="宋体"/>
          <w:color w:val="000000" w:themeColor="text1"/>
          <w:kern w:val="0"/>
          <w:sz w:val="24"/>
          <w:szCs w:val="24"/>
          <w14:textFill>
            <w14:solidFill>
              <w14:schemeClr w14:val="tx1"/>
            </w14:solidFill>
          </w14:textFill>
        </w:rPr>
      </w:pPr>
      <w:bookmarkStart w:id="335" w:name="_Toc26588"/>
      <w:bookmarkStart w:id="336" w:name="_Toc445996370"/>
      <w:bookmarkStart w:id="337" w:name="_Toc445842047"/>
      <w:r>
        <w:rPr>
          <w:rFonts w:hint="eastAsia" w:ascii="宋体" w:hAnsi="宋体" w:cs="宋体"/>
          <w:color w:val="000000" w:themeColor="text1"/>
          <w:kern w:val="0"/>
          <w:sz w:val="24"/>
          <w:szCs w:val="24"/>
          <w14:textFill>
            <w14:solidFill>
              <w14:schemeClr w14:val="tx1"/>
            </w14:solidFill>
          </w14:textFill>
        </w:rPr>
        <w:t>（</w:t>
      </w:r>
      <w:r>
        <w:rPr>
          <w:rFonts w:ascii="宋体" w:hAnsi="宋体" w:cs="宋体"/>
          <w:color w:val="000000" w:themeColor="text1"/>
          <w:kern w:val="0"/>
          <w:sz w:val="24"/>
          <w:szCs w:val="24"/>
          <w14:textFill>
            <w14:solidFill>
              <w14:schemeClr w14:val="tx1"/>
            </w14:solidFill>
          </w14:textFill>
        </w:rPr>
        <w:t>5</w:t>
      </w:r>
      <w:r>
        <w:rPr>
          <w:rFonts w:hint="eastAsia" w:ascii="宋体" w:hAnsi="宋体" w:cs="宋体"/>
          <w:color w:val="000000" w:themeColor="text1"/>
          <w:kern w:val="0"/>
          <w:sz w:val="24"/>
          <w:szCs w:val="24"/>
          <w14:textFill>
            <w14:solidFill>
              <w14:schemeClr w14:val="tx1"/>
            </w14:solidFill>
          </w14:textFill>
        </w:rPr>
        <w:t>）生态影响</w:t>
      </w:r>
    </w:p>
    <w:p w14:paraId="692D1A8F">
      <w:pPr>
        <w:adjustRightInd w:val="0"/>
        <w:snapToGrid w:val="0"/>
        <w:spacing w:line="480" w:lineRule="exact"/>
        <w:ind w:firstLine="480" w:firstLineChars="200"/>
        <w:textAlignment w:val="bottom"/>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运营期不新增占地，临时占地植被进行自然恢复，人类活动及巡检车辆可能对项目区及周边野生动物产生一定的影响。</w:t>
      </w:r>
    </w:p>
    <w:p w14:paraId="0260CB53">
      <w:pPr>
        <w:adjustRightInd w:val="0"/>
        <w:snapToGrid w:val="0"/>
        <w:spacing w:line="480" w:lineRule="exact"/>
        <w:ind w:firstLine="480" w:firstLineChars="200"/>
        <w:textAlignment w:val="bottom"/>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w:t>
      </w:r>
      <w:r>
        <w:rPr>
          <w:rFonts w:ascii="宋体" w:hAnsi="宋体" w:cs="宋体"/>
          <w:color w:val="000000" w:themeColor="text1"/>
          <w:kern w:val="0"/>
          <w:sz w:val="24"/>
          <w:szCs w:val="24"/>
          <w14:textFill>
            <w14:solidFill>
              <w14:schemeClr w14:val="tx1"/>
            </w14:solidFill>
          </w14:textFill>
        </w:rPr>
        <w:t>6</w:t>
      </w:r>
      <w:r>
        <w:rPr>
          <w:rFonts w:hint="eastAsia" w:ascii="宋体" w:hAnsi="宋体" w:cs="宋体"/>
          <w:color w:val="000000" w:themeColor="text1"/>
          <w:kern w:val="0"/>
          <w:sz w:val="24"/>
          <w:szCs w:val="24"/>
          <w14:textFill>
            <w14:solidFill>
              <w14:schemeClr w14:val="tx1"/>
            </w14:solidFill>
          </w14:textFill>
        </w:rPr>
        <w:t>）污染物排放量汇总</w:t>
      </w:r>
    </w:p>
    <w:bookmarkEnd w:id="309"/>
    <w:p w14:paraId="5664EDCB">
      <w:pPr>
        <w:adjustRightInd w:val="0"/>
        <w:snapToGrid w:val="0"/>
        <w:spacing w:line="480" w:lineRule="exact"/>
        <w:ind w:firstLine="480" w:firstLineChars="200"/>
        <w:textAlignment w:val="bottom"/>
        <w:rPr>
          <w:rFonts w:hint="eastAsia" w:ascii="黑体" w:hAnsi="黑体" w:eastAsia="黑体"/>
          <w:color w:val="000000" w:themeColor="text1"/>
          <w:kern w:val="0"/>
          <w:szCs w:val="21"/>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运营期污染物排放情况见表</w:t>
      </w:r>
      <w:r>
        <w:rPr>
          <w:rFonts w:ascii="宋体" w:hAnsi="宋体" w:cs="宋体"/>
          <w:color w:val="000000" w:themeColor="text1"/>
          <w:kern w:val="0"/>
          <w:sz w:val="24"/>
          <w:szCs w:val="24"/>
          <w14:textFill>
            <w14:solidFill>
              <w14:schemeClr w14:val="tx1"/>
            </w14:solidFill>
          </w14:textFill>
        </w:rPr>
        <w:t>3.3</w:t>
      </w:r>
      <w:r>
        <w:rPr>
          <w:rFonts w:hint="eastAsia" w:ascii="宋体" w:hAnsi="宋体" w:cs="宋体"/>
          <w:color w:val="000000" w:themeColor="text1"/>
          <w:kern w:val="0"/>
          <w:sz w:val="24"/>
          <w:szCs w:val="24"/>
          <w14:textFill>
            <w14:solidFill>
              <w14:schemeClr w14:val="tx1"/>
            </w14:solidFill>
          </w14:textFill>
        </w:rPr>
        <w:t>-12。</w:t>
      </w:r>
    </w:p>
    <w:p w14:paraId="790358E4">
      <w:pPr>
        <w:adjustRightInd w:val="0"/>
        <w:snapToGrid w:val="0"/>
        <w:spacing w:line="500" w:lineRule="exact"/>
        <w:ind w:firstLine="480"/>
        <w:jc w:val="center"/>
        <w:textAlignment w:val="baseline"/>
        <w:rPr>
          <w:rFonts w:hint="eastAsia" w:ascii="黑体" w:hAnsi="黑体" w:eastAsia="黑体"/>
          <w:color w:val="000000" w:themeColor="text1"/>
          <w:kern w:val="0"/>
          <w:szCs w:val="21"/>
          <w14:textFill>
            <w14:solidFill>
              <w14:schemeClr w14:val="tx1"/>
            </w14:solidFill>
          </w14:textFill>
        </w:rPr>
      </w:pPr>
      <w:r>
        <w:rPr>
          <w:rFonts w:hint="eastAsia" w:ascii="黑体" w:hAnsi="黑体" w:eastAsia="黑体"/>
          <w:color w:val="000000" w:themeColor="text1"/>
          <w:kern w:val="0"/>
          <w:szCs w:val="21"/>
          <w14:textFill>
            <w14:solidFill>
              <w14:schemeClr w14:val="tx1"/>
            </w14:solidFill>
          </w14:textFill>
        </w:rPr>
        <w:t>表</w:t>
      </w:r>
      <w:r>
        <w:rPr>
          <w:rFonts w:ascii="黑体" w:hAnsi="黑体" w:eastAsia="黑体"/>
          <w:color w:val="000000" w:themeColor="text1"/>
          <w:kern w:val="0"/>
          <w:szCs w:val="21"/>
          <w14:textFill>
            <w14:solidFill>
              <w14:schemeClr w14:val="tx1"/>
            </w14:solidFill>
          </w14:textFill>
        </w:rPr>
        <w:t>3.3</w:t>
      </w:r>
      <w:r>
        <w:rPr>
          <w:rFonts w:hint="eastAsia" w:ascii="黑体" w:hAnsi="黑体" w:eastAsia="黑体"/>
          <w:color w:val="000000" w:themeColor="text1"/>
          <w:kern w:val="0"/>
          <w:szCs w:val="21"/>
          <w14:textFill>
            <w14:solidFill>
              <w14:schemeClr w14:val="tx1"/>
            </w14:solidFill>
          </w14:textFill>
        </w:rPr>
        <w:t>-12</w:t>
      </w:r>
      <w:r>
        <w:rPr>
          <w:rFonts w:ascii="黑体" w:hAnsi="黑体" w:eastAsia="黑体"/>
          <w:color w:val="000000" w:themeColor="text1"/>
          <w:kern w:val="0"/>
          <w:szCs w:val="21"/>
          <w14:textFill>
            <w14:solidFill>
              <w14:schemeClr w14:val="tx1"/>
            </w14:solidFill>
          </w14:textFill>
        </w:rPr>
        <w:t xml:space="preserve"> </w:t>
      </w:r>
      <w:r>
        <w:rPr>
          <w:rFonts w:hint="eastAsia" w:ascii="黑体" w:hAnsi="黑体" w:eastAsia="黑体"/>
          <w:color w:val="000000" w:themeColor="text1"/>
          <w:kern w:val="0"/>
          <w:szCs w:val="21"/>
          <w14:textFill>
            <w14:solidFill>
              <w14:schemeClr w14:val="tx1"/>
            </w14:solidFill>
          </w14:textFill>
        </w:rPr>
        <w:t xml:space="preserve"> 运营期污染物产生及排放一览表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1274"/>
        <w:gridCol w:w="1277"/>
        <w:gridCol w:w="1274"/>
        <w:gridCol w:w="1274"/>
        <w:gridCol w:w="1265"/>
        <w:gridCol w:w="1798"/>
      </w:tblGrid>
      <w:tr w14:paraId="306AB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0" w:hRule="atLeast"/>
          <w:tblHeader/>
          <w:jc w:val="center"/>
        </w:trPr>
        <w:tc>
          <w:tcPr>
            <w:tcW w:w="325" w:type="pct"/>
            <w:vAlign w:val="center"/>
          </w:tcPr>
          <w:p w14:paraId="10761300">
            <w:pPr>
              <w:pStyle w:val="280"/>
              <w:rPr>
                <w:rFonts w:hint="eastAsia"/>
                <w:color w:val="000000" w:themeColor="text1"/>
                <w14:textFill>
                  <w14:solidFill>
                    <w14:schemeClr w14:val="tx1"/>
                  </w14:solidFill>
                </w14:textFill>
              </w:rPr>
            </w:pPr>
            <w:bookmarkStart w:id="338" w:name="_Hlk169014893"/>
            <w:r>
              <w:rPr>
                <w:rFonts w:hint="eastAsia"/>
                <w:color w:val="000000" w:themeColor="text1"/>
                <w14:textFill>
                  <w14:solidFill>
                    <w14:schemeClr w14:val="tx1"/>
                  </w14:solidFill>
                </w14:textFill>
              </w:rPr>
              <w:t>类别</w:t>
            </w:r>
          </w:p>
        </w:tc>
        <w:tc>
          <w:tcPr>
            <w:tcW w:w="729" w:type="pct"/>
            <w:vAlign w:val="center"/>
          </w:tcPr>
          <w:p w14:paraId="1CC3975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污染源</w:t>
            </w:r>
          </w:p>
        </w:tc>
        <w:tc>
          <w:tcPr>
            <w:tcW w:w="731" w:type="pct"/>
            <w:vAlign w:val="center"/>
          </w:tcPr>
          <w:p w14:paraId="169151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729" w:type="pct"/>
            <w:vAlign w:val="center"/>
          </w:tcPr>
          <w:p w14:paraId="5FED89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污染因子</w:t>
            </w:r>
          </w:p>
        </w:tc>
        <w:tc>
          <w:tcPr>
            <w:tcW w:w="729" w:type="pct"/>
            <w:vAlign w:val="center"/>
          </w:tcPr>
          <w:p w14:paraId="36B767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产生量</w:t>
            </w:r>
          </w:p>
        </w:tc>
        <w:tc>
          <w:tcPr>
            <w:tcW w:w="724" w:type="pct"/>
            <w:vAlign w:val="center"/>
          </w:tcPr>
          <w:p w14:paraId="35092CC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排放量</w:t>
            </w:r>
          </w:p>
        </w:tc>
        <w:tc>
          <w:tcPr>
            <w:tcW w:w="1029" w:type="pct"/>
            <w:vAlign w:val="center"/>
          </w:tcPr>
          <w:p w14:paraId="3C0895E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处理措施及排放去向</w:t>
            </w:r>
          </w:p>
        </w:tc>
      </w:tr>
      <w:tr w14:paraId="61F2F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Merge w:val="restart"/>
            <w:vAlign w:val="center"/>
          </w:tcPr>
          <w:p w14:paraId="091520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729" w:type="pct"/>
            <w:vMerge w:val="restart"/>
            <w:vAlign w:val="center"/>
          </w:tcPr>
          <w:p w14:paraId="0A9227A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采油井场油气集输过程中的阀门、法兰等</w:t>
            </w:r>
          </w:p>
        </w:tc>
        <w:tc>
          <w:tcPr>
            <w:tcW w:w="731" w:type="pct"/>
            <w:vAlign w:val="center"/>
          </w:tcPr>
          <w:p w14:paraId="2407A64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无组织挥发性有机物</w:t>
            </w:r>
          </w:p>
        </w:tc>
        <w:tc>
          <w:tcPr>
            <w:tcW w:w="729" w:type="pct"/>
            <w:vAlign w:val="center"/>
          </w:tcPr>
          <w:p w14:paraId="5482DA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非甲烷</w:t>
            </w:r>
            <w:r>
              <w:rPr>
                <w:color w:val="000000" w:themeColor="text1"/>
                <w14:textFill>
                  <w14:solidFill>
                    <w14:schemeClr w14:val="tx1"/>
                  </w14:solidFill>
                </w14:textFill>
              </w:rPr>
              <w:t>总烃</w:t>
            </w:r>
          </w:p>
        </w:tc>
        <w:tc>
          <w:tcPr>
            <w:tcW w:w="729" w:type="pct"/>
            <w:vAlign w:val="center"/>
          </w:tcPr>
          <w:p w14:paraId="3B09BDA9">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0.4062</w:t>
            </w:r>
            <w:r>
              <w:rPr>
                <w:color w:val="000000" w:themeColor="text1"/>
                <w:lang w:bidi="ar"/>
                <w14:textFill>
                  <w14:solidFill>
                    <w14:schemeClr w14:val="tx1"/>
                  </w14:solidFill>
                </w14:textFill>
              </w:rPr>
              <w:t>t</w:t>
            </w:r>
            <w:r>
              <w:rPr>
                <w:rFonts w:hint="eastAsia" w:cs="宋体"/>
                <w:color w:val="000000" w:themeColor="text1"/>
                <w14:textFill>
                  <w14:solidFill>
                    <w14:schemeClr w14:val="tx1"/>
                  </w14:solidFill>
                </w14:textFill>
              </w:rPr>
              <w:t>/a</w:t>
            </w:r>
          </w:p>
        </w:tc>
        <w:tc>
          <w:tcPr>
            <w:tcW w:w="724" w:type="pct"/>
            <w:vAlign w:val="center"/>
          </w:tcPr>
          <w:p w14:paraId="7FBDC333">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0.4062</w:t>
            </w:r>
            <w:r>
              <w:rPr>
                <w:color w:val="000000" w:themeColor="text1"/>
                <w:lang w:bidi="ar"/>
                <w14:textFill>
                  <w14:solidFill>
                    <w14:schemeClr w14:val="tx1"/>
                  </w14:solidFill>
                </w14:textFill>
              </w:rPr>
              <w:t>t</w:t>
            </w:r>
            <w:r>
              <w:rPr>
                <w:rFonts w:hint="eastAsia" w:cs="宋体"/>
                <w:color w:val="000000" w:themeColor="text1"/>
                <w14:textFill>
                  <w14:solidFill>
                    <w14:schemeClr w14:val="tx1"/>
                  </w14:solidFill>
                </w14:textFill>
              </w:rPr>
              <w:t>/a</w:t>
            </w:r>
          </w:p>
        </w:tc>
        <w:tc>
          <w:tcPr>
            <w:tcW w:w="1029" w:type="pct"/>
            <w:vMerge w:val="restart"/>
            <w:vAlign w:val="center"/>
          </w:tcPr>
          <w:p w14:paraId="2DF66E52">
            <w:pPr>
              <w:pStyle w:val="280"/>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选用质量可靠的设备、仪表、阀门等；定期对井场的设备、阀门等检查排放至</w:t>
            </w:r>
            <w:r>
              <w:rPr>
                <w:rFonts w:hint="eastAsia"/>
                <w:color w:val="000000" w:themeColor="text1"/>
                <w14:textFill>
                  <w14:solidFill>
                    <w14:schemeClr w14:val="tx1"/>
                  </w14:solidFill>
                </w14:textFill>
              </w:rPr>
              <w:t>大气环境</w:t>
            </w:r>
          </w:p>
        </w:tc>
      </w:tr>
      <w:tr w14:paraId="2688C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Merge w:val="continue"/>
            <w:vAlign w:val="center"/>
          </w:tcPr>
          <w:p w14:paraId="41FDB745">
            <w:pPr>
              <w:pStyle w:val="280"/>
              <w:rPr>
                <w:rFonts w:hint="eastAsia"/>
                <w:color w:val="000000" w:themeColor="text1"/>
                <w14:textFill>
                  <w14:solidFill>
                    <w14:schemeClr w14:val="tx1"/>
                  </w14:solidFill>
                </w14:textFill>
              </w:rPr>
            </w:pPr>
          </w:p>
        </w:tc>
        <w:tc>
          <w:tcPr>
            <w:tcW w:w="729" w:type="pct"/>
            <w:vMerge w:val="continue"/>
            <w:vAlign w:val="center"/>
          </w:tcPr>
          <w:p w14:paraId="3D6CA9F5">
            <w:pPr>
              <w:pStyle w:val="280"/>
              <w:rPr>
                <w:rFonts w:hint="eastAsia"/>
                <w:color w:val="000000" w:themeColor="text1"/>
                <w14:textFill>
                  <w14:solidFill>
                    <w14:schemeClr w14:val="tx1"/>
                  </w14:solidFill>
                </w14:textFill>
              </w:rPr>
            </w:pPr>
          </w:p>
        </w:tc>
        <w:tc>
          <w:tcPr>
            <w:tcW w:w="731" w:type="pct"/>
            <w:vAlign w:val="center"/>
          </w:tcPr>
          <w:p w14:paraId="0CC0F8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729" w:type="pct"/>
            <w:vAlign w:val="center"/>
          </w:tcPr>
          <w:p w14:paraId="62030C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729" w:type="pct"/>
            <w:vAlign w:val="center"/>
          </w:tcPr>
          <w:p w14:paraId="2A11B1DC">
            <w:pPr>
              <w:pStyle w:val="280"/>
              <w:rPr>
                <w:rFonts w:hint="eastAsia" w:eastAsia="宋体"/>
                <w:color w:val="000000" w:themeColor="text1"/>
                <w:lang w:eastAsia="zh-CN" w:bidi="ar"/>
                <w14:textFill>
                  <w14:solidFill>
                    <w14:schemeClr w14:val="tx1"/>
                  </w14:solidFill>
                </w14:textFill>
              </w:rPr>
            </w:pPr>
            <w:r>
              <w:rPr>
                <w:rFonts w:hint="eastAsia"/>
                <w:color w:val="000000" w:themeColor="text1"/>
                <w:lang w:eastAsia="zh-CN" w:bidi="ar"/>
                <w14:textFill>
                  <w14:solidFill>
                    <w14:schemeClr w14:val="tx1"/>
                  </w14:solidFill>
                </w14:textFill>
              </w:rPr>
              <w:t>0.0653g/a</w:t>
            </w:r>
          </w:p>
        </w:tc>
        <w:tc>
          <w:tcPr>
            <w:tcW w:w="724" w:type="pct"/>
            <w:vAlign w:val="center"/>
          </w:tcPr>
          <w:p w14:paraId="03E11F84">
            <w:pPr>
              <w:pStyle w:val="280"/>
              <w:rPr>
                <w:rFonts w:hint="eastAsia" w:eastAsia="宋体"/>
                <w:color w:val="000000" w:themeColor="text1"/>
                <w:lang w:eastAsia="zh-CN" w:bidi="ar"/>
                <w14:textFill>
                  <w14:solidFill>
                    <w14:schemeClr w14:val="tx1"/>
                  </w14:solidFill>
                </w14:textFill>
              </w:rPr>
            </w:pPr>
            <w:r>
              <w:rPr>
                <w:rFonts w:hint="eastAsia"/>
                <w:color w:val="000000" w:themeColor="text1"/>
                <w:lang w:eastAsia="zh-CN" w:bidi="ar"/>
                <w14:textFill>
                  <w14:solidFill>
                    <w14:schemeClr w14:val="tx1"/>
                  </w14:solidFill>
                </w14:textFill>
              </w:rPr>
              <w:t>0.0653g/a</w:t>
            </w:r>
          </w:p>
        </w:tc>
        <w:tc>
          <w:tcPr>
            <w:tcW w:w="1029" w:type="pct"/>
            <w:vMerge w:val="continue"/>
            <w:vAlign w:val="center"/>
          </w:tcPr>
          <w:p w14:paraId="6E82AF37">
            <w:pPr>
              <w:pStyle w:val="280"/>
              <w:rPr>
                <w:rFonts w:hint="eastAsia"/>
                <w:snapToGrid w:val="0"/>
                <w:color w:val="000000" w:themeColor="text1"/>
                <w14:textFill>
                  <w14:solidFill>
                    <w14:schemeClr w14:val="tx1"/>
                  </w14:solidFill>
                </w14:textFill>
              </w:rPr>
            </w:pPr>
          </w:p>
        </w:tc>
      </w:tr>
      <w:tr w14:paraId="200528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Merge w:val="restart"/>
            <w:vAlign w:val="center"/>
          </w:tcPr>
          <w:p w14:paraId="694F4F8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729" w:type="pct"/>
            <w:vAlign w:val="center"/>
          </w:tcPr>
          <w:p w14:paraId="22AA2A7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井下作业</w:t>
            </w:r>
          </w:p>
        </w:tc>
        <w:tc>
          <w:tcPr>
            <w:tcW w:w="731" w:type="pct"/>
            <w:vAlign w:val="center"/>
          </w:tcPr>
          <w:p w14:paraId="752BAA7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压裂返排液</w:t>
            </w:r>
          </w:p>
        </w:tc>
        <w:tc>
          <w:tcPr>
            <w:tcW w:w="729" w:type="pct"/>
            <w:vAlign w:val="center"/>
          </w:tcPr>
          <w:p w14:paraId="27384B0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r>
              <w:rPr>
                <w:rFonts w:hint="eastAsia" w:cs="Arial"/>
                <w:color w:val="000000" w:themeColor="text1"/>
                <w:kern w:val="2"/>
                <w14:textFill>
                  <w14:solidFill>
                    <w14:schemeClr w14:val="tx1"/>
                  </w14:solidFill>
                </w14:textFill>
              </w:rPr>
              <w:t>、悬浮物</w:t>
            </w:r>
          </w:p>
        </w:tc>
        <w:tc>
          <w:tcPr>
            <w:tcW w:w="729" w:type="pct"/>
            <w:vAlign w:val="center"/>
          </w:tcPr>
          <w:p w14:paraId="35A379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959.52m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724" w:type="pct"/>
            <w:vAlign w:val="center"/>
          </w:tcPr>
          <w:p w14:paraId="5B65E1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029" w:type="pct"/>
            <w:vMerge w:val="restart"/>
            <w:tcBorders>
              <w:top w:val="single" w:color="auto" w:sz="4" w:space="0"/>
            </w:tcBorders>
            <w:vAlign w:val="center"/>
          </w:tcPr>
          <w:p w14:paraId="6E99DEC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送至吉祥联合站采出水处理系统处理，出水水质《碎屑岩油藏注水水质指标技术要求及分析方法》（SY/T5329-2022）相关标准要求后，回注油藏。</w:t>
            </w:r>
          </w:p>
        </w:tc>
      </w:tr>
      <w:tr w14:paraId="7FA99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Merge w:val="continue"/>
            <w:vAlign w:val="center"/>
          </w:tcPr>
          <w:p w14:paraId="00FB2182">
            <w:pPr>
              <w:pStyle w:val="280"/>
              <w:rPr>
                <w:rFonts w:hint="eastAsia"/>
                <w:color w:val="000000" w:themeColor="text1"/>
                <w14:textFill>
                  <w14:solidFill>
                    <w14:schemeClr w14:val="tx1"/>
                  </w14:solidFill>
                </w14:textFill>
              </w:rPr>
            </w:pPr>
          </w:p>
        </w:tc>
        <w:tc>
          <w:tcPr>
            <w:tcW w:w="729" w:type="pct"/>
            <w:vAlign w:val="center"/>
          </w:tcPr>
          <w:p w14:paraId="3D4134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井下作业</w:t>
            </w:r>
          </w:p>
        </w:tc>
        <w:tc>
          <w:tcPr>
            <w:tcW w:w="731" w:type="pct"/>
            <w:vAlign w:val="center"/>
          </w:tcPr>
          <w:p w14:paraId="0980FB3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废洗井液</w:t>
            </w:r>
          </w:p>
        </w:tc>
        <w:tc>
          <w:tcPr>
            <w:tcW w:w="729" w:type="pct"/>
            <w:vAlign w:val="center"/>
          </w:tcPr>
          <w:p w14:paraId="34315E1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石油类、悬浮物</w:t>
            </w:r>
          </w:p>
        </w:tc>
        <w:tc>
          <w:tcPr>
            <w:tcW w:w="729" w:type="pct"/>
            <w:vAlign w:val="center"/>
          </w:tcPr>
          <w:p w14:paraId="64F389A5">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202.32t/a</w:t>
            </w:r>
          </w:p>
        </w:tc>
        <w:tc>
          <w:tcPr>
            <w:tcW w:w="724" w:type="pct"/>
            <w:vAlign w:val="center"/>
          </w:tcPr>
          <w:p w14:paraId="6DF4715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029" w:type="pct"/>
            <w:vMerge w:val="continue"/>
            <w:vAlign w:val="center"/>
          </w:tcPr>
          <w:p w14:paraId="55AD97E9">
            <w:pPr>
              <w:pStyle w:val="280"/>
              <w:rPr>
                <w:rFonts w:hint="eastAsia"/>
                <w:color w:val="000000" w:themeColor="text1"/>
                <w14:textFill>
                  <w14:solidFill>
                    <w14:schemeClr w14:val="tx1"/>
                  </w14:solidFill>
                </w14:textFill>
              </w:rPr>
            </w:pPr>
          </w:p>
        </w:tc>
      </w:tr>
      <w:tr w14:paraId="7591C2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Merge w:val="continue"/>
            <w:vAlign w:val="center"/>
          </w:tcPr>
          <w:p w14:paraId="27F3B9C2">
            <w:pPr>
              <w:pStyle w:val="280"/>
              <w:rPr>
                <w:rFonts w:hint="eastAsia"/>
                <w:color w:val="000000" w:themeColor="text1"/>
                <w14:textFill>
                  <w14:solidFill>
                    <w14:schemeClr w14:val="tx1"/>
                  </w14:solidFill>
                </w14:textFill>
              </w:rPr>
            </w:pPr>
          </w:p>
        </w:tc>
        <w:tc>
          <w:tcPr>
            <w:tcW w:w="729" w:type="pct"/>
            <w:vAlign w:val="center"/>
          </w:tcPr>
          <w:p w14:paraId="4C2A06F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井下作业</w:t>
            </w:r>
          </w:p>
        </w:tc>
        <w:tc>
          <w:tcPr>
            <w:tcW w:w="731" w:type="pct"/>
            <w:vAlign w:val="center"/>
          </w:tcPr>
          <w:p w14:paraId="03591FA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洗井废水</w:t>
            </w:r>
          </w:p>
        </w:tc>
        <w:tc>
          <w:tcPr>
            <w:tcW w:w="729" w:type="pct"/>
            <w:vAlign w:val="center"/>
          </w:tcPr>
          <w:p w14:paraId="0D1EE8F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化学需氧量、石油类</w:t>
            </w:r>
          </w:p>
        </w:tc>
        <w:tc>
          <w:tcPr>
            <w:tcW w:w="729" w:type="pct"/>
            <w:vAlign w:val="center"/>
          </w:tcPr>
          <w:p w14:paraId="75DBE2CE">
            <w:pPr>
              <w:pStyle w:val="280"/>
              <w:rPr>
                <w:rFonts w:hint="eastAsia" w:cs="Arial"/>
                <w:color w:val="000000" w:themeColor="text1"/>
                <w:kern w:val="2"/>
                <w14:textFill>
                  <w14:solidFill>
                    <w14:schemeClr w14:val="tx1"/>
                  </w14:solidFill>
                </w14:textFill>
              </w:rPr>
            </w:pPr>
            <w:r>
              <w:rPr>
                <w:rFonts w:hint="eastAsia"/>
                <w:color w:val="000000" w:themeColor="text1"/>
                <w14:textFill>
                  <w14:solidFill>
                    <w14:schemeClr w14:val="tx1"/>
                  </w14:solidFill>
                </w14:textFill>
              </w:rPr>
              <w:t>608m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724" w:type="pct"/>
            <w:vAlign w:val="center"/>
          </w:tcPr>
          <w:p w14:paraId="0F98F6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029" w:type="pct"/>
            <w:vMerge w:val="continue"/>
            <w:vAlign w:val="center"/>
          </w:tcPr>
          <w:p w14:paraId="7A4649FF">
            <w:pPr>
              <w:pStyle w:val="280"/>
              <w:rPr>
                <w:rFonts w:hint="eastAsia"/>
                <w:color w:val="000000" w:themeColor="text1"/>
                <w14:textFill>
                  <w14:solidFill>
                    <w14:schemeClr w14:val="tx1"/>
                  </w14:solidFill>
                </w14:textFill>
              </w:rPr>
            </w:pPr>
          </w:p>
        </w:tc>
      </w:tr>
      <w:tr w14:paraId="338D4B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Align w:val="center"/>
          </w:tcPr>
          <w:p w14:paraId="73E58D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729" w:type="pct"/>
            <w:vAlign w:val="center"/>
          </w:tcPr>
          <w:p w14:paraId="4865278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各类机泵及巡检</w:t>
            </w:r>
          </w:p>
          <w:p w14:paraId="6BAB14FA">
            <w:pPr>
              <w:pStyle w:val="280"/>
              <w:rPr>
                <w:rFonts w:hint="eastAsia" w:cs="宋体"/>
                <w:color w:val="000000" w:themeColor="text1"/>
                <w:kern w:val="2"/>
                <w14:textFill>
                  <w14:solidFill>
                    <w14:schemeClr w14:val="tx1"/>
                  </w14:solidFill>
                </w14:textFill>
              </w:rPr>
            </w:pPr>
            <w:r>
              <w:rPr>
                <w:rFonts w:hint="eastAsia"/>
                <w:color w:val="000000" w:themeColor="text1"/>
                <w14:textFill>
                  <w14:solidFill>
                    <w14:schemeClr w14:val="tx1"/>
                  </w14:solidFill>
                </w14:textFill>
              </w:rPr>
              <w:t>车辆</w:t>
            </w:r>
          </w:p>
        </w:tc>
        <w:tc>
          <w:tcPr>
            <w:tcW w:w="731" w:type="pct"/>
            <w:vAlign w:val="center"/>
          </w:tcPr>
          <w:p w14:paraId="1D50A2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729" w:type="pct"/>
            <w:vAlign w:val="center"/>
          </w:tcPr>
          <w:p w14:paraId="3988F08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连续等效A声级</w:t>
            </w:r>
          </w:p>
        </w:tc>
        <w:tc>
          <w:tcPr>
            <w:tcW w:w="729" w:type="pct"/>
            <w:vAlign w:val="center"/>
          </w:tcPr>
          <w:p w14:paraId="557FCB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85～90dB(A)</w:t>
            </w:r>
          </w:p>
        </w:tc>
        <w:tc>
          <w:tcPr>
            <w:tcW w:w="724" w:type="pct"/>
            <w:vAlign w:val="center"/>
          </w:tcPr>
          <w:p w14:paraId="22ABD5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85～90dB(A)</w:t>
            </w:r>
          </w:p>
        </w:tc>
        <w:tc>
          <w:tcPr>
            <w:tcW w:w="1029" w:type="pct"/>
            <w:vAlign w:val="center"/>
          </w:tcPr>
          <w:p w14:paraId="3526FB8E">
            <w:pPr>
              <w:pStyle w:val="280"/>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优化站场总图布置，采用低噪声设备、基础减振</w:t>
            </w:r>
          </w:p>
        </w:tc>
      </w:tr>
      <w:tr w14:paraId="35354B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Merge w:val="restart"/>
            <w:vAlign w:val="center"/>
          </w:tcPr>
          <w:p w14:paraId="4E8FC01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tc>
        <w:tc>
          <w:tcPr>
            <w:tcW w:w="729" w:type="pct"/>
            <w:vAlign w:val="center"/>
          </w:tcPr>
          <w:p w14:paraId="7BC80A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设备</w:t>
            </w:r>
          </w:p>
          <w:p w14:paraId="4456A7F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检维修</w:t>
            </w:r>
          </w:p>
        </w:tc>
        <w:tc>
          <w:tcPr>
            <w:tcW w:w="731" w:type="pct"/>
            <w:vAlign w:val="center"/>
          </w:tcPr>
          <w:p w14:paraId="4B759D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w:t>
            </w:r>
          </w:p>
        </w:tc>
        <w:tc>
          <w:tcPr>
            <w:tcW w:w="729" w:type="pct"/>
            <w:vAlign w:val="center"/>
          </w:tcPr>
          <w:p w14:paraId="7A2BB04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w:t>
            </w:r>
          </w:p>
        </w:tc>
        <w:tc>
          <w:tcPr>
            <w:tcW w:w="729" w:type="pct"/>
            <w:vAlign w:val="center"/>
          </w:tcPr>
          <w:p w14:paraId="7916686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0.4t</w:t>
            </w:r>
            <w:r>
              <w:rPr>
                <w:color w:val="000000" w:themeColor="text1"/>
                <w14:textFill>
                  <w14:solidFill>
                    <w14:schemeClr w14:val="tx1"/>
                  </w14:solidFill>
                </w14:textFill>
              </w:rPr>
              <w:t>/a</w:t>
            </w:r>
          </w:p>
        </w:tc>
        <w:tc>
          <w:tcPr>
            <w:tcW w:w="724" w:type="pct"/>
            <w:vAlign w:val="center"/>
          </w:tcPr>
          <w:p w14:paraId="6BAF7A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029" w:type="pct"/>
            <w:vMerge w:val="restart"/>
            <w:vAlign w:val="center"/>
          </w:tcPr>
          <w:p w14:paraId="460126A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集中收集后交由有相应危险废物处置资质的单位回收处置</w:t>
            </w:r>
          </w:p>
        </w:tc>
      </w:tr>
      <w:tr w14:paraId="1A0E1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Merge w:val="continue"/>
            <w:vAlign w:val="center"/>
          </w:tcPr>
          <w:p w14:paraId="589AB417">
            <w:pPr>
              <w:pStyle w:val="280"/>
              <w:rPr>
                <w:rFonts w:hint="eastAsia"/>
                <w:color w:val="000000" w:themeColor="text1"/>
                <w14:textFill>
                  <w14:solidFill>
                    <w14:schemeClr w14:val="tx1"/>
                  </w14:solidFill>
                </w14:textFill>
              </w:rPr>
            </w:pPr>
          </w:p>
        </w:tc>
        <w:tc>
          <w:tcPr>
            <w:tcW w:w="729" w:type="pct"/>
            <w:vAlign w:val="center"/>
          </w:tcPr>
          <w:p w14:paraId="41FBB1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设备</w:t>
            </w:r>
          </w:p>
          <w:p w14:paraId="6FE83CB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检维修</w:t>
            </w:r>
          </w:p>
        </w:tc>
        <w:tc>
          <w:tcPr>
            <w:tcW w:w="731" w:type="pct"/>
            <w:vAlign w:val="center"/>
          </w:tcPr>
          <w:p w14:paraId="3B6EBB8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废润滑油桶</w:t>
            </w:r>
          </w:p>
        </w:tc>
        <w:tc>
          <w:tcPr>
            <w:tcW w:w="729" w:type="pct"/>
            <w:vAlign w:val="center"/>
          </w:tcPr>
          <w:p w14:paraId="221C418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废润滑油桶</w:t>
            </w:r>
          </w:p>
        </w:tc>
        <w:tc>
          <w:tcPr>
            <w:tcW w:w="729" w:type="pct"/>
            <w:vAlign w:val="center"/>
          </w:tcPr>
          <w:p w14:paraId="310A563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0.04t</w:t>
            </w:r>
            <w:r>
              <w:rPr>
                <w:color w:val="000000" w:themeColor="text1"/>
                <w14:textFill>
                  <w14:solidFill>
                    <w14:schemeClr w14:val="tx1"/>
                  </w14:solidFill>
                </w14:textFill>
              </w:rPr>
              <w:t>/a</w:t>
            </w:r>
          </w:p>
        </w:tc>
        <w:tc>
          <w:tcPr>
            <w:tcW w:w="724" w:type="pct"/>
            <w:vAlign w:val="center"/>
          </w:tcPr>
          <w:p w14:paraId="749B7AF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029" w:type="pct"/>
            <w:vMerge w:val="continue"/>
            <w:vAlign w:val="center"/>
          </w:tcPr>
          <w:p w14:paraId="0BC8310B">
            <w:pPr>
              <w:pStyle w:val="280"/>
              <w:rPr>
                <w:rFonts w:hint="eastAsia"/>
                <w:color w:val="000000" w:themeColor="text1"/>
                <w14:textFill>
                  <w14:solidFill>
                    <w14:schemeClr w14:val="tx1"/>
                  </w14:solidFill>
                </w14:textFill>
              </w:rPr>
            </w:pPr>
          </w:p>
        </w:tc>
      </w:tr>
      <w:tr w14:paraId="625AF6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Merge w:val="continue"/>
            <w:vAlign w:val="center"/>
          </w:tcPr>
          <w:p w14:paraId="2A8251AB">
            <w:pPr>
              <w:pStyle w:val="280"/>
              <w:rPr>
                <w:rFonts w:hint="eastAsia"/>
                <w:color w:val="000000" w:themeColor="text1"/>
                <w14:textFill>
                  <w14:solidFill>
                    <w14:schemeClr w14:val="tx1"/>
                  </w14:solidFill>
                </w14:textFill>
              </w:rPr>
            </w:pPr>
          </w:p>
        </w:tc>
        <w:tc>
          <w:tcPr>
            <w:tcW w:w="729" w:type="pct"/>
            <w:vAlign w:val="center"/>
          </w:tcPr>
          <w:p w14:paraId="6483CC6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设备</w:t>
            </w:r>
          </w:p>
          <w:p w14:paraId="2F46AAD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检维修</w:t>
            </w:r>
          </w:p>
        </w:tc>
        <w:tc>
          <w:tcPr>
            <w:tcW w:w="731" w:type="pct"/>
            <w:vAlign w:val="center"/>
          </w:tcPr>
          <w:p w14:paraId="451414B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废含油抹布、劳保用品</w:t>
            </w:r>
          </w:p>
        </w:tc>
        <w:tc>
          <w:tcPr>
            <w:tcW w:w="729" w:type="pct"/>
            <w:vAlign w:val="center"/>
          </w:tcPr>
          <w:p w14:paraId="2E6C06A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废含油抹布、劳保用品</w:t>
            </w:r>
          </w:p>
        </w:tc>
        <w:tc>
          <w:tcPr>
            <w:tcW w:w="729" w:type="pct"/>
            <w:vAlign w:val="center"/>
          </w:tcPr>
          <w:p w14:paraId="014706EA">
            <w:pPr>
              <w:pStyle w:val="28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0.42</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/a</w:t>
            </w:r>
          </w:p>
        </w:tc>
        <w:tc>
          <w:tcPr>
            <w:tcW w:w="724" w:type="pct"/>
            <w:vAlign w:val="center"/>
          </w:tcPr>
          <w:p w14:paraId="1CE0E9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029" w:type="pct"/>
            <w:vMerge w:val="continue"/>
            <w:vAlign w:val="center"/>
          </w:tcPr>
          <w:p w14:paraId="7B78BF97">
            <w:pPr>
              <w:pStyle w:val="280"/>
              <w:rPr>
                <w:rFonts w:hint="eastAsia"/>
                <w:color w:val="000000" w:themeColor="text1"/>
                <w14:textFill>
                  <w14:solidFill>
                    <w14:schemeClr w14:val="tx1"/>
                  </w14:solidFill>
                </w14:textFill>
              </w:rPr>
            </w:pPr>
          </w:p>
        </w:tc>
      </w:tr>
      <w:tr w14:paraId="2C2662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5" w:type="pct"/>
            <w:vMerge w:val="continue"/>
            <w:vAlign w:val="center"/>
          </w:tcPr>
          <w:p w14:paraId="56A80CE4">
            <w:pPr>
              <w:pStyle w:val="280"/>
              <w:rPr>
                <w:rFonts w:hint="eastAsia"/>
                <w:color w:val="000000" w:themeColor="text1"/>
                <w14:textFill>
                  <w14:solidFill>
                    <w14:schemeClr w14:val="tx1"/>
                  </w14:solidFill>
                </w14:textFill>
              </w:rPr>
            </w:pPr>
          </w:p>
        </w:tc>
        <w:tc>
          <w:tcPr>
            <w:tcW w:w="729" w:type="pct"/>
            <w:vAlign w:val="center"/>
          </w:tcPr>
          <w:p w14:paraId="080358A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井下作业</w:t>
            </w:r>
          </w:p>
        </w:tc>
        <w:tc>
          <w:tcPr>
            <w:tcW w:w="731" w:type="pct"/>
            <w:vAlign w:val="center"/>
          </w:tcPr>
          <w:p w14:paraId="036CBFA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沾油废防渗材料</w:t>
            </w:r>
          </w:p>
        </w:tc>
        <w:tc>
          <w:tcPr>
            <w:tcW w:w="729" w:type="pct"/>
            <w:vAlign w:val="center"/>
          </w:tcPr>
          <w:p w14:paraId="7E006F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沾油废防渗材料</w:t>
            </w:r>
          </w:p>
        </w:tc>
        <w:tc>
          <w:tcPr>
            <w:tcW w:w="729" w:type="pct"/>
            <w:vAlign w:val="center"/>
          </w:tcPr>
          <w:p w14:paraId="71CF31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0.04t</w:t>
            </w:r>
            <w:r>
              <w:rPr>
                <w:color w:val="000000" w:themeColor="text1"/>
                <w14:textFill>
                  <w14:solidFill>
                    <w14:schemeClr w14:val="tx1"/>
                  </w14:solidFill>
                </w14:textFill>
              </w:rPr>
              <w:t>/a</w:t>
            </w:r>
          </w:p>
        </w:tc>
        <w:tc>
          <w:tcPr>
            <w:tcW w:w="724" w:type="pct"/>
            <w:vAlign w:val="center"/>
          </w:tcPr>
          <w:p w14:paraId="34A102E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029" w:type="pct"/>
            <w:vMerge w:val="continue"/>
            <w:vAlign w:val="center"/>
          </w:tcPr>
          <w:p w14:paraId="1FF8F046">
            <w:pPr>
              <w:pStyle w:val="280"/>
              <w:rPr>
                <w:rFonts w:hint="eastAsia"/>
                <w:color w:val="000000" w:themeColor="text1"/>
                <w14:textFill>
                  <w14:solidFill>
                    <w14:schemeClr w14:val="tx1"/>
                  </w14:solidFill>
                </w14:textFill>
              </w:rPr>
            </w:pPr>
          </w:p>
        </w:tc>
      </w:tr>
      <w:bookmarkEnd w:id="310"/>
      <w:bookmarkEnd w:id="311"/>
      <w:bookmarkEnd w:id="312"/>
      <w:bookmarkEnd w:id="335"/>
      <w:bookmarkEnd w:id="336"/>
      <w:bookmarkEnd w:id="337"/>
    </w:tbl>
    <w:p w14:paraId="42BB9636">
      <w:pPr>
        <w:adjustRightInd w:val="0"/>
        <w:snapToGrid w:val="0"/>
        <w:spacing w:line="480" w:lineRule="exact"/>
        <w:ind w:firstLine="480" w:firstLineChars="200"/>
        <w:textAlignment w:val="bottom"/>
        <w:rPr>
          <w:rFonts w:hint="eastAsia" w:ascii="黑体" w:hAnsi="黑体" w:eastAsia="黑体"/>
          <w:color w:val="000000" w:themeColor="text1"/>
          <w:kern w:val="0"/>
          <w:szCs w:val="21"/>
          <w14:textFill>
            <w14:solidFill>
              <w14:schemeClr w14:val="tx1"/>
            </w14:solidFill>
          </w14:textFill>
        </w:rPr>
      </w:pPr>
      <w:bookmarkStart w:id="339" w:name="_Hlk17367467"/>
      <w:bookmarkStart w:id="340" w:name="_Toc475624471"/>
      <w:r>
        <w:rPr>
          <w:rFonts w:hint="eastAsia" w:ascii="宋体" w:hAnsi="宋体" w:cs="宋体"/>
          <w:color w:val="000000" w:themeColor="text1"/>
          <w:kern w:val="0"/>
          <w:sz w:val="24"/>
          <w:szCs w:val="24"/>
          <w:lang w:val="en-US" w:eastAsia="zh-CN"/>
          <w14:textFill>
            <w14:solidFill>
              <w14:schemeClr w14:val="tx1"/>
            </w14:solidFill>
          </w14:textFill>
        </w:rPr>
        <w:t>由于本项目</w:t>
      </w:r>
      <w:r>
        <w:rPr>
          <w:rFonts w:hint="eastAsia" w:ascii="宋体" w:hAnsi="宋体" w:cs="宋体"/>
          <w:color w:val="000000" w:themeColor="text1"/>
          <w:kern w:val="0"/>
          <w:sz w:val="24"/>
          <w:szCs w:val="24"/>
          <w14:textFill>
            <w14:solidFill>
              <w14:schemeClr w14:val="tx1"/>
            </w14:solidFill>
          </w14:textFill>
        </w:rPr>
        <w:t>废气仅为无组织排放的非甲烷总烃和硫化氢，不涉及有组织废气；废水经吉祥联合站采出水处理系统处理达标后，回注地层，</w:t>
      </w:r>
      <w:r>
        <w:rPr>
          <w:rFonts w:hint="eastAsia" w:ascii="宋体" w:hAnsi="宋体" w:cs="宋体"/>
          <w:color w:val="000000" w:themeColor="text1"/>
          <w:kern w:val="0"/>
          <w:sz w:val="24"/>
          <w:szCs w:val="24"/>
          <w:lang w:val="en-US" w:eastAsia="zh-CN"/>
          <w14:textFill>
            <w14:solidFill>
              <w14:schemeClr w14:val="tx1"/>
            </w14:solidFill>
          </w14:textFill>
        </w:rPr>
        <w:t>不外排；</w:t>
      </w:r>
      <w:r>
        <w:rPr>
          <w:rFonts w:hint="eastAsia" w:ascii="宋体" w:hAnsi="宋体" w:cs="宋体"/>
          <w:color w:val="000000" w:themeColor="text1"/>
          <w:kern w:val="0"/>
          <w:sz w:val="24"/>
          <w:szCs w:val="24"/>
          <w14:textFill>
            <w14:solidFill>
              <w14:schemeClr w14:val="tx1"/>
            </w14:solidFill>
          </w14:textFill>
        </w:rPr>
        <w:t>固体废物均得到妥善处置，故本次“三本账”</w:t>
      </w:r>
      <w:r>
        <w:rPr>
          <w:rFonts w:hint="eastAsia" w:ascii="宋体" w:hAnsi="宋体" w:eastAsia="宋体" w:cs="宋体"/>
          <w:color w:val="000000" w:themeColor="text1"/>
          <w:kern w:val="0"/>
          <w:sz w:val="24"/>
          <w:szCs w:val="24"/>
          <w14:textFill>
            <w14:solidFill>
              <w14:schemeClr w14:val="tx1"/>
            </w14:solidFill>
          </w14:textFill>
        </w:rPr>
        <w:t>仅统计本工程及现有工程</w:t>
      </w:r>
      <w:r>
        <w:rPr>
          <w:rFonts w:hint="eastAsia" w:ascii="宋体" w:hAnsi="宋体" w:cs="宋体"/>
          <w:color w:val="000000" w:themeColor="text1"/>
          <w:kern w:val="0"/>
          <w:sz w:val="24"/>
          <w:szCs w:val="24"/>
          <w:lang w:val="en-US" w:eastAsia="zh-CN"/>
          <w14:textFill>
            <w14:solidFill>
              <w14:schemeClr w14:val="tx1"/>
            </w14:solidFill>
          </w14:textFill>
        </w:rPr>
        <w:t>无组织</w:t>
      </w:r>
      <w:r>
        <w:rPr>
          <w:rFonts w:hint="eastAsia" w:ascii="宋体" w:hAnsi="宋体" w:cs="宋体"/>
          <w:color w:val="000000" w:themeColor="text1"/>
          <w:kern w:val="0"/>
          <w:sz w:val="24"/>
          <w:szCs w:val="24"/>
          <w14:textFill>
            <w14:solidFill>
              <w14:schemeClr w14:val="tx1"/>
            </w14:solidFill>
          </w14:textFill>
        </w:rPr>
        <w:t>废气污染物排放量，详见表3.3-13。</w:t>
      </w:r>
    </w:p>
    <w:p w14:paraId="579153C1">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表3.3-13</w:t>
      </w:r>
      <w:r>
        <w:rPr>
          <w:color w:val="000000" w:themeColor="text1"/>
          <w14:textFill>
            <w14:solidFill>
              <w14:schemeClr w14:val="tx1"/>
            </w14:solidFill>
          </w14:textFill>
        </w:rPr>
        <w:t xml:space="preserve">  本工程及现有工程排放量“三本账”一览表</w:t>
      </w:r>
    </w:p>
    <w:tbl>
      <w:tblPr>
        <w:tblStyle w:val="51"/>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542"/>
        <w:gridCol w:w="1287"/>
        <w:gridCol w:w="1781"/>
        <w:gridCol w:w="1128"/>
        <w:gridCol w:w="1442"/>
        <w:gridCol w:w="1215"/>
        <w:gridCol w:w="1332"/>
      </w:tblGrid>
      <w:tr w14:paraId="3216E9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311" w:type="pct"/>
            <w:vAlign w:val="center"/>
          </w:tcPr>
          <w:p w14:paraId="7D46F3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737" w:type="pct"/>
            <w:vAlign w:val="center"/>
          </w:tcPr>
          <w:p w14:paraId="25EBB39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污染源</w:t>
            </w:r>
          </w:p>
        </w:tc>
        <w:tc>
          <w:tcPr>
            <w:tcW w:w="1020" w:type="pct"/>
            <w:vAlign w:val="center"/>
          </w:tcPr>
          <w:p w14:paraId="5E55117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646" w:type="pct"/>
            <w:vAlign w:val="center"/>
          </w:tcPr>
          <w:p w14:paraId="008B5D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现有工程排放量</w:t>
            </w:r>
          </w:p>
        </w:tc>
        <w:tc>
          <w:tcPr>
            <w:tcW w:w="826" w:type="pct"/>
            <w:vAlign w:val="center"/>
          </w:tcPr>
          <w:p w14:paraId="7D7E2B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拟建工程排放量</w:t>
            </w:r>
          </w:p>
        </w:tc>
        <w:tc>
          <w:tcPr>
            <w:tcW w:w="696" w:type="pct"/>
            <w:vAlign w:val="center"/>
          </w:tcPr>
          <w:p w14:paraId="6C54845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以新带老削减量</w:t>
            </w:r>
          </w:p>
        </w:tc>
        <w:tc>
          <w:tcPr>
            <w:tcW w:w="763" w:type="pct"/>
            <w:vAlign w:val="center"/>
          </w:tcPr>
          <w:p w14:paraId="01659BC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总排放量</w:t>
            </w:r>
          </w:p>
        </w:tc>
      </w:tr>
      <w:tr w14:paraId="38FB02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311" w:type="pct"/>
            <w:vMerge w:val="restart"/>
            <w:vAlign w:val="center"/>
          </w:tcPr>
          <w:p w14:paraId="33F97E4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737" w:type="pct"/>
            <w:vMerge w:val="restart"/>
            <w:vAlign w:val="center"/>
          </w:tcPr>
          <w:p w14:paraId="056E94D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无组织排放</w:t>
            </w:r>
          </w:p>
        </w:tc>
        <w:tc>
          <w:tcPr>
            <w:tcW w:w="1020" w:type="pct"/>
            <w:vAlign w:val="center"/>
          </w:tcPr>
          <w:p w14:paraId="7E4FF3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646" w:type="pct"/>
            <w:vAlign w:val="center"/>
          </w:tcPr>
          <w:p w14:paraId="5C396D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34.57t/a</w:t>
            </w:r>
          </w:p>
        </w:tc>
        <w:tc>
          <w:tcPr>
            <w:tcW w:w="1451" w:type="dxa"/>
            <w:vAlign w:val="center"/>
          </w:tcPr>
          <w:p w14:paraId="222E9193">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0.4062</w:t>
            </w:r>
            <w:r>
              <w:rPr>
                <w:color w:val="000000" w:themeColor="text1"/>
                <w:lang w:bidi="ar"/>
                <w14:textFill>
                  <w14:solidFill>
                    <w14:schemeClr w14:val="tx1"/>
                  </w14:solidFill>
                </w14:textFill>
              </w:rPr>
              <w:t>t</w:t>
            </w:r>
            <w:r>
              <w:rPr>
                <w:rFonts w:hint="eastAsia" w:cs="宋体"/>
                <w:color w:val="000000" w:themeColor="text1"/>
                <w14:textFill>
                  <w14:solidFill>
                    <w14:schemeClr w14:val="tx1"/>
                  </w14:solidFill>
                </w14:textFill>
              </w:rPr>
              <w:t>/a</w:t>
            </w:r>
          </w:p>
        </w:tc>
        <w:tc>
          <w:tcPr>
            <w:tcW w:w="696" w:type="pct"/>
            <w:vAlign w:val="center"/>
          </w:tcPr>
          <w:p w14:paraId="6F938C1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3" w:type="pct"/>
            <w:vAlign w:val="center"/>
          </w:tcPr>
          <w:p w14:paraId="0A7155F3">
            <w:pPr>
              <w:pStyle w:val="280"/>
              <w:rPr>
                <w:rFonts w:hint="eastAsia"/>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34.9762t/a</w:t>
            </w:r>
          </w:p>
        </w:tc>
      </w:tr>
      <w:tr w14:paraId="2BCAFB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311" w:type="pct"/>
            <w:vMerge w:val="continue"/>
            <w:vAlign w:val="center"/>
          </w:tcPr>
          <w:p w14:paraId="10A73CCE">
            <w:pPr>
              <w:pStyle w:val="280"/>
              <w:rPr>
                <w:rFonts w:hint="eastAsia"/>
                <w:color w:val="000000" w:themeColor="text1"/>
                <w14:textFill>
                  <w14:solidFill>
                    <w14:schemeClr w14:val="tx1"/>
                  </w14:solidFill>
                </w14:textFill>
              </w:rPr>
            </w:pPr>
          </w:p>
        </w:tc>
        <w:tc>
          <w:tcPr>
            <w:tcW w:w="737" w:type="pct"/>
            <w:vMerge w:val="continue"/>
            <w:vAlign w:val="center"/>
          </w:tcPr>
          <w:p w14:paraId="7AD46580">
            <w:pPr>
              <w:pStyle w:val="280"/>
              <w:rPr>
                <w:rFonts w:hint="eastAsia"/>
                <w:color w:val="000000" w:themeColor="text1"/>
                <w14:textFill>
                  <w14:solidFill>
                    <w14:schemeClr w14:val="tx1"/>
                  </w14:solidFill>
                </w14:textFill>
              </w:rPr>
            </w:pPr>
          </w:p>
        </w:tc>
        <w:tc>
          <w:tcPr>
            <w:tcW w:w="1020" w:type="pct"/>
            <w:vAlign w:val="center"/>
          </w:tcPr>
          <w:p w14:paraId="4146E8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646" w:type="pct"/>
            <w:vAlign w:val="center"/>
          </w:tcPr>
          <w:p w14:paraId="584B5F5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51" w:type="dxa"/>
            <w:vAlign w:val="center"/>
          </w:tcPr>
          <w:p w14:paraId="5E95665E">
            <w:pPr>
              <w:pStyle w:val="280"/>
              <w:rPr>
                <w:rFonts w:hint="eastAsia" w:eastAsia="宋体"/>
                <w:color w:val="000000" w:themeColor="text1"/>
                <w:lang w:eastAsia="zh-CN"/>
                <w14:textFill>
                  <w14:solidFill>
                    <w14:schemeClr w14:val="tx1"/>
                  </w14:solidFill>
                </w14:textFill>
              </w:rPr>
            </w:pPr>
            <w:r>
              <w:rPr>
                <w:rFonts w:hint="eastAsia"/>
                <w:color w:val="000000" w:themeColor="text1"/>
                <w:lang w:eastAsia="zh-CN" w:bidi="ar"/>
                <w14:textFill>
                  <w14:solidFill>
                    <w14:schemeClr w14:val="tx1"/>
                  </w14:solidFill>
                </w14:textFill>
              </w:rPr>
              <w:t>0.0653g/a</w:t>
            </w:r>
          </w:p>
        </w:tc>
        <w:tc>
          <w:tcPr>
            <w:tcW w:w="696" w:type="pct"/>
            <w:vAlign w:val="center"/>
          </w:tcPr>
          <w:p w14:paraId="248515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3" w:type="pct"/>
            <w:vAlign w:val="center"/>
          </w:tcPr>
          <w:p w14:paraId="208BBC7E">
            <w:pPr>
              <w:pStyle w:val="280"/>
              <w:rPr>
                <w:rFonts w:hint="eastAsia" w:eastAsia="宋体"/>
                <w:color w:val="000000" w:themeColor="text1"/>
                <w:highlight w:val="yellow"/>
                <w:lang w:eastAsia="zh-CN"/>
                <w14:textFill>
                  <w14:solidFill>
                    <w14:schemeClr w14:val="tx1"/>
                  </w14:solidFill>
                </w14:textFill>
              </w:rPr>
            </w:pPr>
            <w:r>
              <w:rPr>
                <w:rFonts w:hint="eastAsia"/>
                <w:color w:val="000000" w:themeColor="text1"/>
                <w:lang w:eastAsia="zh-CN" w:bidi="ar"/>
                <w14:textFill>
                  <w14:solidFill>
                    <w14:schemeClr w14:val="tx1"/>
                  </w14:solidFill>
                </w14:textFill>
              </w:rPr>
              <w:t>0.0653g/a</w:t>
            </w:r>
          </w:p>
        </w:tc>
      </w:tr>
      <w:bookmarkEnd w:id="338"/>
    </w:tbl>
    <w:p w14:paraId="2523F867">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退役期污染源分析</w:t>
      </w:r>
    </w:p>
    <w:p w14:paraId="6FFD41A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退役期施工过程中会产生少量的扬尘、废弃管线、建筑垃圾等。</w:t>
      </w:r>
    </w:p>
    <w:p w14:paraId="61CBE939">
      <w:pPr>
        <w:pStyle w:val="8"/>
        <w:rPr>
          <w:rFonts w:hint="eastAsia"/>
          <w:color w:val="000000" w:themeColor="text1"/>
          <w14:textFill>
            <w14:solidFill>
              <w14:schemeClr w14:val="tx1"/>
            </w14:solidFill>
          </w14:textFill>
        </w:rPr>
      </w:pPr>
      <w:bookmarkStart w:id="341" w:name="_Hlk92205310"/>
      <w:r>
        <w:rPr>
          <w:rFonts w:hint="eastAsia"/>
          <w:color w:val="000000" w:themeColor="text1"/>
          <w14:textFill>
            <w14:solidFill>
              <w14:schemeClr w14:val="tx1"/>
            </w14:solidFill>
          </w14:textFill>
        </w:rPr>
        <w:t>非正常工况环境影响分析</w:t>
      </w:r>
    </w:p>
    <w:bookmarkEnd w:id="341"/>
    <w:p w14:paraId="66BF15D5">
      <w:pPr>
        <w:pStyle w:val="120"/>
        <w:rPr>
          <w:rFonts w:hint="eastAsia"/>
          <w:color w:val="000000" w:themeColor="text1"/>
          <w14:textFill>
            <w14:solidFill>
              <w14:schemeClr w14:val="tx1"/>
            </w14:solidFill>
          </w14:textFill>
        </w:rPr>
      </w:pPr>
      <w:bookmarkStart w:id="342" w:name="_Hlk175094648"/>
      <w:r>
        <w:rPr>
          <w:rFonts w:hint="eastAsia"/>
          <w:color w:val="000000" w:themeColor="text1"/>
          <w14:textFill>
            <w14:solidFill>
              <w14:schemeClr w14:val="tx1"/>
            </w14:solidFill>
          </w14:textFill>
        </w:rPr>
        <w:t>可能出现的事故主要有井喷、井漏和管线泄漏事故。</w:t>
      </w:r>
    </w:p>
    <w:p w14:paraId="4BB57C5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①井喷事故</w:t>
      </w:r>
    </w:p>
    <w:p w14:paraId="0C6F3DD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井喷主要是在油田钻井和井下作业过程中发生的事故。在钻井</w:t>
      </w:r>
      <w:r>
        <w:rPr>
          <w:rFonts w:hint="eastAsia"/>
          <w:color w:val="000000" w:themeColor="text1"/>
          <w:lang w:val="en-US"/>
          <w14:textFill>
            <w14:solidFill>
              <w14:schemeClr w14:val="tx1"/>
            </w14:solidFill>
          </w14:textFill>
        </w:rPr>
        <w:t>及井</w:t>
      </w:r>
      <w:r>
        <w:rPr>
          <w:rFonts w:hint="eastAsia"/>
          <w:color w:val="000000" w:themeColor="text1"/>
          <w14:textFill>
            <w14:solidFill>
              <w14:schemeClr w14:val="tx1"/>
            </w14:solidFill>
          </w14:textFill>
        </w:rPr>
        <w:t>下作业过程中由于地层压力不稳、封井不严或者井控设备失灵，均可能发生井喷事故。发生井喷事故时，伴生气、采出水、原油和钻井液一同冲出井口，很容易发生爆炸和火灾事故。</w:t>
      </w:r>
    </w:p>
    <w:p w14:paraId="22A52C9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②井漏事故</w:t>
      </w:r>
    </w:p>
    <w:p w14:paraId="35AC668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漏事故一般发生在井下作业修井过程中，通常是由于套管破损或者固井质量不好，导致修井液漏入地层。漏层的类型、井漏的严重程度，因漏失层位各不相同，变化很大，一旦发生井漏，使大量修井液漏失，除造成经济损失外，还可能对地下含水层造成一定的污染和危害。</w:t>
      </w:r>
    </w:p>
    <w:p w14:paraId="31E5784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③管线泄漏</w:t>
      </w:r>
    </w:p>
    <w:p w14:paraId="4B43D03F">
      <w:pPr>
        <w:pStyle w:val="120"/>
        <w:rPr>
          <w:rFonts w:hint="eastAsia"/>
          <w:color w:val="000000" w:themeColor="text1"/>
          <w:lang w:val="en-US"/>
          <w14:textFill>
            <w14:solidFill>
              <w14:schemeClr w14:val="tx1"/>
            </w14:solidFill>
          </w14:textFill>
        </w:rPr>
      </w:pPr>
      <w:r>
        <w:rPr>
          <w:rFonts w:hint="eastAsia"/>
          <w:color w:val="000000" w:themeColor="text1"/>
          <w14:textFill>
            <w14:solidFill>
              <w14:schemeClr w14:val="tx1"/>
            </w14:solidFill>
          </w14:textFill>
        </w:rPr>
        <w:t>由于腐蚀、误操作等原因，单井采油管线</w:t>
      </w:r>
      <w:r>
        <w:rPr>
          <w:rFonts w:hint="eastAsia"/>
          <w:color w:val="000000" w:themeColor="text1"/>
          <w:lang w:val="en-US"/>
          <w14:textFill>
            <w14:solidFill>
              <w14:schemeClr w14:val="tx1"/>
            </w14:solidFill>
          </w14:textFill>
        </w:rPr>
        <w:t>/单井掺热水管线</w:t>
      </w: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单井注水管线</w:t>
      </w:r>
      <w:r>
        <w:rPr>
          <w:rFonts w:hint="eastAsia"/>
          <w:color w:val="000000" w:themeColor="text1"/>
          <w14:textFill>
            <w14:solidFill>
              <w14:schemeClr w14:val="tx1"/>
            </w14:solidFill>
          </w14:textFill>
        </w:rPr>
        <w:t>发生破裂导致原油、伴生气、</w:t>
      </w:r>
      <w:r>
        <w:rPr>
          <w:rFonts w:hint="eastAsia"/>
          <w:color w:val="000000" w:themeColor="text1"/>
          <w:lang w:val="en-US"/>
          <w14:textFill>
            <w14:solidFill>
              <w14:schemeClr w14:val="tx1"/>
            </w14:solidFill>
          </w14:textFill>
        </w:rPr>
        <w:t>净化后的采出水</w:t>
      </w:r>
      <w:r>
        <w:rPr>
          <w:rFonts w:hint="eastAsia"/>
          <w:color w:val="000000" w:themeColor="text1"/>
          <w14:textFill>
            <w14:solidFill>
              <w14:schemeClr w14:val="tx1"/>
            </w14:solidFill>
          </w14:textFill>
        </w:rPr>
        <w:t>泄漏，泄漏的原油、</w:t>
      </w:r>
      <w:r>
        <w:rPr>
          <w:rFonts w:hint="eastAsia"/>
          <w:color w:val="000000" w:themeColor="text1"/>
          <w:lang w:val="en-US"/>
          <w14:textFill>
            <w14:solidFill>
              <w14:schemeClr w14:val="tx1"/>
            </w14:solidFill>
          </w14:textFill>
        </w:rPr>
        <w:t>净化后采出水</w:t>
      </w:r>
      <w:r>
        <w:rPr>
          <w:rFonts w:hint="eastAsia"/>
          <w:color w:val="000000" w:themeColor="text1"/>
          <w14:textFill>
            <w14:solidFill>
              <w14:schemeClr w14:val="tx1"/>
            </w14:solidFill>
          </w14:textFill>
        </w:rPr>
        <w:t>可能污染土壤和地下水。</w:t>
      </w:r>
      <w:r>
        <w:rPr>
          <w:rFonts w:hint="eastAsia"/>
          <w:color w:val="000000" w:themeColor="text1"/>
          <w:lang w:val="en-US"/>
          <w14:textFill>
            <w14:solidFill>
              <w14:schemeClr w14:val="tx1"/>
            </w14:solidFill>
          </w14:textFill>
        </w:rPr>
        <w:t>伴生气可能污染大气环境。</w:t>
      </w:r>
    </w:p>
    <w:bookmarkEnd w:id="342"/>
    <w:p w14:paraId="0398F148">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温室气体排放</w:t>
      </w:r>
    </w:p>
    <w:p w14:paraId="1D6D1C51">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根据《中国石油天然气生产企业温室气体排放核算方法与报告指南（试行）》，石油天然气开采企业碳排放源主要包括：燃料燃烧CO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排放、火炬燃烧CO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和CH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排放、工艺放空CO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和CH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排放、设备泄漏CH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逃逸排放、CH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回收利用量、CO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回收利用量、净购入电力和热力隐含的CO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排放，公式如下：</w:t>
      </w:r>
    </w:p>
    <w:p w14:paraId="7DE41C00">
      <w:pPr>
        <w:pStyle w:val="193"/>
        <w:spacing w:line="360" w:lineRule="auto"/>
        <w:ind w:firstLine="0" w:firstLineChars="0"/>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437505" cy="980440"/>
            <wp:effectExtent l="0" t="0" r="10795" b="1016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8"/>
                    <a:stretch>
                      <a:fillRect/>
                    </a:stretch>
                  </pic:blipFill>
                  <pic:spPr>
                    <a:xfrm>
                      <a:off x="0" y="0"/>
                      <a:ext cx="5438095" cy="980952"/>
                    </a:xfrm>
                    <a:prstGeom prst="rect">
                      <a:avLst/>
                    </a:prstGeom>
                  </pic:spPr>
                </pic:pic>
              </a:graphicData>
            </a:graphic>
          </wp:inline>
        </w:drawing>
      </w:r>
    </w:p>
    <w:p w14:paraId="33131E44">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就本工程而言，涉及温室气体排放的环节为原油开采过程中CH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排放和净购入电力隐含的CO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w:t>
      </w:r>
    </w:p>
    <w:p w14:paraId="7F7CF0B0">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（1）原油开采过程中CH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逃逸排放量</w:t>
      </w:r>
    </w:p>
    <w:p w14:paraId="772A95E8">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87936" behindDoc="1" locked="0" layoutInCell="1" allowOverlap="1">
            <wp:simplePos x="0" y="0"/>
            <wp:positionH relativeFrom="column">
              <wp:posOffset>465455</wp:posOffset>
            </wp:positionH>
            <wp:positionV relativeFrom="paragraph">
              <wp:posOffset>305435</wp:posOffset>
            </wp:positionV>
            <wp:extent cx="4709160" cy="662940"/>
            <wp:effectExtent l="0" t="0" r="15240" b="381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709160" cy="662940"/>
                    </a:xfrm>
                    <a:prstGeom prst="rect">
                      <a:avLst/>
                    </a:prstGeom>
                    <a:noFill/>
                    <a:ln>
                      <a:noFill/>
                    </a:ln>
                  </pic:spPr>
                </pic:pic>
              </a:graphicData>
            </a:graphic>
          </wp:anchor>
        </w:drawing>
      </w:r>
      <w:r>
        <w:rPr>
          <w:rFonts w:hint="eastAsia"/>
          <w:color w:val="000000" w:themeColor="text1"/>
          <w14:textFill>
            <w14:solidFill>
              <w14:schemeClr w14:val="tx1"/>
            </w14:solidFill>
          </w14:textFill>
        </w:rPr>
        <w:t>原油开采过程中CH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逃逸排放量按照下式计算：</w:t>
      </w:r>
    </w:p>
    <w:p w14:paraId="37C5DCCB">
      <w:pPr>
        <w:pStyle w:val="193"/>
        <w:rPr>
          <w:rFonts w:hint="eastAsia"/>
          <w:color w:val="000000" w:themeColor="text1"/>
          <w14:textFill>
            <w14:solidFill>
              <w14:schemeClr w14:val="tx1"/>
            </w14:solidFill>
          </w14:textFill>
        </w:rPr>
      </w:pPr>
    </w:p>
    <w:p w14:paraId="3CB426CC">
      <w:pPr>
        <w:pStyle w:val="193"/>
        <w:rPr>
          <w:rFonts w:hint="eastAsia"/>
          <w:color w:val="000000" w:themeColor="text1"/>
          <w14:textFill>
            <w14:solidFill>
              <w14:schemeClr w14:val="tx1"/>
            </w14:solidFill>
          </w14:textFill>
        </w:rPr>
      </w:pPr>
    </w:p>
    <w:p w14:paraId="66412BC9">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式中：E</w:t>
      </w:r>
      <w:r>
        <w:rPr>
          <w:rFonts w:hint="eastAsia"/>
          <w:color w:val="000000" w:themeColor="text1"/>
          <w:vertAlign w:val="subscript"/>
          <w14:textFill>
            <w14:solidFill>
              <w14:schemeClr w14:val="tx1"/>
            </w14:solidFill>
          </w14:textFill>
        </w:rPr>
        <w:t>CH4－开采逃逸</w:t>
      </w:r>
      <w:r>
        <w:rPr>
          <w:rFonts w:hint="eastAsia"/>
          <w:color w:val="000000" w:themeColor="text1"/>
          <w14:textFill>
            <w14:solidFill>
              <w14:schemeClr w14:val="tx1"/>
            </w14:solidFill>
          </w14:textFill>
        </w:rPr>
        <w:t>为原油开采或天然气开采中所有设施类型产生的CH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逃逸排放，单位为吨CH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w:t>
      </w:r>
    </w:p>
    <w:p w14:paraId="6D39A964">
      <w:pPr>
        <w:pStyle w:val="193"/>
        <w:ind w:firstLine="1200" w:firstLineChars="5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j为不同的设施类型；</w:t>
      </w:r>
    </w:p>
    <w:p w14:paraId="58244655">
      <w:pPr>
        <w:pStyle w:val="193"/>
        <w:ind w:firstLine="1200" w:firstLineChars="50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Num</w:t>
      </w:r>
      <w:r>
        <w:rPr>
          <w:rFonts w:hint="eastAsia"/>
          <w:color w:val="000000" w:themeColor="text1"/>
          <w:vertAlign w:val="subscript"/>
          <w14:textFill>
            <w14:solidFill>
              <w14:schemeClr w14:val="tx1"/>
            </w14:solidFill>
          </w14:textFill>
        </w:rPr>
        <w:t>oil,j</w:t>
      </w:r>
      <w:r>
        <w:rPr>
          <w:rFonts w:hint="eastAsia"/>
          <w:color w:val="000000" w:themeColor="text1"/>
          <w14:textFill>
            <w14:solidFill>
              <w14:schemeClr w14:val="tx1"/>
            </w14:solidFill>
          </w14:textFill>
        </w:rPr>
        <w:t>为原油开采业务所涉及的泄漏设施类型数量，单位为个；</w:t>
      </w:r>
      <w:r>
        <w:rPr>
          <w:rFonts w:hint="eastAsia"/>
          <w:color w:val="000000" w:themeColor="text1"/>
          <w:lang w:val="en-US" w:eastAsia="zh-CN"/>
          <w14:textFill>
            <w14:solidFill>
              <w14:schemeClr w14:val="tx1"/>
            </w14:solidFill>
          </w14:textFill>
        </w:rPr>
        <w:t>本次取值为6。</w:t>
      </w:r>
    </w:p>
    <w:p w14:paraId="02AAFF07">
      <w:pPr>
        <w:pStyle w:val="193"/>
        <w:ind w:firstLine="1200" w:firstLineChars="50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EF</w:t>
      </w:r>
      <w:r>
        <w:rPr>
          <w:rFonts w:hint="eastAsia"/>
          <w:color w:val="000000" w:themeColor="text1"/>
          <w:vertAlign w:val="subscript"/>
          <w14:textFill>
            <w14:solidFill>
              <w14:schemeClr w14:val="tx1"/>
            </w14:solidFill>
          </w14:textFill>
        </w:rPr>
        <w:t>oil,j</w:t>
      </w:r>
      <w:r>
        <w:rPr>
          <w:rFonts w:hint="eastAsia"/>
          <w:color w:val="000000" w:themeColor="text1"/>
          <w14:textFill>
            <w14:solidFill>
              <w14:schemeClr w14:val="tx1"/>
            </w14:solidFill>
          </w14:textFill>
        </w:rPr>
        <w:t>为原油开采业务中涉及的每种设施类型j的CH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逃逸排放因子，单位为吨CH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/（年·个）；</w:t>
      </w:r>
      <w:r>
        <w:rPr>
          <w:rFonts w:hint="eastAsia"/>
          <w:color w:val="000000" w:themeColor="text1"/>
          <w:lang w:val="en-US" w:eastAsia="zh-CN"/>
          <w14:textFill>
            <w14:solidFill>
              <w14:schemeClr w14:val="tx1"/>
            </w14:solidFill>
          </w14:textFill>
        </w:rPr>
        <w:t>采油井</w:t>
      </w:r>
      <w:r>
        <w:rPr>
          <w:rFonts w:hint="eastAsia"/>
          <w:color w:val="000000" w:themeColor="text1"/>
          <w14:textFill>
            <w14:solidFill>
              <w14:schemeClr w14:val="tx1"/>
            </w14:solidFill>
          </w14:textFill>
        </w:rPr>
        <w:t>井口装置为0.23</w:t>
      </w:r>
      <w:r>
        <w:rPr>
          <w:rFonts w:hint="eastAsia"/>
          <w:color w:val="000000" w:themeColor="text1"/>
          <w:lang w:eastAsia="zh-CN"/>
          <w14:textFill>
            <w14:solidFill>
              <w14:schemeClr w14:val="tx1"/>
            </w14:solidFill>
          </w14:textFill>
        </w:rPr>
        <w:t>。</w:t>
      </w:r>
    </w:p>
    <w:p w14:paraId="75066257">
      <w:pPr>
        <w:pStyle w:val="193"/>
        <w:ind w:firstLine="1200" w:firstLineChars="5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Num</w:t>
      </w:r>
      <w:r>
        <w:rPr>
          <w:rFonts w:hint="eastAsia"/>
          <w:color w:val="000000" w:themeColor="text1"/>
          <w:vertAlign w:val="subscript"/>
          <w14:textFill>
            <w14:solidFill>
              <w14:schemeClr w14:val="tx1"/>
            </w14:solidFill>
          </w14:textFill>
        </w:rPr>
        <w:t>gas,j</w:t>
      </w:r>
      <w:r>
        <w:rPr>
          <w:rFonts w:hint="eastAsia"/>
          <w:color w:val="000000" w:themeColor="text1"/>
          <w14:textFill>
            <w14:solidFill>
              <w14:schemeClr w14:val="tx1"/>
            </w14:solidFill>
          </w14:textFill>
        </w:rPr>
        <w:t>为天然气开采业务所涉及的泄漏设施类型数量，单位为个；</w:t>
      </w:r>
      <w:r>
        <w:rPr>
          <w:rFonts w:hint="eastAsia"/>
          <w:color w:val="000000" w:themeColor="text1"/>
          <w:lang w:val="en-US" w:eastAsia="zh-CN"/>
          <w14:textFill>
            <w14:solidFill>
              <w14:schemeClr w14:val="tx1"/>
            </w14:solidFill>
          </w14:textFill>
        </w:rPr>
        <w:t>本次取值为0。</w:t>
      </w:r>
    </w:p>
    <w:p w14:paraId="10F7A9A8">
      <w:pPr>
        <w:pStyle w:val="193"/>
        <w:ind w:firstLine="1200" w:firstLineChars="5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EF</w:t>
      </w:r>
      <w:r>
        <w:rPr>
          <w:rFonts w:hint="eastAsia"/>
          <w:color w:val="000000" w:themeColor="text1"/>
          <w:vertAlign w:val="subscript"/>
          <w14:textFill>
            <w14:solidFill>
              <w14:schemeClr w14:val="tx1"/>
            </w14:solidFill>
          </w14:textFill>
        </w:rPr>
        <w:t>gas,j</w:t>
      </w:r>
      <w:r>
        <w:rPr>
          <w:rFonts w:hint="eastAsia"/>
          <w:color w:val="000000" w:themeColor="text1"/>
          <w14:textFill>
            <w14:solidFill>
              <w14:schemeClr w14:val="tx1"/>
            </w14:solidFill>
          </w14:textFill>
        </w:rPr>
        <w:t>为天然气开采业务中涉及的每种设施类型j的CH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逃逸排放因子，单位为吨CH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/（年·个）。</w:t>
      </w:r>
      <w:r>
        <w:rPr>
          <w:rFonts w:hint="eastAsia"/>
          <w:color w:val="000000" w:themeColor="text1"/>
          <w:lang w:val="en-US" w:eastAsia="zh-CN"/>
          <w14:textFill>
            <w14:solidFill>
              <w14:schemeClr w14:val="tx1"/>
            </w14:solidFill>
          </w14:textFill>
        </w:rPr>
        <w:t>井口装置为2.5。</w:t>
      </w:r>
    </w:p>
    <w:p w14:paraId="08345ACA">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本项目为</w:t>
      </w:r>
      <w:r>
        <w:rPr>
          <w:rFonts w:hint="eastAsia"/>
          <w:color w:val="000000" w:themeColor="text1"/>
          <w:lang w:val="en-US" w:eastAsia="zh-CN"/>
          <w14:textFill>
            <w14:solidFill>
              <w14:schemeClr w14:val="tx1"/>
            </w14:solidFill>
          </w14:textFill>
        </w:rPr>
        <w:t>陆上石油</w:t>
      </w:r>
      <w:r>
        <w:rPr>
          <w:rFonts w:hint="eastAsia"/>
          <w:color w:val="000000" w:themeColor="text1"/>
          <w14:textFill>
            <w14:solidFill>
              <w14:schemeClr w14:val="tx1"/>
            </w14:solidFill>
          </w14:textFill>
        </w:rPr>
        <w:t>开采，涉及CH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排放的设施主要为6个采油井井口装置，相关参数取值及计算结果见表3.3-14。</w:t>
      </w:r>
    </w:p>
    <w:p w14:paraId="5B8BB92B">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表3.3-14  原油开采过程甲烷逃逸排放排放量计算参数及结果一览表</w:t>
      </w:r>
    </w:p>
    <w:tbl>
      <w:tblPr>
        <w:tblStyle w:val="5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1589"/>
        <w:gridCol w:w="1769"/>
        <w:gridCol w:w="1683"/>
        <w:gridCol w:w="653"/>
        <w:gridCol w:w="1306"/>
      </w:tblGrid>
      <w:tr w14:paraId="20D11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pct"/>
            <w:vAlign w:val="center"/>
          </w:tcPr>
          <w:p w14:paraId="1A4B92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场所</w:t>
            </w:r>
          </w:p>
        </w:tc>
        <w:tc>
          <w:tcPr>
            <w:tcW w:w="910" w:type="pct"/>
            <w:vAlign w:val="center"/>
          </w:tcPr>
          <w:p w14:paraId="604F20B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逃逸设施</w:t>
            </w:r>
          </w:p>
        </w:tc>
        <w:tc>
          <w:tcPr>
            <w:tcW w:w="1013" w:type="pct"/>
            <w:vAlign w:val="center"/>
          </w:tcPr>
          <w:p w14:paraId="56A748A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设施逃逸</w:t>
            </w:r>
          </w:p>
        </w:tc>
        <w:tc>
          <w:tcPr>
            <w:tcW w:w="964" w:type="pct"/>
            <w:vAlign w:val="center"/>
          </w:tcPr>
          <w:p w14:paraId="6A99FFC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工艺放空</w:t>
            </w:r>
          </w:p>
        </w:tc>
        <w:tc>
          <w:tcPr>
            <w:tcW w:w="374" w:type="pct"/>
            <w:vAlign w:val="center"/>
          </w:tcPr>
          <w:p w14:paraId="30F69DC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48" w:type="pct"/>
            <w:vAlign w:val="center"/>
          </w:tcPr>
          <w:p w14:paraId="0010D5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甲烷排放量（t/a）</w:t>
            </w:r>
          </w:p>
        </w:tc>
      </w:tr>
      <w:tr w14:paraId="21D3E5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pct"/>
            <w:vAlign w:val="center"/>
          </w:tcPr>
          <w:p w14:paraId="10D64C2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采油井</w:t>
            </w:r>
          </w:p>
        </w:tc>
        <w:tc>
          <w:tcPr>
            <w:tcW w:w="910" w:type="pct"/>
            <w:vAlign w:val="center"/>
          </w:tcPr>
          <w:p w14:paraId="0834FE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井口装置</w:t>
            </w:r>
          </w:p>
        </w:tc>
        <w:tc>
          <w:tcPr>
            <w:tcW w:w="1013" w:type="pct"/>
            <w:vAlign w:val="center"/>
          </w:tcPr>
          <w:p w14:paraId="7415C3B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0.23吨/年</w:t>
            </w:r>
            <w:r>
              <w:rPr>
                <w:rFonts w:hint="eastAsia" w:cs="宋体"/>
                <w:color w:val="000000" w:themeColor="text1"/>
                <w14:textFill>
                  <w14:solidFill>
                    <w14:schemeClr w14:val="tx1"/>
                  </w14:solidFill>
                </w14:textFill>
              </w:rPr>
              <w:t>·</w:t>
            </w:r>
            <w:r>
              <w:rPr>
                <w:rFonts w:hint="eastAsia"/>
                <w:color w:val="000000" w:themeColor="text1"/>
                <w14:textFill>
                  <w14:solidFill>
                    <w14:schemeClr w14:val="tx1"/>
                  </w14:solidFill>
                </w14:textFill>
              </w:rPr>
              <w:t>个</w:t>
            </w:r>
          </w:p>
        </w:tc>
        <w:tc>
          <w:tcPr>
            <w:tcW w:w="964" w:type="pct"/>
            <w:vAlign w:val="center"/>
          </w:tcPr>
          <w:p w14:paraId="0201CCD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4" w:type="pct"/>
            <w:vAlign w:val="center"/>
          </w:tcPr>
          <w:p w14:paraId="1A1C6F6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748" w:type="pct"/>
            <w:vAlign w:val="center"/>
          </w:tcPr>
          <w:p w14:paraId="4FEBBD8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1.38</w:t>
            </w:r>
          </w:p>
        </w:tc>
      </w:tr>
      <w:tr w14:paraId="6A45CA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pct"/>
            <w:vAlign w:val="center"/>
          </w:tcPr>
          <w:p w14:paraId="59117A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910" w:type="pct"/>
            <w:vAlign w:val="center"/>
          </w:tcPr>
          <w:p w14:paraId="0EA2743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13" w:type="pct"/>
            <w:vAlign w:val="center"/>
          </w:tcPr>
          <w:p w14:paraId="0950D08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64" w:type="pct"/>
            <w:vAlign w:val="center"/>
          </w:tcPr>
          <w:p w14:paraId="7C5C72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4" w:type="pct"/>
            <w:vAlign w:val="center"/>
          </w:tcPr>
          <w:p w14:paraId="01943B5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48" w:type="pct"/>
            <w:vAlign w:val="center"/>
          </w:tcPr>
          <w:p w14:paraId="2EB4D46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1.38</w:t>
            </w:r>
          </w:p>
        </w:tc>
      </w:tr>
    </w:tbl>
    <w:p w14:paraId="1BD3CF2E">
      <w:pPr>
        <w:pStyle w:val="193"/>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根据表中参数，结合公式计算可知，CH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逃逸排放量为1.38t/a。</w:t>
      </w:r>
      <w:r>
        <w:rPr>
          <w:rFonts w:hint="eastAsia"/>
          <w:color w:val="000000" w:themeColor="text1"/>
          <w:lang w:val="en-US" w:eastAsia="zh-CN"/>
          <w14:textFill>
            <w14:solidFill>
              <w14:schemeClr w14:val="tx1"/>
            </w14:solidFill>
          </w14:textFill>
        </w:rPr>
        <w:t>折算成</w:t>
      </w:r>
      <w:r>
        <w:rPr>
          <w:color w:val="000000" w:themeColor="text1"/>
          <w14:textFill>
            <w14:solidFill>
              <w14:schemeClr w14:val="tx1"/>
            </w14:solidFill>
          </w14:textFill>
        </w:rPr>
        <w:t>CO</w:t>
      </w:r>
      <w:r>
        <w:rPr>
          <w:color w:val="000000" w:themeColor="text1"/>
          <w:sz w:val="11"/>
          <w:szCs w:val="11"/>
          <w14:textFill>
            <w14:solidFill>
              <w14:schemeClr w14:val="tx1"/>
            </w14:solidFill>
          </w14:textFill>
        </w:rPr>
        <w:t>2</w:t>
      </w:r>
      <w:r>
        <w:rPr>
          <w:rFonts w:hint="eastAsia"/>
          <w:color w:val="000000" w:themeColor="text1"/>
          <w:sz w:val="11"/>
          <w:szCs w:val="11"/>
          <w:lang w:val="en-US" w:eastAsia="zh-CN"/>
          <w14:textFill>
            <w14:solidFill>
              <w14:schemeClr w14:val="tx1"/>
            </w14:solidFill>
          </w14:textFill>
        </w:rPr>
        <w:t xml:space="preserve"> </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GWP</w:t>
      </w:r>
      <w:r>
        <w:rPr>
          <w:rFonts w:hint="eastAsia"/>
          <w:color w:val="000000" w:themeColor="text1"/>
          <w:vertAlign w:val="subscript"/>
          <w:lang w:val="en-US" w:eastAsia="zh-CN"/>
          <w14:textFill>
            <w14:solidFill>
              <w14:schemeClr w14:val="tx1"/>
            </w14:solidFill>
          </w14:textFill>
        </w:rPr>
        <w:t>CH4</w:t>
      </w:r>
      <w:r>
        <w:rPr>
          <w:rFonts w:hint="eastAsia"/>
          <w:color w:val="000000" w:themeColor="text1"/>
          <w:lang w:val="en-US" w:eastAsia="zh-CN"/>
          <w14:textFill>
            <w14:solidFill>
              <w14:schemeClr w14:val="tx1"/>
            </w14:solidFill>
          </w14:textFill>
        </w:rPr>
        <w:t>等于21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为28.98t/a。</w:t>
      </w:r>
    </w:p>
    <w:p w14:paraId="0A692EF7">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（2）净购入电力隐含的CO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排放量</w:t>
      </w:r>
    </w:p>
    <w:p w14:paraId="003B5F4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购入电力生产的二氧化碳排放量按如下公式计算：</w:t>
      </w:r>
    </w:p>
    <w:p w14:paraId="00C2B3FC">
      <w:pPr>
        <w:pStyle w:val="5"/>
        <w:kinsoku w:val="0"/>
        <w:overflowPunct w:val="0"/>
        <w:spacing w:before="3"/>
        <w:jc w:val="center"/>
        <w:rPr>
          <w:color w:val="000000" w:themeColor="text1"/>
          <w:sz w:val="17"/>
          <w:szCs w:val="17"/>
          <w14:textFill>
            <w14:solidFill>
              <w14:schemeClr w14:val="tx1"/>
            </w14:solidFill>
          </w14:textFill>
        </w:rPr>
      </w:pPr>
      <w:r>
        <w:rPr>
          <w:color w:val="000000" w:themeColor="text1"/>
          <w14:textFill>
            <w14:solidFill>
              <w14:schemeClr w14:val="tx1"/>
            </w14:solidFill>
          </w14:textFill>
        </w:rPr>
        <w:drawing>
          <wp:inline distT="0" distB="0" distL="0" distR="0">
            <wp:extent cx="2361565" cy="445135"/>
            <wp:effectExtent l="0" t="0" r="635" b="1206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361565" cy="445135"/>
                    </a:xfrm>
                    <a:prstGeom prst="rect">
                      <a:avLst/>
                    </a:prstGeom>
                    <a:noFill/>
                    <a:ln>
                      <a:noFill/>
                    </a:ln>
                  </pic:spPr>
                </pic:pic>
              </a:graphicData>
            </a:graphic>
          </wp:inline>
        </w:drawing>
      </w:r>
    </w:p>
    <w:p w14:paraId="487F7CD3">
      <w:pPr>
        <w:pStyle w:val="193"/>
        <w:ind w:firstLine="476"/>
        <w:rPr>
          <w:rFonts w:hint="eastAsia"/>
          <w:color w:val="000000" w:themeColor="text1"/>
          <w14:textFill>
            <w14:solidFill>
              <w14:schemeClr w14:val="tx1"/>
            </w14:solidFill>
          </w14:textFill>
        </w:rPr>
      </w:pPr>
      <w:r>
        <w:rPr>
          <w:rFonts w:hint="eastAsia"/>
          <w:color w:val="000000" w:themeColor="text1"/>
          <w:spacing w:val="-2"/>
          <w:position w:val="2"/>
          <w14:textFill>
            <w14:solidFill>
              <w14:schemeClr w14:val="tx1"/>
            </w14:solidFill>
          </w14:textFill>
        </w:rPr>
        <w:t>式中：</w:t>
      </w:r>
      <w:r>
        <w:rPr>
          <w:rFonts w:hint="eastAsia"/>
          <w:color w:val="000000" w:themeColor="text1"/>
          <w14:textFill>
            <w14:solidFill>
              <w14:schemeClr w14:val="tx1"/>
            </w14:solidFill>
          </w14:textFill>
        </w:rPr>
        <w:t>E</w:t>
      </w:r>
      <w:r>
        <w:rPr>
          <w:rFonts w:hint="eastAsia"/>
          <w:color w:val="000000" w:themeColor="text1"/>
          <w:vertAlign w:val="subscript"/>
          <w14:textFill>
            <w14:solidFill>
              <w14:schemeClr w14:val="tx1"/>
            </w14:solidFill>
          </w14:textFill>
        </w:rPr>
        <w:t>C02-净电</w:t>
      </w:r>
      <w:r>
        <w:rPr>
          <w:rFonts w:hint="eastAsia"/>
          <w:color w:val="000000" w:themeColor="text1"/>
          <w14:textFill>
            <w14:solidFill>
              <w14:schemeClr w14:val="tx1"/>
            </w14:solidFill>
          </w14:textFill>
        </w:rPr>
        <w:t>为报告主体净购入电力隐含的C0</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排放量，单位为吨C0</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p>
    <w:p w14:paraId="5DE48E4B">
      <w:pPr>
        <w:pStyle w:val="193"/>
        <w:ind w:firstLine="1200" w:firstLineChars="5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AD</w:t>
      </w:r>
      <w:r>
        <w:rPr>
          <w:rFonts w:hint="eastAsia"/>
          <w:color w:val="000000" w:themeColor="text1"/>
          <w:vertAlign w:val="subscript"/>
          <w14:textFill>
            <w14:solidFill>
              <w14:schemeClr w14:val="tx1"/>
            </w14:solidFill>
          </w14:textFill>
        </w:rPr>
        <w:t>电力</w:t>
      </w:r>
      <w:r>
        <w:rPr>
          <w:rFonts w:hint="eastAsia"/>
          <w:color w:val="000000" w:themeColor="text1"/>
          <w14:textFill>
            <w14:solidFill>
              <w14:schemeClr w14:val="tx1"/>
            </w14:solidFill>
          </w14:textFill>
        </w:rPr>
        <w:t>为企业净购入的电力消费量，单位为兆瓦时（MWh）；</w:t>
      </w:r>
    </w:p>
    <w:p w14:paraId="2433B807">
      <w:pPr>
        <w:pStyle w:val="193"/>
        <w:ind w:firstLine="1200" w:firstLineChars="5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EF</w:t>
      </w:r>
      <w:r>
        <w:rPr>
          <w:rFonts w:hint="eastAsia"/>
          <w:color w:val="000000" w:themeColor="text1"/>
          <w:vertAlign w:val="subscript"/>
          <w14:textFill>
            <w14:solidFill>
              <w14:schemeClr w14:val="tx1"/>
            </w14:solidFill>
          </w14:textFill>
        </w:rPr>
        <w:t>电力</w:t>
      </w:r>
      <w:r>
        <w:rPr>
          <w:rFonts w:hint="eastAsia"/>
          <w:color w:val="000000" w:themeColor="text1"/>
          <w14:textFill>
            <w14:solidFill>
              <w14:schemeClr w14:val="tx1"/>
            </w14:solidFill>
          </w14:textFill>
        </w:rPr>
        <w:t>为电力供应的C0</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排放因子，单位为吨C0</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/MWh。</w:t>
      </w:r>
    </w:p>
    <w:p w14:paraId="6F27A3C8">
      <w:pPr>
        <w:pStyle w:val="193"/>
        <w:ind w:firstLine="456"/>
        <w:rPr>
          <w:rFonts w:hint="eastAsia"/>
          <w:color w:val="000000" w:themeColor="text1"/>
          <w:spacing w:val="-12"/>
          <w:sz w:val="18"/>
          <w:szCs w:val="18"/>
          <w14:textFill>
            <w14:solidFill>
              <w14:schemeClr w14:val="tx1"/>
            </w14:solidFill>
          </w14:textFill>
        </w:rPr>
      </w:pPr>
      <w:r>
        <w:rPr>
          <w:rFonts w:hint="eastAsia"/>
          <w:color w:val="000000" w:themeColor="text1"/>
          <w:spacing w:val="-12"/>
          <w14:textFill>
            <w14:solidFill>
              <w14:schemeClr w14:val="tx1"/>
            </w14:solidFill>
          </w14:textFill>
        </w:rPr>
        <w:t>本项目电力消耗约594.6MW·h，据此计算购入电力所产生的二氧化碳，详见表3.3-15。</w:t>
      </w:r>
    </w:p>
    <w:p w14:paraId="5EC3152F">
      <w:pPr>
        <w:pStyle w:val="19"/>
        <w:rPr>
          <w:rFonts w:hint="eastAsia"/>
          <w:color w:val="000000" w:themeColor="text1"/>
          <w:spacing w:val="-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 xml:space="preserve">3.3-15 </w:t>
      </w:r>
      <w:r>
        <w:rPr>
          <w:color w:val="000000" w:themeColor="text1"/>
          <w14:textFill>
            <w14:solidFill>
              <w14:schemeClr w14:val="tx1"/>
            </w14:solidFill>
          </w14:textFill>
        </w:rPr>
        <w:t xml:space="preserve"> </w:t>
      </w:r>
      <w:r>
        <w:rPr>
          <w:rFonts w:hint="eastAsia"/>
          <w:color w:val="000000" w:themeColor="text1"/>
          <w:spacing w:val="-1"/>
          <w14:textFill>
            <w14:solidFill>
              <w14:schemeClr w14:val="tx1"/>
            </w14:solidFill>
          </w14:textFill>
        </w:rPr>
        <w:t>年净购入电力所产生的二氧化碳排放情况</w:t>
      </w:r>
    </w:p>
    <w:tbl>
      <w:tblPr>
        <w:tblStyle w:val="51"/>
        <w:tblW w:w="8789" w:type="dxa"/>
        <w:tblInd w:w="2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38"/>
        <w:gridCol w:w="2911"/>
        <w:gridCol w:w="2940"/>
      </w:tblGrid>
      <w:tr w14:paraId="5B167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2938" w:type="dxa"/>
            <w:vAlign w:val="center"/>
          </w:tcPr>
          <w:p w14:paraId="7D108AB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净购入电量（</w:t>
            </w:r>
            <w:r>
              <w:rPr>
                <w:color w:val="000000" w:themeColor="text1"/>
                <w14:textFill>
                  <w14:solidFill>
                    <w14:schemeClr w14:val="tx1"/>
                  </w14:solidFill>
                </w14:textFill>
              </w:rPr>
              <w:t>MW</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w:t>
            </w:r>
          </w:p>
        </w:tc>
        <w:tc>
          <w:tcPr>
            <w:tcW w:w="2911" w:type="dxa"/>
            <w:vAlign w:val="center"/>
          </w:tcPr>
          <w:p w14:paraId="7EA62B6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排放因子（</w:t>
            </w:r>
            <w:r>
              <w:rPr>
                <w:color w:val="000000" w:themeColor="text1"/>
                <w14:textFill>
                  <w14:solidFill>
                    <w14:schemeClr w14:val="tx1"/>
                  </w14:solidFill>
                </w14:textFill>
              </w:rPr>
              <w:t>tCO</w:t>
            </w:r>
            <w:r>
              <w:rPr>
                <w:color w:val="000000" w:themeColor="text1"/>
                <w:sz w:val="11"/>
                <w:szCs w:val="11"/>
                <w14:textFill>
                  <w14:solidFill>
                    <w14:schemeClr w14:val="tx1"/>
                  </w14:solidFill>
                </w14:textFill>
              </w:rPr>
              <w:t>2</w:t>
            </w:r>
            <w:r>
              <w:rPr>
                <w:color w:val="000000" w:themeColor="text1"/>
                <w14:textFill>
                  <w14:solidFill>
                    <w14:schemeClr w14:val="tx1"/>
                  </w14:solidFill>
                </w14:textFill>
              </w:rPr>
              <w:t>/MW</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w:t>
            </w:r>
          </w:p>
        </w:tc>
        <w:tc>
          <w:tcPr>
            <w:tcW w:w="2940" w:type="dxa"/>
            <w:vAlign w:val="center"/>
          </w:tcPr>
          <w:p w14:paraId="47DBECC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排放量（</w:t>
            </w:r>
            <w:r>
              <w:rPr>
                <w:color w:val="000000" w:themeColor="text1"/>
                <w14:textFill>
                  <w14:solidFill>
                    <w14:schemeClr w14:val="tx1"/>
                  </w14:solidFill>
                </w14:textFill>
              </w:rPr>
              <w:t>tCO</w:t>
            </w:r>
            <w:r>
              <w:rPr>
                <w:color w:val="000000" w:themeColor="text1"/>
                <w:sz w:val="11"/>
                <w:szCs w:val="11"/>
                <w14:textFill>
                  <w14:solidFill>
                    <w14:schemeClr w14:val="tx1"/>
                  </w14:solidFill>
                </w14:textFill>
              </w:rPr>
              <w:t>2</w:t>
            </w:r>
            <w:r>
              <w:rPr>
                <w:rFonts w:hint="eastAsia"/>
                <w:color w:val="000000" w:themeColor="text1"/>
                <w14:textFill>
                  <w14:solidFill>
                    <w14:schemeClr w14:val="tx1"/>
                  </w14:solidFill>
                </w14:textFill>
              </w:rPr>
              <w:t>）</w:t>
            </w:r>
          </w:p>
        </w:tc>
      </w:tr>
      <w:tr w14:paraId="7FF6F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8" w:type="dxa"/>
            <w:vAlign w:val="center"/>
          </w:tcPr>
          <w:p w14:paraId="07B854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594.6</w:t>
            </w:r>
          </w:p>
        </w:tc>
        <w:tc>
          <w:tcPr>
            <w:tcW w:w="2911" w:type="dxa"/>
            <w:vAlign w:val="center"/>
          </w:tcPr>
          <w:p w14:paraId="457B8A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0.6021</w:t>
            </w:r>
          </w:p>
        </w:tc>
        <w:tc>
          <w:tcPr>
            <w:tcW w:w="2940" w:type="dxa"/>
            <w:vAlign w:val="center"/>
          </w:tcPr>
          <w:p w14:paraId="2F8E44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358</w:t>
            </w:r>
          </w:p>
        </w:tc>
      </w:tr>
      <w:tr w14:paraId="6167E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89" w:type="dxa"/>
            <w:gridSpan w:val="3"/>
            <w:vAlign w:val="center"/>
          </w:tcPr>
          <w:p w14:paraId="408FA2DD">
            <w:pPr>
              <w:pStyle w:val="280"/>
              <w:rPr>
                <w:rFonts w:hint="eastAsia"/>
                <w:color w:val="000000" w:themeColor="text1"/>
                <w14:textFill>
                  <w14:solidFill>
                    <w14:schemeClr w14:val="tx1"/>
                  </w14:solidFill>
                </w14:textFill>
              </w:rPr>
            </w:pPr>
            <w:r>
              <w:rPr>
                <w:rFonts w:hint="eastAsia"/>
                <w:color w:val="000000" w:themeColor="text1"/>
                <w:spacing w:val="-3"/>
                <w14:textFill>
                  <w14:solidFill>
                    <w14:schemeClr w14:val="tx1"/>
                  </w14:solidFill>
                </w14:textFill>
              </w:rPr>
              <w:t>备</w:t>
            </w:r>
            <w:r>
              <w:rPr>
                <w:rStyle w:val="209"/>
                <w:rFonts w:hint="eastAsia"/>
                <w:color w:val="000000" w:themeColor="text1"/>
                <w14:textFill>
                  <w14:solidFill>
                    <w14:schemeClr w14:val="tx1"/>
                  </w14:solidFill>
                </w14:textFill>
              </w:rPr>
              <w:t>注：排放因子来源于中华人民共和国生态环境部</w:t>
            </w:r>
            <w:r>
              <w:rPr>
                <w:rStyle w:val="209"/>
                <w:color w:val="000000" w:themeColor="text1"/>
                <w14:textFill>
                  <w14:solidFill>
                    <w14:schemeClr w14:val="tx1"/>
                  </w14:solidFill>
                </w14:textFill>
              </w:rPr>
              <w:t>202</w:t>
            </w:r>
            <w:r>
              <w:rPr>
                <w:rStyle w:val="209"/>
                <w:rFonts w:hint="eastAsia"/>
                <w:color w:val="000000" w:themeColor="text1"/>
                <w14:textFill>
                  <w14:solidFill>
                    <w14:schemeClr w14:val="tx1"/>
                  </w14:solidFill>
                </w14:textFill>
              </w:rPr>
              <w:t>5年</w:t>
            </w:r>
            <w:r>
              <w:rPr>
                <w:rStyle w:val="209"/>
                <w:color w:val="000000" w:themeColor="text1"/>
                <w14:textFill>
                  <w14:solidFill>
                    <w14:schemeClr w14:val="tx1"/>
                  </w14:solidFill>
                </w14:textFill>
              </w:rPr>
              <w:t>12</w:t>
            </w:r>
            <w:r>
              <w:rPr>
                <w:rStyle w:val="209"/>
                <w:rFonts w:hint="eastAsia"/>
                <w:color w:val="000000" w:themeColor="text1"/>
                <w14:textFill>
                  <w14:solidFill>
                    <w14:schemeClr w14:val="tx1"/>
                  </w14:solidFill>
                </w14:textFill>
              </w:rPr>
              <w:t>月31日发布的《关于发布2023年电力二氧化碳排放因子的公告》中规定的新疆电力平均二氧化碳排放因子</w:t>
            </w:r>
          </w:p>
        </w:tc>
      </w:tr>
    </w:tbl>
    <w:p w14:paraId="691CCE7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根据上述计算可知，本项目CO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排放量为</w:t>
      </w:r>
      <w:r>
        <w:rPr>
          <w:rFonts w:hint="eastAsia"/>
          <w:color w:val="000000" w:themeColor="text1"/>
          <w:lang w:val="en-US" w:eastAsia="zh-CN"/>
          <w14:textFill>
            <w14:solidFill>
              <w14:schemeClr w14:val="tx1"/>
            </w14:solidFill>
          </w14:textFill>
        </w:rPr>
        <w:t>386.98</w:t>
      </w:r>
      <w:r>
        <w:rPr>
          <w:rFonts w:hint="eastAsia"/>
          <w:color w:val="000000" w:themeColor="text1"/>
          <w14:textFill>
            <w14:solidFill>
              <w14:schemeClr w14:val="tx1"/>
            </w14:solidFill>
          </w14:textFill>
        </w:rPr>
        <w:t>t/a。</w:t>
      </w:r>
    </w:p>
    <w:p w14:paraId="11299302">
      <w:pPr>
        <w:pStyle w:val="7"/>
        <w:rPr>
          <w:rFonts w:hint="eastAsia"/>
          <w:color w:val="000000" w:themeColor="text1"/>
          <w14:textFill>
            <w14:solidFill>
              <w14:schemeClr w14:val="tx1"/>
            </w14:solidFill>
          </w14:textFill>
        </w:rPr>
      </w:pPr>
      <w:bookmarkStart w:id="343" w:name="_Toc13701"/>
      <w:r>
        <w:rPr>
          <w:rFonts w:hint="eastAsia"/>
          <w:color w:val="000000" w:themeColor="text1"/>
          <w14:textFill>
            <w14:solidFill>
              <w14:schemeClr w14:val="tx1"/>
            </w14:solidFill>
          </w14:textFill>
        </w:rPr>
        <w:t>总量控制指标</w:t>
      </w:r>
      <w:bookmarkEnd w:id="343"/>
    </w:p>
    <w:p w14:paraId="02F97D29">
      <w:pPr>
        <w:pStyle w:val="193"/>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根据《“十五五”污染减排综合工作方案编制技术指南》，大气污染物减排因子为N</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、V</w:t>
      </w:r>
      <w:r>
        <w:rPr>
          <w:color w:val="000000" w:themeColor="text1"/>
          <w14:textFill>
            <w14:solidFill>
              <w14:schemeClr w14:val="tx1"/>
            </w14:solidFill>
          </w14:textFill>
        </w:rPr>
        <w:t>OCs</w:t>
      </w:r>
      <w:r>
        <w:rPr>
          <w:rFonts w:hint="eastAsia"/>
          <w:color w:val="000000" w:themeColor="text1"/>
          <w14:textFill>
            <w14:solidFill>
              <w14:schemeClr w14:val="tx1"/>
            </w14:solidFill>
          </w14:textFill>
        </w:rPr>
        <w:t>，水污染物减排因子为C</w:t>
      </w:r>
      <w:r>
        <w:rPr>
          <w:color w:val="000000" w:themeColor="text1"/>
          <w14:textFill>
            <w14:solidFill>
              <w14:schemeClr w14:val="tx1"/>
            </w14:solidFill>
          </w14:textFill>
        </w:rPr>
        <w:t>OD</w:t>
      </w:r>
      <w:r>
        <w:rPr>
          <w:rFonts w:hint="eastAsia"/>
          <w:color w:val="000000" w:themeColor="text1"/>
          <w14:textFill>
            <w14:solidFill>
              <w14:schemeClr w14:val="tx1"/>
            </w14:solidFill>
          </w14:textFill>
        </w:rPr>
        <w:t>和总磷。洗井废水、压裂返排液和废洗井液集中收集后由罐车拉运至</w:t>
      </w:r>
      <w:r>
        <w:rPr>
          <w:rFonts w:hint="eastAsia"/>
          <w:color w:val="000000" w:themeColor="text1"/>
          <w:lang w:bidi="ar"/>
          <w14:textFill>
            <w14:solidFill>
              <w14:schemeClr w14:val="tx1"/>
            </w14:solidFill>
          </w14:textFill>
        </w:rPr>
        <w:t>吉祥联合站采出水处理系统处理，出水水质</w:t>
      </w:r>
      <w:r>
        <w:rPr>
          <w:rFonts w:hint="eastAsia" w:cs="宋体"/>
          <w:color w:val="000000" w:themeColor="text1"/>
          <w:szCs w:val="21"/>
          <w14:textFill>
            <w14:solidFill>
              <w14:schemeClr w14:val="tx1"/>
            </w14:solidFill>
          </w14:textFill>
        </w:rPr>
        <w:t>《碎屑岩油藏注水水质指标技术要求及分析方法》（SY/T5329</w:t>
      </w:r>
      <w:r>
        <w:rPr>
          <w:rFonts w:hint="eastAsia" w:cs="宋体"/>
          <w:color w:val="000000" w:themeColor="text1"/>
          <w14:textFill>
            <w14:solidFill>
              <w14:schemeClr w14:val="tx1"/>
            </w14:solidFill>
          </w14:textFill>
        </w:rPr>
        <w:t>-2022</w:t>
      </w:r>
      <w:r>
        <w:rPr>
          <w:rFonts w:hint="eastAsia" w:cs="宋体"/>
          <w:color w:val="000000" w:themeColor="text1"/>
          <w:szCs w:val="21"/>
          <w14:textFill>
            <w14:solidFill>
              <w14:schemeClr w14:val="tx1"/>
            </w14:solidFill>
          </w14:textFill>
        </w:rPr>
        <w:t>）相关标准要求</w:t>
      </w:r>
      <w:r>
        <w:rPr>
          <w:rFonts w:hint="eastAsia" w:cs="宋体"/>
          <w:color w:val="000000" w:themeColor="text1"/>
          <w14:textFill>
            <w14:solidFill>
              <w14:schemeClr w14:val="tx1"/>
            </w14:solidFill>
          </w14:textFill>
        </w:rPr>
        <w:t>后，回注油藏</w:t>
      </w:r>
      <w:r>
        <w:rPr>
          <w:rFonts w:hint="eastAsia"/>
          <w:color w:val="000000" w:themeColor="text1"/>
          <w:lang w:bidi="ar"/>
          <w14:textFill>
            <w14:solidFill>
              <w14:schemeClr w14:val="tx1"/>
            </w14:solidFill>
          </w14:textFill>
        </w:rPr>
        <w:t>，</w:t>
      </w:r>
      <w:r>
        <w:rPr>
          <w:rFonts w:hint="eastAsia"/>
          <w:color w:val="000000" w:themeColor="text1"/>
          <w14:textFill>
            <w14:solidFill>
              <w14:schemeClr w14:val="tx1"/>
            </w14:solidFill>
          </w14:textFill>
        </w:rPr>
        <w:t>不外排；本项目无氮氧化物排放，非甲烷总烃为无组织排放，</w:t>
      </w:r>
      <w:r>
        <w:rPr>
          <w:rFonts w:hint="eastAsia" w:cs="宋体"/>
          <w:color w:val="000000" w:themeColor="text1"/>
          <w14:textFill>
            <w14:solidFill>
              <w14:schemeClr w14:val="tx1"/>
            </w14:solidFill>
          </w14:textFill>
        </w:rPr>
        <w:t>故本次不进行总量控制指标申请</w:t>
      </w:r>
      <w:r>
        <w:rPr>
          <w:rFonts w:hint="eastAsia"/>
          <w:color w:val="000000" w:themeColor="text1"/>
          <w14:textFill>
            <w14:solidFill>
              <w14:schemeClr w14:val="tx1"/>
            </w14:solidFill>
          </w14:textFill>
        </w:rPr>
        <w:t>。</w:t>
      </w:r>
    </w:p>
    <w:bookmarkEnd w:id="339"/>
    <w:bookmarkEnd w:id="340"/>
    <w:p w14:paraId="384341AC">
      <w:pPr>
        <w:pStyle w:val="7"/>
        <w:rPr>
          <w:rFonts w:hint="eastAsia"/>
          <w:color w:val="000000" w:themeColor="text1"/>
          <w14:textFill>
            <w14:solidFill>
              <w14:schemeClr w14:val="tx1"/>
            </w14:solidFill>
          </w14:textFill>
        </w:rPr>
      </w:pPr>
      <w:bookmarkStart w:id="344" w:name="_Toc475624472"/>
      <w:bookmarkStart w:id="345" w:name="_Toc12801"/>
      <w:r>
        <w:rPr>
          <w:rFonts w:hint="eastAsia"/>
          <w:color w:val="000000" w:themeColor="text1"/>
          <w14:textFill>
            <w14:solidFill>
              <w14:schemeClr w14:val="tx1"/>
            </w14:solidFill>
          </w14:textFill>
        </w:rPr>
        <w:t>清洁生产分析</w:t>
      </w:r>
      <w:bookmarkEnd w:id="344"/>
      <w:bookmarkEnd w:id="345"/>
    </w:p>
    <w:p w14:paraId="073B2AA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所谓</w:t>
      </w:r>
      <w:r>
        <w:rPr>
          <w:color w:val="000000" w:themeColor="text1"/>
          <w14:textFill>
            <w14:solidFill>
              <w14:schemeClr w14:val="tx1"/>
            </w14:solidFill>
          </w14:textFill>
        </w:rPr>
        <w:t>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w:t>
      </w:r>
      <w:bookmarkStart w:id="346" w:name="_Toc445996487"/>
      <w:bookmarkStart w:id="347" w:name="_Toc445842172"/>
      <w:bookmarkStart w:id="348" w:name="_Toc445840430"/>
      <w:bookmarkStart w:id="349" w:name="_Toc30202"/>
      <w:r>
        <w:rPr>
          <w:rFonts w:hint="eastAsia"/>
          <w:color w:val="000000" w:themeColor="text1"/>
          <w14:textFill>
            <w14:solidFill>
              <w14:schemeClr w14:val="tx1"/>
            </w14:solidFill>
          </w14:textFill>
        </w:rPr>
        <w:t>清洁生产是一种新的、创造性的思维方式，它以节能、降耗、减污、增效为目标，以技术和管理为手段，通过对生产全过程的排污审核、筛选并实施污染防治措施，以消除和减少工业生产对人类健康与生态环境的影响，达到防治污染、提高经济效益的双重目的。</w:t>
      </w:r>
      <w:bookmarkEnd w:id="346"/>
      <w:bookmarkEnd w:id="347"/>
      <w:bookmarkEnd w:id="348"/>
      <w:bookmarkEnd w:id="349"/>
    </w:p>
    <w:p w14:paraId="03E0C20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（1）指标分析</w:t>
      </w:r>
    </w:p>
    <w:p w14:paraId="6080739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①指标</w:t>
      </w:r>
    </w:p>
    <w:p w14:paraId="3ADE402B">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《石油天然气开采行业清洁生产评价指标体系（试行）》进行</w:t>
      </w:r>
      <w:r>
        <w:rPr>
          <w:color w:val="000000" w:themeColor="text1"/>
          <w14:textFill>
            <w14:solidFill>
              <w14:schemeClr w14:val="tx1"/>
            </w14:solidFill>
          </w14:textFill>
        </w:rPr>
        <w:t>清洁生产水平评价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井下</w:t>
      </w:r>
      <w:r>
        <w:rPr>
          <w:rFonts w:hint="eastAsia"/>
          <w:color w:val="000000" w:themeColor="text1"/>
          <w14:textFill>
            <w14:solidFill>
              <w14:schemeClr w14:val="tx1"/>
            </w14:solidFill>
          </w14:textFill>
        </w:rPr>
        <w:t>作业</w:t>
      </w:r>
      <w:r>
        <w:rPr>
          <w:color w:val="000000" w:themeColor="text1"/>
          <w14:textFill>
            <w14:solidFill>
              <w14:schemeClr w14:val="tx1"/>
            </w14:solidFill>
          </w14:textFill>
        </w:rPr>
        <w:t>、采</w:t>
      </w:r>
      <w:r>
        <w:rPr>
          <w:rFonts w:hint="eastAsia"/>
          <w:color w:val="000000" w:themeColor="text1"/>
          <w14:textFill>
            <w14:solidFill>
              <w14:schemeClr w14:val="tx1"/>
            </w14:solidFill>
          </w14:textFill>
        </w:rPr>
        <w:t>油</w:t>
      </w:r>
      <w:r>
        <w:rPr>
          <w:color w:val="000000" w:themeColor="text1"/>
          <w14:textFill>
            <w14:solidFill>
              <w14:schemeClr w14:val="tx1"/>
            </w14:solidFill>
          </w14:textFill>
        </w:rPr>
        <w:t>作业定量和定性评价指标项目、权重及基准值</w:t>
      </w:r>
      <w:r>
        <w:rPr>
          <w:rFonts w:hint="eastAsia"/>
          <w:color w:val="000000" w:themeColor="text1"/>
          <w14:textFill>
            <w14:solidFill>
              <w14:schemeClr w14:val="tx1"/>
            </w14:solidFill>
          </w14:textFill>
        </w:rPr>
        <w:t>见表3.</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-1、表3.</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-2和表3.5-3</w:t>
      </w:r>
      <w:r>
        <w:rPr>
          <w:color w:val="000000" w:themeColor="text1"/>
          <w14:textFill>
            <w14:solidFill>
              <w14:schemeClr w14:val="tx1"/>
            </w14:solidFill>
          </w14:textFill>
        </w:rPr>
        <w:t>。</w:t>
      </w:r>
    </w:p>
    <w:p w14:paraId="7B5077D3">
      <w:pPr>
        <w:spacing w:line="520" w:lineRule="exact"/>
        <w:ind w:firstLine="480" w:firstLineChars="200"/>
        <w:rPr>
          <w:rFonts w:hint="eastAsia" w:ascii="宋体" w:hAnsi="宋体"/>
          <w:color w:val="000000" w:themeColor="text1"/>
          <w:sz w:val="24"/>
          <w:szCs w:val="24"/>
          <w14:textFill>
            <w14:solidFill>
              <w14:schemeClr w14:val="tx1"/>
            </w14:solidFill>
          </w14:textFill>
        </w:rPr>
      </w:pPr>
      <w:bookmarkStart w:id="350" w:name="_Hlk512531051"/>
      <w:r>
        <w:rPr>
          <w:rFonts w:hint="eastAsia" w:ascii="宋体" w:hAnsi="宋体"/>
          <w:color w:val="000000" w:themeColor="text1"/>
          <w:sz w:val="24"/>
          <w:szCs w:val="24"/>
          <w14:textFill>
            <w14:solidFill>
              <w14:schemeClr w14:val="tx1"/>
            </w14:solidFill>
          </w14:textFill>
        </w:rPr>
        <w:t>②</w:t>
      </w:r>
      <w:r>
        <w:rPr>
          <w:rFonts w:ascii="宋体" w:hAnsi="宋体"/>
          <w:color w:val="000000" w:themeColor="text1"/>
          <w:sz w:val="24"/>
          <w:szCs w:val="24"/>
          <w14:textFill>
            <w14:solidFill>
              <w14:schemeClr w14:val="tx1"/>
            </w14:solidFill>
          </w14:textFill>
        </w:rPr>
        <w:t>综合评价指数考核评分计算</w:t>
      </w:r>
      <w:bookmarkEnd w:id="350"/>
    </w:p>
    <w:p w14:paraId="5911E16C">
      <w:pPr>
        <w:spacing w:line="520" w:lineRule="exact"/>
        <w:ind w:firstLine="480" w:firstLineChars="200"/>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综合评价指数考核总分值的计算公式为：</w:t>
      </w:r>
    </w:p>
    <w:p w14:paraId="1E01CB2C">
      <w:pPr>
        <w:spacing w:line="520" w:lineRule="exact"/>
        <w:ind w:firstLine="480" w:firstLineChars="200"/>
        <w:rPr>
          <w:rFonts w:hint="eastAsia" w:ascii="宋体" w:hAnsi="宋体"/>
          <w:color w:val="000000" w:themeColor="text1"/>
          <w:sz w:val="24"/>
          <w:szCs w:val="24"/>
          <w:vertAlign w:val="subscript"/>
          <w14:textFill>
            <w14:solidFill>
              <w14:schemeClr w14:val="tx1"/>
            </w14:solidFill>
          </w14:textFill>
        </w:rPr>
      </w:pPr>
      <w:r>
        <w:rPr>
          <w:rFonts w:ascii="宋体" w:hAnsi="宋体"/>
          <w:color w:val="000000" w:themeColor="text1"/>
          <w:sz w:val="24"/>
          <w:szCs w:val="24"/>
          <w14:textFill>
            <w14:solidFill>
              <w14:schemeClr w14:val="tx1"/>
            </w14:solidFill>
          </w14:textFill>
        </w:rPr>
        <w:t xml:space="preserve">       P=0.6P</w:t>
      </w:r>
      <w:r>
        <w:rPr>
          <w:rFonts w:ascii="宋体" w:hAnsi="宋体"/>
          <w:color w:val="000000" w:themeColor="text1"/>
          <w:sz w:val="24"/>
          <w:szCs w:val="24"/>
          <w:vertAlign w:val="subscript"/>
          <w14:textFill>
            <w14:solidFill>
              <w14:schemeClr w14:val="tx1"/>
            </w14:solidFill>
          </w14:textFill>
        </w:rPr>
        <w:t>1</w:t>
      </w:r>
      <w:r>
        <w:rPr>
          <w:rFonts w:ascii="宋体" w:hAnsi="宋体"/>
          <w:color w:val="000000" w:themeColor="text1"/>
          <w:sz w:val="24"/>
          <w:szCs w:val="24"/>
          <w14:textFill>
            <w14:solidFill>
              <w14:schemeClr w14:val="tx1"/>
            </w14:solidFill>
          </w14:textFill>
        </w:rPr>
        <w:t>+0.4P</w:t>
      </w:r>
      <w:r>
        <w:rPr>
          <w:rFonts w:ascii="宋体" w:hAnsi="宋体"/>
          <w:color w:val="000000" w:themeColor="text1"/>
          <w:sz w:val="24"/>
          <w:szCs w:val="24"/>
          <w:vertAlign w:val="subscript"/>
          <w14:textFill>
            <w14:solidFill>
              <w14:schemeClr w14:val="tx1"/>
            </w14:solidFill>
          </w14:textFill>
        </w:rPr>
        <w:t>2</w:t>
      </w:r>
    </w:p>
    <w:p w14:paraId="45DC0FC8">
      <w:pPr>
        <w:spacing w:line="520" w:lineRule="exact"/>
        <w:ind w:firstLine="480" w:firstLineChars="200"/>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式中：P—清洁生产综合评价指数</w:t>
      </w:r>
    </w:p>
    <w:p w14:paraId="2656395C">
      <w:pPr>
        <w:spacing w:line="520" w:lineRule="exact"/>
        <w:ind w:firstLine="480" w:firstLineChars="200"/>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 xml:space="preserve">      P</w:t>
      </w:r>
      <w:r>
        <w:rPr>
          <w:rFonts w:ascii="宋体" w:hAnsi="宋体"/>
          <w:color w:val="000000" w:themeColor="text1"/>
          <w:sz w:val="24"/>
          <w:szCs w:val="24"/>
          <w:vertAlign w:val="subscript"/>
          <w14:textFill>
            <w14:solidFill>
              <w14:schemeClr w14:val="tx1"/>
            </w14:solidFill>
          </w14:textFill>
        </w:rPr>
        <w:t>1</w:t>
      </w:r>
      <w:r>
        <w:rPr>
          <w:rFonts w:ascii="宋体" w:hAnsi="宋体"/>
          <w:color w:val="000000" w:themeColor="text1"/>
          <w:sz w:val="24"/>
          <w:szCs w:val="24"/>
          <w14:textFill>
            <w14:solidFill>
              <w14:schemeClr w14:val="tx1"/>
            </w14:solidFill>
          </w14:textFill>
        </w:rPr>
        <w:t>—定量评价考核总分值；</w:t>
      </w:r>
    </w:p>
    <w:p w14:paraId="54E33FC2">
      <w:pPr>
        <w:spacing w:line="520" w:lineRule="exact"/>
        <w:ind w:firstLine="480" w:firstLineChars="200"/>
        <w:rPr>
          <w:color w:val="000000" w:themeColor="text1"/>
          <w14:textFill>
            <w14:solidFill>
              <w14:schemeClr w14:val="tx1"/>
            </w14:solidFill>
          </w14:textFill>
        </w:rPr>
      </w:pPr>
      <w:r>
        <w:rPr>
          <w:rFonts w:ascii="宋体" w:hAnsi="宋体"/>
          <w:color w:val="000000" w:themeColor="text1"/>
          <w:sz w:val="24"/>
          <w:szCs w:val="24"/>
          <w14:textFill>
            <w14:solidFill>
              <w14:schemeClr w14:val="tx1"/>
            </w14:solidFill>
          </w14:textFill>
        </w:rPr>
        <w:t xml:space="preserve">      P</w:t>
      </w:r>
      <w:r>
        <w:rPr>
          <w:rFonts w:ascii="宋体" w:hAnsi="宋体"/>
          <w:color w:val="000000" w:themeColor="text1"/>
          <w:sz w:val="24"/>
          <w:szCs w:val="24"/>
          <w:vertAlign w:val="subscript"/>
          <w14:textFill>
            <w14:solidFill>
              <w14:schemeClr w14:val="tx1"/>
            </w14:solidFill>
          </w14:textFill>
        </w:rPr>
        <w:t>2</w:t>
      </w:r>
      <w:r>
        <w:rPr>
          <w:rFonts w:ascii="宋体" w:hAnsi="宋体"/>
          <w:color w:val="000000" w:themeColor="text1"/>
          <w:sz w:val="24"/>
          <w:szCs w:val="24"/>
          <w14:textFill>
            <w14:solidFill>
              <w14:schemeClr w14:val="tx1"/>
            </w14:solidFill>
          </w14:textFill>
        </w:rPr>
        <w:t>—定性评价二级指标考核总分值。</w:t>
      </w:r>
    </w:p>
    <w:p w14:paraId="2D11DE4D">
      <w:pPr>
        <w:pStyle w:val="193"/>
        <w:rPr>
          <w:rFonts w:hint="eastAsia"/>
          <w:color w:val="000000" w:themeColor="text1"/>
          <w14:textFill>
            <w14:solidFill>
              <w14:schemeClr w14:val="tx1"/>
            </w14:solidFill>
          </w14:textFill>
        </w:rPr>
      </w:pPr>
      <w:bookmarkStart w:id="351" w:name="_Hlk147581819"/>
      <w:r>
        <w:rPr>
          <w:color w:val="000000" w:themeColor="text1"/>
          <w14:textFill>
            <w14:solidFill>
              <w14:schemeClr w14:val="tx1"/>
            </w14:solidFill>
          </w14:textFill>
        </w:rPr>
        <w:t>根据目前我国石油和天然气开采行业的实际情况，不同等级的清洁生产企业的综合评价指标</w:t>
      </w: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p>
    <w:p w14:paraId="218A0E3C">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石油和天然气开采行业不同等级清洁生产企业综合评价指数</w:t>
      </w:r>
    </w:p>
    <w:tbl>
      <w:tblPr>
        <w:tblStyle w:val="51"/>
        <w:tblW w:w="5000" w:type="pct"/>
        <w:tblInd w:w="0" w:type="dxa"/>
        <w:tblLayout w:type="autofit"/>
        <w:tblCellMar>
          <w:top w:w="0" w:type="dxa"/>
          <w:left w:w="108" w:type="dxa"/>
          <w:bottom w:w="0" w:type="dxa"/>
          <w:right w:w="108" w:type="dxa"/>
        </w:tblCellMar>
      </w:tblPr>
      <w:tblGrid>
        <w:gridCol w:w="4365"/>
        <w:gridCol w:w="4365"/>
      </w:tblGrid>
      <w:tr w14:paraId="6E9068A0">
        <w:tblPrEx>
          <w:tblCellMar>
            <w:top w:w="0" w:type="dxa"/>
            <w:left w:w="108" w:type="dxa"/>
            <w:bottom w:w="0" w:type="dxa"/>
            <w:right w:w="108" w:type="dxa"/>
          </w:tblCellMar>
        </w:tblPrEx>
        <w:trPr>
          <w:trHeight w:val="340" w:hRule="atLeast"/>
        </w:trPr>
        <w:tc>
          <w:tcPr>
            <w:tcW w:w="2500" w:type="pct"/>
            <w:tcBorders>
              <w:top w:val="single" w:color="auto" w:sz="12" w:space="0"/>
              <w:bottom w:val="single" w:color="auto" w:sz="4" w:space="0"/>
              <w:right w:val="single" w:color="auto" w:sz="4" w:space="0"/>
            </w:tcBorders>
            <w:vAlign w:val="center"/>
          </w:tcPr>
          <w:p w14:paraId="4850DA9B">
            <w:pPr>
              <w:adjustRightInd w:val="0"/>
              <w:snapToGrid w:val="0"/>
              <w:spacing w:line="300" w:lineRule="exact"/>
              <w:ind w:firstLine="480"/>
              <w:jc w:val="center"/>
              <w:rPr>
                <w:rFonts w:hint="eastAsia"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清洁生产企业等级</w:t>
            </w:r>
          </w:p>
        </w:tc>
        <w:tc>
          <w:tcPr>
            <w:tcW w:w="2500" w:type="pct"/>
            <w:tcBorders>
              <w:top w:val="single" w:color="auto" w:sz="12" w:space="0"/>
              <w:left w:val="single" w:color="auto" w:sz="4" w:space="0"/>
              <w:bottom w:val="single" w:color="auto" w:sz="4" w:space="0"/>
            </w:tcBorders>
            <w:vAlign w:val="center"/>
          </w:tcPr>
          <w:p w14:paraId="60DF38BC">
            <w:pPr>
              <w:adjustRightInd w:val="0"/>
              <w:snapToGrid w:val="0"/>
              <w:spacing w:line="300" w:lineRule="exact"/>
              <w:ind w:firstLine="480"/>
              <w:jc w:val="center"/>
              <w:rPr>
                <w:rFonts w:hint="eastAsia"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清洁生产综合评价指数</w:t>
            </w:r>
          </w:p>
        </w:tc>
      </w:tr>
      <w:tr w14:paraId="51250669">
        <w:tblPrEx>
          <w:tblCellMar>
            <w:top w:w="0" w:type="dxa"/>
            <w:left w:w="108" w:type="dxa"/>
            <w:bottom w:w="0" w:type="dxa"/>
            <w:right w:w="108" w:type="dxa"/>
          </w:tblCellMar>
        </w:tblPrEx>
        <w:trPr>
          <w:trHeight w:val="340" w:hRule="atLeast"/>
        </w:trPr>
        <w:tc>
          <w:tcPr>
            <w:tcW w:w="2500" w:type="pct"/>
            <w:tcBorders>
              <w:top w:val="single" w:color="auto" w:sz="4" w:space="0"/>
              <w:bottom w:val="single" w:color="auto" w:sz="4" w:space="0"/>
              <w:right w:val="single" w:color="auto" w:sz="4" w:space="0"/>
            </w:tcBorders>
            <w:vAlign w:val="center"/>
          </w:tcPr>
          <w:p w14:paraId="350AA448">
            <w:pPr>
              <w:adjustRightInd w:val="0"/>
              <w:snapToGrid w:val="0"/>
              <w:spacing w:line="300" w:lineRule="exact"/>
              <w:ind w:firstLine="480"/>
              <w:jc w:val="center"/>
              <w:rPr>
                <w:rFonts w:hint="eastAsia"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清洁生产先进企业</w:t>
            </w:r>
          </w:p>
        </w:tc>
        <w:tc>
          <w:tcPr>
            <w:tcW w:w="2500" w:type="pct"/>
            <w:tcBorders>
              <w:top w:val="single" w:color="auto" w:sz="4" w:space="0"/>
              <w:left w:val="single" w:color="auto" w:sz="4" w:space="0"/>
              <w:bottom w:val="single" w:color="auto" w:sz="4" w:space="0"/>
            </w:tcBorders>
            <w:vAlign w:val="center"/>
          </w:tcPr>
          <w:p w14:paraId="744D3632">
            <w:pPr>
              <w:adjustRightInd w:val="0"/>
              <w:snapToGrid w:val="0"/>
              <w:spacing w:line="300" w:lineRule="exact"/>
              <w:ind w:firstLine="480"/>
              <w:jc w:val="center"/>
              <w:rPr>
                <w:rFonts w:hint="eastAsia"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P≥90</w:t>
            </w:r>
          </w:p>
        </w:tc>
      </w:tr>
      <w:tr w14:paraId="49BF41CE">
        <w:tblPrEx>
          <w:tblCellMar>
            <w:top w:w="0" w:type="dxa"/>
            <w:left w:w="108" w:type="dxa"/>
            <w:bottom w:w="0" w:type="dxa"/>
            <w:right w:w="108" w:type="dxa"/>
          </w:tblCellMar>
        </w:tblPrEx>
        <w:trPr>
          <w:trHeight w:val="340" w:hRule="atLeast"/>
        </w:trPr>
        <w:tc>
          <w:tcPr>
            <w:tcW w:w="2500" w:type="pct"/>
            <w:tcBorders>
              <w:top w:val="single" w:color="auto" w:sz="4" w:space="0"/>
              <w:bottom w:val="single" w:color="auto" w:sz="12" w:space="0"/>
              <w:right w:val="single" w:color="auto" w:sz="4" w:space="0"/>
            </w:tcBorders>
            <w:vAlign w:val="center"/>
          </w:tcPr>
          <w:p w14:paraId="1473D9DE">
            <w:pPr>
              <w:adjustRightInd w:val="0"/>
              <w:snapToGrid w:val="0"/>
              <w:spacing w:line="300" w:lineRule="exact"/>
              <w:ind w:firstLine="480"/>
              <w:jc w:val="center"/>
              <w:rPr>
                <w:rFonts w:hint="eastAsia"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清洁生产企业</w:t>
            </w:r>
          </w:p>
        </w:tc>
        <w:tc>
          <w:tcPr>
            <w:tcW w:w="2500" w:type="pct"/>
            <w:tcBorders>
              <w:top w:val="single" w:color="auto" w:sz="4" w:space="0"/>
              <w:left w:val="single" w:color="auto" w:sz="4" w:space="0"/>
              <w:bottom w:val="single" w:color="auto" w:sz="12" w:space="0"/>
            </w:tcBorders>
            <w:vAlign w:val="center"/>
          </w:tcPr>
          <w:p w14:paraId="3B79C675">
            <w:pPr>
              <w:adjustRightInd w:val="0"/>
              <w:snapToGrid w:val="0"/>
              <w:spacing w:line="300" w:lineRule="exact"/>
              <w:ind w:firstLine="480"/>
              <w:jc w:val="center"/>
              <w:rPr>
                <w:rFonts w:hint="eastAsia"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75≤P＜90</w:t>
            </w:r>
          </w:p>
        </w:tc>
      </w:tr>
    </w:tbl>
    <w:p w14:paraId="494C6ABB">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w:t>
      </w:r>
      <w:r>
        <w:rPr>
          <w:color w:val="000000" w:themeColor="text1"/>
          <w14:textFill>
            <w14:solidFill>
              <w14:schemeClr w14:val="tx1"/>
            </w14:solidFill>
          </w14:textFill>
        </w:rPr>
        <w:t>作业：定量指标10</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分，定性指标</w:t>
      </w:r>
      <w:r>
        <w:rPr>
          <w:rFonts w:hint="eastAsia"/>
          <w:color w:val="000000" w:themeColor="text1"/>
          <w14:textFill>
            <w14:solidFill>
              <w14:schemeClr w14:val="tx1"/>
            </w14:solidFill>
          </w14:textFill>
        </w:rPr>
        <w:t>100</w:t>
      </w:r>
      <w:r>
        <w:rPr>
          <w:color w:val="000000" w:themeColor="text1"/>
          <w14:textFill>
            <w14:solidFill>
              <w14:schemeClr w14:val="tx1"/>
            </w14:solidFill>
          </w14:textFill>
        </w:rPr>
        <w:t>分，综合评价</w:t>
      </w:r>
      <w:r>
        <w:rPr>
          <w:rFonts w:hint="eastAsia"/>
          <w:color w:val="000000" w:themeColor="text1"/>
          <w14:textFill>
            <w14:solidFill>
              <w14:schemeClr w14:val="tx1"/>
            </w14:solidFill>
          </w14:textFill>
        </w:rPr>
        <w:t>100</w:t>
      </w:r>
      <w:r>
        <w:rPr>
          <w:color w:val="000000" w:themeColor="text1"/>
          <w14:textFill>
            <w14:solidFill>
              <w14:schemeClr w14:val="tx1"/>
            </w14:solidFill>
          </w14:textFill>
        </w:rPr>
        <w:t>分。</w:t>
      </w:r>
    </w:p>
    <w:p w14:paraId="13A75B2F">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井下作业：定量指标9</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分，定性指标</w:t>
      </w:r>
      <w:r>
        <w:rPr>
          <w:rFonts w:hint="eastAsia"/>
          <w:color w:val="000000" w:themeColor="text1"/>
          <w14:textFill>
            <w14:solidFill>
              <w14:schemeClr w14:val="tx1"/>
            </w14:solidFill>
          </w14:textFill>
        </w:rPr>
        <w:t>100</w:t>
      </w:r>
      <w:r>
        <w:rPr>
          <w:color w:val="000000" w:themeColor="text1"/>
          <w14:textFill>
            <w14:solidFill>
              <w14:schemeClr w14:val="tx1"/>
            </w14:solidFill>
          </w14:textFill>
        </w:rPr>
        <w:t>分，综合评价94分。</w:t>
      </w:r>
    </w:p>
    <w:p w14:paraId="1661C5FC">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采</w:t>
      </w:r>
      <w:r>
        <w:rPr>
          <w:rFonts w:hint="eastAsia"/>
          <w:color w:val="000000" w:themeColor="text1"/>
          <w14:textFill>
            <w14:solidFill>
              <w14:schemeClr w14:val="tx1"/>
            </w14:solidFill>
          </w14:textFill>
        </w:rPr>
        <w:t>油</w:t>
      </w:r>
      <w:r>
        <w:rPr>
          <w:color w:val="000000" w:themeColor="text1"/>
          <w14:textFill>
            <w14:solidFill>
              <w14:schemeClr w14:val="tx1"/>
            </w14:solidFill>
          </w14:textFill>
        </w:rPr>
        <w:t>和集输：定量指标</w:t>
      </w:r>
      <w:r>
        <w:rPr>
          <w:rFonts w:hint="eastAsia"/>
          <w:color w:val="000000" w:themeColor="text1"/>
          <w14:textFill>
            <w14:solidFill>
              <w14:schemeClr w14:val="tx1"/>
            </w14:solidFill>
          </w14:textFill>
        </w:rPr>
        <w:t>100</w:t>
      </w:r>
      <w:r>
        <w:rPr>
          <w:color w:val="000000" w:themeColor="text1"/>
          <w14:textFill>
            <w14:solidFill>
              <w14:schemeClr w14:val="tx1"/>
            </w14:solidFill>
          </w14:textFill>
        </w:rPr>
        <w:t>分，定性指标100分，综合评价</w:t>
      </w:r>
      <w:r>
        <w:rPr>
          <w:rFonts w:hint="eastAsia"/>
          <w:color w:val="000000" w:themeColor="text1"/>
          <w14:textFill>
            <w14:solidFill>
              <w14:schemeClr w14:val="tx1"/>
            </w14:solidFill>
          </w14:textFill>
        </w:rPr>
        <w:t>100</w:t>
      </w:r>
      <w:r>
        <w:rPr>
          <w:color w:val="000000" w:themeColor="text1"/>
          <w14:textFill>
            <w14:solidFill>
              <w14:schemeClr w14:val="tx1"/>
            </w14:solidFill>
          </w14:textFill>
        </w:rPr>
        <w:t>分。</w:t>
      </w:r>
    </w:p>
    <w:p w14:paraId="3FF518F5">
      <w:pPr>
        <w:spacing w:line="520" w:lineRule="exact"/>
        <w:ind w:firstLine="480" w:firstLineChars="200"/>
        <w:rPr>
          <w:rFonts w:hint="eastAsia" w:ascii="宋体" w:hAnsi="宋体"/>
          <w:color w:val="000000" w:themeColor="text1"/>
          <w14:textFill>
            <w14:solidFill>
              <w14:schemeClr w14:val="tx1"/>
            </w14:solidFill>
          </w14:textFill>
        </w:rPr>
      </w:pPr>
      <w:r>
        <w:rPr>
          <w:rFonts w:ascii="宋体" w:hAnsi="宋体"/>
          <w:color w:val="000000" w:themeColor="text1"/>
          <w:kern w:val="0"/>
          <w:sz w:val="24"/>
          <w:szCs w:val="24"/>
          <w14:textFill>
            <w14:solidFill>
              <w14:schemeClr w14:val="tx1"/>
            </w14:solidFill>
          </w14:textFill>
        </w:rPr>
        <w:t>根据综合评价指数得分判定，</w:t>
      </w:r>
      <w:r>
        <w:rPr>
          <w:rFonts w:hint="eastAsia" w:ascii="宋体" w:hAnsi="宋体"/>
          <w:color w:val="000000" w:themeColor="text1"/>
          <w:kern w:val="0"/>
          <w:sz w:val="24"/>
          <w:szCs w:val="24"/>
          <w14:textFill>
            <w14:solidFill>
              <w14:schemeClr w14:val="tx1"/>
            </w14:solidFill>
          </w14:textFill>
        </w:rPr>
        <w:t>本项目</w:t>
      </w:r>
      <w:r>
        <w:rPr>
          <w:rFonts w:ascii="宋体" w:hAnsi="宋体"/>
          <w:color w:val="000000" w:themeColor="text1"/>
          <w:kern w:val="0"/>
          <w:sz w:val="24"/>
          <w:szCs w:val="24"/>
          <w14:textFill>
            <w14:solidFill>
              <w14:schemeClr w14:val="tx1"/>
            </w14:solidFill>
          </w14:textFill>
        </w:rPr>
        <w:t>清洁生产企业等级为：清洁生产</w:t>
      </w:r>
      <w:r>
        <w:rPr>
          <w:rFonts w:hint="eastAsia" w:ascii="宋体" w:hAnsi="宋体"/>
          <w:color w:val="000000" w:themeColor="text1"/>
          <w:kern w:val="0"/>
          <w:sz w:val="24"/>
          <w:szCs w:val="24"/>
          <w14:textFill>
            <w14:solidFill>
              <w14:schemeClr w14:val="tx1"/>
            </w14:solidFill>
          </w14:textFill>
        </w:rPr>
        <w:t>先进</w:t>
      </w:r>
      <w:r>
        <w:rPr>
          <w:rFonts w:ascii="宋体" w:hAnsi="宋体"/>
          <w:color w:val="000000" w:themeColor="text1"/>
          <w:kern w:val="0"/>
          <w:sz w:val="24"/>
          <w:szCs w:val="24"/>
          <w14:textFill>
            <w14:solidFill>
              <w14:schemeClr w14:val="tx1"/>
            </w14:solidFill>
          </w14:textFill>
        </w:rPr>
        <w:t>企业。</w:t>
      </w:r>
    </w:p>
    <w:bookmarkEnd w:id="351"/>
    <w:p w14:paraId="38CB42A0">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本工程</w:t>
      </w:r>
      <w:r>
        <w:rPr>
          <w:rFonts w:hint="eastAsia"/>
          <w:color w:val="000000" w:themeColor="text1"/>
          <w14:textFill>
            <w14:solidFill>
              <w14:schemeClr w14:val="tx1"/>
            </w14:solidFill>
          </w14:textFill>
        </w:rPr>
        <w:t>采用的清洁生产技术遵循“减量化、再利用、资源化”的原则。针对施工期、运营期和退役期均采取了避免和减缓不利环境影响的措施，高效利用并节约使用各类能源、资源（水、土地等）；制定合理有效的废物管理方案，采用源削减技术，减少井下作业、油气开采过程中固体废物、废水、废气等污染物的产生量，从源头上减少了污染物的排放。</w:t>
      </w:r>
    </w:p>
    <w:p w14:paraId="68C7C2DF">
      <w:pPr>
        <w:pStyle w:val="7"/>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7" w:charSpace="0"/>
        </w:sectPr>
      </w:pPr>
    </w:p>
    <w:p w14:paraId="528BE18B">
      <w:pPr>
        <w:pStyle w:val="112"/>
        <w:rPr>
          <w:rFonts w:hint="eastAsia"/>
          <w:color w:val="000000" w:themeColor="text1"/>
          <w14:textFill>
            <w14:solidFill>
              <w14:schemeClr w14:val="tx1"/>
            </w14:solidFill>
          </w14:textFill>
        </w:rPr>
      </w:pPr>
      <w:bookmarkStart w:id="352" w:name="_Ref78835907"/>
      <w:r>
        <w:rPr>
          <w:rFonts w:hint="eastAsia"/>
          <w:color w:val="000000" w:themeColor="text1"/>
          <w14:textFill>
            <w14:solidFill>
              <w14:schemeClr w14:val="tx1"/>
            </w14:solidFill>
          </w14:textFill>
        </w:rPr>
        <w:t>表3</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钻井作业定量和定性评价指标项目、权重及基准值</w:t>
      </w:r>
    </w:p>
    <w:tbl>
      <w:tblPr>
        <w:tblStyle w:val="51"/>
        <w:tblW w:w="1418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61"/>
        <w:gridCol w:w="883"/>
        <w:gridCol w:w="252"/>
        <w:gridCol w:w="1134"/>
        <w:gridCol w:w="457"/>
        <w:gridCol w:w="2379"/>
        <w:gridCol w:w="456"/>
        <w:gridCol w:w="1134"/>
        <w:gridCol w:w="2381"/>
        <w:gridCol w:w="737"/>
        <w:gridCol w:w="397"/>
        <w:gridCol w:w="596"/>
        <w:gridCol w:w="713"/>
      </w:tblGrid>
      <w:tr w14:paraId="1CB55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474" w:type="dxa"/>
            <w:gridSpan w:val="10"/>
            <w:vAlign w:val="center"/>
          </w:tcPr>
          <w:p w14:paraId="5B5866F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定量指标</w:t>
            </w:r>
          </w:p>
        </w:tc>
        <w:tc>
          <w:tcPr>
            <w:tcW w:w="1706" w:type="dxa"/>
            <w:gridSpan w:val="3"/>
            <w:vAlign w:val="center"/>
          </w:tcPr>
          <w:p w14:paraId="6973DB6A">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本项目</w:t>
            </w:r>
          </w:p>
        </w:tc>
      </w:tr>
      <w:tr w14:paraId="49DED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Align w:val="center"/>
          </w:tcPr>
          <w:p w14:paraId="735A5884">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一级指标</w:t>
            </w:r>
          </w:p>
        </w:tc>
        <w:tc>
          <w:tcPr>
            <w:tcW w:w="883" w:type="dxa"/>
            <w:vAlign w:val="center"/>
          </w:tcPr>
          <w:p w14:paraId="6C02BE8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权重值</w:t>
            </w:r>
          </w:p>
        </w:tc>
        <w:tc>
          <w:tcPr>
            <w:tcW w:w="1843" w:type="dxa"/>
            <w:gridSpan w:val="3"/>
            <w:vAlign w:val="center"/>
          </w:tcPr>
          <w:p w14:paraId="4053532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二级指标</w:t>
            </w:r>
          </w:p>
        </w:tc>
        <w:tc>
          <w:tcPr>
            <w:tcW w:w="2835" w:type="dxa"/>
            <w:gridSpan w:val="2"/>
            <w:vAlign w:val="center"/>
          </w:tcPr>
          <w:p w14:paraId="57A8BAA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单位</w:t>
            </w:r>
          </w:p>
        </w:tc>
        <w:tc>
          <w:tcPr>
            <w:tcW w:w="1134" w:type="dxa"/>
            <w:vAlign w:val="center"/>
          </w:tcPr>
          <w:p w14:paraId="7F0CA1AE">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权重分值</w:t>
            </w:r>
          </w:p>
        </w:tc>
        <w:tc>
          <w:tcPr>
            <w:tcW w:w="3118" w:type="dxa"/>
            <w:gridSpan w:val="2"/>
            <w:vAlign w:val="center"/>
          </w:tcPr>
          <w:p w14:paraId="22A37F5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评价基准值</w:t>
            </w:r>
          </w:p>
        </w:tc>
        <w:tc>
          <w:tcPr>
            <w:tcW w:w="993" w:type="dxa"/>
            <w:gridSpan w:val="2"/>
            <w:vAlign w:val="center"/>
          </w:tcPr>
          <w:p w14:paraId="7558A1B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估算值</w:t>
            </w:r>
          </w:p>
        </w:tc>
        <w:tc>
          <w:tcPr>
            <w:tcW w:w="713" w:type="dxa"/>
            <w:vAlign w:val="center"/>
          </w:tcPr>
          <w:p w14:paraId="6441C2E6">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评分</w:t>
            </w:r>
          </w:p>
        </w:tc>
      </w:tr>
      <w:tr w14:paraId="12761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Merge w:val="restart"/>
            <w:vAlign w:val="center"/>
          </w:tcPr>
          <w:p w14:paraId="054A1B0E">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（1）资源和能源消耗指标</w:t>
            </w:r>
          </w:p>
        </w:tc>
        <w:tc>
          <w:tcPr>
            <w:tcW w:w="883" w:type="dxa"/>
            <w:vMerge w:val="restart"/>
            <w:vAlign w:val="center"/>
          </w:tcPr>
          <w:p w14:paraId="06FC93A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30</w:t>
            </w:r>
          </w:p>
        </w:tc>
        <w:tc>
          <w:tcPr>
            <w:tcW w:w="1843" w:type="dxa"/>
            <w:gridSpan w:val="3"/>
            <w:vAlign w:val="center"/>
          </w:tcPr>
          <w:p w14:paraId="22B802B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占地面积</w:t>
            </w:r>
          </w:p>
        </w:tc>
        <w:tc>
          <w:tcPr>
            <w:tcW w:w="2835" w:type="dxa"/>
            <w:gridSpan w:val="2"/>
            <w:vAlign w:val="center"/>
          </w:tcPr>
          <w:p w14:paraId="084C2888">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m</w:t>
            </w:r>
            <w:r>
              <w:rPr>
                <w:rFonts w:ascii="宋体" w:hAnsi="宋体"/>
                <w:color w:val="000000" w:themeColor="text1"/>
                <w:spacing w:val="4"/>
                <w:vertAlign w:val="superscript"/>
                <w14:textFill>
                  <w14:solidFill>
                    <w14:schemeClr w14:val="tx1"/>
                  </w14:solidFill>
                </w14:textFill>
              </w:rPr>
              <w:t>2</w:t>
            </w:r>
          </w:p>
        </w:tc>
        <w:tc>
          <w:tcPr>
            <w:tcW w:w="1134" w:type="dxa"/>
            <w:vAlign w:val="center"/>
          </w:tcPr>
          <w:p w14:paraId="6CBB8FE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15</w:t>
            </w:r>
          </w:p>
        </w:tc>
        <w:tc>
          <w:tcPr>
            <w:tcW w:w="3118" w:type="dxa"/>
            <w:gridSpan w:val="2"/>
            <w:vAlign w:val="center"/>
          </w:tcPr>
          <w:p w14:paraId="728D122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符合行业标准要求</w:t>
            </w:r>
          </w:p>
        </w:tc>
        <w:tc>
          <w:tcPr>
            <w:tcW w:w="993" w:type="dxa"/>
            <w:gridSpan w:val="2"/>
            <w:vAlign w:val="center"/>
          </w:tcPr>
          <w:p w14:paraId="28FE055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符合</w:t>
            </w:r>
          </w:p>
        </w:tc>
        <w:tc>
          <w:tcPr>
            <w:tcW w:w="713" w:type="dxa"/>
            <w:vAlign w:val="center"/>
          </w:tcPr>
          <w:p w14:paraId="341E88E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15</w:t>
            </w:r>
          </w:p>
        </w:tc>
      </w:tr>
      <w:tr w14:paraId="20415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Merge w:val="continue"/>
            <w:vAlign w:val="center"/>
          </w:tcPr>
          <w:p w14:paraId="5655AD82">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883" w:type="dxa"/>
            <w:vMerge w:val="continue"/>
            <w:vAlign w:val="center"/>
          </w:tcPr>
          <w:p w14:paraId="2FEE472B">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843" w:type="dxa"/>
            <w:gridSpan w:val="3"/>
            <w:vAlign w:val="center"/>
          </w:tcPr>
          <w:p w14:paraId="632D0886">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新鲜水消耗</w:t>
            </w:r>
          </w:p>
        </w:tc>
        <w:tc>
          <w:tcPr>
            <w:tcW w:w="2835" w:type="dxa"/>
            <w:gridSpan w:val="2"/>
            <w:vAlign w:val="center"/>
          </w:tcPr>
          <w:p w14:paraId="51ACD698">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t/100m标准进尺</w:t>
            </w:r>
          </w:p>
        </w:tc>
        <w:tc>
          <w:tcPr>
            <w:tcW w:w="1134" w:type="dxa"/>
            <w:vAlign w:val="center"/>
          </w:tcPr>
          <w:p w14:paraId="6EB15DD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15</w:t>
            </w:r>
          </w:p>
        </w:tc>
        <w:tc>
          <w:tcPr>
            <w:tcW w:w="3118" w:type="dxa"/>
            <w:gridSpan w:val="2"/>
            <w:vAlign w:val="center"/>
          </w:tcPr>
          <w:p w14:paraId="256A963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≤25</w:t>
            </w:r>
          </w:p>
        </w:tc>
        <w:tc>
          <w:tcPr>
            <w:tcW w:w="993" w:type="dxa"/>
            <w:gridSpan w:val="2"/>
            <w:vAlign w:val="center"/>
          </w:tcPr>
          <w:p w14:paraId="0510A48E">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符合</w:t>
            </w:r>
          </w:p>
        </w:tc>
        <w:tc>
          <w:tcPr>
            <w:tcW w:w="713" w:type="dxa"/>
            <w:vAlign w:val="center"/>
          </w:tcPr>
          <w:p w14:paraId="6A858B6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15</w:t>
            </w:r>
          </w:p>
        </w:tc>
      </w:tr>
      <w:tr w14:paraId="5ABC7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661" w:type="dxa"/>
            <w:vAlign w:val="center"/>
          </w:tcPr>
          <w:p w14:paraId="04C66BC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（2）生产技术特征指标</w:t>
            </w:r>
          </w:p>
        </w:tc>
        <w:tc>
          <w:tcPr>
            <w:tcW w:w="883" w:type="dxa"/>
            <w:vAlign w:val="center"/>
          </w:tcPr>
          <w:p w14:paraId="4B222CFA">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843" w:type="dxa"/>
            <w:gridSpan w:val="3"/>
            <w:vAlign w:val="center"/>
          </w:tcPr>
          <w:p w14:paraId="792451A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固井质量合格率</w:t>
            </w:r>
          </w:p>
        </w:tc>
        <w:tc>
          <w:tcPr>
            <w:tcW w:w="2835" w:type="dxa"/>
            <w:gridSpan w:val="2"/>
            <w:vAlign w:val="center"/>
          </w:tcPr>
          <w:p w14:paraId="015E5868">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w:t>
            </w:r>
          </w:p>
        </w:tc>
        <w:tc>
          <w:tcPr>
            <w:tcW w:w="1134" w:type="dxa"/>
            <w:vAlign w:val="center"/>
          </w:tcPr>
          <w:p w14:paraId="1B72395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3118" w:type="dxa"/>
            <w:gridSpan w:val="2"/>
            <w:vAlign w:val="center"/>
          </w:tcPr>
          <w:p w14:paraId="080DA05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≥95%</w:t>
            </w:r>
          </w:p>
        </w:tc>
        <w:tc>
          <w:tcPr>
            <w:tcW w:w="993" w:type="dxa"/>
            <w:gridSpan w:val="2"/>
            <w:vAlign w:val="center"/>
          </w:tcPr>
          <w:p w14:paraId="0DCDB6CA">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100</w:t>
            </w:r>
          </w:p>
        </w:tc>
        <w:tc>
          <w:tcPr>
            <w:tcW w:w="713" w:type="dxa"/>
            <w:vAlign w:val="center"/>
          </w:tcPr>
          <w:p w14:paraId="27EA188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5274F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2661" w:type="dxa"/>
            <w:vMerge w:val="restart"/>
            <w:vAlign w:val="center"/>
          </w:tcPr>
          <w:p w14:paraId="0AD53A27">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（3）资源综合利用指标</w:t>
            </w:r>
          </w:p>
        </w:tc>
        <w:tc>
          <w:tcPr>
            <w:tcW w:w="883" w:type="dxa"/>
            <w:vMerge w:val="restart"/>
            <w:vAlign w:val="center"/>
          </w:tcPr>
          <w:p w14:paraId="31249A6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30</w:t>
            </w:r>
          </w:p>
        </w:tc>
        <w:tc>
          <w:tcPr>
            <w:tcW w:w="1843" w:type="dxa"/>
            <w:gridSpan w:val="3"/>
            <w:vAlign w:val="center"/>
          </w:tcPr>
          <w:p w14:paraId="6444FA2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钻井液循环率</w:t>
            </w:r>
          </w:p>
        </w:tc>
        <w:tc>
          <w:tcPr>
            <w:tcW w:w="2835" w:type="dxa"/>
            <w:gridSpan w:val="2"/>
            <w:vAlign w:val="center"/>
          </w:tcPr>
          <w:p w14:paraId="453E5B2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井深：2000m以下；2000</w:t>
            </w:r>
            <w:r>
              <w:rPr>
                <w:rFonts w:hint="eastAsia" w:ascii="宋体" w:hAnsi="宋体"/>
                <w:color w:val="000000" w:themeColor="text1"/>
                <w:spacing w:val="4"/>
                <w14:textFill>
                  <w14:solidFill>
                    <w14:schemeClr w14:val="tx1"/>
                  </w14:solidFill>
                </w14:textFill>
              </w:rPr>
              <w:t>m～</w:t>
            </w:r>
            <w:r>
              <w:rPr>
                <w:rFonts w:ascii="宋体" w:hAnsi="宋体"/>
                <w:color w:val="000000" w:themeColor="text1"/>
                <w:spacing w:val="4"/>
                <w14:textFill>
                  <w14:solidFill>
                    <w14:schemeClr w14:val="tx1"/>
                  </w14:solidFill>
                </w14:textFill>
              </w:rPr>
              <w:t>300</w:t>
            </w:r>
            <w:r>
              <w:rPr>
                <w:rFonts w:hint="eastAsia" w:ascii="宋体" w:hAnsi="宋体"/>
                <w:color w:val="000000" w:themeColor="text1"/>
                <w:spacing w:val="4"/>
                <w14:textFill>
                  <w14:solidFill>
                    <w14:schemeClr w14:val="tx1"/>
                  </w14:solidFill>
                </w14:textFill>
              </w:rPr>
              <w:t>0m</w:t>
            </w:r>
            <w:r>
              <w:rPr>
                <w:rFonts w:ascii="宋体" w:hAnsi="宋体"/>
                <w:color w:val="000000" w:themeColor="text1"/>
                <w:spacing w:val="4"/>
                <w14:textFill>
                  <w14:solidFill>
                    <w14:schemeClr w14:val="tx1"/>
                  </w14:solidFill>
                </w14:textFill>
              </w:rPr>
              <w:t>；3000</w:t>
            </w:r>
            <w:r>
              <w:rPr>
                <w:rFonts w:hint="eastAsia" w:ascii="宋体" w:hAnsi="宋体"/>
                <w:color w:val="000000" w:themeColor="text1"/>
                <w:spacing w:val="4"/>
                <w14:textFill>
                  <w14:solidFill>
                    <w14:schemeClr w14:val="tx1"/>
                  </w14:solidFill>
                </w14:textFill>
              </w:rPr>
              <w:t>m</w:t>
            </w:r>
            <w:r>
              <w:rPr>
                <w:rFonts w:ascii="宋体" w:hAnsi="宋体"/>
                <w:color w:val="000000" w:themeColor="text1"/>
                <w:spacing w:val="4"/>
                <w14:textFill>
                  <w14:solidFill>
                    <w14:schemeClr w14:val="tx1"/>
                  </w14:solidFill>
                </w14:textFill>
              </w:rPr>
              <w:t>以上</w:t>
            </w:r>
          </w:p>
        </w:tc>
        <w:tc>
          <w:tcPr>
            <w:tcW w:w="1134" w:type="dxa"/>
            <w:vAlign w:val="center"/>
          </w:tcPr>
          <w:p w14:paraId="043ABF1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3118" w:type="dxa"/>
            <w:gridSpan w:val="2"/>
            <w:vAlign w:val="center"/>
          </w:tcPr>
          <w:p w14:paraId="5CC2388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≥40%；≥50%；≥60%</w:t>
            </w:r>
          </w:p>
        </w:tc>
        <w:tc>
          <w:tcPr>
            <w:tcW w:w="993" w:type="dxa"/>
            <w:gridSpan w:val="2"/>
            <w:vAlign w:val="center"/>
          </w:tcPr>
          <w:p w14:paraId="21FFD5C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95</w:t>
            </w:r>
          </w:p>
        </w:tc>
        <w:tc>
          <w:tcPr>
            <w:tcW w:w="713" w:type="dxa"/>
            <w:vAlign w:val="center"/>
          </w:tcPr>
          <w:p w14:paraId="6EB936B7">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r>
      <w:tr w14:paraId="1CDFCF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Merge w:val="continue"/>
            <w:vAlign w:val="center"/>
          </w:tcPr>
          <w:p w14:paraId="6CD787F6">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883" w:type="dxa"/>
            <w:vMerge w:val="continue"/>
            <w:vAlign w:val="center"/>
          </w:tcPr>
          <w:p w14:paraId="2387CDAC">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843" w:type="dxa"/>
            <w:gridSpan w:val="3"/>
            <w:vAlign w:val="center"/>
          </w:tcPr>
          <w:p w14:paraId="2BEA0924">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柴油机效率</w:t>
            </w:r>
          </w:p>
        </w:tc>
        <w:tc>
          <w:tcPr>
            <w:tcW w:w="2835" w:type="dxa"/>
            <w:gridSpan w:val="2"/>
            <w:vAlign w:val="center"/>
          </w:tcPr>
          <w:p w14:paraId="4C6D72C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w:t>
            </w:r>
          </w:p>
        </w:tc>
        <w:tc>
          <w:tcPr>
            <w:tcW w:w="1134" w:type="dxa"/>
            <w:vAlign w:val="center"/>
          </w:tcPr>
          <w:p w14:paraId="1DD85DA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3118" w:type="dxa"/>
            <w:gridSpan w:val="2"/>
            <w:vAlign w:val="center"/>
          </w:tcPr>
          <w:p w14:paraId="108DE66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≥80</w:t>
            </w:r>
          </w:p>
        </w:tc>
        <w:tc>
          <w:tcPr>
            <w:tcW w:w="993" w:type="dxa"/>
            <w:gridSpan w:val="2"/>
            <w:vAlign w:val="center"/>
          </w:tcPr>
          <w:p w14:paraId="2ECDA8C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＞85</w:t>
            </w:r>
          </w:p>
        </w:tc>
        <w:tc>
          <w:tcPr>
            <w:tcW w:w="713" w:type="dxa"/>
            <w:vAlign w:val="center"/>
          </w:tcPr>
          <w:p w14:paraId="22CFE70E">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10</w:t>
            </w:r>
          </w:p>
        </w:tc>
      </w:tr>
      <w:tr w14:paraId="6C0FB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Merge w:val="continue"/>
            <w:vAlign w:val="center"/>
          </w:tcPr>
          <w:p w14:paraId="513AF6D3">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883" w:type="dxa"/>
            <w:vMerge w:val="continue"/>
            <w:vAlign w:val="center"/>
          </w:tcPr>
          <w:p w14:paraId="5E1BD54A">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843" w:type="dxa"/>
            <w:gridSpan w:val="3"/>
            <w:vAlign w:val="center"/>
          </w:tcPr>
          <w:p w14:paraId="6CD2738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污油回收率</w:t>
            </w:r>
          </w:p>
        </w:tc>
        <w:tc>
          <w:tcPr>
            <w:tcW w:w="2835" w:type="dxa"/>
            <w:gridSpan w:val="2"/>
            <w:vAlign w:val="center"/>
          </w:tcPr>
          <w:p w14:paraId="60A65D8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w:t>
            </w:r>
          </w:p>
        </w:tc>
        <w:tc>
          <w:tcPr>
            <w:tcW w:w="1134" w:type="dxa"/>
            <w:vAlign w:val="center"/>
          </w:tcPr>
          <w:p w14:paraId="695FD8E4">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3118" w:type="dxa"/>
            <w:gridSpan w:val="2"/>
            <w:vAlign w:val="center"/>
          </w:tcPr>
          <w:p w14:paraId="1D10878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≥90</w:t>
            </w:r>
          </w:p>
        </w:tc>
        <w:tc>
          <w:tcPr>
            <w:tcW w:w="993" w:type="dxa"/>
            <w:gridSpan w:val="2"/>
            <w:vAlign w:val="center"/>
          </w:tcPr>
          <w:p w14:paraId="1E2C4B0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100</w:t>
            </w:r>
          </w:p>
        </w:tc>
        <w:tc>
          <w:tcPr>
            <w:tcW w:w="713" w:type="dxa"/>
            <w:vAlign w:val="center"/>
          </w:tcPr>
          <w:p w14:paraId="2447A84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r>
      <w:tr w14:paraId="782C75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Merge w:val="restart"/>
            <w:vAlign w:val="center"/>
          </w:tcPr>
          <w:p w14:paraId="30ECDFCF">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（4）污染物产生指标</w:t>
            </w:r>
          </w:p>
        </w:tc>
        <w:tc>
          <w:tcPr>
            <w:tcW w:w="883" w:type="dxa"/>
            <w:vMerge w:val="restart"/>
            <w:vAlign w:val="center"/>
          </w:tcPr>
          <w:p w14:paraId="0A52D8C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35</w:t>
            </w:r>
          </w:p>
        </w:tc>
        <w:tc>
          <w:tcPr>
            <w:tcW w:w="1843" w:type="dxa"/>
            <w:gridSpan w:val="3"/>
            <w:vAlign w:val="center"/>
          </w:tcPr>
          <w:p w14:paraId="2751FB58">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钻井废水</w:t>
            </w:r>
          </w:p>
        </w:tc>
        <w:tc>
          <w:tcPr>
            <w:tcW w:w="2835" w:type="dxa"/>
            <w:gridSpan w:val="2"/>
            <w:vAlign w:val="center"/>
          </w:tcPr>
          <w:p w14:paraId="0F241E4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t/100m标准进尺</w:t>
            </w:r>
          </w:p>
        </w:tc>
        <w:tc>
          <w:tcPr>
            <w:tcW w:w="1134" w:type="dxa"/>
            <w:vAlign w:val="center"/>
          </w:tcPr>
          <w:p w14:paraId="77AA9CA6">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3118" w:type="dxa"/>
            <w:gridSpan w:val="2"/>
            <w:vAlign w:val="center"/>
          </w:tcPr>
          <w:p w14:paraId="67488D1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甲类区：≤30；乙类区：≤35</w:t>
            </w:r>
          </w:p>
        </w:tc>
        <w:tc>
          <w:tcPr>
            <w:tcW w:w="993" w:type="dxa"/>
            <w:gridSpan w:val="2"/>
            <w:vAlign w:val="center"/>
          </w:tcPr>
          <w:p w14:paraId="655A27F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w:t>
            </w:r>
            <w:r>
              <w:rPr>
                <w:rFonts w:ascii="宋体" w:hAnsi="宋体"/>
                <w:color w:val="000000" w:themeColor="text1"/>
                <w:spacing w:val="4"/>
                <w14:textFill>
                  <w14:solidFill>
                    <w14:schemeClr w14:val="tx1"/>
                  </w14:solidFill>
                </w14:textFill>
              </w:rPr>
              <w:t>35</w:t>
            </w:r>
          </w:p>
        </w:tc>
        <w:tc>
          <w:tcPr>
            <w:tcW w:w="713" w:type="dxa"/>
            <w:vAlign w:val="center"/>
          </w:tcPr>
          <w:p w14:paraId="4EBB07F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10</w:t>
            </w:r>
          </w:p>
        </w:tc>
      </w:tr>
      <w:tr w14:paraId="293C6E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Merge w:val="continue"/>
            <w:vAlign w:val="center"/>
          </w:tcPr>
          <w:p w14:paraId="5CAA5DFC">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883" w:type="dxa"/>
            <w:vMerge w:val="continue"/>
            <w:vAlign w:val="center"/>
          </w:tcPr>
          <w:p w14:paraId="0EE46FFB">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843" w:type="dxa"/>
            <w:gridSpan w:val="3"/>
            <w:vAlign w:val="center"/>
          </w:tcPr>
          <w:p w14:paraId="6CA8A51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废弃钻井液</w:t>
            </w:r>
          </w:p>
        </w:tc>
        <w:tc>
          <w:tcPr>
            <w:tcW w:w="2835" w:type="dxa"/>
            <w:gridSpan w:val="2"/>
            <w:vAlign w:val="center"/>
          </w:tcPr>
          <w:p w14:paraId="1CD1F99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m</w:t>
            </w:r>
            <w:r>
              <w:rPr>
                <w:rFonts w:ascii="宋体" w:hAnsi="宋体"/>
                <w:color w:val="000000" w:themeColor="text1"/>
                <w:spacing w:val="4"/>
                <w:vertAlign w:val="superscript"/>
                <w14:textFill>
                  <w14:solidFill>
                    <w14:schemeClr w14:val="tx1"/>
                  </w14:solidFill>
                </w14:textFill>
              </w:rPr>
              <w:t>3</w:t>
            </w:r>
            <w:r>
              <w:rPr>
                <w:rFonts w:ascii="宋体" w:hAnsi="宋体"/>
                <w:color w:val="000000" w:themeColor="text1"/>
                <w:spacing w:val="4"/>
                <w14:textFill>
                  <w14:solidFill>
                    <w14:schemeClr w14:val="tx1"/>
                  </w14:solidFill>
                </w14:textFill>
              </w:rPr>
              <w:t>/100m标准进尺</w:t>
            </w:r>
          </w:p>
        </w:tc>
        <w:tc>
          <w:tcPr>
            <w:tcW w:w="1134" w:type="dxa"/>
            <w:vAlign w:val="center"/>
          </w:tcPr>
          <w:p w14:paraId="3E61AD9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3118" w:type="dxa"/>
            <w:gridSpan w:val="2"/>
            <w:vAlign w:val="center"/>
          </w:tcPr>
          <w:p w14:paraId="444C49A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993" w:type="dxa"/>
            <w:gridSpan w:val="2"/>
            <w:vAlign w:val="center"/>
          </w:tcPr>
          <w:p w14:paraId="3DB1509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＜1</w:t>
            </w:r>
            <w:r>
              <w:rPr>
                <w:rFonts w:ascii="宋体" w:hAnsi="宋体"/>
                <w:color w:val="000000" w:themeColor="text1"/>
                <w:spacing w:val="4"/>
                <w14:textFill>
                  <w14:solidFill>
                    <w14:schemeClr w14:val="tx1"/>
                  </w14:solidFill>
                </w14:textFill>
              </w:rPr>
              <w:t>0</w:t>
            </w:r>
          </w:p>
        </w:tc>
        <w:tc>
          <w:tcPr>
            <w:tcW w:w="713" w:type="dxa"/>
            <w:vAlign w:val="center"/>
          </w:tcPr>
          <w:p w14:paraId="566CDBE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10</w:t>
            </w:r>
          </w:p>
        </w:tc>
      </w:tr>
      <w:tr w14:paraId="22F600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Merge w:val="continue"/>
            <w:vAlign w:val="center"/>
          </w:tcPr>
          <w:p w14:paraId="0E56D9B8">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883" w:type="dxa"/>
            <w:vMerge w:val="continue"/>
            <w:vAlign w:val="center"/>
          </w:tcPr>
          <w:p w14:paraId="34EB1806">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843" w:type="dxa"/>
            <w:gridSpan w:val="3"/>
            <w:vAlign w:val="center"/>
          </w:tcPr>
          <w:p w14:paraId="3A057027">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采油机烟气</w:t>
            </w:r>
          </w:p>
        </w:tc>
        <w:tc>
          <w:tcPr>
            <w:tcW w:w="2835" w:type="dxa"/>
            <w:gridSpan w:val="2"/>
            <w:vAlign w:val="center"/>
          </w:tcPr>
          <w:p w14:paraId="7DAC571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w:t>
            </w:r>
          </w:p>
        </w:tc>
        <w:tc>
          <w:tcPr>
            <w:tcW w:w="1134" w:type="dxa"/>
            <w:vAlign w:val="center"/>
          </w:tcPr>
          <w:p w14:paraId="57950B47">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3118" w:type="dxa"/>
            <w:gridSpan w:val="2"/>
            <w:vAlign w:val="center"/>
          </w:tcPr>
          <w:p w14:paraId="0BDE966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符合排放标准要求</w:t>
            </w:r>
          </w:p>
        </w:tc>
        <w:tc>
          <w:tcPr>
            <w:tcW w:w="993" w:type="dxa"/>
            <w:gridSpan w:val="2"/>
            <w:vAlign w:val="center"/>
          </w:tcPr>
          <w:p w14:paraId="753CF808">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符合</w:t>
            </w:r>
          </w:p>
        </w:tc>
        <w:tc>
          <w:tcPr>
            <w:tcW w:w="713" w:type="dxa"/>
            <w:vAlign w:val="center"/>
          </w:tcPr>
          <w:p w14:paraId="3F044C7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4AC9B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Merge w:val="continue"/>
            <w:vAlign w:val="center"/>
          </w:tcPr>
          <w:p w14:paraId="528183C3">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883" w:type="dxa"/>
            <w:vMerge w:val="continue"/>
            <w:vAlign w:val="center"/>
          </w:tcPr>
          <w:p w14:paraId="4DA8A0B0">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843" w:type="dxa"/>
            <w:gridSpan w:val="3"/>
            <w:vAlign w:val="center"/>
          </w:tcPr>
          <w:p w14:paraId="59295967">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石油类</w:t>
            </w:r>
          </w:p>
        </w:tc>
        <w:tc>
          <w:tcPr>
            <w:tcW w:w="2835" w:type="dxa"/>
            <w:gridSpan w:val="2"/>
            <w:vAlign w:val="center"/>
          </w:tcPr>
          <w:p w14:paraId="2257999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mg/L</w:t>
            </w:r>
          </w:p>
        </w:tc>
        <w:tc>
          <w:tcPr>
            <w:tcW w:w="1134" w:type="dxa"/>
            <w:vAlign w:val="center"/>
          </w:tcPr>
          <w:p w14:paraId="15ACE3A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3118" w:type="dxa"/>
            <w:gridSpan w:val="2"/>
            <w:vAlign w:val="center"/>
          </w:tcPr>
          <w:p w14:paraId="24A6E37A">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993" w:type="dxa"/>
            <w:gridSpan w:val="2"/>
            <w:vAlign w:val="center"/>
          </w:tcPr>
          <w:p w14:paraId="3171765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w:t>
            </w:r>
            <w:r>
              <w:rPr>
                <w:rFonts w:ascii="宋体" w:hAnsi="宋体"/>
                <w:color w:val="000000" w:themeColor="text1"/>
                <w:spacing w:val="4"/>
                <w14:textFill>
                  <w14:solidFill>
                    <w14:schemeClr w14:val="tx1"/>
                  </w14:solidFill>
                </w14:textFill>
              </w:rPr>
              <w:t>10</w:t>
            </w:r>
          </w:p>
        </w:tc>
        <w:tc>
          <w:tcPr>
            <w:tcW w:w="713" w:type="dxa"/>
            <w:vAlign w:val="center"/>
          </w:tcPr>
          <w:p w14:paraId="68D4E7B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230ACC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661" w:type="dxa"/>
            <w:vMerge w:val="continue"/>
            <w:vAlign w:val="center"/>
          </w:tcPr>
          <w:p w14:paraId="383A931E">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883" w:type="dxa"/>
            <w:vMerge w:val="continue"/>
            <w:vAlign w:val="center"/>
          </w:tcPr>
          <w:p w14:paraId="3A2AA597">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843" w:type="dxa"/>
            <w:gridSpan w:val="3"/>
            <w:vAlign w:val="center"/>
          </w:tcPr>
          <w:p w14:paraId="111F5478">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COD</w:t>
            </w:r>
          </w:p>
        </w:tc>
        <w:tc>
          <w:tcPr>
            <w:tcW w:w="2835" w:type="dxa"/>
            <w:gridSpan w:val="2"/>
            <w:vAlign w:val="center"/>
          </w:tcPr>
          <w:p w14:paraId="79F8456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mgL</w:t>
            </w:r>
          </w:p>
        </w:tc>
        <w:tc>
          <w:tcPr>
            <w:tcW w:w="1134" w:type="dxa"/>
            <w:vAlign w:val="center"/>
          </w:tcPr>
          <w:p w14:paraId="448C4B87">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3118" w:type="dxa"/>
            <w:gridSpan w:val="2"/>
            <w:vAlign w:val="center"/>
          </w:tcPr>
          <w:p w14:paraId="553A474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甲类区：≤100；乙类区：≤150</w:t>
            </w:r>
          </w:p>
        </w:tc>
        <w:tc>
          <w:tcPr>
            <w:tcW w:w="993" w:type="dxa"/>
            <w:gridSpan w:val="2"/>
            <w:vAlign w:val="center"/>
          </w:tcPr>
          <w:p w14:paraId="37CDEC8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w:t>
            </w:r>
            <w:r>
              <w:rPr>
                <w:rFonts w:ascii="宋体" w:hAnsi="宋体"/>
                <w:color w:val="000000" w:themeColor="text1"/>
                <w:spacing w:val="4"/>
                <w14:textFill>
                  <w14:solidFill>
                    <w14:schemeClr w14:val="tx1"/>
                  </w14:solidFill>
                </w14:textFill>
              </w:rPr>
              <w:t>150</w:t>
            </w:r>
          </w:p>
        </w:tc>
        <w:tc>
          <w:tcPr>
            <w:tcW w:w="713" w:type="dxa"/>
            <w:vAlign w:val="center"/>
          </w:tcPr>
          <w:p w14:paraId="71F6C5AF">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7C75A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14180" w:type="dxa"/>
            <w:gridSpan w:val="13"/>
            <w:vAlign w:val="center"/>
          </w:tcPr>
          <w:p w14:paraId="70656236">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定性指标</w:t>
            </w:r>
          </w:p>
        </w:tc>
      </w:tr>
      <w:tr w14:paraId="050E9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Align w:val="center"/>
          </w:tcPr>
          <w:p w14:paraId="4978BF84">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一级指标</w:t>
            </w:r>
          </w:p>
        </w:tc>
        <w:tc>
          <w:tcPr>
            <w:tcW w:w="1134" w:type="dxa"/>
            <w:vAlign w:val="center"/>
          </w:tcPr>
          <w:p w14:paraId="385811AE">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指标分值</w:t>
            </w:r>
          </w:p>
        </w:tc>
        <w:tc>
          <w:tcPr>
            <w:tcW w:w="6807" w:type="dxa"/>
            <w:gridSpan w:val="5"/>
            <w:vAlign w:val="center"/>
          </w:tcPr>
          <w:p w14:paraId="25AB1B2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二级指标</w:t>
            </w:r>
          </w:p>
        </w:tc>
        <w:tc>
          <w:tcPr>
            <w:tcW w:w="1134" w:type="dxa"/>
            <w:gridSpan w:val="2"/>
            <w:vAlign w:val="center"/>
          </w:tcPr>
          <w:p w14:paraId="303E547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指标分值</w:t>
            </w:r>
          </w:p>
        </w:tc>
        <w:tc>
          <w:tcPr>
            <w:tcW w:w="1309" w:type="dxa"/>
            <w:gridSpan w:val="2"/>
            <w:vAlign w:val="center"/>
          </w:tcPr>
          <w:p w14:paraId="623ACE7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本项目评分</w:t>
            </w:r>
          </w:p>
        </w:tc>
      </w:tr>
      <w:tr w14:paraId="368BF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restart"/>
            <w:vAlign w:val="center"/>
          </w:tcPr>
          <w:p w14:paraId="1C0C6CD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（1）原辅材料</w:t>
            </w:r>
          </w:p>
        </w:tc>
        <w:tc>
          <w:tcPr>
            <w:tcW w:w="1134" w:type="dxa"/>
            <w:vMerge w:val="restart"/>
            <w:vAlign w:val="center"/>
          </w:tcPr>
          <w:p w14:paraId="23B88AA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15</w:t>
            </w:r>
          </w:p>
        </w:tc>
        <w:tc>
          <w:tcPr>
            <w:tcW w:w="2836" w:type="dxa"/>
            <w:gridSpan w:val="2"/>
            <w:vAlign w:val="center"/>
          </w:tcPr>
          <w:p w14:paraId="79AB65D4">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钻井液毒性</w:t>
            </w:r>
          </w:p>
        </w:tc>
        <w:tc>
          <w:tcPr>
            <w:tcW w:w="3971" w:type="dxa"/>
            <w:gridSpan w:val="3"/>
            <w:vAlign w:val="center"/>
          </w:tcPr>
          <w:p w14:paraId="3F6E755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可生物降解或无毒钻井液</w:t>
            </w:r>
          </w:p>
        </w:tc>
        <w:tc>
          <w:tcPr>
            <w:tcW w:w="1134" w:type="dxa"/>
            <w:gridSpan w:val="2"/>
            <w:vAlign w:val="center"/>
          </w:tcPr>
          <w:p w14:paraId="0B9795A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1309" w:type="dxa"/>
            <w:gridSpan w:val="2"/>
            <w:vAlign w:val="center"/>
          </w:tcPr>
          <w:p w14:paraId="5154A006">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r>
      <w:tr w14:paraId="41DC9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continue"/>
            <w:vAlign w:val="center"/>
          </w:tcPr>
          <w:p w14:paraId="31D59231">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69563B57">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2836" w:type="dxa"/>
            <w:gridSpan w:val="2"/>
            <w:vAlign w:val="center"/>
          </w:tcPr>
          <w:p w14:paraId="2C2F54C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柴油消耗</w:t>
            </w:r>
          </w:p>
        </w:tc>
        <w:tc>
          <w:tcPr>
            <w:tcW w:w="3971" w:type="dxa"/>
            <w:gridSpan w:val="3"/>
            <w:vAlign w:val="center"/>
          </w:tcPr>
          <w:p w14:paraId="2ED3CD14">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具有节油措施</w:t>
            </w:r>
          </w:p>
        </w:tc>
        <w:tc>
          <w:tcPr>
            <w:tcW w:w="1134" w:type="dxa"/>
            <w:gridSpan w:val="2"/>
            <w:vAlign w:val="center"/>
          </w:tcPr>
          <w:p w14:paraId="0E6F44FF">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5DB69E1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6E61A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restart"/>
            <w:vAlign w:val="center"/>
          </w:tcPr>
          <w:p w14:paraId="45951AA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（2）生产工艺及设备要求</w:t>
            </w:r>
          </w:p>
        </w:tc>
        <w:tc>
          <w:tcPr>
            <w:tcW w:w="1134" w:type="dxa"/>
            <w:vMerge w:val="restart"/>
            <w:vAlign w:val="center"/>
          </w:tcPr>
          <w:p w14:paraId="042BFA2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30</w:t>
            </w:r>
          </w:p>
        </w:tc>
        <w:tc>
          <w:tcPr>
            <w:tcW w:w="2836" w:type="dxa"/>
            <w:gridSpan w:val="2"/>
            <w:vAlign w:val="center"/>
          </w:tcPr>
          <w:p w14:paraId="26290F6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钻井设备</w:t>
            </w:r>
          </w:p>
        </w:tc>
        <w:tc>
          <w:tcPr>
            <w:tcW w:w="3971" w:type="dxa"/>
            <w:gridSpan w:val="3"/>
            <w:vAlign w:val="center"/>
          </w:tcPr>
          <w:p w14:paraId="103FA1D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国内领先</w:t>
            </w:r>
          </w:p>
        </w:tc>
        <w:tc>
          <w:tcPr>
            <w:tcW w:w="1134" w:type="dxa"/>
            <w:gridSpan w:val="2"/>
            <w:vAlign w:val="center"/>
          </w:tcPr>
          <w:p w14:paraId="7431091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183618CA">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5CE645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continue"/>
            <w:vAlign w:val="center"/>
          </w:tcPr>
          <w:p w14:paraId="3429C0D6">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40D7ABE2">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2836" w:type="dxa"/>
            <w:gridSpan w:val="2"/>
            <w:vAlign w:val="center"/>
          </w:tcPr>
          <w:p w14:paraId="2CE9C44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压力平衡技术</w:t>
            </w:r>
          </w:p>
        </w:tc>
        <w:tc>
          <w:tcPr>
            <w:tcW w:w="3971" w:type="dxa"/>
            <w:gridSpan w:val="3"/>
            <w:vAlign w:val="center"/>
          </w:tcPr>
          <w:p w14:paraId="1F1BED6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具备欠平衡技术</w:t>
            </w:r>
          </w:p>
        </w:tc>
        <w:tc>
          <w:tcPr>
            <w:tcW w:w="1134" w:type="dxa"/>
            <w:gridSpan w:val="2"/>
            <w:vAlign w:val="center"/>
          </w:tcPr>
          <w:p w14:paraId="0D703E5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2613B3D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60DB5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continue"/>
            <w:vAlign w:val="center"/>
          </w:tcPr>
          <w:p w14:paraId="0907DA6B">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0D52EF53">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2836" w:type="dxa"/>
            <w:gridSpan w:val="2"/>
            <w:vAlign w:val="center"/>
          </w:tcPr>
          <w:p w14:paraId="41B3FC5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钻井液收集设施</w:t>
            </w:r>
          </w:p>
        </w:tc>
        <w:tc>
          <w:tcPr>
            <w:tcW w:w="3971" w:type="dxa"/>
            <w:gridSpan w:val="3"/>
            <w:vAlign w:val="center"/>
          </w:tcPr>
          <w:p w14:paraId="30E3C65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配有收集设施，且使钻井液不落地</w:t>
            </w:r>
          </w:p>
        </w:tc>
        <w:tc>
          <w:tcPr>
            <w:tcW w:w="1134" w:type="dxa"/>
            <w:gridSpan w:val="2"/>
            <w:vAlign w:val="center"/>
          </w:tcPr>
          <w:p w14:paraId="2D3C7DFA">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04B9A42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4E1A7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3796" w:type="dxa"/>
            <w:gridSpan w:val="3"/>
            <w:vMerge w:val="continue"/>
            <w:vAlign w:val="center"/>
          </w:tcPr>
          <w:p w14:paraId="5ADF60F2">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4696F9B5">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2836" w:type="dxa"/>
            <w:gridSpan w:val="2"/>
            <w:vAlign w:val="center"/>
          </w:tcPr>
          <w:p w14:paraId="28F66DC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固井设备</w:t>
            </w:r>
          </w:p>
        </w:tc>
        <w:tc>
          <w:tcPr>
            <w:tcW w:w="3971" w:type="dxa"/>
            <w:gridSpan w:val="3"/>
            <w:vAlign w:val="center"/>
          </w:tcPr>
          <w:p w14:paraId="10DDF05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配备振动筛、除气器、除泥器、除砂器、离心机等固控设备</w:t>
            </w:r>
          </w:p>
        </w:tc>
        <w:tc>
          <w:tcPr>
            <w:tcW w:w="1134" w:type="dxa"/>
            <w:gridSpan w:val="2"/>
            <w:vAlign w:val="center"/>
          </w:tcPr>
          <w:p w14:paraId="2D590D6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4C64B257">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469238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continue"/>
            <w:vAlign w:val="center"/>
          </w:tcPr>
          <w:p w14:paraId="69A317C0">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30D31364">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2836" w:type="dxa"/>
            <w:gridSpan w:val="2"/>
            <w:vAlign w:val="center"/>
          </w:tcPr>
          <w:p w14:paraId="2C9BB9B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井控措施</w:t>
            </w:r>
          </w:p>
        </w:tc>
        <w:tc>
          <w:tcPr>
            <w:tcW w:w="3971" w:type="dxa"/>
            <w:gridSpan w:val="3"/>
            <w:vAlign w:val="center"/>
          </w:tcPr>
          <w:p w14:paraId="6D30B23D">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具备</w:t>
            </w:r>
          </w:p>
        </w:tc>
        <w:tc>
          <w:tcPr>
            <w:tcW w:w="1134" w:type="dxa"/>
            <w:gridSpan w:val="2"/>
            <w:vAlign w:val="center"/>
          </w:tcPr>
          <w:p w14:paraId="0032CBA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37BC1C3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27379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continue"/>
            <w:vAlign w:val="center"/>
          </w:tcPr>
          <w:p w14:paraId="72961C64">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03CC21B7">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2836" w:type="dxa"/>
            <w:gridSpan w:val="2"/>
            <w:vAlign w:val="center"/>
          </w:tcPr>
          <w:p w14:paraId="493626D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有无防噪措施</w:t>
            </w:r>
          </w:p>
        </w:tc>
        <w:tc>
          <w:tcPr>
            <w:tcW w:w="3971" w:type="dxa"/>
            <w:gridSpan w:val="3"/>
            <w:vAlign w:val="center"/>
          </w:tcPr>
          <w:p w14:paraId="3D7D239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有</w:t>
            </w:r>
          </w:p>
        </w:tc>
        <w:tc>
          <w:tcPr>
            <w:tcW w:w="1134" w:type="dxa"/>
            <w:gridSpan w:val="2"/>
            <w:vAlign w:val="center"/>
          </w:tcPr>
          <w:p w14:paraId="04CBC3CF">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18238F27">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5</w:t>
            </w:r>
          </w:p>
        </w:tc>
      </w:tr>
      <w:tr w14:paraId="4C467F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restart"/>
            <w:vAlign w:val="center"/>
          </w:tcPr>
          <w:p w14:paraId="19F92F7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（3）管理体系建设及清洁生产审核</w:t>
            </w:r>
          </w:p>
        </w:tc>
        <w:tc>
          <w:tcPr>
            <w:tcW w:w="1134" w:type="dxa"/>
            <w:vMerge w:val="restart"/>
            <w:vAlign w:val="center"/>
          </w:tcPr>
          <w:p w14:paraId="079F009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35</w:t>
            </w:r>
          </w:p>
        </w:tc>
        <w:tc>
          <w:tcPr>
            <w:tcW w:w="6807" w:type="dxa"/>
            <w:gridSpan w:val="5"/>
            <w:vAlign w:val="center"/>
          </w:tcPr>
          <w:p w14:paraId="79E5525A">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建立HSE管理体系并通过认证</w:t>
            </w:r>
          </w:p>
        </w:tc>
        <w:tc>
          <w:tcPr>
            <w:tcW w:w="1134" w:type="dxa"/>
            <w:gridSpan w:val="2"/>
            <w:vAlign w:val="center"/>
          </w:tcPr>
          <w:p w14:paraId="6D952FD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1309" w:type="dxa"/>
            <w:gridSpan w:val="2"/>
            <w:vAlign w:val="center"/>
          </w:tcPr>
          <w:p w14:paraId="0F585F23">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r>
      <w:tr w14:paraId="43173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continue"/>
            <w:vAlign w:val="center"/>
          </w:tcPr>
          <w:p w14:paraId="47861967">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7E8956E9">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6807" w:type="dxa"/>
            <w:gridSpan w:val="5"/>
            <w:vAlign w:val="center"/>
          </w:tcPr>
          <w:p w14:paraId="75D8285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开展清洁生产审核，并通过验收</w:t>
            </w:r>
          </w:p>
        </w:tc>
        <w:tc>
          <w:tcPr>
            <w:tcW w:w="1134" w:type="dxa"/>
            <w:gridSpan w:val="2"/>
            <w:vAlign w:val="center"/>
          </w:tcPr>
          <w:p w14:paraId="008FBF6A">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20</w:t>
            </w:r>
          </w:p>
        </w:tc>
        <w:tc>
          <w:tcPr>
            <w:tcW w:w="1309" w:type="dxa"/>
            <w:gridSpan w:val="2"/>
            <w:vAlign w:val="center"/>
          </w:tcPr>
          <w:p w14:paraId="25AEEF18">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hint="eastAsia" w:ascii="宋体" w:hAnsi="宋体"/>
                <w:color w:val="000000" w:themeColor="text1"/>
                <w:spacing w:val="4"/>
                <w14:textFill>
                  <w14:solidFill>
                    <w14:schemeClr w14:val="tx1"/>
                  </w14:solidFill>
                </w14:textFill>
              </w:rPr>
              <w:t>20</w:t>
            </w:r>
          </w:p>
        </w:tc>
      </w:tr>
      <w:tr w14:paraId="02ACBE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continue"/>
            <w:vAlign w:val="center"/>
          </w:tcPr>
          <w:p w14:paraId="6DBD88AA">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1B30D9F2">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6807" w:type="dxa"/>
            <w:gridSpan w:val="5"/>
            <w:vAlign w:val="center"/>
          </w:tcPr>
          <w:p w14:paraId="3C25D9E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制定节能减排工作计划</w:t>
            </w:r>
          </w:p>
        </w:tc>
        <w:tc>
          <w:tcPr>
            <w:tcW w:w="1134" w:type="dxa"/>
            <w:gridSpan w:val="2"/>
            <w:vAlign w:val="center"/>
          </w:tcPr>
          <w:p w14:paraId="132452B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73864FB5">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004A75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restart"/>
            <w:vAlign w:val="center"/>
          </w:tcPr>
          <w:p w14:paraId="3803D6C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（4）贯彻执行环境保护法规的符合性</w:t>
            </w:r>
          </w:p>
        </w:tc>
        <w:tc>
          <w:tcPr>
            <w:tcW w:w="1134" w:type="dxa"/>
            <w:vMerge w:val="restart"/>
            <w:vAlign w:val="center"/>
          </w:tcPr>
          <w:p w14:paraId="0652A8C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20</w:t>
            </w:r>
          </w:p>
        </w:tc>
        <w:tc>
          <w:tcPr>
            <w:tcW w:w="6807" w:type="dxa"/>
            <w:gridSpan w:val="5"/>
            <w:vAlign w:val="center"/>
          </w:tcPr>
          <w:p w14:paraId="2C2070D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废弃钻井液处置措施满足法规要求</w:t>
            </w:r>
          </w:p>
        </w:tc>
        <w:tc>
          <w:tcPr>
            <w:tcW w:w="1134" w:type="dxa"/>
            <w:gridSpan w:val="2"/>
            <w:vAlign w:val="center"/>
          </w:tcPr>
          <w:p w14:paraId="7394DC10">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c>
          <w:tcPr>
            <w:tcW w:w="1309" w:type="dxa"/>
            <w:gridSpan w:val="2"/>
            <w:vAlign w:val="center"/>
          </w:tcPr>
          <w:p w14:paraId="30CB3F5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10</w:t>
            </w:r>
          </w:p>
        </w:tc>
      </w:tr>
      <w:tr w14:paraId="2C1678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3796" w:type="dxa"/>
            <w:gridSpan w:val="3"/>
            <w:vMerge w:val="continue"/>
            <w:vAlign w:val="center"/>
          </w:tcPr>
          <w:p w14:paraId="4389A6FB">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12D7C6FA">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6807" w:type="dxa"/>
            <w:gridSpan w:val="5"/>
            <w:vAlign w:val="center"/>
          </w:tcPr>
          <w:p w14:paraId="7AF913DF">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污染物排放总量控制与减排措施情况</w:t>
            </w:r>
          </w:p>
        </w:tc>
        <w:tc>
          <w:tcPr>
            <w:tcW w:w="1134" w:type="dxa"/>
            <w:gridSpan w:val="2"/>
            <w:vAlign w:val="center"/>
          </w:tcPr>
          <w:p w14:paraId="407C54E9">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7CD25511">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tr w14:paraId="6F3D0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3796" w:type="dxa"/>
            <w:gridSpan w:val="3"/>
            <w:vMerge w:val="continue"/>
            <w:vAlign w:val="center"/>
          </w:tcPr>
          <w:p w14:paraId="752C8003">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1134" w:type="dxa"/>
            <w:vMerge w:val="continue"/>
            <w:vAlign w:val="center"/>
          </w:tcPr>
          <w:p w14:paraId="4737E7D4">
            <w:pPr>
              <w:widowControl/>
              <w:adjustRightInd w:val="0"/>
              <w:snapToGrid w:val="0"/>
              <w:spacing w:line="240" w:lineRule="exact"/>
              <w:ind w:firstLine="488"/>
              <w:jc w:val="left"/>
              <w:rPr>
                <w:rFonts w:hint="eastAsia" w:ascii="宋体" w:hAnsi="宋体"/>
                <w:color w:val="000000" w:themeColor="text1"/>
                <w:spacing w:val="4"/>
                <w14:textFill>
                  <w14:solidFill>
                    <w14:schemeClr w14:val="tx1"/>
                  </w14:solidFill>
                </w14:textFill>
              </w:rPr>
            </w:pPr>
          </w:p>
        </w:tc>
        <w:tc>
          <w:tcPr>
            <w:tcW w:w="6807" w:type="dxa"/>
            <w:gridSpan w:val="5"/>
            <w:vAlign w:val="center"/>
          </w:tcPr>
          <w:p w14:paraId="46C589DB">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满足其他法律法规要求</w:t>
            </w:r>
          </w:p>
        </w:tc>
        <w:tc>
          <w:tcPr>
            <w:tcW w:w="1134" w:type="dxa"/>
            <w:gridSpan w:val="2"/>
            <w:vAlign w:val="center"/>
          </w:tcPr>
          <w:p w14:paraId="2346683C">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c>
          <w:tcPr>
            <w:tcW w:w="1309" w:type="dxa"/>
            <w:gridSpan w:val="2"/>
            <w:vAlign w:val="center"/>
          </w:tcPr>
          <w:p w14:paraId="5F1978D2">
            <w:pPr>
              <w:adjustRightInd w:val="0"/>
              <w:snapToGrid w:val="0"/>
              <w:spacing w:line="240" w:lineRule="exact"/>
              <w:ind w:firstLine="488"/>
              <w:jc w:val="center"/>
              <w:rPr>
                <w:rFonts w:hint="eastAsia" w:ascii="宋体" w:hAnsi="宋体"/>
                <w:color w:val="000000" w:themeColor="text1"/>
                <w:spacing w:val="4"/>
                <w14:textFill>
                  <w14:solidFill>
                    <w14:schemeClr w14:val="tx1"/>
                  </w14:solidFill>
                </w14:textFill>
              </w:rPr>
            </w:pPr>
            <w:r>
              <w:rPr>
                <w:rFonts w:ascii="宋体" w:hAnsi="宋体"/>
                <w:color w:val="000000" w:themeColor="text1"/>
                <w:spacing w:val="4"/>
                <w14:textFill>
                  <w14:solidFill>
                    <w14:schemeClr w14:val="tx1"/>
                  </w14:solidFill>
                </w14:textFill>
              </w:rPr>
              <w:t>5</w:t>
            </w:r>
          </w:p>
        </w:tc>
      </w:tr>
      <w:bookmarkEnd w:id="352"/>
    </w:tbl>
    <w:p w14:paraId="12F0F77E">
      <w:pPr>
        <w:pStyle w:val="19"/>
        <w:rPr>
          <w:rFonts w:hint="eastAsia"/>
          <w:color w:val="000000" w:themeColor="text1"/>
          <w:spacing w:val="4"/>
          <w14:textFill>
            <w14:solidFill>
              <w14:schemeClr w14:val="tx1"/>
            </w14:solidFill>
          </w14:textFill>
        </w:rPr>
      </w:pP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w:t>
      </w:r>
      <w:r>
        <w:rPr>
          <w:color w:val="000000" w:themeColor="text1"/>
          <w:spacing w:val="4"/>
          <w14:textFill>
            <w14:solidFill>
              <w14:schemeClr w14:val="tx1"/>
            </w14:solidFill>
          </w14:textFill>
        </w:rPr>
        <w:t xml:space="preserve"> 井下作业</w:t>
      </w:r>
      <w:r>
        <w:rPr>
          <w:color w:val="000000" w:themeColor="text1"/>
          <w14:textFill>
            <w14:solidFill>
              <w14:schemeClr w14:val="tx1"/>
            </w14:solidFill>
          </w14:textFill>
        </w:rPr>
        <w:t>定量和定性评价指标项目、权重及基准值</w:t>
      </w:r>
    </w:p>
    <w:tbl>
      <w:tblPr>
        <w:tblStyle w:val="51"/>
        <w:tblW w:w="5000" w:type="pct"/>
        <w:tblInd w:w="0" w:type="dxa"/>
        <w:tblLayout w:type="autofit"/>
        <w:tblCellMar>
          <w:top w:w="0" w:type="dxa"/>
          <w:left w:w="108" w:type="dxa"/>
          <w:bottom w:w="0" w:type="dxa"/>
          <w:right w:w="108" w:type="dxa"/>
        </w:tblCellMar>
      </w:tblPr>
      <w:tblGrid>
        <w:gridCol w:w="2656"/>
        <w:gridCol w:w="922"/>
        <w:gridCol w:w="38"/>
        <w:gridCol w:w="1087"/>
        <w:gridCol w:w="1590"/>
        <w:gridCol w:w="1186"/>
        <w:gridCol w:w="117"/>
        <w:gridCol w:w="1060"/>
        <w:gridCol w:w="2426"/>
        <w:gridCol w:w="516"/>
        <w:gridCol w:w="570"/>
        <w:gridCol w:w="571"/>
        <w:gridCol w:w="923"/>
      </w:tblGrid>
      <w:tr w14:paraId="0C757B44">
        <w:tblPrEx>
          <w:tblCellMar>
            <w:top w:w="0" w:type="dxa"/>
            <w:left w:w="108" w:type="dxa"/>
            <w:bottom w:w="0" w:type="dxa"/>
            <w:right w:w="108" w:type="dxa"/>
          </w:tblCellMar>
        </w:tblPrEx>
        <w:trPr>
          <w:trHeight w:val="284" w:hRule="atLeast"/>
        </w:trPr>
        <w:tc>
          <w:tcPr>
            <w:tcW w:w="4339" w:type="pct"/>
            <w:gridSpan w:val="10"/>
            <w:tcBorders>
              <w:top w:val="single" w:color="auto" w:sz="12" w:space="0"/>
              <w:bottom w:val="single" w:color="auto" w:sz="4" w:space="0"/>
              <w:right w:val="single" w:color="auto" w:sz="4" w:space="0"/>
            </w:tcBorders>
            <w:vAlign w:val="center"/>
          </w:tcPr>
          <w:p w14:paraId="415368D3">
            <w:pPr>
              <w:adjustRightInd w:val="0"/>
              <w:snapToGrid w:val="0"/>
              <w:spacing w:line="300" w:lineRule="exact"/>
              <w:ind w:firstLine="488"/>
              <w:jc w:val="left"/>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定量指标</w:t>
            </w:r>
          </w:p>
        </w:tc>
        <w:tc>
          <w:tcPr>
            <w:tcW w:w="661" w:type="pct"/>
            <w:gridSpan w:val="3"/>
            <w:tcBorders>
              <w:top w:val="single" w:color="auto" w:sz="12" w:space="0"/>
              <w:left w:val="single" w:color="auto" w:sz="4" w:space="0"/>
              <w:bottom w:val="single" w:color="auto" w:sz="4" w:space="0"/>
            </w:tcBorders>
            <w:vAlign w:val="center"/>
          </w:tcPr>
          <w:p w14:paraId="37E94E81">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本项目</w:t>
            </w:r>
          </w:p>
        </w:tc>
      </w:tr>
      <w:tr w14:paraId="211EC68F">
        <w:tblPrEx>
          <w:tblCellMar>
            <w:top w:w="0" w:type="dxa"/>
            <w:left w:w="108" w:type="dxa"/>
            <w:bottom w:w="0" w:type="dxa"/>
            <w:right w:w="108" w:type="dxa"/>
          </w:tblCellMar>
        </w:tblPrEx>
        <w:trPr>
          <w:trHeight w:val="284" w:hRule="atLeast"/>
        </w:trPr>
        <w:tc>
          <w:tcPr>
            <w:tcW w:w="984" w:type="pct"/>
            <w:tcBorders>
              <w:top w:val="single" w:color="auto" w:sz="4" w:space="0"/>
              <w:bottom w:val="single" w:color="auto" w:sz="4" w:space="0"/>
              <w:right w:val="single" w:color="auto" w:sz="4" w:space="0"/>
            </w:tcBorders>
            <w:vAlign w:val="center"/>
          </w:tcPr>
          <w:p w14:paraId="12068F5C">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一级指标</w:t>
            </w:r>
          </w:p>
        </w:tc>
        <w:tc>
          <w:tcPr>
            <w:tcW w:w="323" w:type="pct"/>
            <w:tcBorders>
              <w:top w:val="single" w:color="auto" w:sz="4" w:space="0"/>
              <w:left w:val="single" w:color="auto" w:sz="4" w:space="0"/>
              <w:bottom w:val="single" w:color="auto" w:sz="4" w:space="0"/>
              <w:right w:val="single" w:color="auto" w:sz="4" w:space="0"/>
            </w:tcBorders>
            <w:vAlign w:val="center"/>
          </w:tcPr>
          <w:p w14:paraId="20B683F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权重值</w:t>
            </w: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14F1F99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二级指标</w:t>
            </w:r>
          </w:p>
        </w:tc>
        <w:tc>
          <w:tcPr>
            <w:tcW w:w="446" w:type="pct"/>
            <w:tcBorders>
              <w:top w:val="single" w:color="auto" w:sz="4" w:space="0"/>
              <w:left w:val="single" w:color="auto" w:sz="4" w:space="0"/>
              <w:bottom w:val="single" w:color="auto" w:sz="4" w:space="0"/>
              <w:right w:val="single" w:color="auto" w:sz="4" w:space="0"/>
            </w:tcBorders>
            <w:vAlign w:val="center"/>
          </w:tcPr>
          <w:p w14:paraId="2200112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单位</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779F116E">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权重分值</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2C6CAA5D">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评价基准值</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FD07FEF">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估算值</w:t>
            </w:r>
          </w:p>
        </w:tc>
        <w:tc>
          <w:tcPr>
            <w:tcW w:w="261" w:type="pct"/>
            <w:tcBorders>
              <w:top w:val="single" w:color="auto" w:sz="4" w:space="0"/>
              <w:left w:val="single" w:color="auto" w:sz="4" w:space="0"/>
              <w:bottom w:val="single" w:color="auto" w:sz="4" w:space="0"/>
            </w:tcBorders>
            <w:vAlign w:val="center"/>
          </w:tcPr>
          <w:p w14:paraId="5CC8DEF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评分</w:t>
            </w:r>
          </w:p>
        </w:tc>
      </w:tr>
      <w:tr w14:paraId="57BAD63A">
        <w:tblPrEx>
          <w:tblCellMar>
            <w:top w:w="0" w:type="dxa"/>
            <w:left w:w="108" w:type="dxa"/>
            <w:bottom w:w="0" w:type="dxa"/>
            <w:right w:w="108" w:type="dxa"/>
          </w:tblCellMar>
        </w:tblPrEx>
        <w:trPr>
          <w:trHeight w:val="284" w:hRule="atLeast"/>
        </w:trPr>
        <w:tc>
          <w:tcPr>
            <w:tcW w:w="984" w:type="pct"/>
            <w:vMerge w:val="restart"/>
            <w:tcBorders>
              <w:top w:val="single" w:color="auto" w:sz="4" w:space="0"/>
              <w:bottom w:val="single" w:color="auto" w:sz="4" w:space="0"/>
              <w:right w:val="single" w:color="auto" w:sz="4" w:space="0"/>
            </w:tcBorders>
            <w:vAlign w:val="center"/>
          </w:tcPr>
          <w:p w14:paraId="34B4161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（1）资源和能源消耗指标</w:t>
            </w:r>
          </w:p>
        </w:tc>
        <w:tc>
          <w:tcPr>
            <w:tcW w:w="323" w:type="pct"/>
            <w:vMerge w:val="restart"/>
            <w:tcBorders>
              <w:top w:val="single" w:color="auto" w:sz="4" w:space="0"/>
              <w:left w:val="single" w:color="auto" w:sz="4" w:space="0"/>
              <w:bottom w:val="single" w:color="auto" w:sz="4" w:space="0"/>
              <w:right w:val="single" w:color="auto" w:sz="4" w:space="0"/>
            </w:tcBorders>
            <w:vAlign w:val="center"/>
          </w:tcPr>
          <w:p w14:paraId="7BC06EC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30</w:t>
            </w: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2065F2BA">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作业液消耗</w:t>
            </w:r>
          </w:p>
        </w:tc>
        <w:tc>
          <w:tcPr>
            <w:tcW w:w="446" w:type="pct"/>
            <w:tcBorders>
              <w:top w:val="single" w:color="auto" w:sz="4" w:space="0"/>
              <w:left w:val="single" w:color="auto" w:sz="4" w:space="0"/>
              <w:bottom w:val="single" w:color="auto" w:sz="4" w:space="0"/>
              <w:right w:val="single" w:color="auto" w:sz="4" w:space="0"/>
            </w:tcBorders>
            <w:vAlign w:val="center"/>
          </w:tcPr>
          <w:p w14:paraId="021D92EE">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m</w:t>
            </w:r>
            <w:r>
              <w:rPr>
                <w:rFonts w:ascii="宋体" w:hAnsi="宋体"/>
                <w:color w:val="000000" w:themeColor="text1"/>
                <w:spacing w:val="4"/>
                <w:szCs w:val="21"/>
                <w:vertAlign w:val="superscript"/>
                <w14:textFill>
                  <w14:solidFill>
                    <w14:schemeClr w14:val="tx1"/>
                  </w14:solidFill>
                </w14:textFill>
              </w:rPr>
              <w:t>3</w:t>
            </w:r>
            <w:r>
              <w:rPr>
                <w:rFonts w:ascii="宋体" w:hAnsi="宋体"/>
                <w:color w:val="000000" w:themeColor="text1"/>
                <w:spacing w:val="4"/>
                <w:szCs w:val="21"/>
                <w14:textFill>
                  <w14:solidFill>
                    <w14:schemeClr w14:val="tx1"/>
                  </w14:solidFill>
                </w14:textFill>
              </w:rPr>
              <w:t>/井次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439A6145">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14925F60">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4E619F0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＜5</w:t>
            </w:r>
          </w:p>
        </w:tc>
        <w:tc>
          <w:tcPr>
            <w:tcW w:w="261" w:type="pct"/>
            <w:tcBorders>
              <w:top w:val="single" w:color="auto" w:sz="4" w:space="0"/>
              <w:left w:val="single" w:color="auto" w:sz="4" w:space="0"/>
              <w:bottom w:val="single" w:color="auto" w:sz="4" w:space="0"/>
            </w:tcBorders>
            <w:vAlign w:val="center"/>
          </w:tcPr>
          <w:p w14:paraId="121F598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06BD2F7A">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35B959C5">
            <w:pPr>
              <w:widowControl/>
              <w:ind w:firstLine="488"/>
              <w:jc w:val="left"/>
              <w:rPr>
                <w:rFonts w:hint="eastAsia" w:ascii="宋体" w:hAnsi="宋体"/>
                <w:color w:val="000000" w:themeColor="text1"/>
                <w:spacing w:val="4"/>
                <w:szCs w:val="21"/>
                <w14:textFill>
                  <w14:solidFill>
                    <w14:schemeClr w14:val="tx1"/>
                  </w14:solidFill>
                </w14:textFill>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14:paraId="22B5A738">
            <w:pPr>
              <w:widowControl/>
              <w:ind w:firstLine="488"/>
              <w:jc w:val="left"/>
              <w:rPr>
                <w:rFonts w:hint="eastAsia" w:ascii="宋体" w:hAnsi="宋体"/>
                <w:color w:val="000000" w:themeColor="text1"/>
                <w:spacing w:val="4"/>
                <w:szCs w:val="21"/>
                <w14:textFill>
                  <w14:solidFill>
                    <w14:schemeClr w14:val="tx1"/>
                  </w14:solidFill>
                </w14:textFill>
              </w:rPr>
            </w:pP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2DDCE237">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新鲜水消耗</w:t>
            </w:r>
          </w:p>
        </w:tc>
        <w:tc>
          <w:tcPr>
            <w:tcW w:w="446" w:type="pct"/>
            <w:tcBorders>
              <w:top w:val="single" w:color="auto" w:sz="4" w:space="0"/>
              <w:left w:val="single" w:color="auto" w:sz="4" w:space="0"/>
              <w:bottom w:val="single" w:color="auto" w:sz="4" w:space="0"/>
              <w:right w:val="single" w:color="auto" w:sz="4" w:space="0"/>
            </w:tcBorders>
            <w:vAlign w:val="center"/>
          </w:tcPr>
          <w:p w14:paraId="0DDF2DC7">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m</w:t>
            </w:r>
            <w:r>
              <w:rPr>
                <w:rFonts w:ascii="宋体" w:hAnsi="宋体"/>
                <w:color w:val="000000" w:themeColor="text1"/>
                <w:spacing w:val="4"/>
                <w:szCs w:val="21"/>
                <w:vertAlign w:val="superscript"/>
                <w14:textFill>
                  <w14:solidFill>
                    <w14:schemeClr w14:val="tx1"/>
                  </w14:solidFill>
                </w14:textFill>
              </w:rPr>
              <w:t>3</w:t>
            </w:r>
            <w:r>
              <w:rPr>
                <w:rFonts w:ascii="宋体" w:hAnsi="宋体"/>
                <w:color w:val="000000" w:themeColor="text1"/>
                <w:spacing w:val="4"/>
                <w:szCs w:val="21"/>
                <w14:textFill>
                  <w14:solidFill>
                    <w14:schemeClr w14:val="tx1"/>
                  </w14:solidFill>
                </w14:textFill>
              </w:rPr>
              <w:t>/井次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45EBDDF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04AE5EAA">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307259C1">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0</w:t>
            </w:r>
          </w:p>
        </w:tc>
        <w:tc>
          <w:tcPr>
            <w:tcW w:w="261" w:type="pct"/>
            <w:tcBorders>
              <w:top w:val="single" w:color="auto" w:sz="4" w:space="0"/>
              <w:left w:val="single" w:color="auto" w:sz="4" w:space="0"/>
              <w:bottom w:val="single" w:color="auto" w:sz="4" w:space="0"/>
            </w:tcBorders>
            <w:vAlign w:val="center"/>
          </w:tcPr>
          <w:p w14:paraId="2DEA0B3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10</w:t>
            </w:r>
          </w:p>
        </w:tc>
      </w:tr>
      <w:tr w14:paraId="2DFEF1A0">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22D2FD6A">
            <w:pPr>
              <w:widowControl/>
              <w:ind w:firstLine="488"/>
              <w:jc w:val="left"/>
              <w:rPr>
                <w:rFonts w:hint="eastAsia" w:ascii="宋体" w:hAnsi="宋体"/>
                <w:color w:val="000000" w:themeColor="text1"/>
                <w:spacing w:val="4"/>
                <w:szCs w:val="21"/>
                <w14:textFill>
                  <w14:solidFill>
                    <w14:schemeClr w14:val="tx1"/>
                  </w14:solidFill>
                </w14:textFill>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14:paraId="135097CA">
            <w:pPr>
              <w:widowControl/>
              <w:ind w:firstLine="488"/>
              <w:jc w:val="left"/>
              <w:rPr>
                <w:rFonts w:hint="eastAsia" w:ascii="宋体" w:hAnsi="宋体"/>
                <w:color w:val="000000" w:themeColor="text1"/>
                <w:spacing w:val="4"/>
                <w:szCs w:val="21"/>
                <w14:textFill>
                  <w14:solidFill>
                    <w14:schemeClr w14:val="tx1"/>
                  </w14:solidFill>
                </w14:textFill>
              </w:rPr>
            </w:pP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15DBD06A">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单位能耗</w:t>
            </w:r>
          </w:p>
        </w:tc>
        <w:tc>
          <w:tcPr>
            <w:tcW w:w="446" w:type="pct"/>
            <w:tcBorders>
              <w:top w:val="single" w:color="auto" w:sz="4" w:space="0"/>
              <w:left w:val="single" w:color="auto" w:sz="4" w:space="0"/>
              <w:bottom w:val="single" w:color="auto" w:sz="4" w:space="0"/>
              <w:right w:val="single" w:color="auto" w:sz="4" w:space="0"/>
            </w:tcBorders>
            <w:vAlign w:val="center"/>
          </w:tcPr>
          <w:p w14:paraId="2CD7368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575449A3">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5799D59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行业基本水平</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43A31655">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基本水平</w:t>
            </w:r>
          </w:p>
        </w:tc>
        <w:tc>
          <w:tcPr>
            <w:tcW w:w="261" w:type="pct"/>
            <w:tcBorders>
              <w:top w:val="single" w:color="auto" w:sz="4" w:space="0"/>
              <w:left w:val="single" w:color="auto" w:sz="4" w:space="0"/>
              <w:bottom w:val="single" w:color="auto" w:sz="4" w:space="0"/>
            </w:tcBorders>
            <w:vAlign w:val="center"/>
          </w:tcPr>
          <w:p w14:paraId="629CA1FA">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10</w:t>
            </w:r>
          </w:p>
        </w:tc>
      </w:tr>
      <w:tr w14:paraId="7B91D21D">
        <w:tblPrEx>
          <w:tblCellMar>
            <w:top w:w="0" w:type="dxa"/>
            <w:left w:w="108" w:type="dxa"/>
            <w:bottom w:w="0" w:type="dxa"/>
            <w:right w:w="108" w:type="dxa"/>
          </w:tblCellMar>
        </w:tblPrEx>
        <w:trPr>
          <w:trHeight w:val="284" w:hRule="atLeast"/>
        </w:trPr>
        <w:tc>
          <w:tcPr>
            <w:tcW w:w="984" w:type="pct"/>
            <w:tcBorders>
              <w:top w:val="single" w:color="auto" w:sz="4" w:space="0"/>
              <w:bottom w:val="single" w:color="auto" w:sz="4" w:space="0"/>
              <w:right w:val="single" w:color="auto" w:sz="4" w:space="0"/>
            </w:tcBorders>
            <w:vAlign w:val="center"/>
          </w:tcPr>
          <w:p w14:paraId="28885FFE">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（2）生产技术特征指标</w:t>
            </w:r>
          </w:p>
        </w:tc>
        <w:tc>
          <w:tcPr>
            <w:tcW w:w="323" w:type="pct"/>
            <w:tcBorders>
              <w:top w:val="single" w:color="auto" w:sz="4" w:space="0"/>
              <w:left w:val="single" w:color="auto" w:sz="4" w:space="0"/>
              <w:bottom w:val="single" w:color="auto" w:sz="4" w:space="0"/>
              <w:right w:val="single" w:color="auto" w:sz="4" w:space="0"/>
            </w:tcBorders>
            <w:vAlign w:val="center"/>
          </w:tcPr>
          <w:p w14:paraId="12D7571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6A34A93A">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压裂放喷返排入罐率</w:t>
            </w:r>
          </w:p>
        </w:tc>
        <w:tc>
          <w:tcPr>
            <w:tcW w:w="446" w:type="pct"/>
            <w:tcBorders>
              <w:top w:val="single" w:color="auto" w:sz="4" w:space="0"/>
              <w:left w:val="single" w:color="auto" w:sz="4" w:space="0"/>
              <w:bottom w:val="single" w:color="auto" w:sz="4" w:space="0"/>
              <w:right w:val="single" w:color="auto" w:sz="4" w:space="0"/>
            </w:tcBorders>
            <w:vAlign w:val="center"/>
          </w:tcPr>
          <w:p w14:paraId="014D05C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02E3E98F">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7C83B7E3">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643279D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261" w:type="pct"/>
            <w:tcBorders>
              <w:top w:val="single" w:color="auto" w:sz="4" w:space="0"/>
              <w:left w:val="single" w:color="auto" w:sz="4" w:space="0"/>
              <w:bottom w:val="single" w:color="auto" w:sz="4" w:space="0"/>
            </w:tcBorders>
            <w:vAlign w:val="center"/>
          </w:tcPr>
          <w:p w14:paraId="7F79B7EC">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r>
      <w:tr w14:paraId="1F677F45">
        <w:tblPrEx>
          <w:tblCellMar>
            <w:top w:w="0" w:type="dxa"/>
            <w:left w:w="108" w:type="dxa"/>
            <w:bottom w:w="0" w:type="dxa"/>
            <w:right w:w="108" w:type="dxa"/>
          </w:tblCellMar>
        </w:tblPrEx>
        <w:trPr>
          <w:trHeight w:val="284" w:hRule="atLeast"/>
        </w:trPr>
        <w:tc>
          <w:tcPr>
            <w:tcW w:w="984" w:type="pct"/>
            <w:vMerge w:val="restart"/>
            <w:tcBorders>
              <w:top w:val="single" w:color="auto" w:sz="4" w:space="0"/>
              <w:bottom w:val="single" w:color="auto" w:sz="4" w:space="0"/>
              <w:right w:val="single" w:color="auto" w:sz="4" w:space="0"/>
            </w:tcBorders>
            <w:vAlign w:val="center"/>
          </w:tcPr>
          <w:p w14:paraId="2436ACA1">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（3）资源综合利用指标</w:t>
            </w:r>
          </w:p>
        </w:tc>
        <w:tc>
          <w:tcPr>
            <w:tcW w:w="323" w:type="pct"/>
            <w:vMerge w:val="restart"/>
            <w:tcBorders>
              <w:top w:val="single" w:color="auto" w:sz="4" w:space="0"/>
              <w:left w:val="single" w:color="auto" w:sz="4" w:space="0"/>
              <w:bottom w:val="single" w:color="auto" w:sz="4" w:space="0"/>
              <w:right w:val="single" w:color="auto" w:sz="4" w:space="0"/>
            </w:tcBorders>
            <w:vAlign w:val="center"/>
          </w:tcPr>
          <w:p w14:paraId="60896D5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133455B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落地原油回收利用率</w:t>
            </w:r>
          </w:p>
        </w:tc>
        <w:tc>
          <w:tcPr>
            <w:tcW w:w="446" w:type="pct"/>
            <w:tcBorders>
              <w:top w:val="single" w:color="auto" w:sz="4" w:space="0"/>
              <w:left w:val="single" w:color="auto" w:sz="4" w:space="0"/>
              <w:bottom w:val="single" w:color="auto" w:sz="4" w:space="0"/>
              <w:right w:val="single" w:color="auto" w:sz="4" w:space="0"/>
            </w:tcBorders>
            <w:vAlign w:val="center"/>
          </w:tcPr>
          <w:p w14:paraId="59C8D5F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08C492EA">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7844C0FE">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00ACD400">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261" w:type="pct"/>
            <w:tcBorders>
              <w:top w:val="single" w:color="auto" w:sz="4" w:space="0"/>
              <w:left w:val="single" w:color="auto" w:sz="4" w:space="0"/>
              <w:bottom w:val="single" w:color="auto" w:sz="4" w:space="0"/>
            </w:tcBorders>
            <w:vAlign w:val="center"/>
          </w:tcPr>
          <w:p w14:paraId="014DC411">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4E86F773">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608A36CB">
            <w:pPr>
              <w:widowControl/>
              <w:ind w:firstLine="488"/>
              <w:jc w:val="left"/>
              <w:rPr>
                <w:rFonts w:hint="eastAsia" w:ascii="宋体" w:hAnsi="宋体"/>
                <w:color w:val="000000" w:themeColor="text1"/>
                <w:spacing w:val="4"/>
                <w:szCs w:val="21"/>
                <w14:textFill>
                  <w14:solidFill>
                    <w14:schemeClr w14:val="tx1"/>
                  </w14:solidFill>
                </w14:textFill>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14:paraId="3164E832">
            <w:pPr>
              <w:widowControl/>
              <w:ind w:firstLine="488"/>
              <w:jc w:val="left"/>
              <w:rPr>
                <w:rFonts w:hint="eastAsia" w:ascii="宋体" w:hAnsi="宋体"/>
                <w:color w:val="000000" w:themeColor="text1"/>
                <w:spacing w:val="4"/>
                <w:szCs w:val="21"/>
                <w14:textFill>
                  <w14:solidFill>
                    <w14:schemeClr w14:val="tx1"/>
                  </w14:solidFill>
                </w14:textFill>
              </w:rPr>
            </w:pP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072C8B40">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生产过程中排出物利用率</w:t>
            </w:r>
          </w:p>
        </w:tc>
        <w:tc>
          <w:tcPr>
            <w:tcW w:w="446" w:type="pct"/>
            <w:tcBorders>
              <w:top w:val="single" w:color="auto" w:sz="4" w:space="0"/>
              <w:left w:val="single" w:color="auto" w:sz="4" w:space="0"/>
              <w:bottom w:val="single" w:color="auto" w:sz="4" w:space="0"/>
              <w:right w:val="single" w:color="auto" w:sz="4" w:space="0"/>
            </w:tcBorders>
            <w:vAlign w:val="center"/>
          </w:tcPr>
          <w:p w14:paraId="52E6DBDC">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7D8D56F1">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324D5B74">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CBA4D60">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261" w:type="pct"/>
            <w:tcBorders>
              <w:top w:val="single" w:color="auto" w:sz="4" w:space="0"/>
              <w:left w:val="single" w:color="auto" w:sz="4" w:space="0"/>
              <w:bottom w:val="single" w:color="auto" w:sz="4" w:space="0"/>
            </w:tcBorders>
            <w:vAlign w:val="center"/>
          </w:tcPr>
          <w:p w14:paraId="72374CB7">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2C41461A">
        <w:tblPrEx>
          <w:tblCellMar>
            <w:top w:w="0" w:type="dxa"/>
            <w:left w:w="108" w:type="dxa"/>
            <w:bottom w:w="0" w:type="dxa"/>
            <w:right w:w="108" w:type="dxa"/>
          </w:tblCellMar>
        </w:tblPrEx>
        <w:trPr>
          <w:trHeight w:val="284" w:hRule="atLeast"/>
        </w:trPr>
        <w:tc>
          <w:tcPr>
            <w:tcW w:w="984" w:type="pct"/>
            <w:vMerge w:val="restart"/>
            <w:tcBorders>
              <w:top w:val="single" w:color="auto" w:sz="4" w:space="0"/>
              <w:bottom w:val="single" w:color="auto" w:sz="4" w:space="0"/>
              <w:right w:val="single" w:color="auto" w:sz="4" w:space="0"/>
            </w:tcBorders>
            <w:vAlign w:val="center"/>
          </w:tcPr>
          <w:p w14:paraId="2ACFD111">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（4）污染物产生指标</w:t>
            </w:r>
          </w:p>
        </w:tc>
        <w:tc>
          <w:tcPr>
            <w:tcW w:w="323" w:type="pct"/>
            <w:vMerge w:val="restart"/>
            <w:tcBorders>
              <w:top w:val="single" w:color="auto" w:sz="4" w:space="0"/>
              <w:left w:val="single" w:color="auto" w:sz="4" w:space="0"/>
              <w:bottom w:val="single" w:color="auto" w:sz="4" w:space="0"/>
              <w:right w:val="single" w:color="auto" w:sz="4" w:space="0"/>
            </w:tcBorders>
            <w:vAlign w:val="center"/>
          </w:tcPr>
          <w:p w14:paraId="01944E4C">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30</w:t>
            </w: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318C7A4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作业废液量</w:t>
            </w:r>
          </w:p>
        </w:tc>
        <w:tc>
          <w:tcPr>
            <w:tcW w:w="446" w:type="pct"/>
            <w:tcBorders>
              <w:top w:val="single" w:color="auto" w:sz="4" w:space="0"/>
              <w:left w:val="single" w:color="auto" w:sz="4" w:space="0"/>
              <w:bottom w:val="single" w:color="auto" w:sz="4" w:space="0"/>
              <w:right w:val="single" w:color="auto" w:sz="4" w:space="0"/>
            </w:tcBorders>
            <w:vAlign w:val="center"/>
          </w:tcPr>
          <w:p w14:paraId="753B9FE7">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m</w:t>
            </w:r>
            <w:r>
              <w:rPr>
                <w:rFonts w:ascii="宋体" w:hAnsi="宋体"/>
                <w:color w:val="000000" w:themeColor="text1"/>
                <w:spacing w:val="4"/>
                <w:szCs w:val="21"/>
                <w:vertAlign w:val="superscript"/>
                <w14:textFill>
                  <w14:solidFill>
                    <w14:schemeClr w14:val="tx1"/>
                  </w14:solidFill>
                </w14:textFill>
              </w:rPr>
              <w:t>3</w:t>
            </w:r>
            <w:r>
              <w:rPr>
                <w:rFonts w:ascii="宋体" w:hAnsi="宋体"/>
                <w:color w:val="000000" w:themeColor="text1"/>
                <w:spacing w:val="4"/>
                <w:szCs w:val="21"/>
                <w14:textFill>
                  <w14:solidFill>
                    <w14:schemeClr w14:val="tx1"/>
                  </w14:solidFill>
                </w14:textFill>
              </w:rPr>
              <w:t>/井次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0B72496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3A76ECFA">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7F6E169F">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＜3</w:t>
            </w:r>
          </w:p>
        </w:tc>
        <w:tc>
          <w:tcPr>
            <w:tcW w:w="261" w:type="pct"/>
            <w:tcBorders>
              <w:top w:val="single" w:color="auto" w:sz="4" w:space="0"/>
              <w:left w:val="single" w:color="auto" w:sz="4" w:space="0"/>
              <w:bottom w:val="single" w:color="auto" w:sz="4" w:space="0"/>
            </w:tcBorders>
            <w:vAlign w:val="center"/>
          </w:tcPr>
          <w:p w14:paraId="3D66CFDE">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294C3836">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5F2B0DBD">
            <w:pPr>
              <w:widowControl/>
              <w:ind w:firstLine="488"/>
              <w:jc w:val="left"/>
              <w:rPr>
                <w:rFonts w:hint="eastAsia" w:ascii="宋体" w:hAnsi="宋体"/>
                <w:color w:val="000000" w:themeColor="text1"/>
                <w:spacing w:val="4"/>
                <w:szCs w:val="21"/>
                <w14:textFill>
                  <w14:solidFill>
                    <w14:schemeClr w14:val="tx1"/>
                  </w14:solidFill>
                </w14:textFill>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14:paraId="11BAF1A4">
            <w:pPr>
              <w:widowControl/>
              <w:ind w:firstLine="488"/>
              <w:jc w:val="left"/>
              <w:rPr>
                <w:rFonts w:hint="eastAsia" w:ascii="宋体" w:hAnsi="宋体"/>
                <w:color w:val="000000" w:themeColor="text1"/>
                <w:spacing w:val="4"/>
                <w:szCs w:val="21"/>
                <w14:textFill>
                  <w14:solidFill>
                    <w14:schemeClr w14:val="tx1"/>
                  </w14:solidFill>
                </w14:textFill>
              </w:rPr>
            </w:pP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4BD4DC3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石油类</w:t>
            </w:r>
          </w:p>
        </w:tc>
        <w:tc>
          <w:tcPr>
            <w:tcW w:w="446" w:type="pct"/>
            <w:tcBorders>
              <w:top w:val="single" w:color="auto" w:sz="4" w:space="0"/>
              <w:left w:val="single" w:color="auto" w:sz="4" w:space="0"/>
              <w:bottom w:val="single" w:color="auto" w:sz="4" w:space="0"/>
              <w:right w:val="single" w:color="auto" w:sz="4" w:space="0"/>
            </w:tcBorders>
            <w:vAlign w:val="center"/>
          </w:tcPr>
          <w:p w14:paraId="401140A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mg/L</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70EA77F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6E0875F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甲类区：≤10；乙类区：≤50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5A2C36C">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226</w:t>
            </w:r>
          </w:p>
        </w:tc>
        <w:tc>
          <w:tcPr>
            <w:tcW w:w="261" w:type="pct"/>
            <w:tcBorders>
              <w:top w:val="single" w:color="auto" w:sz="4" w:space="0"/>
              <w:left w:val="single" w:color="auto" w:sz="4" w:space="0"/>
              <w:bottom w:val="single" w:color="auto" w:sz="4" w:space="0"/>
            </w:tcBorders>
            <w:vAlign w:val="center"/>
          </w:tcPr>
          <w:p w14:paraId="602FEAB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0</w:t>
            </w:r>
          </w:p>
        </w:tc>
      </w:tr>
      <w:tr w14:paraId="2426C98D">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6C153F43">
            <w:pPr>
              <w:widowControl/>
              <w:ind w:firstLine="488"/>
              <w:jc w:val="left"/>
              <w:rPr>
                <w:rFonts w:hint="eastAsia" w:ascii="宋体" w:hAnsi="宋体"/>
                <w:color w:val="000000" w:themeColor="text1"/>
                <w:spacing w:val="4"/>
                <w:szCs w:val="21"/>
                <w14:textFill>
                  <w14:solidFill>
                    <w14:schemeClr w14:val="tx1"/>
                  </w14:solidFill>
                </w14:textFill>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14:paraId="0628F0C5">
            <w:pPr>
              <w:widowControl/>
              <w:ind w:firstLine="488"/>
              <w:jc w:val="left"/>
              <w:rPr>
                <w:rFonts w:hint="eastAsia" w:ascii="宋体" w:hAnsi="宋体"/>
                <w:color w:val="000000" w:themeColor="text1"/>
                <w:spacing w:val="4"/>
                <w:szCs w:val="21"/>
                <w14:textFill>
                  <w14:solidFill>
                    <w14:schemeClr w14:val="tx1"/>
                  </w14:solidFill>
                </w14:textFill>
              </w:rPr>
            </w:pP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6BA959C1">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COD</w:t>
            </w:r>
          </w:p>
        </w:tc>
        <w:tc>
          <w:tcPr>
            <w:tcW w:w="446" w:type="pct"/>
            <w:tcBorders>
              <w:top w:val="single" w:color="auto" w:sz="4" w:space="0"/>
              <w:left w:val="single" w:color="auto" w:sz="4" w:space="0"/>
              <w:bottom w:val="single" w:color="auto" w:sz="4" w:space="0"/>
              <w:right w:val="single" w:color="auto" w:sz="4" w:space="0"/>
            </w:tcBorders>
            <w:vAlign w:val="center"/>
          </w:tcPr>
          <w:p w14:paraId="5AE5370D">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mg/L</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267DC3F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41D3B731">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甲类区：≤100；乙类区：≤150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7227B22F">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1278</w:t>
            </w:r>
          </w:p>
        </w:tc>
        <w:tc>
          <w:tcPr>
            <w:tcW w:w="261" w:type="pct"/>
            <w:tcBorders>
              <w:top w:val="single" w:color="auto" w:sz="4" w:space="0"/>
              <w:left w:val="single" w:color="auto" w:sz="4" w:space="0"/>
              <w:bottom w:val="single" w:color="auto" w:sz="4" w:space="0"/>
            </w:tcBorders>
            <w:vAlign w:val="center"/>
          </w:tcPr>
          <w:p w14:paraId="77EB97AD">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0</w:t>
            </w:r>
          </w:p>
        </w:tc>
      </w:tr>
      <w:tr w14:paraId="073D5D8C">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7F0EE9E1">
            <w:pPr>
              <w:widowControl/>
              <w:ind w:firstLine="488"/>
              <w:jc w:val="left"/>
              <w:rPr>
                <w:rFonts w:hint="eastAsia" w:ascii="宋体" w:hAnsi="宋体"/>
                <w:color w:val="000000" w:themeColor="text1"/>
                <w:spacing w:val="4"/>
                <w:szCs w:val="21"/>
                <w14:textFill>
                  <w14:solidFill>
                    <w14:schemeClr w14:val="tx1"/>
                  </w14:solidFill>
                </w14:textFill>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14:paraId="7A2F5DC3">
            <w:pPr>
              <w:widowControl/>
              <w:ind w:firstLine="488"/>
              <w:jc w:val="left"/>
              <w:rPr>
                <w:rFonts w:hint="eastAsia" w:ascii="宋体" w:hAnsi="宋体"/>
                <w:color w:val="000000" w:themeColor="text1"/>
                <w:spacing w:val="4"/>
                <w:szCs w:val="21"/>
                <w14:textFill>
                  <w14:solidFill>
                    <w14:schemeClr w14:val="tx1"/>
                  </w14:solidFill>
                </w14:textFill>
              </w:rPr>
            </w:pP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062CF9F4">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含油污泥</w:t>
            </w:r>
          </w:p>
        </w:tc>
        <w:tc>
          <w:tcPr>
            <w:tcW w:w="446" w:type="pct"/>
            <w:tcBorders>
              <w:top w:val="single" w:color="auto" w:sz="4" w:space="0"/>
              <w:left w:val="single" w:color="auto" w:sz="4" w:space="0"/>
              <w:bottom w:val="single" w:color="auto" w:sz="4" w:space="0"/>
              <w:right w:val="single" w:color="auto" w:sz="4" w:space="0"/>
            </w:tcBorders>
            <w:vAlign w:val="center"/>
          </w:tcPr>
          <w:p w14:paraId="067DBFB7">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kg/井次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21307A31">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5BCC71CE">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甲类区：≤50；乙类区：≤70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4D36DB07">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0</w:t>
            </w:r>
          </w:p>
        </w:tc>
        <w:tc>
          <w:tcPr>
            <w:tcW w:w="261" w:type="pct"/>
            <w:tcBorders>
              <w:top w:val="single" w:color="auto" w:sz="4" w:space="0"/>
              <w:left w:val="single" w:color="auto" w:sz="4" w:space="0"/>
              <w:bottom w:val="single" w:color="auto" w:sz="4" w:space="0"/>
            </w:tcBorders>
            <w:vAlign w:val="center"/>
          </w:tcPr>
          <w:p w14:paraId="4C7D8AA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5</w:t>
            </w:r>
          </w:p>
        </w:tc>
      </w:tr>
      <w:tr w14:paraId="1CEFC276">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583A89C4">
            <w:pPr>
              <w:widowControl/>
              <w:ind w:firstLine="488"/>
              <w:jc w:val="left"/>
              <w:rPr>
                <w:rFonts w:hint="eastAsia" w:ascii="宋体" w:hAnsi="宋体"/>
                <w:color w:val="000000" w:themeColor="text1"/>
                <w:spacing w:val="4"/>
                <w:szCs w:val="21"/>
                <w14:textFill>
                  <w14:solidFill>
                    <w14:schemeClr w14:val="tx1"/>
                  </w14:solidFill>
                </w14:textFill>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14:paraId="58C41019">
            <w:pPr>
              <w:widowControl/>
              <w:ind w:firstLine="488"/>
              <w:jc w:val="left"/>
              <w:rPr>
                <w:rFonts w:hint="eastAsia" w:ascii="宋体" w:hAnsi="宋体"/>
                <w:color w:val="000000" w:themeColor="text1"/>
                <w:spacing w:val="4"/>
                <w:szCs w:val="21"/>
                <w14:textFill>
                  <w14:solidFill>
                    <w14:schemeClr w14:val="tx1"/>
                  </w14:solidFill>
                </w14:textFill>
              </w:rPr>
            </w:pPr>
          </w:p>
        </w:tc>
        <w:tc>
          <w:tcPr>
            <w:tcW w:w="1030" w:type="pct"/>
            <w:gridSpan w:val="3"/>
            <w:tcBorders>
              <w:top w:val="single" w:color="auto" w:sz="4" w:space="0"/>
              <w:left w:val="single" w:color="auto" w:sz="4" w:space="0"/>
              <w:bottom w:val="single" w:color="auto" w:sz="4" w:space="0"/>
              <w:right w:val="single" w:color="auto" w:sz="4" w:space="0"/>
            </w:tcBorders>
            <w:vAlign w:val="center"/>
          </w:tcPr>
          <w:p w14:paraId="74AA7E7F">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一般固体废物（生活垃圾）</w:t>
            </w:r>
          </w:p>
        </w:tc>
        <w:tc>
          <w:tcPr>
            <w:tcW w:w="446" w:type="pct"/>
            <w:tcBorders>
              <w:top w:val="single" w:color="auto" w:sz="4" w:space="0"/>
              <w:left w:val="single" w:color="auto" w:sz="4" w:space="0"/>
              <w:bottom w:val="single" w:color="auto" w:sz="4" w:space="0"/>
              <w:right w:val="single" w:color="auto" w:sz="4" w:space="0"/>
            </w:tcBorders>
            <w:vAlign w:val="center"/>
          </w:tcPr>
          <w:p w14:paraId="4BC3D22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kg/井次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32624AD5">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1100" w:type="pct"/>
            <w:gridSpan w:val="2"/>
            <w:tcBorders>
              <w:top w:val="single" w:color="auto" w:sz="4" w:space="0"/>
              <w:left w:val="single" w:color="auto" w:sz="4" w:space="0"/>
              <w:bottom w:val="single" w:color="auto" w:sz="4" w:space="0"/>
              <w:right w:val="single" w:color="auto" w:sz="4" w:space="0"/>
            </w:tcBorders>
            <w:vAlign w:val="center"/>
          </w:tcPr>
          <w:p w14:paraId="7FDDA25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符合环保要求</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74AA096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0</w:t>
            </w:r>
          </w:p>
        </w:tc>
        <w:tc>
          <w:tcPr>
            <w:tcW w:w="261" w:type="pct"/>
            <w:tcBorders>
              <w:top w:val="single" w:color="auto" w:sz="4" w:space="0"/>
              <w:left w:val="single" w:color="auto" w:sz="4" w:space="0"/>
              <w:bottom w:val="single" w:color="auto" w:sz="4" w:space="0"/>
            </w:tcBorders>
            <w:vAlign w:val="center"/>
          </w:tcPr>
          <w:p w14:paraId="3A384D0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5</w:t>
            </w:r>
          </w:p>
        </w:tc>
      </w:tr>
      <w:tr w14:paraId="7408A105">
        <w:tblPrEx>
          <w:tblCellMar>
            <w:top w:w="0" w:type="dxa"/>
            <w:left w:w="108" w:type="dxa"/>
            <w:bottom w:w="0" w:type="dxa"/>
            <w:right w:w="108" w:type="dxa"/>
          </w:tblCellMar>
        </w:tblPrEx>
        <w:trPr>
          <w:trHeight w:val="284" w:hRule="atLeast"/>
        </w:trPr>
        <w:tc>
          <w:tcPr>
            <w:tcW w:w="5000" w:type="pct"/>
            <w:gridSpan w:val="13"/>
            <w:tcBorders>
              <w:top w:val="single" w:color="auto" w:sz="4" w:space="0"/>
              <w:bottom w:val="single" w:color="auto" w:sz="4" w:space="0"/>
            </w:tcBorders>
            <w:vAlign w:val="center"/>
          </w:tcPr>
          <w:p w14:paraId="3503F63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定性指标</w:t>
            </w:r>
          </w:p>
        </w:tc>
      </w:tr>
      <w:tr w14:paraId="5DA221D5">
        <w:tblPrEx>
          <w:tblCellMar>
            <w:top w:w="0" w:type="dxa"/>
            <w:left w:w="108" w:type="dxa"/>
            <w:bottom w:w="0" w:type="dxa"/>
            <w:right w:w="108" w:type="dxa"/>
          </w:tblCellMar>
        </w:tblPrEx>
        <w:trPr>
          <w:trHeight w:val="284" w:hRule="atLeast"/>
        </w:trPr>
        <w:tc>
          <w:tcPr>
            <w:tcW w:w="1333" w:type="pct"/>
            <w:gridSpan w:val="3"/>
            <w:tcBorders>
              <w:top w:val="single" w:color="auto" w:sz="4" w:space="0"/>
              <w:bottom w:val="single" w:color="auto" w:sz="4" w:space="0"/>
              <w:right w:val="single" w:color="auto" w:sz="4" w:space="0"/>
            </w:tcBorders>
            <w:vAlign w:val="center"/>
          </w:tcPr>
          <w:p w14:paraId="0A163A40">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一级指标</w:t>
            </w:r>
          </w:p>
        </w:tc>
        <w:tc>
          <w:tcPr>
            <w:tcW w:w="410" w:type="pct"/>
            <w:tcBorders>
              <w:top w:val="single" w:color="auto" w:sz="4" w:space="0"/>
              <w:left w:val="single" w:color="auto" w:sz="4" w:space="0"/>
              <w:bottom w:val="single" w:color="auto" w:sz="4" w:space="0"/>
              <w:right w:val="single" w:color="auto" w:sz="4" w:space="0"/>
            </w:tcBorders>
            <w:vAlign w:val="center"/>
          </w:tcPr>
          <w:p w14:paraId="11C55F6D">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指标分值</w:t>
            </w:r>
          </w:p>
        </w:tc>
        <w:tc>
          <w:tcPr>
            <w:tcW w:w="2395" w:type="pct"/>
            <w:gridSpan w:val="5"/>
            <w:tcBorders>
              <w:top w:val="single" w:color="auto" w:sz="4" w:space="0"/>
              <w:left w:val="single" w:color="auto" w:sz="4" w:space="0"/>
              <w:bottom w:val="single" w:color="auto" w:sz="4" w:space="0"/>
              <w:right w:val="single" w:color="auto" w:sz="4" w:space="0"/>
            </w:tcBorders>
            <w:vAlign w:val="center"/>
          </w:tcPr>
          <w:p w14:paraId="5BEA989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二级指标</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1EC90FA">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指标分值</w:t>
            </w:r>
          </w:p>
        </w:tc>
        <w:tc>
          <w:tcPr>
            <w:tcW w:w="462" w:type="pct"/>
            <w:gridSpan w:val="2"/>
            <w:tcBorders>
              <w:top w:val="single" w:color="auto" w:sz="4" w:space="0"/>
              <w:left w:val="single" w:color="auto" w:sz="4" w:space="0"/>
              <w:bottom w:val="single" w:color="auto" w:sz="4" w:space="0"/>
            </w:tcBorders>
            <w:vAlign w:val="center"/>
          </w:tcPr>
          <w:p w14:paraId="7B82A287">
            <w:pPr>
              <w:adjustRightInd w:val="0"/>
              <w:snapToGrid w:val="0"/>
              <w:spacing w:line="300" w:lineRule="exact"/>
              <w:ind w:left="-1" w:leftChars="-122" w:hanging="255" w:hangingChars="117"/>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本项目评分</w:t>
            </w:r>
          </w:p>
        </w:tc>
      </w:tr>
      <w:tr w14:paraId="03F4E804">
        <w:tblPrEx>
          <w:tblCellMar>
            <w:top w:w="0" w:type="dxa"/>
            <w:left w:w="108" w:type="dxa"/>
            <w:bottom w:w="0" w:type="dxa"/>
            <w:right w:w="108" w:type="dxa"/>
          </w:tblCellMar>
        </w:tblPrEx>
        <w:trPr>
          <w:trHeight w:val="284" w:hRule="atLeast"/>
        </w:trPr>
        <w:tc>
          <w:tcPr>
            <w:tcW w:w="1333" w:type="pct"/>
            <w:gridSpan w:val="3"/>
            <w:vMerge w:val="restart"/>
            <w:tcBorders>
              <w:top w:val="single" w:color="auto" w:sz="4" w:space="0"/>
              <w:bottom w:val="single" w:color="auto" w:sz="4" w:space="0"/>
              <w:right w:val="single" w:color="auto" w:sz="4" w:space="0"/>
            </w:tcBorders>
            <w:vAlign w:val="center"/>
          </w:tcPr>
          <w:p w14:paraId="2FF8CDE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（1）生产工艺及设备要求</w:t>
            </w:r>
          </w:p>
        </w:tc>
        <w:tc>
          <w:tcPr>
            <w:tcW w:w="410" w:type="pct"/>
            <w:vMerge w:val="restart"/>
            <w:tcBorders>
              <w:top w:val="single" w:color="auto" w:sz="4" w:space="0"/>
              <w:left w:val="single" w:color="auto" w:sz="4" w:space="0"/>
              <w:bottom w:val="single" w:color="auto" w:sz="4" w:space="0"/>
              <w:right w:val="single" w:color="auto" w:sz="4" w:space="0"/>
            </w:tcBorders>
            <w:vAlign w:val="center"/>
          </w:tcPr>
          <w:p w14:paraId="77001BD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40</w:t>
            </w:r>
          </w:p>
        </w:tc>
        <w:tc>
          <w:tcPr>
            <w:tcW w:w="1095" w:type="pct"/>
            <w:gridSpan w:val="3"/>
            <w:tcBorders>
              <w:top w:val="single" w:color="auto" w:sz="4" w:space="0"/>
              <w:left w:val="single" w:color="auto" w:sz="4" w:space="0"/>
              <w:bottom w:val="single" w:color="auto" w:sz="4" w:space="0"/>
              <w:right w:val="single" w:color="auto" w:sz="4" w:space="0"/>
            </w:tcBorders>
            <w:vAlign w:val="center"/>
          </w:tcPr>
          <w:p w14:paraId="5A38E9C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防喷措施</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546DA66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具备</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0D9583D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62" w:type="pct"/>
            <w:gridSpan w:val="2"/>
            <w:tcBorders>
              <w:top w:val="single" w:color="auto" w:sz="4" w:space="0"/>
              <w:left w:val="single" w:color="auto" w:sz="4" w:space="0"/>
              <w:bottom w:val="single" w:color="auto" w:sz="4" w:space="0"/>
            </w:tcBorders>
            <w:vAlign w:val="center"/>
          </w:tcPr>
          <w:p w14:paraId="3BF01225">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013AD0FA">
        <w:tblPrEx>
          <w:tblCellMar>
            <w:top w:w="0" w:type="dxa"/>
            <w:left w:w="108" w:type="dxa"/>
            <w:bottom w:w="0" w:type="dxa"/>
            <w:right w:w="108" w:type="dxa"/>
          </w:tblCellMar>
        </w:tblPrEx>
        <w:trPr>
          <w:trHeight w:val="284" w:hRule="atLeast"/>
        </w:trPr>
        <w:tc>
          <w:tcPr>
            <w:tcW w:w="1333" w:type="pct"/>
            <w:gridSpan w:val="3"/>
            <w:vMerge w:val="continue"/>
            <w:tcBorders>
              <w:top w:val="single" w:color="auto" w:sz="4" w:space="0"/>
              <w:bottom w:val="single" w:color="auto" w:sz="4" w:space="0"/>
              <w:right w:val="single" w:color="auto" w:sz="4" w:space="0"/>
            </w:tcBorders>
            <w:vAlign w:val="center"/>
          </w:tcPr>
          <w:p w14:paraId="65759B5F">
            <w:pPr>
              <w:widowControl/>
              <w:ind w:firstLine="488"/>
              <w:jc w:val="left"/>
              <w:rPr>
                <w:rFonts w:hint="eastAsia" w:ascii="宋体" w:hAnsi="宋体"/>
                <w:color w:val="000000" w:themeColor="text1"/>
                <w:spacing w:val="4"/>
                <w:szCs w:val="21"/>
                <w14:textFill>
                  <w14:solidFill>
                    <w14:schemeClr w14:val="tx1"/>
                  </w14:solidFill>
                </w14:textFill>
              </w:rPr>
            </w:pPr>
          </w:p>
        </w:tc>
        <w:tc>
          <w:tcPr>
            <w:tcW w:w="410" w:type="pct"/>
            <w:vMerge w:val="continue"/>
            <w:tcBorders>
              <w:top w:val="single" w:color="auto" w:sz="4" w:space="0"/>
              <w:left w:val="single" w:color="auto" w:sz="4" w:space="0"/>
              <w:bottom w:val="single" w:color="auto" w:sz="4" w:space="0"/>
              <w:right w:val="single" w:color="auto" w:sz="4" w:space="0"/>
            </w:tcBorders>
            <w:vAlign w:val="center"/>
          </w:tcPr>
          <w:p w14:paraId="6BD67502">
            <w:pPr>
              <w:widowControl/>
              <w:ind w:firstLine="488"/>
              <w:jc w:val="left"/>
              <w:rPr>
                <w:rFonts w:hint="eastAsia" w:ascii="宋体" w:hAnsi="宋体"/>
                <w:color w:val="000000" w:themeColor="text1"/>
                <w:spacing w:val="4"/>
                <w:szCs w:val="21"/>
                <w14:textFill>
                  <w14:solidFill>
                    <w14:schemeClr w14:val="tx1"/>
                  </w14:solidFill>
                </w14:textFill>
              </w:rPr>
            </w:pPr>
          </w:p>
        </w:tc>
        <w:tc>
          <w:tcPr>
            <w:tcW w:w="1095" w:type="pct"/>
            <w:gridSpan w:val="3"/>
            <w:tcBorders>
              <w:top w:val="single" w:color="auto" w:sz="4" w:space="0"/>
              <w:left w:val="single" w:color="auto" w:sz="4" w:space="0"/>
              <w:bottom w:val="single" w:color="auto" w:sz="4" w:space="0"/>
              <w:right w:val="single" w:color="auto" w:sz="4" w:space="0"/>
            </w:tcBorders>
            <w:vAlign w:val="center"/>
          </w:tcPr>
          <w:p w14:paraId="1D53C457">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地面管线防刺防漏措施</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31A005C3">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按标准试压</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6309E09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62" w:type="pct"/>
            <w:gridSpan w:val="2"/>
            <w:tcBorders>
              <w:top w:val="single" w:color="auto" w:sz="4" w:space="0"/>
              <w:left w:val="single" w:color="auto" w:sz="4" w:space="0"/>
              <w:bottom w:val="single" w:color="auto" w:sz="4" w:space="0"/>
            </w:tcBorders>
            <w:vAlign w:val="center"/>
          </w:tcPr>
          <w:p w14:paraId="0CFA8130">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2879C509">
        <w:tblPrEx>
          <w:tblCellMar>
            <w:top w:w="0" w:type="dxa"/>
            <w:left w:w="108" w:type="dxa"/>
            <w:bottom w:w="0" w:type="dxa"/>
            <w:right w:w="108" w:type="dxa"/>
          </w:tblCellMar>
        </w:tblPrEx>
        <w:trPr>
          <w:trHeight w:val="284" w:hRule="atLeast"/>
        </w:trPr>
        <w:tc>
          <w:tcPr>
            <w:tcW w:w="1333" w:type="pct"/>
            <w:gridSpan w:val="3"/>
            <w:vMerge w:val="continue"/>
            <w:tcBorders>
              <w:top w:val="single" w:color="auto" w:sz="4" w:space="0"/>
              <w:bottom w:val="single" w:color="auto" w:sz="4" w:space="0"/>
              <w:right w:val="single" w:color="auto" w:sz="4" w:space="0"/>
            </w:tcBorders>
            <w:vAlign w:val="center"/>
          </w:tcPr>
          <w:p w14:paraId="486FC5AF">
            <w:pPr>
              <w:widowControl/>
              <w:ind w:firstLine="488"/>
              <w:jc w:val="left"/>
              <w:rPr>
                <w:rFonts w:hint="eastAsia" w:ascii="宋体" w:hAnsi="宋体"/>
                <w:color w:val="000000" w:themeColor="text1"/>
                <w:spacing w:val="4"/>
                <w:szCs w:val="21"/>
                <w14:textFill>
                  <w14:solidFill>
                    <w14:schemeClr w14:val="tx1"/>
                  </w14:solidFill>
                </w14:textFill>
              </w:rPr>
            </w:pPr>
          </w:p>
        </w:tc>
        <w:tc>
          <w:tcPr>
            <w:tcW w:w="410" w:type="pct"/>
            <w:vMerge w:val="continue"/>
            <w:tcBorders>
              <w:top w:val="single" w:color="auto" w:sz="4" w:space="0"/>
              <w:left w:val="single" w:color="auto" w:sz="4" w:space="0"/>
              <w:bottom w:val="single" w:color="auto" w:sz="4" w:space="0"/>
              <w:right w:val="single" w:color="auto" w:sz="4" w:space="0"/>
            </w:tcBorders>
            <w:vAlign w:val="center"/>
          </w:tcPr>
          <w:p w14:paraId="02FFB3A1">
            <w:pPr>
              <w:widowControl/>
              <w:ind w:firstLine="488"/>
              <w:jc w:val="left"/>
              <w:rPr>
                <w:rFonts w:hint="eastAsia" w:ascii="宋体" w:hAnsi="宋体"/>
                <w:color w:val="000000" w:themeColor="text1"/>
                <w:spacing w:val="4"/>
                <w:szCs w:val="21"/>
                <w14:textFill>
                  <w14:solidFill>
                    <w14:schemeClr w14:val="tx1"/>
                  </w14:solidFill>
                </w14:textFill>
              </w:rPr>
            </w:pPr>
          </w:p>
        </w:tc>
        <w:tc>
          <w:tcPr>
            <w:tcW w:w="1095" w:type="pct"/>
            <w:gridSpan w:val="3"/>
            <w:tcBorders>
              <w:top w:val="single" w:color="auto" w:sz="4" w:space="0"/>
              <w:left w:val="single" w:color="auto" w:sz="4" w:space="0"/>
              <w:bottom w:val="single" w:color="auto" w:sz="4" w:space="0"/>
              <w:right w:val="single" w:color="auto" w:sz="4" w:space="0"/>
            </w:tcBorders>
            <w:vAlign w:val="center"/>
          </w:tcPr>
          <w:p w14:paraId="269AD964">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防溢设备（防溢池设置）</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1D92AA1F">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具备</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1E953B1C">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62" w:type="pct"/>
            <w:gridSpan w:val="2"/>
            <w:tcBorders>
              <w:top w:val="single" w:color="auto" w:sz="4" w:space="0"/>
              <w:left w:val="single" w:color="auto" w:sz="4" w:space="0"/>
              <w:bottom w:val="single" w:color="auto" w:sz="4" w:space="0"/>
            </w:tcBorders>
            <w:vAlign w:val="center"/>
          </w:tcPr>
          <w:p w14:paraId="5E095E7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7406E720">
        <w:tblPrEx>
          <w:tblCellMar>
            <w:top w:w="0" w:type="dxa"/>
            <w:left w:w="108" w:type="dxa"/>
            <w:bottom w:w="0" w:type="dxa"/>
            <w:right w:w="108" w:type="dxa"/>
          </w:tblCellMar>
        </w:tblPrEx>
        <w:trPr>
          <w:trHeight w:val="284" w:hRule="atLeast"/>
        </w:trPr>
        <w:tc>
          <w:tcPr>
            <w:tcW w:w="1333" w:type="pct"/>
            <w:gridSpan w:val="3"/>
            <w:vMerge w:val="continue"/>
            <w:tcBorders>
              <w:top w:val="single" w:color="auto" w:sz="4" w:space="0"/>
              <w:bottom w:val="single" w:color="auto" w:sz="4" w:space="0"/>
              <w:right w:val="single" w:color="auto" w:sz="4" w:space="0"/>
            </w:tcBorders>
            <w:vAlign w:val="center"/>
          </w:tcPr>
          <w:p w14:paraId="6288C0E3">
            <w:pPr>
              <w:widowControl/>
              <w:ind w:firstLine="488"/>
              <w:jc w:val="left"/>
              <w:rPr>
                <w:rFonts w:hint="eastAsia" w:ascii="宋体" w:hAnsi="宋体"/>
                <w:color w:val="000000" w:themeColor="text1"/>
                <w:spacing w:val="4"/>
                <w:szCs w:val="21"/>
                <w14:textFill>
                  <w14:solidFill>
                    <w14:schemeClr w14:val="tx1"/>
                  </w14:solidFill>
                </w14:textFill>
              </w:rPr>
            </w:pPr>
          </w:p>
        </w:tc>
        <w:tc>
          <w:tcPr>
            <w:tcW w:w="410" w:type="pct"/>
            <w:vMerge w:val="continue"/>
            <w:tcBorders>
              <w:top w:val="single" w:color="auto" w:sz="4" w:space="0"/>
              <w:left w:val="single" w:color="auto" w:sz="4" w:space="0"/>
              <w:bottom w:val="single" w:color="auto" w:sz="4" w:space="0"/>
              <w:right w:val="single" w:color="auto" w:sz="4" w:space="0"/>
            </w:tcBorders>
            <w:vAlign w:val="center"/>
          </w:tcPr>
          <w:p w14:paraId="335C9D68">
            <w:pPr>
              <w:widowControl/>
              <w:ind w:firstLine="488"/>
              <w:jc w:val="left"/>
              <w:rPr>
                <w:rFonts w:hint="eastAsia" w:ascii="宋体" w:hAnsi="宋体"/>
                <w:color w:val="000000" w:themeColor="text1"/>
                <w:spacing w:val="4"/>
                <w:szCs w:val="21"/>
                <w14:textFill>
                  <w14:solidFill>
                    <w14:schemeClr w14:val="tx1"/>
                  </w14:solidFill>
                </w14:textFill>
              </w:rPr>
            </w:pPr>
          </w:p>
        </w:tc>
        <w:tc>
          <w:tcPr>
            <w:tcW w:w="1095" w:type="pct"/>
            <w:gridSpan w:val="3"/>
            <w:tcBorders>
              <w:top w:val="single" w:color="auto" w:sz="4" w:space="0"/>
              <w:left w:val="single" w:color="auto" w:sz="4" w:space="0"/>
              <w:bottom w:val="single" w:color="auto" w:sz="4" w:space="0"/>
              <w:right w:val="single" w:color="auto" w:sz="4" w:space="0"/>
            </w:tcBorders>
            <w:vAlign w:val="center"/>
          </w:tcPr>
          <w:p w14:paraId="030F6990">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防渗范围</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0151776F">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废水、使用液、原油等可能落地处</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2D5F80B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62" w:type="pct"/>
            <w:gridSpan w:val="2"/>
            <w:tcBorders>
              <w:top w:val="single" w:color="auto" w:sz="4" w:space="0"/>
              <w:left w:val="single" w:color="auto" w:sz="4" w:space="0"/>
              <w:bottom w:val="single" w:color="auto" w:sz="4" w:space="0"/>
            </w:tcBorders>
            <w:vAlign w:val="center"/>
          </w:tcPr>
          <w:p w14:paraId="43D8ECF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2EE2D1C0">
        <w:tblPrEx>
          <w:tblCellMar>
            <w:top w:w="0" w:type="dxa"/>
            <w:left w:w="108" w:type="dxa"/>
            <w:bottom w:w="0" w:type="dxa"/>
            <w:right w:w="108" w:type="dxa"/>
          </w:tblCellMar>
        </w:tblPrEx>
        <w:trPr>
          <w:trHeight w:val="284" w:hRule="atLeast"/>
        </w:trPr>
        <w:tc>
          <w:tcPr>
            <w:tcW w:w="1333" w:type="pct"/>
            <w:gridSpan w:val="3"/>
            <w:vMerge w:val="continue"/>
            <w:tcBorders>
              <w:top w:val="single" w:color="auto" w:sz="4" w:space="0"/>
              <w:bottom w:val="single" w:color="auto" w:sz="4" w:space="0"/>
              <w:right w:val="single" w:color="auto" w:sz="4" w:space="0"/>
            </w:tcBorders>
            <w:vAlign w:val="center"/>
          </w:tcPr>
          <w:p w14:paraId="47DDABAA">
            <w:pPr>
              <w:widowControl/>
              <w:ind w:firstLine="488"/>
              <w:jc w:val="left"/>
              <w:rPr>
                <w:rFonts w:hint="eastAsia" w:ascii="宋体" w:hAnsi="宋体"/>
                <w:color w:val="000000" w:themeColor="text1"/>
                <w:spacing w:val="4"/>
                <w:szCs w:val="21"/>
                <w14:textFill>
                  <w14:solidFill>
                    <w14:schemeClr w14:val="tx1"/>
                  </w14:solidFill>
                </w14:textFill>
              </w:rPr>
            </w:pPr>
          </w:p>
        </w:tc>
        <w:tc>
          <w:tcPr>
            <w:tcW w:w="410" w:type="pct"/>
            <w:vMerge w:val="continue"/>
            <w:tcBorders>
              <w:top w:val="single" w:color="auto" w:sz="4" w:space="0"/>
              <w:left w:val="single" w:color="auto" w:sz="4" w:space="0"/>
              <w:bottom w:val="single" w:color="auto" w:sz="4" w:space="0"/>
              <w:right w:val="single" w:color="auto" w:sz="4" w:space="0"/>
            </w:tcBorders>
            <w:vAlign w:val="center"/>
          </w:tcPr>
          <w:p w14:paraId="1E0F681C">
            <w:pPr>
              <w:widowControl/>
              <w:ind w:firstLine="488"/>
              <w:jc w:val="left"/>
              <w:rPr>
                <w:rFonts w:hint="eastAsia" w:ascii="宋体" w:hAnsi="宋体"/>
                <w:color w:val="000000" w:themeColor="text1"/>
                <w:spacing w:val="4"/>
                <w:szCs w:val="21"/>
                <w14:textFill>
                  <w14:solidFill>
                    <w14:schemeClr w14:val="tx1"/>
                  </w14:solidFill>
                </w14:textFill>
              </w:rPr>
            </w:pPr>
          </w:p>
        </w:tc>
        <w:tc>
          <w:tcPr>
            <w:tcW w:w="1095" w:type="pct"/>
            <w:gridSpan w:val="3"/>
            <w:tcBorders>
              <w:top w:val="single" w:color="auto" w:sz="4" w:space="0"/>
              <w:left w:val="single" w:color="auto" w:sz="4" w:space="0"/>
              <w:bottom w:val="single" w:color="auto" w:sz="4" w:space="0"/>
              <w:right w:val="single" w:color="auto" w:sz="4" w:space="0"/>
            </w:tcBorders>
            <w:vAlign w:val="center"/>
          </w:tcPr>
          <w:p w14:paraId="5019BB5C">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作业废液污染控制措施</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06359350">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集中回收处理</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0612433">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462" w:type="pct"/>
            <w:gridSpan w:val="2"/>
            <w:tcBorders>
              <w:top w:val="single" w:color="auto" w:sz="4" w:space="0"/>
              <w:left w:val="single" w:color="auto" w:sz="4" w:space="0"/>
              <w:bottom w:val="single" w:color="auto" w:sz="4" w:space="0"/>
            </w:tcBorders>
            <w:vAlign w:val="center"/>
          </w:tcPr>
          <w:p w14:paraId="39B6A4F3">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2408BF68">
        <w:tblPrEx>
          <w:tblCellMar>
            <w:top w:w="0" w:type="dxa"/>
            <w:left w:w="108" w:type="dxa"/>
            <w:bottom w:w="0" w:type="dxa"/>
            <w:right w:w="108" w:type="dxa"/>
          </w:tblCellMar>
        </w:tblPrEx>
        <w:trPr>
          <w:trHeight w:val="284" w:hRule="atLeast"/>
        </w:trPr>
        <w:tc>
          <w:tcPr>
            <w:tcW w:w="1333" w:type="pct"/>
            <w:gridSpan w:val="3"/>
            <w:vMerge w:val="continue"/>
            <w:tcBorders>
              <w:top w:val="single" w:color="auto" w:sz="4" w:space="0"/>
              <w:bottom w:val="single" w:color="auto" w:sz="4" w:space="0"/>
              <w:right w:val="single" w:color="auto" w:sz="4" w:space="0"/>
            </w:tcBorders>
            <w:vAlign w:val="center"/>
          </w:tcPr>
          <w:p w14:paraId="4E957390">
            <w:pPr>
              <w:widowControl/>
              <w:ind w:firstLine="488"/>
              <w:jc w:val="left"/>
              <w:rPr>
                <w:rFonts w:hint="eastAsia" w:ascii="宋体" w:hAnsi="宋体"/>
                <w:color w:val="000000" w:themeColor="text1"/>
                <w:spacing w:val="4"/>
                <w:szCs w:val="21"/>
                <w14:textFill>
                  <w14:solidFill>
                    <w14:schemeClr w14:val="tx1"/>
                  </w14:solidFill>
                </w14:textFill>
              </w:rPr>
            </w:pPr>
          </w:p>
        </w:tc>
        <w:tc>
          <w:tcPr>
            <w:tcW w:w="410" w:type="pct"/>
            <w:vMerge w:val="continue"/>
            <w:tcBorders>
              <w:top w:val="single" w:color="auto" w:sz="4" w:space="0"/>
              <w:left w:val="single" w:color="auto" w:sz="4" w:space="0"/>
              <w:bottom w:val="single" w:color="auto" w:sz="4" w:space="0"/>
              <w:right w:val="single" w:color="auto" w:sz="4" w:space="0"/>
            </w:tcBorders>
            <w:vAlign w:val="center"/>
          </w:tcPr>
          <w:p w14:paraId="567F39B9">
            <w:pPr>
              <w:widowControl/>
              <w:ind w:firstLine="488"/>
              <w:jc w:val="left"/>
              <w:rPr>
                <w:rFonts w:hint="eastAsia" w:ascii="宋体" w:hAnsi="宋体"/>
                <w:color w:val="000000" w:themeColor="text1"/>
                <w:spacing w:val="4"/>
                <w:szCs w:val="21"/>
                <w14:textFill>
                  <w14:solidFill>
                    <w14:schemeClr w14:val="tx1"/>
                  </w14:solidFill>
                </w14:textFill>
              </w:rPr>
            </w:pPr>
          </w:p>
        </w:tc>
        <w:tc>
          <w:tcPr>
            <w:tcW w:w="1095" w:type="pct"/>
            <w:gridSpan w:val="3"/>
            <w:tcBorders>
              <w:top w:val="single" w:color="auto" w:sz="4" w:space="0"/>
              <w:left w:val="single" w:color="auto" w:sz="4" w:space="0"/>
              <w:bottom w:val="single" w:color="auto" w:sz="4" w:space="0"/>
              <w:right w:val="single" w:color="auto" w:sz="4" w:space="0"/>
            </w:tcBorders>
            <w:vAlign w:val="center"/>
          </w:tcPr>
          <w:p w14:paraId="69D642F3">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防止落地原油产生措施</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5BD34ED3">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具备原油回收设施</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483D9B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462" w:type="pct"/>
            <w:gridSpan w:val="2"/>
            <w:tcBorders>
              <w:top w:val="single" w:color="auto" w:sz="4" w:space="0"/>
              <w:left w:val="single" w:color="auto" w:sz="4" w:space="0"/>
              <w:bottom w:val="single" w:color="auto" w:sz="4" w:space="0"/>
            </w:tcBorders>
            <w:vAlign w:val="center"/>
          </w:tcPr>
          <w:p w14:paraId="6144B60B">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20B2E78C">
        <w:tblPrEx>
          <w:tblCellMar>
            <w:top w:w="0" w:type="dxa"/>
            <w:left w:w="108" w:type="dxa"/>
            <w:bottom w:w="0" w:type="dxa"/>
            <w:right w:w="108" w:type="dxa"/>
          </w:tblCellMar>
        </w:tblPrEx>
        <w:trPr>
          <w:trHeight w:val="284" w:hRule="atLeast"/>
        </w:trPr>
        <w:tc>
          <w:tcPr>
            <w:tcW w:w="1333" w:type="pct"/>
            <w:gridSpan w:val="3"/>
            <w:vMerge w:val="restart"/>
            <w:tcBorders>
              <w:top w:val="single" w:color="auto" w:sz="4" w:space="0"/>
              <w:bottom w:val="single" w:color="auto" w:sz="4" w:space="0"/>
              <w:right w:val="single" w:color="auto" w:sz="4" w:space="0"/>
            </w:tcBorders>
            <w:vAlign w:val="center"/>
          </w:tcPr>
          <w:p w14:paraId="7EA3B27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（2）管理体系建设及清洁生产审核</w:t>
            </w:r>
          </w:p>
        </w:tc>
        <w:tc>
          <w:tcPr>
            <w:tcW w:w="410" w:type="pct"/>
            <w:vMerge w:val="restart"/>
            <w:tcBorders>
              <w:top w:val="single" w:color="auto" w:sz="4" w:space="0"/>
              <w:left w:val="single" w:color="auto" w:sz="4" w:space="0"/>
              <w:bottom w:val="single" w:color="auto" w:sz="4" w:space="0"/>
              <w:right w:val="single" w:color="auto" w:sz="4" w:space="0"/>
            </w:tcBorders>
            <w:vAlign w:val="center"/>
          </w:tcPr>
          <w:p w14:paraId="6902C6EA">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40</w:t>
            </w:r>
          </w:p>
        </w:tc>
        <w:tc>
          <w:tcPr>
            <w:tcW w:w="2395" w:type="pct"/>
            <w:gridSpan w:val="5"/>
            <w:tcBorders>
              <w:top w:val="single" w:color="auto" w:sz="4" w:space="0"/>
              <w:left w:val="single" w:color="auto" w:sz="4" w:space="0"/>
              <w:bottom w:val="single" w:color="auto" w:sz="4" w:space="0"/>
              <w:right w:val="single" w:color="auto" w:sz="4" w:space="0"/>
            </w:tcBorders>
            <w:vAlign w:val="center"/>
          </w:tcPr>
          <w:p w14:paraId="2A95DBB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建立HSE管理体系并通过验证</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21A0997">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15</w:t>
            </w:r>
          </w:p>
        </w:tc>
        <w:tc>
          <w:tcPr>
            <w:tcW w:w="462" w:type="pct"/>
            <w:gridSpan w:val="2"/>
            <w:tcBorders>
              <w:top w:val="single" w:color="auto" w:sz="4" w:space="0"/>
              <w:left w:val="single" w:color="auto" w:sz="4" w:space="0"/>
              <w:bottom w:val="single" w:color="auto" w:sz="4" w:space="0"/>
            </w:tcBorders>
            <w:vAlign w:val="center"/>
          </w:tcPr>
          <w:p w14:paraId="4BEEBC1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15</w:t>
            </w:r>
          </w:p>
        </w:tc>
      </w:tr>
      <w:tr w14:paraId="09C32872">
        <w:tblPrEx>
          <w:tblCellMar>
            <w:top w:w="0" w:type="dxa"/>
            <w:left w:w="108" w:type="dxa"/>
            <w:bottom w:w="0" w:type="dxa"/>
            <w:right w:w="108" w:type="dxa"/>
          </w:tblCellMar>
        </w:tblPrEx>
        <w:trPr>
          <w:trHeight w:val="284" w:hRule="atLeast"/>
        </w:trPr>
        <w:tc>
          <w:tcPr>
            <w:tcW w:w="1333" w:type="pct"/>
            <w:gridSpan w:val="3"/>
            <w:vMerge w:val="continue"/>
            <w:tcBorders>
              <w:top w:val="single" w:color="auto" w:sz="4" w:space="0"/>
              <w:bottom w:val="single" w:color="auto" w:sz="4" w:space="0"/>
              <w:right w:val="single" w:color="auto" w:sz="4" w:space="0"/>
            </w:tcBorders>
            <w:vAlign w:val="center"/>
          </w:tcPr>
          <w:p w14:paraId="0A699EE2">
            <w:pPr>
              <w:widowControl/>
              <w:ind w:firstLine="488"/>
              <w:jc w:val="left"/>
              <w:rPr>
                <w:rFonts w:hint="eastAsia" w:ascii="宋体" w:hAnsi="宋体"/>
                <w:color w:val="000000" w:themeColor="text1"/>
                <w:spacing w:val="4"/>
                <w:szCs w:val="21"/>
                <w14:textFill>
                  <w14:solidFill>
                    <w14:schemeClr w14:val="tx1"/>
                  </w14:solidFill>
                </w14:textFill>
              </w:rPr>
            </w:pPr>
          </w:p>
        </w:tc>
        <w:tc>
          <w:tcPr>
            <w:tcW w:w="410" w:type="pct"/>
            <w:vMerge w:val="continue"/>
            <w:tcBorders>
              <w:top w:val="single" w:color="auto" w:sz="4" w:space="0"/>
              <w:left w:val="single" w:color="auto" w:sz="4" w:space="0"/>
              <w:bottom w:val="single" w:color="auto" w:sz="4" w:space="0"/>
              <w:right w:val="single" w:color="auto" w:sz="4" w:space="0"/>
            </w:tcBorders>
            <w:vAlign w:val="center"/>
          </w:tcPr>
          <w:p w14:paraId="11010059">
            <w:pPr>
              <w:widowControl/>
              <w:ind w:firstLine="488"/>
              <w:jc w:val="left"/>
              <w:rPr>
                <w:rFonts w:hint="eastAsia" w:ascii="宋体" w:hAnsi="宋体"/>
                <w:color w:val="000000" w:themeColor="text1"/>
                <w:spacing w:val="4"/>
                <w:szCs w:val="21"/>
                <w14:textFill>
                  <w14:solidFill>
                    <w14:schemeClr w14:val="tx1"/>
                  </w14:solidFill>
                </w14:textFill>
              </w:rPr>
            </w:pPr>
          </w:p>
        </w:tc>
        <w:tc>
          <w:tcPr>
            <w:tcW w:w="2395" w:type="pct"/>
            <w:gridSpan w:val="5"/>
            <w:tcBorders>
              <w:top w:val="single" w:color="auto" w:sz="4" w:space="0"/>
              <w:left w:val="single" w:color="auto" w:sz="4" w:space="0"/>
              <w:bottom w:val="single" w:color="auto" w:sz="4" w:space="0"/>
              <w:right w:val="single" w:color="auto" w:sz="4" w:space="0"/>
            </w:tcBorders>
            <w:vAlign w:val="center"/>
          </w:tcPr>
          <w:p w14:paraId="6E770B4E">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开展清洁生产审核</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67F9994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462" w:type="pct"/>
            <w:gridSpan w:val="2"/>
            <w:tcBorders>
              <w:top w:val="single" w:color="auto" w:sz="4" w:space="0"/>
              <w:left w:val="single" w:color="auto" w:sz="4" w:space="0"/>
              <w:bottom w:val="single" w:color="auto" w:sz="4" w:space="0"/>
            </w:tcBorders>
            <w:vAlign w:val="center"/>
          </w:tcPr>
          <w:p w14:paraId="6D7A595D">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20</w:t>
            </w:r>
          </w:p>
        </w:tc>
      </w:tr>
      <w:tr w14:paraId="0C9449D0">
        <w:tblPrEx>
          <w:tblCellMar>
            <w:top w:w="0" w:type="dxa"/>
            <w:left w:w="108" w:type="dxa"/>
            <w:bottom w:w="0" w:type="dxa"/>
            <w:right w:w="108" w:type="dxa"/>
          </w:tblCellMar>
        </w:tblPrEx>
        <w:trPr>
          <w:trHeight w:val="284" w:hRule="atLeast"/>
        </w:trPr>
        <w:tc>
          <w:tcPr>
            <w:tcW w:w="1333" w:type="pct"/>
            <w:gridSpan w:val="3"/>
            <w:vMerge w:val="continue"/>
            <w:tcBorders>
              <w:top w:val="single" w:color="auto" w:sz="4" w:space="0"/>
              <w:bottom w:val="single" w:color="auto" w:sz="4" w:space="0"/>
              <w:right w:val="single" w:color="auto" w:sz="4" w:space="0"/>
            </w:tcBorders>
            <w:vAlign w:val="center"/>
          </w:tcPr>
          <w:p w14:paraId="1EF34102">
            <w:pPr>
              <w:widowControl/>
              <w:ind w:firstLine="488"/>
              <w:jc w:val="left"/>
              <w:rPr>
                <w:rFonts w:hint="eastAsia" w:ascii="宋体" w:hAnsi="宋体"/>
                <w:color w:val="000000" w:themeColor="text1"/>
                <w:spacing w:val="4"/>
                <w:szCs w:val="21"/>
                <w14:textFill>
                  <w14:solidFill>
                    <w14:schemeClr w14:val="tx1"/>
                  </w14:solidFill>
                </w14:textFill>
              </w:rPr>
            </w:pPr>
          </w:p>
        </w:tc>
        <w:tc>
          <w:tcPr>
            <w:tcW w:w="410" w:type="pct"/>
            <w:vMerge w:val="continue"/>
            <w:tcBorders>
              <w:top w:val="single" w:color="auto" w:sz="4" w:space="0"/>
              <w:left w:val="single" w:color="auto" w:sz="4" w:space="0"/>
              <w:bottom w:val="single" w:color="auto" w:sz="4" w:space="0"/>
              <w:right w:val="single" w:color="auto" w:sz="4" w:space="0"/>
            </w:tcBorders>
            <w:vAlign w:val="center"/>
          </w:tcPr>
          <w:p w14:paraId="7511A7EA">
            <w:pPr>
              <w:widowControl/>
              <w:ind w:firstLine="488"/>
              <w:jc w:val="left"/>
              <w:rPr>
                <w:rFonts w:hint="eastAsia" w:ascii="宋体" w:hAnsi="宋体"/>
                <w:color w:val="000000" w:themeColor="text1"/>
                <w:spacing w:val="4"/>
                <w:szCs w:val="21"/>
                <w14:textFill>
                  <w14:solidFill>
                    <w14:schemeClr w14:val="tx1"/>
                  </w14:solidFill>
                </w14:textFill>
              </w:rPr>
            </w:pPr>
          </w:p>
        </w:tc>
        <w:tc>
          <w:tcPr>
            <w:tcW w:w="2395" w:type="pct"/>
            <w:gridSpan w:val="5"/>
            <w:tcBorders>
              <w:top w:val="single" w:color="auto" w:sz="4" w:space="0"/>
              <w:left w:val="single" w:color="auto" w:sz="4" w:space="0"/>
              <w:bottom w:val="single" w:color="auto" w:sz="4" w:space="0"/>
              <w:right w:val="single" w:color="auto" w:sz="4" w:space="0"/>
            </w:tcBorders>
            <w:vAlign w:val="center"/>
          </w:tcPr>
          <w:p w14:paraId="4163B312">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制定节能减排工作计划</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28D98525">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62" w:type="pct"/>
            <w:gridSpan w:val="2"/>
            <w:tcBorders>
              <w:top w:val="single" w:color="auto" w:sz="4" w:space="0"/>
              <w:left w:val="single" w:color="auto" w:sz="4" w:space="0"/>
              <w:bottom w:val="single" w:color="auto" w:sz="4" w:space="0"/>
            </w:tcBorders>
            <w:vAlign w:val="center"/>
          </w:tcPr>
          <w:p w14:paraId="3BD59A7C">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1A00BEFE">
        <w:tblPrEx>
          <w:tblCellMar>
            <w:top w:w="0" w:type="dxa"/>
            <w:left w:w="108" w:type="dxa"/>
            <w:bottom w:w="0" w:type="dxa"/>
            <w:right w:w="108" w:type="dxa"/>
          </w:tblCellMar>
        </w:tblPrEx>
        <w:trPr>
          <w:trHeight w:val="284" w:hRule="atLeast"/>
        </w:trPr>
        <w:tc>
          <w:tcPr>
            <w:tcW w:w="1333" w:type="pct"/>
            <w:gridSpan w:val="3"/>
            <w:tcBorders>
              <w:top w:val="single" w:color="auto" w:sz="4" w:space="0"/>
              <w:bottom w:val="single" w:color="auto" w:sz="12" w:space="0"/>
              <w:right w:val="single" w:color="auto" w:sz="4" w:space="0"/>
            </w:tcBorders>
            <w:vAlign w:val="center"/>
          </w:tcPr>
          <w:p w14:paraId="2FE05DF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r>
              <w:rPr>
                <w:rFonts w:hint="eastAsia" w:ascii="宋体" w:hAnsi="宋体"/>
                <w:color w:val="000000" w:themeColor="text1"/>
                <w:spacing w:val="4"/>
                <w:szCs w:val="21"/>
                <w14:textFill>
                  <w14:solidFill>
                    <w14:schemeClr w14:val="tx1"/>
                  </w14:solidFill>
                </w14:textFill>
              </w:rPr>
              <w:t>3</w:t>
            </w:r>
            <w:r>
              <w:rPr>
                <w:rFonts w:ascii="宋体" w:hAnsi="宋体"/>
                <w:color w:val="000000" w:themeColor="text1"/>
                <w:spacing w:val="4"/>
                <w:szCs w:val="21"/>
                <w14:textFill>
                  <w14:solidFill>
                    <w14:schemeClr w14:val="tx1"/>
                  </w14:solidFill>
                </w14:textFill>
              </w:rPr>
              <w:t>）贯彻执行环境保护法规的符合性</w:t>
            </w:r>
          </w:p>
        </w:tc>
        <w:tc>
          <w:tcPr>
            <w:tcW w:w="410" w:type="pct"/>
            <w:tcBorders>
              <w:top w:val="single" w:color="auto" w:sz="4" w:space="0"/>
              <w:left w:val="single" w:color="auto" w:sz="4" w:space="0"/>
              <w:bottom w:val="single" w:color="auto" w:sz="12" w:space="0"/>
              <w:right w:val="single" w:color="auto" w:sz="4" w:space="0"/>
            </w:tcBorders>
            <w:vAlign w:val="center"/>
          </w:tcPr>
          <w:p w14:paraId="4D81CFC8">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2395" w:type="pct"/>
            <w:gridSpan w:val="5"/>
            <w:tcBorders>
              <w:top w:val="single" w:color="auto" w:sz="4" w:space="0"/>
              <w:left w:val="single" w:color="auto" w:sz="4" w:space="0"/>
              <w:bottom w:val="single" w:color="auto" w:sz="12" w:space="0"/>
              <w:right w:val="single" w:color="auto" w:sz="4" w:space="0"/>
            </w:tcBorders>
            <w:vAlign w:val="center"/>
          </w:tcPr>
          <w:p w14:paraId="080CF996">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满足其他法律法规要求</w:t>
            </w:r>
          </w:p>
        </w:tc>
        <w:tc>
          <w:tcPr>
            <w:tcW w:w="400" w:type="pct"/>
            <w:gridSpan w:val="2"/>
            <w:tcBorders>
              <w:top w:val="single" w:color="auto" w:sz="4" w:space="0"/>
              <w:left w:val="single" w:color="auto" w:sz="4" w:space="0"/>
              <w:bottom w:val="single" w:color="auto" w:sz="12" w:space="0"/>
              <w:right w:val="single" w:color="auto" w:sz="4" w:space="0"/>
            </w:tcBorders>
            <w:vAlign w:val="center"/>
          </w:tcPr>
          <w:p w14:paraId="74CF9F5E">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462" w:type="pct"/>
            <w:gridSpan w:val="2"/>
            <w:tcBorders>
              <w:top w:val="single" w:color="auto" w:sz="4" w:space="0"/>
              <w:left w:val="single" w:color="auto" w:sz="4" w:space="0"/>
              <w:bottom w:val="single" w:color="auto" w:sz="12" w:space="0"/>
            </w:tcBorders>
            <w:vAlign w:val="center"/>
          </w:tcPr>
          <w:p w14:paraId="5C21DBF9">
            <w:pPr>
              <w:adjustRightInd w:val="0"/>
              <w:snapToGrid w:val="0"/>
              <w:spacing w:line="30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r>
    </w:tbl>
    <w:p w14:paraId="29ABE074">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采</w:t>
      </w:r>
      <w:r>
        <w:rPr>
          <w:rFonts w:hint="eastAsia"/>
          <w:color w:val="000000" w:themeColor="text1"/>
          <w14:textFill>
            <w14:solidFill>
              <w14:schemeClr w14:val="tx1"/>
            </w14:solidFill>
          </w14:textFill>
        </w:rPr>
        <w:t>油</w:t>
      </w:r>
      <w:r>
        <w:rPr>
          <w:color w:val="000000" w:themeColor="text1"/>
          <w14:textFill>
            <w14:solidFill>
              <w14:schemeClr w14:val="tx1"/>
            </w14:solidFill>
          </w14:textFill>
        </w:rPr>
        <w:t>定量和定性评价指标项目、权重及基准值</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44"/>
        <w:gridCol w:w="966"/>
        <w:gridCol w:w="105"/>
        <w:gridCol w:w="918"/>
        <w:gridCol w:w="1494"/>
        <w:gridCol w:w="1138"/>
        <w:gridCol w:w="922"/>
        <w:gridCol w:w="918"/>
        <w:gridCol w:w="2530"/>
        <w:gridCol w:w="573"/>
        <w:gridCol w:w="443"/>
        <w:gridCol w:w="588"/>
        <w:gridCol w:w="923"/>
      </w:tblGrid>
      <w:tr w14:paraId="0CB919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355" w:type="pct"/>
            <w:gridSpan w:val="10"/>
            <w:vAlign w:val="center"/>
          </w:tcPr>
          <w:p w14:paraId="41CE953C">
            <w:pPr>
              <w:adjustRightInd w:val="0"/>
              <w:snapToGrid w:val="0"/>
              <w:spacing w:line="240" w:lineRule="exact"/>
              <w:ind w:firstLine="488"/>
              <w:jc w:val="left"/>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定量指标</w:t>
            </w:r>
          </w:p>
        </w:tc>
        <w:tc>
          <w:tcPr>
            <w:tcW w:w="645" w:type="pct"/>
            <w:gridSpan w:val="3"/>
            <w:vAlign w:val="center"/>
          </w:tcPr>
          <w:p w14:paraId="2D40097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本项目</w:t>
            </w:r>
          </w:p>
        </w:tc>
      </w:tr>
      <w:tr w14:paraId="3ECC3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Align w:val="center"/>
          </w:tcPr>
          <w:p w14:paraId="341F2D41">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一级指标</w:t>
            </w:r>
          </w:p>
        </w:tc>
        <w:tc>
          <w:tcPr>
            <w:tcW w:w="403" w:type="pct"/>
            <w:vAlign w:val="center"/>
          </w:tcPr>
          <w:p w14:paraId="2B17EC6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权重值</w:t>
            </w:r>
          </w:p>
        </w:tc>
        <w:tc>
          <w:tcPr>
            <w:tcW w:w="890" w:type="pct"/>
            <w:gridSpan w:val="3"/>
            <w:vAlign w:val="center"/>
          </w:tcPr>
          <w:p w14:paraId="4FD52ACC">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二级指标</w:t>
            </w:r>
          </w:p>
        </w:tc>
        <w:tc>
          <w:tcPr>
            <w:tcW w:w="466" w:type="pct"/>
            <w:vAlign w:val="center"/>
          </w:tcPr>
          <w:p w14:paraId="3FD7A5DB">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单位</w:t>
            </w:r>
          </w:p>
        </w:tc>
        <w:tc>
          <w:tcPr>
            <w:tcW w:w="511" w:type="pct"/>
            <w:gridSpan w:val="2"/>
            <w:vAlign w:val="center"/>
          </w:tcPr>
          <w:p w14:paraId="4F02A2E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权重分值</w:t>
            </w:r>
          </w:p>
        </w:tc>
        <w:tc>
          <w:tcPr>
            <w:tcW w:w="1252" w:type="pct"/>
            <w:gridSpan w:val="2"/>
            <w:vAlign w:val="center"/>
          </w:tcPr>
          <w:p w14:paraId="3330DB7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评价基准值</w:t>
            </w:r>
          </w:p>
        </w:tc>
        <w:tc>
          <w:tcPr>
            <w:tcW w:w="347" w:type="pct"/>
            <w:gridSpan w:val="2"/>
            <w:vAlign w:val="center"/>
          </w:tcPr>
          <w:p w14:paraId="7460A372">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估算值</w:t>
            </w:r>
          </w:p>
        </w:tc>
        <w:tc>
          <w:tcPr>
            <w:tcW w:w="298" w:type="pct"/>
            <w:vAlign w:val="center"/>
          </w:tcPr>
          <w:p w14:paraId="3A6B3B3C">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评分</w:t>
            </w:r>
          </w:p>
        </w:tc>
      </w:tr>
      <w:tr w14:paraId="29976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Align w:val="center"/>
          </w:tcPr>
          <w:p w14:paraId="3BB9442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（1）资源和能源消耗指标</w:t>
            </w:r>
          </w:p>
        </w:tc>
        <w:tc>
          <w:tcPr>
            <w:tcW w:w="403" w:type="pct"/>
            <w:vAlign w:val="center"/>
          </w:tcPr>
          <w:p w14:paraId="4D78E589">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30</w:t>
            </w:r>
          </w:p>
        </w:tc>
        <w:tc>
          <w:tcPr>
            <w:tcW w:w="890" w:type="pct"/>
            <w:gridSpan w:val="3"/>
            <w:vAlign w:val="center"/>
          </w:tcPr>
          <w:p w14:paraId="320A9049">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综合能耗</w:t>
            </w:r>
          </w:p>
        </w:tc>
        <w:tc>
          <w:tcPr>
            <w:tcW w:w="466" w:type="pct"/>
            <w:vAlign w:val="center"/>
          </w:tcPr>
          <w:p w14:paraId="5A4E205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kg标煤/t</w:t>
            </w:r>
            <w:r>
              <w:rPr>
                <w:rFonts w:hint="eastAsia" w:ascii="宋体" w:hAnsi="宋体"/>
                <w:color w:val="000000" w:themeColor="text1"/>
                <w:spacing w:val="4"/>
                <w:szCs w:val="21"/>
                <w14:textFill>
                  <w14:solidFill>
                    <w14:schemeClr w14:val="tx1"/>
                  </w14:solidFill>
                </w14:textFill>
              </w:rPr>
              <w:t>采出液</w:t>
            </w:r>
          </w:p>
        </w:tc>
        <w:tc>
          <w:tcPr>
            <w:tcW w:w="511" w:type="pct"/>
            <w:gridSpan w:val="2"/>
            <w:vAlign w:val="center"/>
          </w:tcPr>
          <w:p w14:paraId="023C02C0">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30</w:t>
            </w:r>
          </w:p>
        </w:tc>
        <w:tc>
          <w:tcPr>
            <w:tcW w:w="1252" w:type="pct"/>
            <w:gridSpan w:val="2"/>
            <w:vAlign w:val="center"/>
          </w:tcPr>
          <w:p w14:paraId="5342425C">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稀油：≤65</w:t>
            </w:r>
            <w:r>
              <w:rPr>
                <w:rFonts w:hint="eastAsia" w:ascii="宋体" w:hAnsi="宋体"/>
                <w:color w:val="000000" w:themeColor="text1"/>
                <w:spacing w:val="4"/>
                <w:szCs w:val="21"/>
                <w14:textFill>
                  <w14:solidFill>
                    <w14:schemeClr w14:val="tx1"/>
                  </w14:solidFill>
                </w14:textFill>
              </w:rPr>
              <w:t xml:space="preserve">  </w:t>
            </w:r>
            <w:r>
              <w:rPr>
                <w:rFonts w:ascii="宋体" w:hAnsi="宋体"/>
                <w:color w:val="000000" w:themeColor="text1"/>
                <w:spacing w:val="4"/>
                <w:szCs w:val="21"/>
                <w14:textFill>
                  <w14:solidFill>
                    <w14:schemeClr w14:val="tx1"/>
                  </w14:solidFill>
                </w14:textFill>
              </w:rPr>
              <w:t>稠油：≤160</w:t>
            </w:r>
          </w:p>
          <w:p w14:paraId="2FF8AF9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天然气：≤50</w:t>
            </w:r>
          </w:p>
        </w:tc>
        <w:tc>
          <w:tcPr>
            <w:tcW w:w="347" w:type="pct"/>
            <w:gridSpan w:val="2"/>
            <w:vAlign w:val="center"/>
          </w:tcPr>
          <w:p w14:paraId="72763C54">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＜6</w:t>
            </w:r>
            <w:r>
              <w:rPr>
                <w:rFonts w:ascii="宋体" w:hAnsi="宋体"/>
                <w:color w:val="000000" w:themeColor="text1"/>
                <w:spacing w:val="4"/>
                <w:szCs w:val="21"/>
                <w14:textFill>
                  <w14:solidFill>
                    <w14:schemeClr w14:val="tx1"/>
                  </w14:solidFill>
                </w14:textFill>
              </w:rPr>
              <w:t>5</w:t>
            </w:r>
          </w:p>
        </w:tc>
        <w:tc>
          <w:tcPr>
            <w:tcW w:w="298" w:type="pct"/>
            <w:vAlign w:val="center"/>
          </w:tcPr>
          <w:p w14:paraId="3CF54CF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30</w:t>
            </w:r>
          </w:p>
        </w:tc>
      </w:tr>
      <w:tr w14:paraId="3BBAE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restart"/>
            <w:vAlign w:val="center"/>
          </w:tcPr>
          <w:p w14:paraId="2FE7D2EC">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（2）资源综合利用指标</w:t>
            </w:r>
          </w:p>
        </w:tc>
        <w:tc>
          <w:tcPr>
            <w:tcW w:w="403" w:type="pct"/>
            <w:vMerge w:val="restart"/>
            <w:vAlign w:val="center"/>
          </w:tcPr>
          <w:p w14:paraId="6B93784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30</w:t>
            </w:r>
          </w:p>
        </w:tc>
        <w:tc>
          <w:tcPr>
            <w:tcW w:w="890" w:type="pct"/>
            <w:gridSpan w:val="3"/>
            <w:vAlign w:val="center"/>
          </w:tcPr>
          <w:p w14:paraId="137A461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余热利用率</w:t>
            </w:r>
          </w:p>
        </w:tc>
        <w:tc>
          <w:tcPr>
            <w:tcW w:w="466" w:type="pct"/>
            <w:vAlign w:val="center"/>
          </w:tcPr>
          <w:p w14:paraId="54E08600">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511" w:type="pct"/>
            <w:gridSpan w:val="2"/>
            <w:vAlign w:val="center"/>
          </w:tcPr>
          <w:p w14:paraId="44818212">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252" w:type="pct"/>
            <w:gridSpan w:val="2"/>
            <w:vAlign w:val="center"/>
          </w:tcPr>
          <w:p w14:paraId="3767BEBC">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≥60</w:t>
            </w:r>
          </w:p>
        </w:tc>
        <w:tc>
          <w:tcPr>
            <w:tcW w:w="347" w:type="pct"/>
            <w:gridSpan w:val="2"/>
            <w:vAlign w:val="center"/>
          </w:tcPr>
          <w:p w14:paraId="220D161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298" w:type="pct"/>
            <w:vAlign w:val="center"/>
          </w:tcPr>
          <w:p w14:paraId="6B15BB2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2D1A4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0D687B68">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03" w:type="pct"/>
            <w:vMerge w:val="continue"/>
            <w:vAlign w:val="center"/>
          </w:tcPr>
          <w:p w14:paraId="7C52F016">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890" w:type="pct"/>
            <w:gridSpan w:val="3"/>
            <w:vAlign w:val="center"/>
          </w:tcPr>
          <w:p w14:paraId="14D17BB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油井伴生气回收利用率</w:t>
            </w:r>
          </w:p>
        </w:tc>
        <w:tc>
          <w:tcPr>
            <w:tcW w:w="466" w:type="pct"/>
            <w:vAlign w:val="center"/>
          </w:tcPr>
          <w:p w14:paraId="43851CB0">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511" w:type="pct"/>
            <w:gridSpan w:val="2"/>
            <w:vAlign w:val="center"/>
          </w:tcPr>
          <w:p w14:paraId="64AA5EA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252" w:type="pct"/>
            <w:gridSpan w:val="2"/>
            <w:vAlign w:val="center"/>
          </w:tcPr>
          <w:p w14:paraId="76FE413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≥80</w:t>
            </w:r>
          </w:p>
        </w:tc>
        <w:tc>
          <w:tcPr>
            <w:tcW w:w="347" w:type="pct"/>
            <w:gridSpan w:val="2"/>
            <w:vAlign w:val="center"/>
          </w:tcPr>
          <w:p w14:paraId="131A1583">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100</w:t>
            </w:r>
          </w:p>
        </w:tc>
        <w:tc>
          <w:tcPr>
            <w:tcW w:w="298" w:type="pct"/>
            <w:vAlign w:val="center"/>
          </w:tcPr>
          <w:p w14:paraId="6AB7ED5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10</w:t>
            </w:r>
          </w:p>
        </w:tc>
      </w:tr>
      <w:tr w14:paraId="3E7D06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64B651E7">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03" w:type="pct"/>
            <w:vMerge w:val="continue"/>
            <w:vAlign w:val="center"/>
          </w:tcPr>
          <w:p w14:paraId="4170FA69">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890" w:type="pct"/>
            <w:gridSpan w:val="3"/>
            <w:vAlign w:val="center"/>
          </w:tcPr>
          <w:p w14:paraId="264372C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含油污泥资源化利用率</w:t>
            </w:r>
          </w:p>
        </w:tc>
        <w:tc>
          <w:tcPr>
            <w:tcW w:w="466" w:type="pct"/>
            <w:vAlign w:val="center"/>
          </w:tcPr>
          <w:p w14:paraId="0496ED9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511" w:type="pct"/>
            <w:gridSpan w:val="2"/>
            <w:vAlign w:val="center"/>
          </w:tcPr>
          <w:p w14:paraId="2D25CDF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252" w:type="pct"/>
            <w:gridSpan w:val="2"/>
            <w:vAlign w:val="center"/>
          </w:tcPr>
          <w:p w14:paraId="1E5C40B9">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≥90</w:t>
            </w:r>
          </w:p>
        </w:tc>
        <w:tc>
          <w:tcPr>
            <w:tcW w:w="347" w:type="pct"/>
            <w:gridSpan w:val="2"/>
            <w:vAlign w:val="center"/>
          </w:tcPr>
          <w:p w14:paraId="542BBC91">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298" w:type="pct"/>
            <w:vAlign w:val="center"/>
          </w:tcPr>
          <w:p w14:paraId="2CEDEBD5">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5FFB2C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restart"/>
            <w:vAlign w:val="center"/>
          </w:tcPr>
          <w:p w14:paraId="5D5FBE01">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（3）污染物产生指标</w:t>
            </w:r>
          </w:p>
        </w:tc>
        <w:tc>
          <w:tcPr>
            <w:tcW w:w="403" w:type="pct"/>
            <w:vMerge w:val="restart"/>
            <w:vAlign w:val="center"/>
          </w:tcPr>
          <w:p w14:paraId="3D090CCC">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40</w:t>
            </w:r>
          </w:p>
        </w:tc>
        <w:tc>
          <w:tcPr>
            <w:tcW w:w="890" w:type="pct"/>
            <w:gridSpan w:val="3"/>
            <w:vAlign w:val="center"/>
          </w:tcPr>
          <w:p w14:paraId="1F3CBF2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石油类</w:t>
            </w:r>
          </w:p>
        </w:tc>
        <w:tc>
          <w:tcPr>
            <w:tcW w:w="466" w:type="pct"/>
            <w:vAlign w:val="center"/>
          </w:tcPr>
          <w:p w14:paraId="787F3614">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511" w:type="pct"/>
            <w:gridSpan w:val="2"/>
            <w:vAlign w:val="center"/>
          </w:tcPr>
          <w:p w14:paraId="434A8C7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1252" w:type="pct"/>
            <w:gridSpan w:val="2"/>
            <w:vAlign w:val="center"/>
          </w:tcPr>
          <w:p w14:paraId="1DFB53A0">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347" w:type="pct"/>
            <w:gridSpan w:val="2"/>
            <w:vAlign w:val="center"/>
          </w:tcPr>
          <w:p w14:paraId="4DC3E2E9">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0</w:t>
            </w:r>
          </w:p>
        </w:tc>
        <w:tc>
          <w:tcPr>
            <w:tcW w:w="298" w:type="pct"/>
            <w:vAlign w:val="center"/>
          </w:tcPr>
          <w:p w14:paraId="6EE4F0E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00A9C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41F68956">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03" w:type="pct"/>
            <w:vMerge w:val="continue"/>
            <w:vAlign w:val="center"/>
          </w:tcPr>
          <w:p w14:paraId="29FF85E7">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890" w:type="pct"/>
            <w:gridSpan w:val="3"/>
            <w:vAlign w:val="center"/>
          </w:tcPr>
          <w:p w14:paraId="4AC0CAB4">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COD</w:t>
            </w:r>
          </w:p>
        </w:tc>
        <w:tc>
          <w:tcPr>
            <w:tcW w:w="466" w:type="pct"/>
            <w:vAlign w:val="center"/>
          </w:tcPr>
          <w:p w14:paraId="612D48C9">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511" w:type="pct"/>
            <w:gridSpan w:val="2"/>
            <w:vAlign w:val="center"/>
          </w:tcPr>
          <w:p w14:paraId="214E285B">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1252" w:type="pct"/>
            <w:gridSpan w:val="2"/>
            <w:vAlign w:val="center"/>
          </w:tcPr>
          <w:p w14:paraId="4E6EDCA9">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甲类区：≤100；乙类区：≤150</w:t>
            </w:r>
          </w:p>
        </w:tc>
        <w:tc>
          <w:tcPr>
            <w:tcW w:w="347" w:type="pct"/>
            <w:gridSpan w:val="2"/>
            <w:vAlign w:val="center"/>
          </w:tcPr>
          <w:p w14:paraId="0E1422AE">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0</w:t>
            </w:r>
          </w:p>
        </w:tc>
        <w:tc>
          <w:tcPr>
            <w:tcW w:w="298" w:type="pct"/>
            <w:vAlign w:val="center"/>
          </w:tcPr>
          <w:p w14:paraId="3583142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1859B0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0C4C1353">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03" w:type="pct"/>
            <w:vMerge w:val="continue"/>
            <w:vAlign w:val="center"/>
          </w:tcPr>
          <w:p w14:paraId="5D8E0D2D">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890" w:type="pct"/>
            <w:gridSpan w:val="3"/>
            <w:vAlign w:val="center"/>
          </w:tcPr>
          <w:p w14:paraId="2D9C5B44">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落地原油回收利用率</w:t>
            </w:r>
          </w:p>
        </w:tc>
        <w:tc>
          <w:tcPr>
            <w:tcW w:w="466" w:type="pct"/>
            <w:vAlign w:val="center"/>
          </w:tcPr>
          <w:p w14:paraId="62660EA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511" w:type="pct"/>
            <w:gridSpan w:val="2"/>
            <w:vAlign w:val="center"/>
          </w:tcPr>
          <w:p w14:paraId="004DEDE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252" w:type="pct"/>
            <w:gridSpan w:val="2"/>
            <w:vAlign w:val="center"/>
          </w:tcPr>
          <w:p w14:paraId="48AD3FD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347" w:type="pct"/>
            <w:gridSpan w:val="2"/>
            <w:vAlign w:val="center"/>
          </w:tcPr>
          <w:p w14:paraId="3977E5EB">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298" w:type="pct"/>
            <w:vAlign w:val="center"/>
          </w:tcPr>
          <w:p w14:paraId="47BC280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058FE3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43D20B6E">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03" w:type="pct"/>
            <w:vMerge w:val="continue"/>
            <w:vAlign w:val="center"/>
          </w:tcPr>
          <w:p w14:paraId="6C0D5FE3">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890" w:type="pct"/>
            <w:gridSpan w:val="3"/>
            <w:vAlign w:val="center"/>
          </w:tcPr>
          <w:p w14:paraId="58247B01">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采油废水回用率</w:t>
            </w:r>
          </w:p>
        </w:tc>
        <w:tc>
          <w:tcPr>
            <w:tcW w:w="466" w:type="pct"/>
            <w:vAlign w:val="center"/>
          </w:tcPr>
          <w:p w14:paraId="0A8FB2C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511" w:type="pct"/>
            <w:gridSpan w:val="2"/>
            <w:vAlign w:val="center"/>
          </w:tcPr>
          <w:p w14:paraId="45CB295B">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252" w:type="pct"/>
            <w:gridSpan w:val="2"/>
            <w:vAlign w:val="center"/>
          </w:tcPr>
          <w:p w14:paraId="1DFE5B75">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≥60</w:t>
            </w:r>
          </w:p>
        </w:tc>
        <w:tc>
          <w:tcPr>
            <w:tcW w:w="347" w:type="pct"/>
            <w:gridSpan w:val="2"/>
            <w:vAlign w:val="center"/>
          </w:tcPr>
          <w:p w14:paraId="42075159">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100</w:t>
            </w:r>
          </w:p>
        </w:tc>
        <w:tc>
          <w:tcPr>
            <w:tcW w:w="298" w:type="pct"/>
            <w:vAlign w:val="center"/>
          </w:tcPr>
          <w:p w14:paraId="2DC8A5D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1A80D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7C1D6BBC">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03" w:type="pct"/>
            <w:vMerge w:val="continue"/>
            <w:vAlign w:val="center"/>
          </w:tcPr>
          <w:p w14:paraId="0FBB04FC">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890" w:type="pct"/>
            <w:gridSpan w:val="3"/>
            <w:vAlign w:val="center"/>
          </w:tcPr>
          <w:p w14:paraId="14BAEA6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油井伴生气外排率</w:t>
            </w:r>
          </w:p>
        </w:tc>
        <w:tc>
          <w:tcPr>
            <w:tcW w:w="466" w:type="pct"/>
            <w:vAlign w:val="center"/>
          </w:tcPr>
          <w:p w14:paraId="61C017E2">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w:t>
            </w:r>
          </w:p>
        </w:tc>
        <w:tc>
          <w:tcPr>
            <w:tcW w:w="511" w:type="pct"/>
            <w:gridSpan w:val="2"/>
            <w:vAlign w:val="center"/>
          </w:tcPr>
          <w:p w14:paraId="2161337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252" w:type="pct"/>
            <w:gridSpan w:val="2"/>
            <w:vAlign w:val="center"/>
          </w:tcPr>
          <w:p w14:paraId="29000119">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347" w:type="pct"/>
            <w:gridSpan w:val="2"/>
            <w:vAlign w:val="center"/>
          </w:tcPr>
          <w:p w14:paraId="0036DDA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0</w:t>
            </w:r>
          </w:p>
        </w:tc>
        <w:tc>
          <w:tcPr>
            <w:tcW w:w="298" w:type="pct"/>
            <w:vAlign w:val="center"/>
          </w:tcPr>
          <w:p w14:paraId="53E1DA4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1</w:t>
            </w:r>
            <w:r>
              <w:rPr>
                <w:rFonts w:ascii="宋体" w:hAnsi="宋体"/>
                <w:color w:val="000000" w:themeColor="text1"/>
                <w:spacing w:val="4"/>
                <w:szCs w:val="21"/>
                <w14:textFill>
                  <w14:solidFill>
                    <w14:schemeClr w14:val="tx1"/>
                  </w14:solidFill>
                </w14:textFill>
              </w:rPr>
              <w:t>0</w:t>
            </w:r>
          </w:p>
        </w:tc>
      </w:tr>
      <w:tr w14:paraId="5C3C5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000" w:type="pct"/>
            <w:gridSpan w:val="13"/>
            <w:vAlign w:val="center"/>
          </w:tcPr>
          <w:p w14:paraId="5C4EF5E6">
            <w:pPr>
              <w:adjustRightInd w:val="0"/>
              <w:snapToGrid w:val="0"/>
              <w:spacing w:line="240" w:lineRule="exact"/>
              <w:ind w:firstLine="488"/>
              <w:jc w:val="left"/>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定性指标</w:t>
            </w:r>
          </w:p>
        </w:tc>
      </w:tr>
      <w:tr w14:paraId="058238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Align w:val="center"/>
          </w:tcPr>
          <w:p w14:paraId="12A1ADD0">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一级指标</w:t>
            </w:r>
          </w:p>
        </w:tc>
        <w:tc>
          <w:tcPr>
            <w:tcW w:w="491" w:type="pct"/>
            <w:gridSpan w:val="2"/>
            <w:vAlign w:val="center"/>
          </w:tcPr>
          <w:p w14:paraId="5F95C12E">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指标分值</w:t>
            </w:r>
          </w:p>
        </w:tc>
        <w:tc>
          <w:tcPr>
            <w:tcW w:w="2781" w:type="pct"/>
            <w:gridSpan w:val="6"/>
            <w:vAlign w:val="center"/>
          </w:tcPr>
          <w:p w14:paraId="0F20D98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二级指标</w:t>
            </w:r>
          </w:p>
        </w:tc>
        <w:tc>
          <w:tcPr>
            <w:tcW w:w="397" w:type="pct"/>
            <w:gridSpan w:val="2"/>
            <w:vAlign w:val="center"/>
          </w:tcPr>
          <w:p w14:paraId="7A45E562">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指标分值</w:t>
            </w:r>
          </w:p>
        </w:tc>
        <w:tc>
          <w:tcPr>
            <w:tcW w:w="496" w:type="pct"/>
            <w:gridSpan w:val="2"/>
            <w:vAlign w:val="center"/>
          </w:tcPr>
          <w:p w14:paraId="667DDC8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本项目评分</w:t>
            </w:r>
          </w:p>
        </w:tc>
      </w:tr>
      <w:tr w14:paraId="6291FC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restart"/>
            <w:vAlign w:val="center"/>
          </w:tcPr>
          <w:p w14:paraId="6FAC509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（1）生产工艺及设备要求</w:t>
            </w:r>
          </w:p>
        </w:tc>
        <w:tc>
          <w:tcPr>
            <w:tcW w:w="491" w:type="pct"/>
            <w:gridSpan w:val="2"/>
            <w:vMerge w:val="restart"/>
            <w:vAlign w:val="center"/>
          </w:tcPr>
          <w:p w14:paraId="409C87D9">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45</w:t>
            </w:r>
          </w:p>
        </w:tc>
        <w:tc>
          <w:tcPr>
            <w:tcW w:w="1777" w:type="pct"/>
            <w:gridSpan w:val="5"/>
            <w:vAlign w:val="center"/>
          </w:tcPr>
          <w:p w14:paraId="50146553">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井筒质量</w:t>
            </w:r>
          </w:p>
        </w:tc>
        <w:tc>
          <w:tcPr>
            <w:tcW w:w="1004" w:type="pct"/>
            <w:vAlign w:val="center"/>
          </w:tcPr>
          <w:p w14:paraId="398004A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井筒设施完好</w:t>
            </w:r>
          </w:p>
        </w:tc>
        <w:tc>
          <w:tcPr>
            <w:tcW w:w="397" w:type="pct"/>
            <w:gridSpan w:val="2"/>
            <w:vAlign w:val="center"/>
          </w:tcPr>
          <w:p w14:paraId="7F3F8342">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96" w:type="pct"/>
            <w:gridSpan w:val="2"/>
            <w:vAlign w:val="center"/>
          </w:tcPr>
          <w:p w14:paraId="429B8033">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0C113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159EB069">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91" w:type="pct"/>
            <w:gridSpan w:val="2"/>
            <w:vMerge w:val="continue"/>
            <w:vAlign w:val="center"/>
          </w:tcPr>
          <w:p w14:paraId="03E264DF">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206" w:type="pct"/>
            <w:vMerge w:val="restart"/>
            <w:vAlign w:val="center"/>
          </w:tcPr>
          <w:p w14:paraId="1F445F62">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采气</w:t>
            </w:r>
          </w:p>
        </w:tc>
        <w:tc>
          <w:tcPr>
            <w:tcW w:w="1060" w:type="pct"/>
            <w:gridSpan w:val="2"/>
            <w:vAlign w:val="center"/>
          </w:tcPr>
          <w:p w14:paraId="1D0BF810">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w:t>
            </w:r>
          </w:p>
        </w:tc>
        <w:tc>
          <w:tcPr>
            <w:tcW w:w="357" w:type="pct"/>
            <w:vAlign w:val="center"/>
          </w:tcPr>
          <w:p w14:paraId="6F383FE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153" w:type="pct"/>
            <w:vMerge w:val="restart"/>
            <w:vAlign w:val="center"/>
          </w:tcPr>
          <w:p w14:paraId="5BF83C5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采油</w:t>
            </w:r>
          </w:p>
        </w:tc>
        <w:tc>
          <w:tcPr>
            <w:tcW w:w="1004" w:type="pct"/>
            <w:vAlign w:val="center"/>
          </w:tcPr>
          <w:p w14:paraId="5D2F8AB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套管气回收装置</w:t>
            </w:r>
          </w:p>
        </w:tc>
        <w:tc>
          <w:tcPr>
            <w:tcW w:w="397" w:type="pct"/>
            <w:gridSpan w:val="2"/>
            <w:vAlign w:val="center"/>
          </w:tcPr>
          <w:p w14:paraId="03E9F97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496" w:type="pct"/>
            <w:gridSpan w:val="2"/>
            <w:vAlign w:val="center"/>
          </w:tcPr>
          <w:p w14:paraId="4213C8F5">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044724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0B3D2DF7">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91" w:type="pct"/>
            <w:gridSpan w:val="2"/>
            <w:vMerge w:val="continue"/>
            <w:vAlign w:val="center"/>
          </w:tcPr>
          <w:p w14:paraId="45190963">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206" w:type="pct"/>
            <w:vMerge w:val="continue"/>
            <w:vAlign w:val="center"/>
          </w:tcPr>
          <w:p w14:paraId="6C89FEB1">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1060" w:type="pct"/>
            <w:gridSpan w:val="2"/>
            <w:vAlign w:val="center"/>
          </w:tcPr>
          <w:p w14:paraId="04FCC371">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w:t>
            </w:r>
          </w:p>
        </w:tc>
        <w:tc>
          <w:tcPr>
            <w:tcW w:w="357" w:type="pct"/>
            <w:vAlign w:val="center"/>
          </w:tcPr>
          <w:p w14:paraId="6FE27255">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153" w:type="pct"/>
            <w:vMerge w:val="continue"/>
            <w:vAlign w:val="center"/>
          </w:tcPr>
          <w:p w14:paraId="5D490E21">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1004" w:type="pct"/>
            <w:vAlign w:val="center"/>
          </w:tcPr>
          <w:p w14:paraId="56AFED84">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防止落地原油产生措施</w:t>
            </w:r>
          </w:p>
        </w:tc>
        <w:tc>
          <w:tcPr>
            <w:tcW w:w="397" w:type="pct"/>
            <w:gridSpan w:val="2"/>
            <w:vAlign w:val="center"/>
          </w:tcPr>
          <w:p w14:paraId="3637BF83">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496" w:type="pct"/>
            <w:gridSpan w:val="2"/>
            <w:vAlign w:val="center"/>
          </w:tcPr>
          <w:p w14:paraId="13BAE74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r>
      <w:tr w14:paraId="634D63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384B3657">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91" w:type="pct"/>
            <w:gridSpan w:val="2"/>
            <w:vMerge w:val="continue"/>
            <w:vAlign w:val="center"/>
          </w:tcPr>
          <w:p w14:paraId="38707BAD">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1777" w:type="pct"/>
            <w:gridSpan w:val="5"/>
            <w:vAlign w:val="center"/>
          </w:tcPr>
          <w:p w14:paraId="4E456E0B">
            <w:pPr>
              <w:widowControl/>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采油方式</w:t>
            </w:r>
          </w:p>
        </w:tc>
        <w:tc>
          <w:tcPr>
            <w:tcW w:w="1004" w:type="pct"/>
            <w:vAlign w:val="center"/>
          </w:tcPr>
          <w:p w14:paraId="589B7FC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采油方式经过综合评价确定</w:t>
            </w:r>
          </w:p>
        </w:tc>
        <w:tc>
          <w:tcPr>
            <w:tcW w:w="397" w:type="pct"/>
            <w:gridSpan w:val="2"/>
            <w:vAlign w:val="center"/>
          </w:tcPr>
          <w:p w14:paraId="6082B33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1</w:t>
            </w:r>
            <w:r>
              <w:rPr>
                <w:rFonts w:ascii="宋体" w:hAnsi="宋体"/>
                <w:color w:val="000000" w:themeColor="text1"/>
                <w:spacing w:val="4"/>
                <w:szCs w:val="21"/>
                <w14:textFill>
                  <w14:solidFill>
                    <w14:schemeClr w14:val="tx1"/>
                  </w14:solidFill>
                </w14:textFill>
              </w:rPr>
              <w:t>0</w:t>
            </w:r>
          </w:p>
        </w:tc>
        <w:tc>
          <w:tcPr>
            <w:tcW w:w="496" w:type="pct"/>
            <w:gridSpan w:val="2"/>
            <w:vAlign w:val="center"/>
          </w:tcPr>
          <w:p w14:paraId="1122135C">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1</w:t>
            </w:r>
            <w:r>
              <w:rPr>
                <w:rFonts w:ascii="宋体" w:hAnsi="宋体"/>
                <w:color w:val="000000" w:themeColor="text1"/>
                <w:spacing w:val="4"/>
                <w:szCs w:val="21"/>
                <w14:textFill>
                  <w14:solidFill>
                    <w14:schemeClr w14:val="tx1"/>
                  </w14:solidFill>
                </w14:textFill>
              </w:rPr>
              <w:t>0</w:t>
            </w:r>
          </w:p>
        </w:tc>
      </w:tr>
      <w:tr w14:paraId="13FDFF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2AF8807D">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91" w:type="pct"/>
            <w:gridSpan w:val="2"/>
            <w:vMerge w:val="continue"/>
            <w:vAlign w:val="center"/>
          </w:tcPr>
          <w:p w14:paraId="1A65F6AE">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1777" w:type="pct"/>
            <w:gridSpan w:val="5"/>
            <w:vAlign w:val="center"/>
          </w:tcPr>
          <w:p w14:paraId="54B53EB0">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集输流程</w:t>
            </w:r>
          </w:p>
        </w:tc>
        <w:tc>
          <w:tcPr>
            <w:tcW w:w="1004" w:type="pct"/>
            <w:vAlign w:val="center"/>
          </w:tcPr>
          <w:p w14:paraId="4832B8BC">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全密闭流程</w:t>
            </w:r>
          </w:p>
        </w:tc>
        <w:tc>
          <w:tcPr>
            <w:tcW w:w="397" w:type="pct"/>
            <w:gridSpan w:val="2"/>
            <w:vAlign w:val="center"/>
          </w:tcPr>
          <w:p w14:paraId="5CE5D31F">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496" w:type="pct"/>
            <w:gridSpan w:val="2"/>
            <w:vAlign w:val="center"/>
          </w:tcPr>
          <w:p w14:paraId="77E12965">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55F4AA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restart"/>
            <w:vAlign w:val="center"/>
          </w:tcPr>
          <w:p w14:paraId="123CDCA1">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（2）管理体系建设及</w:t>
            </w:r>
          </w:p>
          <w:p w14:paraId="43E8D2C5">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清洁生产审核</w:t>
            </w:r>
          </w:p>
        </w:tc>
        <w:tc>
          <w:tcPr>
            <w:tcW w:w="491" w:type="pct"/>
            <w:gridSpan w:val="2"/>
            <w:vMerge w:val="restart"/>
            <w:vAlign w:val="center"/>
          </w:tcPr>
          <w:p w14:paraId="55EAB7F1">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35</w:t>
            </w:r>
          </w:p>
        </w:tc>
        <w:tc>
          <w:tcPr>
            <w:tcW w:w="2781" w:type="pct"/>
            <w:gridSpan w:val="6"/>
            <w:vAlign w:val="center"/>
          </w:tcPr>
          <w:p w14:paraId="289F735E">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建立HSE管理体系并通过验证</w:t>
            </w:r>
          </w:p>
        </w:tc>
        <w:tc>
          <w:tcPr>
            <w:tcW w:w="397" w:type="pct"/>
            <w:gridSpan w:val="2"/>
            <w:vAlign w:val="center"/>
          </w:tcPr>
          <w:p w14:paraId="08199653">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c>
          <w:tcPr>
            <w:tcW w:w="496" w:type="pct"/>
            <w:gridSpan w:val="2"/>
            <w:vAlign w:val="center"/>
          </w:tcPr>
          <w:p w14:paraId="58A891F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10</w:t>
            </w:r>
          </w:p>
        </w:tc>
      </w:tr>
      <w:tr w14:paraId="7B59F1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2631DE23">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91" w:type="pct"/>
            <w:gridSpan w:val="2"/>
            <w:vMerge w:val="continue"/>
            <w:vAlign w:val="center"/>
          </w:tcPr>
          <w:p w14:paraId="6223B15D">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2781" w:type="pct"/>
            <w:gridSpan w:val="6"/>
            <w:vAlign w:val="center"/>
          </w:tcPr>
          <w:p w14:paraId="0E58360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开展清洁生产审核</w:t>
            </w:r>
          </w:p>
        </w:tc>
        <w:tc>
          <w:tcPr>
            <w:tcW w:w="397" w:type="pct"/>
            <w:gridSpan w:val="2"/>
            <w:vAlign w:val="center"/>
          </w:tcPr>
          <w:p w14:paraId="691D339B">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496" w:type="pct"/>
            <w:gridSpan w:val="2"/>
            <w:vAlign w:val="center"/>
          </w:tcPr>
          <w:p w14:paraId="2051C0B0">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20</w:t>
            </w:r>
          </w:p>
        </w:tc>
      </w:tr>
      <w:tr w14:paraId="4B71B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4499A6EF">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91" w:type="pct"/>
            <w:gridSpan w:val="2"/>
            <w:vMerge w:val="continue"/>
            <w:vAlign w:val="center"/>
          </w:tcPr>
          <w:p w14:paraId="55A5E914">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2781" w:type="pct"/>
            <w:gridSpan w:val="6"/>
            <w:vAlign w:val="center"/>
          </w:tcPr>
          <w:p w14:paraId="58EB7E54">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制定节能减排工作计划</w:t>
            </w:r>
          </w:p>
        </w:tc>
        <w:tc>
          <w:tcPr>
            <w:tcW w:w="397" w:type="pct"/>
            <w:gridSpan w:val="2"/>
            <w:vAlign w:val="center"/>
          </w:tcPr>
          <w:p w14:paraId="5D5A4317">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96" w:type="pct"/>
            <w:gridSpan w:val="2"/>
            <w:vAlign w:val="center"/>
          </w:tcPr>
          <w:p w14:paraId="6ACCBCBE">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225D9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restart"/>
            <w:vAlign w:val="center"/>
          </w:tcPr>
          <w:p w14:paraId="6515A5EC">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（3）环保政策法规执行情况</w:t>
            </w:r>
          </w:p>
        </w:tc>
        <w:tc>
          <w:tcPr>
            <w:tcW w:w="491" w:type="pct"/>
            <w:gridSpan w:val="2"/>
            <w:vMerge w:val="restart"/>
            <w:vAlign w:val="center"/>
          </w:tcPr>
          <w:p w14:paraId="0A8B309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20</w:t>
            </w:r>
          </w:p>
        </w:tc>
        <w:tc>
          <w:tcPr>
            <w:tcW w:w="2781" w:type="pct"/>
            <w:gridSpan w:val="6"/>
            <w:vAlign w:val="center"/>
          </w:tcPr>
          <w:p w14:paraId="18D3F33D">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建设项</w:t>
            </w:r>
            <w:r>
              <w:rPr>
                <w:rFonts w:hint="eastAsia" w:ascii="宋体" w:hAnsi="宋体"/>
                <w:color w:val="000000" w:themeColor="text1"/>
                <w:spacing w:val="4"/>
                <w:szCs w:val="21"/>
                <w14:textFill>
                  <w14:solidFill>
                    <w14:schemeClr w14:val="tx1"/>
                  </w14:solidFill>
                </w14:textFill>
              </w:rPr>
              <w:t>目“三同时”执行情况</w:t>
            </w:r>
          </w:p>
        </w:tc>
        <w:tc>
          <w:tcPr>
            <w:tcW w:w="397" w:type="pct"/>
            <w:gridSpan w:val="2"/>
            <w:vAlign w:val="center"/>
          </w:tcPr>
          <w:p w14:paraId="1627319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96" w:type="pct"/>
            <w:gridSpan w:val="2"/>
            <w:vAlign w:val="center"/>
          </w:tcPr>
          <w:p w14:paraId="78A6642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5BA43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7BA4703B">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91" w:type="pct"/>
            <w:gridSpan w:val="2"/>
            <w:vMerge w:val="continue"/>
            <w:vAlign w:val="center"/>
          </w:tcPr>
          <w:p w14:paraId="6E727EDE">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2781" w:type="pct"/>
            <w:gridSpan w:val="6"/>
            <w:vAlign w:val="center"/>
          </w:tcPr>
          <w:p w14:paraId="3979F92B">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建设项目环境影响评价制度执行情况</w:t>
            </w:r>
          </w:p>
        </w:tc>
        <w:tc>
          <w:tcPr>
            <w:tcW w:w="397" w:type="pct"/>
            <w:gridSpan w:val="2"/>
            <w:vAlign w:val="center"/>
          </w:tcPr>
          <w:p w14:paraId="1758BD77">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96" w:type="pct"/>
            <w:gridSpan w:val="2"/>
            <w:vAlign w:val="center"/>
          </w:tcPr>
          <w:p w14:paraId="426945B6">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63C17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469AA5CB">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91" w:type="pct"/>
            <w:gridSpan w:val="2"/>
            <w:vMerge w:val="continue"/>
            <w:vAlign w:val="center"/>
          </w:tcPr>
          <w:p w14:paraId="35D74246">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2781" w:type="pct"/>
            <w:gridSpan w:val="6"/>
            <w:vAlign w:val="center"/>
          </w:tcPr>
          <w:p w14:paraId="1E1655FE">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污染物排放总量控制与减排措施情况</w:t>
            </w:r>
          </w:p>
        </w:tc>
        <w:tc>
          <w:tcPr>
            <w:tcW w:w="397" w:type="pct"/>
            <w:gridSpan w:val="2"/>
            <w:vAlign w:val="center"/>
          </w:tcPr>
          <w:p w14:paraId="59EDAD97">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96" w:type="pct"/>
            <w:gridSpan w:val="2"/>
            <w:vAlign w:val="center"/>
          </w:tcPr>
          <w:p w14:paraId="0E295C2A">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r w14:paraId="41134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4" w:type="pct"/>
            <w:vMerge w:val="continue"/>
            <w:vAlign w:val="center"/>
          </w:tcPr>
          <w:p w14:paraId="0FF46B48">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491" w:type="pct"/>
            <w:gridSpan w:val="2"/>
            <w:vMerge w:val="continue"/>
            <w:vAlign w:val="center"/>
          </w:tcPr>
          <w:p w14:paraId="2EC454FE">
            <w:pPr>
              <w:widowControl/>
              <w:spacing w:line="240" w:lineRule="exact"/>
              <w:ind w:firstLine="488"/>
              <w:jc w:val="left"/>
              <w:rPr>
                <w:rFonts w:hint="eastAsia" w:ascii="宋体" w:hAnsi="宋体"/>
                <w:color w:val="000000" w:themeColor="text1"/>
                <w:spacing w:val="4"/>
                <w:szCs w:val="21"/>
                <w14:textFill>
                  <w14:solidFill>
                    <w14:schemeClr w14:val="tx1"/>
                  </w14:solidFill>
                </w14:textFill>
              </w:rPr>
            </w:pPr>
          </w:p>
        </w:tc>
        <w:tc>
          <w:tcPr>
            <w:tcW w:w="2781" w:type="pct"/>
            <w:gridSpan w:val="6"/>
            <w:vAlign w:val="center"/>
          </w:tcPr>
          <w:p w14:paraId="3CFD51B7">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老污染源限期治理项目完成情况</w:t>
            </w:r>
          </w:p>
        </w:tc>
        <w:tc>
          <w:tcPr>
            <w:tcW w:w="397" w:type="pct"/>
            <w:gridSpan w:val="2"/>
            <w:vAlign w:val="center"/>
          </w:tcPr>
          <w:p w14:paraId="5D34B138">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c>
          <w:tcPr>
            <w:tcW w:w="496" w:type="pct"/>
            <w:gridSpan w:val="2"/>
            <w:vAlign w:val="center"/>
          </w:tcPr>
          <w:p w14:paraId="497FA615">
            <w:pPr>
              <w:adjustRightInd w:val="0"/>
              <w:snapToGrid w:val="0"/>
              <w:spacing w:line="240" w:lineRule="exact"/>
              <w:ind w:firstLine="488"/>
              <w:jc w:val="center"/>
              <w:rPr>
                <w:rFonts w:hint="eastAsia" w:ascii="宋体" w:hAnsi="宋体"/>
                <w:color w:val="000000" w:themeColor="text1"/>
                <w:spacing w:val="4"/>
                <w:szCs w:val="21"/>
                <w14:textFill>
                  <w14:solidFill>
                    <w14:schemeClr w14:val="tx1"/>
                  </w14:solidFill>
                </w14:textFill>
              </w:rPr>
            </w:pPr>
            <w:r>
              <w:rPr>
                <w:rFonts w:ascii="宋体" w:hAnsi="宋体"/>
                <w:color w:val="000000" w:themeColor="text1"/>
                <w:spacing w:val="4"/>
                <w:szCs w:val="21"/>
                <w14:textFill>
                  <w14:solidFill>
                    <w14:schemeClr w14:val="tx1"/>
                  </w14:solidFill>
                </w14:textFill>
              </w:rPr>
              <w:t>5</w:t>
            </w:r>
          </w:p>
        </w:tc>
      </w:tr>
    </w:tbl>
    <w:p w14:paraId="1C8A0687">
      <w:pPr>
        <w:spacing w:line="520" w:lineRule="exact"/>
        <w:ind w:firstLine="480" w:firstLineChars="200"/>
        <w:rPr>
          <w:rFonts w:hint="eastAsia" w:ascii="宋体" w:hAnsi="宋体"/>
          <w:color w:val="000000" w:themeColor="text1"/>
          <w:sz w:val="24"/>
          <w:szCs w:val="24"/>
          <w14:textFill>
            <w14:solidFill>
              <w14:schemeClr w14:val="tx1"/>
            </w14:solidFill>
          </w14:textFill>
        </w:rPr>
        <w:sectPr>
          <w:pgSz w:w="16838" w:h="11906" w:orient="landscape"/>
          <w:pgMar w:top="1418" w:right="1588" w:bottom="1418" w:left="1588" w:header="1020" w:footer="1020" w:gutter="0"/>
          <w:cols w:space="720" w:num="1"/>
          <w:docGrid w:type="lines" w:linePitch="317" w:charSpace="0"/>
        </w:sectPr>
      </w:pPr>
    </w:p>
    <w:p w14:paraId="7629244F">
      <w:pPr>
        <w:pStyle w:val="6"/>
        <w:rPr>
          <w:rFonts w:hint="eastAsia"/>
          <w:color w:val="000000" w:themeColor="text1"/>
          <w14:textFill>
            <w14:solidFill>
              <w14:schemeClr w14:val="tx1"/>
            </w14:solidFill>
          </w14:textFill>
        </w:rPr>
      </w:pPr>
      <w:bookmarkStart w:id="353" w:name="_Toc484"/>
      <w:r>
        <w:rPr>
          <w:rFonts w:hint="eastAsia"/>
          <w:color w:val="000000" w:themeColor="text1"/>
          <w14:textFill>
            <w14:solidFill>
              <w14:schemeClr w14:val="tx1"/>
            </w14:solidFill>
          </w14:textFill>
        </w:rPr>
        <w:t>环境质量现状调查与评价</w:t>
      </w:r>
      <w:bookmarkEnd w:id="353"/>
    </w:p>
    <w:p w14:paraId="2362DE8A">
      <w:pPr>
        <w:pStyle w:val="7"/>
        <w:rPr>
          <w:rFonts w:hint="eastAsia"/>
          <w:color w:val="000000" w:themeColor="text1"/>
          <w14:textFill>
            <w14:solidFill>
              <w14:schemeClr w14:val="tx1"/>
            </w14:solidFill>
          </w14:textFill>
        </w:rPr>
      </w:pPr>
      <w:bookmarkStart w:id="354" w:name="_Toc25430"/>
      <w:r>
        <w:rPr>
          <w:rFonts w:hint="eastAsia"/>
          <w:color w:val="000000" w:themeColor="text1"/>
          <w14:textFill>
            <w14:solidFill>
              <w14:schemeClr w14:val="tx1"/>
            </w14:solidFill>
          </w14:textFill>
        </w:rPr>
        <w:t>自然环境现状调查与评价</w:t>
      </w:r>
      <w:bookmarkEnd w:id="354"/>
    </w:p>
    <w:p w14:paraId="23002715">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地理位置</w:t>
      </w:r>
    </w:p>
    <w:p w14:paraId="57E80707">
      <w:pPr>
        <w:pStyle w:val="120"/>
        <w:rPr>
          <w:rFonts w:hint="eastAsia"/>
          <w:color w:val="000000" w:themeColor="text1"/>
          <w14:textFill>
            <w14:solidFill>
              <w14:schemeClr w14:val="tx1"/>
            </w14:solidFill>
          </w14:textFill>
        </w:rPr>
      </w:pPr>
      <w:bookmarkStart w:id="355" w:name="_Hlk172841444"/>
      <w:r>
        <w:rPr>
          <w:rFonts w:hint="eastAsia"/>
          <w:color w:val="000000" w:themeColor="text1"/>
          <w14:textFill>
            <w14:solidFill>
              <w14:schemeClr w14:val="tx1"/>
            </w14:solidFill>
          </w14:textFill>
        </w:rPr>
        <w:t>本项目行政隶上隶属于新疆维吾尔自治区昌吉回族自治州吉木萨尔县</w:t>
      </w:r>
      <w:bookmarkEnd w:id="355"/>
      <w:r>
        <w:rPr>
          <w:rFonts w:hint="eastAsia"/>
          <w:color w:val="000000" w:themeColor="text1"/>
          <w14:textFill>
            <w14:solidFill>
              <w14:schemeClr w14:val="tx1"/>
            </w14:solidFill>
          </w14:textFill>
        </w:rPr>
        <w:t>。地理位置见图</w:t>
      </w:r>
      <w:r>
        <w:rPr>
          <w:color w:val="000000" w:themeColor="text1"/>
          <w14:textFill>
            <w14:solidFill>
              <w14:schemeClr w14:val="tx1"/>
            </w14:solidFill>
          </w14:textFill>
        </w:rPr>
        <w:t>4.1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p>
    <w:p w14:paraId="7B626C6F">
      <w:pPr>
        <w:pStyle w:val="120"/>
        <w:spacing w:line="240" w:lineRule="auto"/>
        <w:ind w:firstLine="0" w:firstLineChars="0"/>
        <w:rPr>
          <w:rFonts w:hint="eastAsia"/>
          <w:color w:val="000000" w:themeColor="text1"/>
          <w14:textFill>
            <w14:solidFill>
              <w14:schemeClr w14:val="tx1"/>
            </w14:solidFill>
          </w14:textFill>
        </w:rPr>
      </w:pPr>
      <w:bookmarkStart w:id="356" w:name="_Hlk175259744"/>
      <w:r>
        <w:rPr>
          <w:rFonts w:hint="eastAsia"/>
          <w:color w:val="000000" w:themeColor="text1"/>
          <w14:textFill>
            <w14:solidFill>
              <w14:schemeClr w14:val="tx1"/>
            </w14:solidFill>
          </w14:textFill>
        </w:rPr>
        <w:drawing>
          <wp:inline distT="0" distB="0" distL="114300" distR="114300">
            <wp:extent cx="5094605" cy="7653655"/>
            <wp:effectExtent l="0" t="0" r="0" b="0"/>
            <wp:docPr id="91" name="图片 91" descr="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Page0001"/>
                    <pic:cNvPicPr>
                      <a:picLocks noChangeAspect="1"/>
                    </pic:cNvPicPr>
                  </pic:nvPicPr>
                  <pic:blipFill>
                    <a:blip r:embed="rId61"/>
                    <a:srcRect l="5189" t="2550" r="2698" b="1103"/>
                    <a:stretch>
                      <a:fillRect/>
                    </a:stretch>
                  </pic:blipFill>
                  <pic:spPr>
                    <a:xfrm>
                      <a:off x="0" y="0"/>
                      <a:ext cx="5094605" cy="7653655"/>
                    </a:xfrm>
                    <a:prstGeom prst="rect">
                      <a:avLst/>
                    </a:prstGeom>
                  </pic:spPr>
                </pic:pic>
              </a:graphicData>
            </a:graphic>
          </wp:inline>
        </w:drawing>
      </w:r>
    </w:p>
    <w:p w14:paraId="09E6D6D0">
      <w:pPr>
        <w:spacing w:line="500" w:lineRule="exact"/>
        <w:ind w:firstLine="420" w:firstLineChars="200"/>
        <w:jc w:val="center"/>
        <w:rPr>
          <w:rFonts w:hint="eastAsia"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图4.1-1  地理位置示意图</w:t>
      </w:r>
    </w:p>
    <w:bookmarkEnd w:id="356"/>
    <w:p w14:paraId="77CBA008">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地形地貌</w:t>
      </w:r>
    </w:p>
    <w:p w14:paraId="59C75521">
      <w:pPr>
        <w:pStyle w:val="193"/>
        <w:rPr>
          <w:rFonts w:hint="eastAsia"/>
          <w:color w:val="000000" w:themeColor="text1"/>
          <w:kern w:val="2"/>
          <w14:textFill>
            <w14:solidFill>
              <w14:schemeClr w14:val="tx1"/>
            </w14:solidFill>
          </w14:textFill>
        </w:rPr>
      </w:pPr>
      <w:r>
        <w:rPr>
          <w:rFonts w:hint="eastAsia"/>
          <w:color w:val="000000" w:themeColor="text1"/>
          <w14:textFill>
            <w14:solidFill>
              <w14:schemeClr w14:val="tx1"/>
            </w14:solidFill>
          </w14:textFill>
        </w:rPr>
        <w:t>吉木萨尔县地势南北高、中间低，地貌可分为南部山区、中部平原、北部沙漠三种类型。南部山区为高山雪岭，北部为卡拉麦里山岭的低山残丘，两山之间是山前倾斜平原和低缓起伏的沙丘，最高点是二工河源头的雪峰，海拔500m。</w:t>
      </w:r>
    </w:p>
    <w:p w14:paraId="4F19C780">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准噶尔盆地东部海拔为1000m左右，中部海拔在600m左右，西部艾比湖最低，海拔为189m。中部是面积近5×10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的古尔班通古特沙漠，占盆地面积的16.3%，是我国第二大沙漠。沙漠区海拔360-400m，地表形态多表现为蜂窝状固定或半固定沙丘，其次为活动性链丘和新月形沙丘，沙丘链长度一般有百米至数公里不等，延伸方向随风向而异。地势由东南向西北倾斜，地形平坦宽阔，地质构造条件较好，自然坡度约为3-8‰。</w:t>
      </w:r>
    </w:p>
    <w:p w14:paraId="2B0764A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区地貌上属卡拉麦里山南坡前山丘陵地冲洪积平原，主要为荒漠戈壁地貌类型。准东地区地处天山纬向构造体系凸弧形构造带的东翼，南部中低山区属天山地槽区北天山褶皱带，总地势南高北低。北有卡拉麦里山，南部靠近天山山脉，中部地势由东南向西北倾斜，东西高差较大。东部、西部和南部均为沙漠区。</w:t>
      </w:r>
    </w:p>
    <w:p w14:paraId="55AD0467">
      <w:pPr>
        <w:pStyle w:val="8"/>
        <w:rPr>
          <w:rFonts w:hint="eastAsia"/>
          <w:color w:val="000000" w:themeColor="text1"/>
          <w14:textFill>
            <w14:solidFill>
              <w14:schemeClr w14:val="tx1"/>
            </w14:solidFill>
          </w14:textFill>
        </w:rPr>
      </w:pPr>
      <w:bookmarkStart w:id="357" w:name="_Hlk175252408"/>
      <w:r>
        <w:rPr>
          <w:rFonts w:hint="eastAsia"/>
          <w:color w:val="000000" w:themeColor="text1"/>
          <w14:textFill>
            <w14:solidFill>
              <w14:schemeClr w14:val="tx1"/>
            </w14:solidFill>
          </w14:textFill>
        </w:rPr>
        <w:t>水文地质</w:t>
      </w:r>
    </w:p>
    <w:bookmarkEnd w:id="357"/>
    <w:p w14:paraId="698EC3EC">
      <w:pPr>
        <w:pStyle w:val="193"/>
        <w:rPr>
          <w:rFonts w:hint="eastAsia"/>
          <w:color w:val="000000" w:themeColor="text1"/>
          <w14:textFill>
            <w14:solidFill>
              <w14:schemeClr w14:val="tx1"/>
            </w14:solidFill>
          </w14:textFill>
        </w:rPr>
      </w:pPr>
      <w:bookmarkStart w:id="358" w:name="_Hlk175252444"/>
      <w:bookmarkStart w:id="359" w:name="_Hlk511370685"/>
      <w:bookmarkStart w:id="360" w:name="_Hlk35856236"/>
      <w:r>
        <w:rPr>
          <w:rFonts w:hint="eastAsia"/>
          <w:color w:val="000000" w:themeColor="text1"/>
          <w14:textFill>
            <w14:solidFill>
              <w14:schemeClr w14:val="tx1"/>
            </w14:solidFill>
          </w14:textFill>
        </w:rPr>
        <w:t>（1）地表水</w:t>
      </w:r>
    </w:p>
    <w:p w14:paraId="24FF3324">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木萨尔县境内主要有河流10条及一个后堡子泉水系，河流由西而东依次是二工河、西大龙口河、大东沟河、新地沟河、渭户沟河、东大龙口河、牛圈子沟、吾塘沟、小东沟、白杨河。河流均发源于天山北坡，流域独立。</w:t>
      </w:r>
    </w:p>
    <w:p w14:paraId="6D59AFF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河流流向由南向北与山脉走向大体垂直，源头高程一般在3000m以上，出山口高程在1100m以下，河流长一般不超过50km，各河最终汇入平原绿洲为人类所利用。河流源头多接冰川，以山区降水量为主要补给源，河流径流具有明显的季节性变化。区域地表水系图见图4.1-2。</w:t>
      </w:r>
    </w:p>
    <w:p w14:paraId="24C05FF0">
      <w:pPr>
        <w:pStyle w:val="193"/>
        <w:spacing w:line="240" w:lineRule="auto"/>
        <w:ind w:firstLine="0" w:firstLineChars="0"/>
        <w:rPr>
          <w:rFonts w:hint="eastAsia"/>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8720" behindDoc="0" locked="0" layoutInCell="1" allowOverlap="1">
            <wp:simplePos x="0" y="0"/>
            <wp:positionH relativeFrom="column">
              <wp:posOffset>4529455</wp:posOffset>
            </wp:positionH>
            <wp:positionV relativeFrom="paragraph">
              <wp:posOffset>223520</wp:posOffset>
            </wp:positionV>
            <wp:extent cx="588010" cy="588010"/>
            <wp:effectExtent l="0" t="0" r="2540" b="2540"/>
            <wp:wrapNone/>
            <wp:docPr id="22336913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69138" name="图片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88143" cy="588143"/>
                    </a:xfrm>
                    <a:prstGeom prst="rect">
                      <a:avLst/>
                    </a:prstGeom>
                    <a:noFill/>
                    <a:ln>
                      <a:noFill/>
                    </a:ln>
                  </pic:spPr>
                </pic:pic>
              </a:graphicData>
            </a:graphic>
          </wp:anchor>
        </w:drawing>
      </w:r>
      <w:r>
        <w:rPr>
          <w:rFonts w:hint="eastAsia"/>
          <w:color w:val="000000" w:themeColor="text1"/>
          <w14:textFill>
            <w14:solidFill>
              <w14:schemeClr w14:val="tx1"/>
            </w14:solidFill>
          </w14:textFill>
        </w:rPr>
        <w:drawing>
          <wp:inline distT="0" distB="0" distL="114300" distR="114300">
            <wp:extent cx="5242560" cy="3791585"/>
            <wp:effectExtent l="0" t="0" r="15240" b="18415"/>
            <wp:docPr id="107" name="图片 107"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水系图"/>
                    <pic:cNvPicPr>
                      <a:picLocks noChangeAspect="1"/>
                    </pic:cNvPicPr>
                  </pic:nvPicPr>
                  <pic:blipFill>
                    <a:blip r:embed="rId63"/>
                    <a:stretch>
                      <a:fillRect/>
                    </a:stretch>
                  </pic:blipFill>
                  <pic:spPr>
                    <a:xfrm>
                      <a:off x="0" y="0"/>
                      <a:ext cx="5242560" cy="3791585"/>
                    </a:xfrm>
                    <a:prstGeom prst="rect">
                      <a:avLst/>
                    </a:prstGeom>
                  </pic:spPr>
                </pic:pic>
              </a:graphicData>
            </a:graphic>
          </wp:inline>
        </w:drawing>
      </w:r>
    </w:p>
    <w:p w14:paraId="032D3F80">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图4</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区域地表水系图</w:t>
      </w:r>
    </w:p>
    <w:bookmarkEnd w:id="358"/>
    <w:p w14:paraId="79E9C5A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（2）地下水</w:t>
      </w:r>
    </w:p>
    <w:p w14:paraId="18505B55">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吉木萨尔县东大龙口河流域，从南部山区—中部平原—北部沙漠，构成一个完整的流域体系。</w:t>
      </w:r>
    </w:p>
    <w:p w14:paraId="5DCC972E">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①南部山区</w:t>
      </w:r>
    </w:p>
    <w:p w14:paraId="0CD0AE9C">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部山区主要由全新世至上新世的砂、页岩、泥岩、灰色变质碎屑岩及火成岩组成，岩相变化大，厚度从几十米到几千米不等；由于强烈的构造运动，使山区基岩裂隙发育，大气降水入渗后，以裂隙水形式大量出露补给河流和平原区的地下水。在低山带分布有较厚的第三系地层，由于第三系一般比较松软，易遭受暴雨的冲刷，从而增大了河流的含沙量。</w:t>
      </w:r>
    </w:p>
    <w:p w14:paraId="3CC7438E">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②中部平原</w:t>
      </w:r>
    </w:p>
    <w:p w14:paraId="437770DB">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山前坳陷区，由于受山前深大断裂的影响，坳陷带内沉积了较厚的第四系松散沉积物，给地下水的赋存创造了巨大的空间，也是河水散失的主要去向。坳陷带内第四系沉积物厚度，一般为400～600m。按水文地质分带，由南向北依次为山前冲洪积扇-扇缘潜水溢出带－细土平原，含水层颗粒也依次由卵砾石-砂砾石-中粗砂－中细砂－粉细砂-亚砂土、亚粘土，平原区地下水主要以潜水和承压水形式广泛分布。</w:t>
      </w:r>
    </w:p>
    <w:p w14:paraId="58316C55">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本项目区域位于中部平原区。</w:t>
      </w:r>
    </w:p>
    <w:p w14:paraId="7B15CC7F">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1）地下水赋存条件及分布规律</w:t>
      </w:r>
    </w:p>
    <w:p w14:paraId="0E531941">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该项目分析范围内地层岩性为第四系更新世－全新世的冲洪积相砾石、砂砾石、砂层和冲洪积-湖相和沼泽相粘质砂土、粘性土层。区内第四纪松散堆积物厚度超过400m，为地下水的赋存、运移提供了良好空间，由于第四纪成因类型的多样性，使得含水层的岩性、粒度和组成结构复杂化。</w:t>
      </w:r>
    </w:p>
    <w:p w14:paraId="24FC827F">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※单一结构潜水含水层</w:t>
      </w:r>
    </w:p>
    <w:p w14:paraId="0626F83D">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分布在河流出山口至老台－三台－吉木萨尔县城一线，该带第四纪堆积物巨厚，含水层岩性以卵砾石、砂砾石为主，并由南向北颗粒逐渐变细，潜水位埋深由南向北逐渐变浅。南部潜水位埋深＞150m，乌奇公路沿线潜水位埋深在90m左右，单井涌水量2000</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3000m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/d，饱水带厚度＞100m，属地下水强富水带。</w:t>
      </w:r>
    </w:p>
    <w:p w14:paraId="200DF52F">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※多层结构潜水－承压含水层</w:t>
      </w:r>
    </w:p>
    <w:p w14:paraId="5283C851">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主要分布在老台－三台－吉木萨县城一线以北的广大平原区。上部为潜水含水层，岩性为砂砾石、中粗砂、中细砂，并由南向北颗粒逐渐变细，富水性逐渐变弱，南部富水带单井涌水量500</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1000m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/d；北部贫水带单井涌水量100</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500m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/d。潜水含水层底板埋深50</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100m，渗透系数2</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5m/d。下部为承压含水层，岩性主要为砂砾石、砾石、中细砂，单井涌水量1000</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3000m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/d，渗透系数5</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13m/d。在300m以内分布有三个承压含水层组：第一承压含水层组顶板埋深50</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100m，第二承压含水层组顶板埋深70</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140m，第三承压含水层组顶板埋深110</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220m。</w:t>
      </w:r>
    </w:p>
    <w:p w14:paraId="24A8A6C4">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项目区含水层类型为多层结构潜水－承压含水层，含水层岩性为砂砾石、中粗砂、中细砂，属地下水强富水带。</w:t>
      </w:r>
    </w:p>
    <w:p w14:paraId="751270C9">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2）地下水的补给、径流及排泄条件</w:t>
      </w:r>
    </w:p>
    <w:p w14:paraId="5F7DC913">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※地下水的补给</w:t>
      </w:r>
    </w:p>
    <w:p w14:paraId="7797DA0E">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分析范围内地下水的补给来源主要有南部山区冰雪融水、降水一部分形成地表径流，一部分沿基岩裂隙、断裂破碎带及冰水沉积物孔隙垂直入渗，以潜流形式补给山前平原潜水和深层承压水。河流在出山口后，有相当一部分水渗漏于山前砾石带，补给平原区潜水和深层承压水。平原灌区渠系入渗，库（塘）入渗，雨、洪入渗等直接补给平原区潜水。</w:t>
      </w:r>
    </w:p>
    <w:p w14:paraId="17954A78">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※地下水的径流</w:t>
      </w:r>
    </w:p>
    <w:p w14:paraId="555688FA">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项目区冲洪积松散层厚度大、粒径粗、坡度大、孔隙大、径流条件好，潜水埋藏深、开采难度大。大部分地下水通过径流区流入下游细土平原区。</w:t>
      </w:r>
    </w:p>
    <w:p w14:paraId="73D1BF2D">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※地下水的排泄</w:t>
      </w:r>
    </w:p>
    <w:p w14:paraId="50A011D0">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项目区域内地下水的排泄途径主要有人为开采，在细土平原水位浅埋地区，潜水可通过蒸发垂直排泄，沿径流方向以潜流方式排出区外，入北部沙漠。</w:t>
      </w:r>
    </w:p>
    <w:bookmarkEnd w:id="359"/>
    <w:bookmarkEnd w:id="360"/>
    <w:p w14:paraId="27D84B21">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气候气象</w:t>
      </w:r>
    </w:p>
    <w:p w14:paraId="2FC7006A">
      <w:pPr>
        <w:pStyle w:val="120"/>
        <w:rPr>
          <w:rFonts w:hint="eastAsia"/>
          <w:color w:val="000000" w:themeColor="text1"/>
          <w14:textFill>
            <w14:solidFill>
              <w14:schemeClr w14:val="tx1"/>
            </w14:solidFill>
          </w14:textFill>
        </w:rPr>
      </w:pPr>
      <w:bookmarkStart w:id="361" w:name="_Toc24528"/>
      <w:bookmarkStart w:id="362" w:name="_Toc475624476"/>
      <w:bookmarkStart w:id="363" w:name="_Toc474793581"/>
      <w:bookmarkStart w:id="364" w:name="_Toc474416132"/>
      <w:bookmarkStart w:id="365" w:name="_Hlk495686351"/>
      <w:r>
        <w:rPr>
          <w:rFonts w:hint="eastAsia"/>
          <w:color w:val="000000" w:themeColor="text1"/>
          <w14:textFill>
            <w14:solidFill>
              <w14:schemeClr w14:val="tx1"/>
            </w14:solidFill>
          </w14:textFill>
        </w:rPr>
        <w:t>吉木萨尔地处欧亚大陆的腹地，远离海洋属典型的温带大陆性干旱气候。其特点为：日照充足，热量丰富，气温变化大，降水少，蒸发大，气候干燥；春季增温快，此时多风，多冷空气入侵；夏季干热；秋季凉爽；冬季寒冷漫长。</w:t>
      </w:r>
    </w:p>
    <w:p w14:paraId="0067AAA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春季通常在3月下旬开春。升温迅速而不稳，天气多变，平均每月有一到两次强冷空气入侵，使气温变化幅度较大，降水增多。夏季炎热干燥，空气湿度小，无闷热感，多阵性风雨天气，降水较多。秋季秋高气爽，晴天日数最多。平均每月有一到两次强冷空气入侵，使得气温下降迅速。冬季严寒而漫长，有稳定积雪，空气湿度明显加大。冬季上空多有逆温形成，平均风速为四季最小。</w:t>
      </w:r>
    </w:p>
    <w:p w14:paraId="240B1287">
      <w:pPr>
        <w:pStyle w:val="19"/>
        <w:ind w:firstLine="400"/>
        <w:rPr>
          <w:rFonts w:hint="eastAsia"/>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表4.1-1    吉木萨尔气象站常规气象项目统计</w:t>
      </w:r>
    </w:p>
    <w:tbl>
      <w:tblPr>
        <w:tblStyle w:val="51"/>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032"/>
        <w:gridCol w:w="2732"/>
        <w:gridCol w:w="2963"/>
      </w:tblGrid>
      <w:tr w14:paraId="274E3E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12" w:space="0"/>
              <w:left w:val="nil"/>
              <w:bottom w:val="single" w:color="000000" w:sz="4" w:space="0"/>
              <w:right w:val="single" w:color="000000" w:sz="4" w:space="0"/>
            </w:tcBorders>
            <w:vAlign w:val="center"/>
          </w:tcPr>
          <w:p w14:paraId="57D2858E">
            <w:pPr>
              <w:spacing w:line="300" w:lineRule="exact"/>
              <w:jc w:val="center"/>
              <w:rPr>
                <w:rFonts w:hint="eastAsia" w:ascii="宋体" w:hAnsi="宋体"/>
                <w:color w:val="000000" w:themeColor="text1"/>
                <w:spacing w:val="16"/>
                <w14:textFill>
                  <w14:solidFill>
                    <w14:schemeClr w14:val="tx1"/>
                  </w14:solidFill>
                </w14:textFill>
              </w:rPr>
            </w:pPr>
            <w:r>
              <w:rPr>
                <w:rFonts w:hint="eastAsia" w:ascii="宋体" w:hAnsi="宋体"/>
                <w:color w:val="000000" w:themeColor="text1"/>
                <w:spacing w:val="16"/>
                <w14:textFill>
                  <w14:solidFill>
                    <w14:schemeClr w14:val="tx1"/>
                  </w14:solidFill>
                </w14:textFill>
              </w:rPr>
              <w:t>统计项目</w:t>
            </w:r>
          </w:p>
        </w:tc>
        <w:tc>
          <w:tcPr>
            <w:tcW w:w="1697" w:type="pct"/>
            <w:tcBorders>
              <w:top w:val="single" w:color="000000" w:sz="12" w:space="0"/>
              <w:left w:val="single" w:color="000000" w:sz="4" w:space="0"/>
              <w:bottom w:val="single" w:color="000000" w:sz="4" w:space="0"/>
              <w:right w:val="nil"/>
            </w:tcBorders>
            <w:vAlign w:val="center"/>
          </w:tcPr>
          <w:p w14:paraId="425A8FDF">
            <w:pPr>
              <w:spacing w:line="300" w:lineRule="exact"/>
              <w:jc w:val="center"/>
              <w:rPr>
                <w:rFonts w:hint="eastAsia" w:ascii="宋体" w:hAnsi="宋体"/>
                <w:color w:val="000000" w:themeColor="text1"/>
                <w:spacing w:val="16"/>
                <w14:textFill>
                  <w14:solidFill>
                    <w14:schemeClr w14:val="tx1"/>
                  </w14:solidFill>
                </w14:textFill>
              </w:rPr>
            </w:pPr>
            <w:r>
              <w:rPr>
                <w:rFonts w:hint="eastAsia" w:ascii="宋体" w:hAnsi="宋体"/>
                <w:color w:val="000000" w:themeColor="text1"/>
                <w:spacing w:val="16"/>
                <w14:textFill>
                  <w14:solidFill>
                    <w14:schemeClr w14:val="tx1"/>
                  </w14:solidFill>
                </w14:textFill>
              </w:rPr>
              <w:t>统计值</w:t>
            </w:r>
          </w:p>
        </w:tc>
      </w:tr>
      <w:tr w14:paraId="194034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7FBE6C7C">
            <w:pPr>
              <w:spacing w:line="300" w:lineRule="exact"/>
              <w:jc w:val="center"/>
              <w:rPr>
                <w:rFonts w:hint="eastAsia" w:ascii="宋体" w:hAnsi="宋体"/>
                <w:color w:val="000000" w:themeColor="text1"/>
                <w14:textFill>
                  <w14:solidFill>
                    <w14:schemeClr w14:val="tx1"/>
                  </w14:solidFill>
                </w14:textFill>
              </w:rPr>
            </w:pPr>
            <w:r>
              <w:rPr>
                <w:rFonts w:hint="eastAsia" w:ascii="宋体" w:hAnsi="宋体"/>
                <w:color w:val="000000" w:themeColor="text1"/>
                <w:spacing w:val="17"/>
                <w14:textFill>
                  <w14:solidFill>
                    <w14:schemeClr w14:val="tx1"/>
                  </w14:solidFill>
                </w14:textFill>
              </w:rPr>
              <w:t>多年平均气温（℃）</w:t>
            </w:r>
          </w:p>
        </w:tc>
        <w:tc>
          <w:tcPr>
            <w:tcW w:w="1697" w:type="pct"/>
            <w:tcBorders>
              <w:top w:val="single" w:color="000000" w:sz="4" w:space="0"/>
              <w:left w:val="single" w:color="000000" w:sz="4" w:space="0"/>
              <w:bottom w:val="single" w:color="000000" w:sz="4" w:space="0"/>
              <w:right w:val="nil"/>
            </w:tcBorders>
            <w:vAlign w:val="center"/>
          </w:tcPr>
          <w:p w14:paraId="4754BF6B">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2"/>
                <w:sz w:val="21"/>
                <w:szCs w:val="21"/>
                <w14:textFill>
                  <w14:solidFill>
                    <w14:schemeClr w14:val="tx1"/>
                  </w14:solidFill>
                </w14:textFill>
              </w:rPr>
              <w:t>8.1</w:t>
            </w:r>
          </w:p>
        </w:tc>
      </w:tr>
      <w:tr w14:paraId="1E87FA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4F358604">
            <w:pPr>
              <w:spacing w:line="300" w:lineRule="exact"/>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pacing w:val="16"/>
                <w14:textFill>
                  <w14:solidFill>
                    <w14:schemeClr w14:val="tx1"/>
                  </w14:solidFill>
                </w14:textFill>
              </w:rPr>
              <w:t>累年极端最高气温（℃）</w:t>
            </w:r>
          </w:p>
        </w:tc>
        <w:tc>
          <w:tcPr>
            <w:tcW w:w="1697" w:type="pct"/>
            <w:tcBorders>
              <w:top w:val="single" w:color="000000" w:sz="4" w:space="0"/>
              <w:left w:val="single" w:color="000000" w:sz="4" w:space="0"/>
              <w:bottom w:val="single" w:color="000000" w:sz="4" w:space="0"/>
              <w:right w:val="nil"/>
            </w:tcBorders>
            <w:vAlign w:val="center"/>
          </w:tcPr>
          <w:p w14:paraId="53632B7B">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2"/>
                <w:sz w:val="21"/>
                <w:szCs w:val="21"/>
                <w14:textFill>
                  <w14:solidFill>
                    <w14:schemeClr w14:val="tx1"/>
                  </w14:solidFill>
                </w14:textFill>
              </w:rPr>
              <w:t>38.9</w:t>
            </w:r>
          </w:p>
        </w:tc>
      </w:tr>
      <w:tr w14:paraId="72FA14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619B50E4">
            <w:pPr>
              <w:spacing w:line="300" w:lineRule="exact"/>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pacing w:val="16"/>
                <w14:textFill>
                  <w14:solidFill>
                    <w14:schemeClr w14:val="tx1"/>
                  </w14:solidFill>
                </w14:textFill>
              </w:rPr>
              <w:t>累年极端最低气温（℃）</w:t>
            </w:r>
          </w:p>
        </w:tc>
        <w:tc>
          <w:tcPr>
            <w:tcW w:w="1697" w:type="pct"/>
            <w:tcBorders>
              <w:top w:val="single" w:color="000000" w:sz="4" w:space="0"/>
              <w:left w:val="single" w:color="000000" w:sz="4" w:space="0"/>
              <w:bottom w:val="single" w:color="000000" w:sz="4" w:space="0"/>
              <w:right w:val="nil"/>
            </w:tcBorders>
            <w:vAlign w:val="center"/>
          </w:tcPr>
          <w:p w14:paraId="1E7B15A5">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2"/>
                <w:sz w:val="21"/>
                <w:szCs w:val="21"/>
                <w14:textFill>
                  <w14:solidFill>
                    <w14:schemeClr w14:val="tx1"/>
                  </w14:solidFill>
                </w14:textFill>
              </w:rPr>
              <w:t>-26.0</w:t>
            </w:r>
          </w:p>
        </w:tc>
      </w:tr>
      <w:tr w14:paraId="5131AA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7EE266B6">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8"/>
                <w:sz w:val="21"/>
                <w:szCs w:val="21"/>
                <w:lang w:eastAsia="zh-CN"/>
                <w14:textFill>
                  <w14:solidFill>
                    <w14:schemeClr w14:val="tx1"/>
                  </w14:solidFill>
                </w14:textFill>
              </w:rPr>
              <w:t>多年平均气压（</w:t>
            </w:r>
            <w:r>
              <w:rPr>
                <w:rFonts w:hint="eastAsia" w:cs="Times New Roman"/>
                <w:color w:val="000000" w:themeColor="text1"/>
                <w:sz w:val="21"/>
                <w:szCs w:val="21"/>
                <w:lang w:eastAsia="zh-CN"/>
                <w14:textFill>
                  <w14:solidFill>
                    <w14:schemeClr w14:val="tx1"/>
                  </w14:solidFill>
                </w14:textFill>
              </w:rPr>
              <w:t>hPa</w:t>
            </w:r>
            <w:r>
              <w:rPr>
                <w:rFonts w:hint="eastAsia" w:cs="Times New Roman"/>
                <w:color w:val="000000" w:themeColor="text1"/>
                <w:spacing w:val="8"/>
                <w:sz w:val="21"/>
                <w:szCs w:val="21"/>
                <w:lang w:eastAsia="zh-CN"/>
                <w14:textFill>
                  <w14:solidFill>
                    <w14:schemeClr w14:val="tx1"/>
                  </w14:solidFill>
                </w14:textFill>
              </w:rPr>
              <w:t>）</w:t>
            </w:r>
          </w:p>
        </w:tc>
        <w:tc>
          <w:tcPr>
            <w:tcW w:w="1697" w:type="pct"/>
            <w:tcBorders>
              <w:top w:val="single" w:color="000000" w:sz="4" w:space="0"/>
              <w:left w:val="single" w:color="000000" w:sz="4" w:space="0"/>
              <w:bottom w:val="single" w:color="000000" w:sz="4" w:space="0"/>
              <w:right w:val="nil"/>
            </w:tcBorders>
            <w:vAlign w:val="center"/>
          </w:tcPr>
          <w:p w14:paraId="4E8B4DBA">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2"/>
                <w:sz w:val="21"/>
                <w:szCs w:val="21"/>
                <w14:textFill>
                  <w14:solidFill>
                    <w14:schemeClr w14:val="tx1"/>
                  </w14:solidFill>
                </w14:textFill>
              </w:rPr>
              <w:t>933.8</w:t>
            </w:r>
          </w:p>
        </w:tc>
      </w:tr>
      <w:tr w14:paraId="6E436B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7976C4BF">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8"/>
                <w:sz w:val="21"/>
                <w:szCs w:val="21"/>
                <w:lang w:eastAsia="zh-CN"/>
                <w14:textFill>
                  <w14:solidFill>
                    <w14:schemeClr w14:val="tx1"/>
                  </w14:solidFill>
                </w14:textFill>
              </w:rPr>
              <w:t>多年平均水汽压（</w:t>
            </w:r>
            <w:r>
              <w:rPr>
                <w:rFonts w:hint="eastAsia" w:cs="Times New Roman"/>
                <w:color w:val="000000" w:themeColor="text1"/>
                <w:sz w:val="21"/>
                <w:szCs w:val="21"/>
                <w:lang w:eastAsia="zh-CN"/>
                <w14:textFill>
                  <w14:solidFill>
                    <w14:schemeClr w14:val="tx1"/>
                  </w14:solidFill>
                </w14:textFill>
              </w:rPr>
              <w:t>hPa</w:t>
            </w:r>
            <w:r>
              <w:rPr>
                <w:rFonts w:hint="eastAsia" w:cs="Times New Roman"/>
                <w:color w:val="000000" w:themeColor="text1"/>
                <w:spacing w:val="8"/>
                <w:sz w:val="21"/>
                <w:szCs w:val="21"/>
                <w:lang w:eastAsia="zh-CN"/>
                <w14:textFill>
                  <w14:solidFill>
                    <w14:schemeClr w14:val="tx1"/>
                  </w14:solidFill>
                </w14:textFill>
              </w:rPr>
              <w:t>）</w:t>
            </w:r>
          </w:p>
        </w:tc>
        <w:tc>
          <w:tcPr>
            <w:tcW w:w="1697" w:type="pct"/>
            <w:tcBorders>
              <w:top w:val="single" w:color="000000" w:sz="4" w:space="0"/>
              <w:left w:val="single" w:color="000000" w:sz="4" w:space="0"/>
              <w:bottom w:val="single" w:color="000000" w:sz="4" w:space="0"/>
              <w:right w:val="nil"/>
            </w:tcBorders>
            <w:vAlign w:val="center"/>
          </w:tcPr>
          <w:p w14:paraId="5C66C93F">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1"/>
                <w:sz w:val="21"/>
                <w:szCs w:val="21"/>
                <w14:textFill>
                  <w14:solidFill>
                    <w14:schemeClr w14:val="tx1"/>
                  </w14:solidFill>
                </w14:textFill>
              </w:rPr>
              <w:t>6.3</w:t>
            </w:r>
          </w:p>
        </w:tc>
      </w:tr>
      <w:tr w14:paraId="466105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2B7DF465">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7"/>
                <w:sz w:val="21"/>
                <w:szCs w:val="21"/>
                <w:lang w:eastAsia="zh-CN"/>
                <w14:textFill>
                  <w14:solidFill>
                    <w14:schemeClr w14:val="tx1"/>
                  </w14:solidFill>
                </w14:textFill>
              </w:rPr>
              <w:t>多年平均相对湿度（%）</w:t>
            </w:r>
          </w:p>
        </w:tc>
        <w:tc>
          <w:tcPr>
            <w:tcW w:w="1697" w:type="pct"/>
            <w:tcBorders>
              <w:top w:val="single" w:color="000000" w:sz="4" w:space="0"/>
              <w:left w:val="single" w:color="000000" w:sz="4" w:space="0"/>
              <w:bottom w:val="single" w:color="000000" w:sz="4" w:space="0"/>
              <w:right w:val="nil"/>
            </w:tcBorders>
            <w:vAlign w:val="center"/>
          </w:tcPr>
          <w:p w14:paraId="1A158376">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2"/>
                <w:sz w:val="21"/>
                <w:szCs w:val="21"/>
                <w14:textFill>
                  <w14:solidFill>
                    <w14:schemeClr w14:val="tx1"/>
                  </w14:solidFill>
                </w14:textFill>
              </w:rPr>
              <w:t>55.4</w:t>
            </w:r>
          </w:p>
        </w:tc>
      </w:tr>
      <w:tr w14:paraId="28CCAA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13138215">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8"/>
                <w:sz w:val="21"/>
                <w:szCs w:val="21"/>
                <w14:textFill>
                  <w14:solidFill>
                    <w14:schemeClr w14:val="tx1"/>
                  </w14:solidFill>
                </w14:textFill>
              </w:rPr>
              <w:t>多年平均降雨量（</w:t>
            </w:r>
            <w:r>
              <w:rPr>
                <w:rFonts w:hint="eastAsia" w:cs="Times New Roman"/>
                <w:color w:val="000000" w:themeColor="text1"/>
                <w:sz w:val="21"/>
                <w:szCs w:val="21"/>
                <w14:textFill>
                  <w14:solidFill>
                    <w14:schemeClr w14:val="tx1"/>
                  </w14:solidFill>
                </w14:textFill>
              </w:rPr>
              <w:t>mm</w:t>
            </w:r>
            <w:r>
              <w:rPr>
                <w:rFonts w:hint="eastAsia" w:cs="Times New Roman"/>
                <w:color w:val="000000" w:themeColor="text1"/>
                <w:spacing w:val="8"/>
                <w:sz w:val="21"/>
                <w:szCs w:val="21"/>
                <w14:textFill>
                  <w14:solidFill>
                    <w14:schemeClr w14:val="tx1"/>
                  </w14:solidFill>
                </w14:textFill>
              </w:rPr>
              <w:t>）</w:t>
            </w:r>
          </w:p>
        </w:tc>
        <w:tc>
          <w:tcPr>
            <w:tcW w:w="1697" w:type="pct"/>
            <w:tcBorders>
              <w:top w:val="single" w:color="000000" w:sz="4" w:space="0"/>
              <w:left w:val="single" w:color="000000" w:sz="4" w:space="0"/>
              <w:bottom w:val="single" w:color="000000" w:sz="4" w:space="0"/>
              <w:right w:val="nil"/>
            </w:tcBorders>
            <w:vAlign w:val="center"/>
          </w:tcPr>
          <w:p w14:paraId="6E720F95">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1"/>
                <w:sz w:val="21"/>
                <w:szCs w:val="21"/>
                <w14:textFill>
                  <w14:solidFill>
                    <w14:schemeClr w14:val="tx1"/>
                  </w14:solidFill>
                </w14:textFill>
              </w:rPr>
              <w:t>193.5</w:t>
            </w:r>
          </w:p>
        </w:tc>
      </w:tr>
      <w:tr w14:paraId="72DF80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37" w:type="pct"/>
            <w:vMerge w:val="restart"/>
            <w:tcBorders>
              <w:top w:val="single" w:color="000000" w:sz="4" w:space="0"/>
              <w:left w:val="nil"/>
              <w:bottom w:val="single" w:color="000000" w:sz="4" w:space="0"/>
              <w:right w:val="single" w:color="000000" w:sz="4" w:space="0"/>
            </w:tcBorders>
            <w:vAlign w:val="center"/>
          </w:tcPr>
          <w:p w14:paraId="4EB80B49">
            <w:pPr>
              <w:spacing w:line="300" w:lineRule="exact"/>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pacing w:val="7"/>
                <w14:textFill>
                  <w14:solidFill>
                    <w14:schemeClr w14:val="tx1"/>
                  </w14:solidFill>
                </w14:textFill>
              </w:rPr>
              <w:t>灾害天气统计</w:t>
            </w:r>
          </w:p>
        </w:tc>
        <w:tc>
          <w:tcPr>
            <w:tcW w:w="1565" w:type="pct"/>
            <w:tcBorders>
              <w:top w:val="single" w:color="000000" w:sz="4" w:space="0"/>
              <w:left w:val="single" w:color="000000" w:sz="4" w:space="0"/>
              <w:bottom w:val="single" w:color="000000" w:sz="4" w:space="0"/>
              <w:right w:val="single" w:color="000000" w:sz="4" w:space="0"/>
            </w:tcBorders>
            <w:vAlign w:val="center"/>
          </w:tcPr>
          <w:p w14:paraId="0595D979">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6"/>
                <w:sz w:val="21"/>
                <w:szCs w:val="21"/>
                <w:lang w:eastAsia="zh-CN"/>
                <w14:textFill>
                  <w14:solidFill>
                    <w14:schemeClr w14:val="tx1"/>
                  </w14:solidFill>
                </w14:textFill>
              </w:rPr>
              <w:t>多年平均沙暴日数（d）</w:t>
            </w:r>
          </w:p>
        </w:tc>
        <w:tc>
          <w:tcPr>
            <w:tcW w:w="1697" w:type="pct"/>
            <w:tcBorders>
              <w:top w:val="single" w:color="000000" w:sz="4" w:space="0"/>
              <w:left w:val="single" w:color="000000" w:sz="4" w:space="0"/>
              <w:bottom w:val="single" w:color="000000" w:sz="4" w:space="0"/>
              <w:right w:val="nil"/>
            </w:tcBorders>
            <w:vAlign w:val="center"/>
          </w:tcPr>
          <w:p w14:paraId="60C4A449">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4"/>
                <w:sz w:val="21"/>
                <w:szCs w:val="21"/>
                <w14:textFill>
                  <w14:solidFill>
                    <w14:schemeClr w14:val="tx1"/>
                  </w14:solidFill>
                </w14:textFill>
              </w:rPr>
              <w:t>1.0</w:t>
            </w:r>
          </w:p>
        </w:tc>
      </w:tr>
      <w:tr w14:paraId="248E54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0" w:type="auto"/>
            <w:vMerge w:val="continue"/>
            <w:tcBorders>
              <w:top w:val="single" w:color="000000" w:sz="4" w:space="0"/>
              <w:left w:val="nil"/>
              <w:bottom w:val="single" w:color="000000" w:sz="4" w:space="0"/>
              <w:right w:val="single" w:color="000000" w:sz="4" w:space="0"/>
            </w:tcBorders>
            <w:vAlign w:val="center"/>
          </w:tcPr>
          <w:p w14:paraId="035565FF">
            <w:pPr>
              <w:widowControl/>
              <w:jc w:val="left"/>
              <w:rPr>
                <w:rFonts w:hint="eastAsia" w:ascii="宋体" w:hAnsi="宋体"/>
                <w:color w:val="000000" w:themeColor="text1"/>
                <w:szCs w:val="21"/>
                <w14:textFill>
                  <w14:solidFill>
                    <w14:schemeClr w14:val="tx1"/>
                  </w14:solidFill>
                </w14:textFill>
              </w:rPr>
            </w:pPr>
          </w:p>
        </w:tc>
        <w:tc>
          <w:tcPr>
            <w:tcW w:w="1565" w:type="pct"/>
            <w:tcBorders>
              <w:top w:val="single" w:color="000000" w:sz="4" w:space="0"/>
              <w:left w:val="single" w:color="000000" w:sz="4" w:space="0"/>
              <w:bottom w:val="single" w:color="000000" w:sz="4" w:space="0"/>
              <w:right w:val="single" w:color="000000" w:sz="4" w:space="0"/>
            </w:tcBorders>
            <w:vAlign w:val="center"/>
          </w:tcPr>
          <w:p w14:paraId="7E369736">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6"/>
                <w:sz w:val="21"/>
                <w:szCs w:val="21"/>
                <w:lang w:eastAsia="zh-CN"/>
                <w14:textFill>
                  <w14:solidFill>
                    <w14:schemeClr w14:val="tx1"/>
                  </w14:solidFill>
                </w14:textFill>
              </w:rPr>
              <w:t>多年平均雷暴日数（d）</w:t>
            </w:r>
          </w:p>
        </w:tc>
        <w:tc>
          <w:tcPr>
            <w:tcW w:w="1697" w:type="pct"/>
            <w:tcBorders>
              <w:top w:val="single" w:color="000000" w:sz="4" w:space="0"/>
              <w:left w:val="single" w:color="000000" w:sz="4" w:space="0"/>
              <w:bottom w:val="single" w:color="000000" w:sz="4" w:space="0"/>
              <w:right w:val="nil"/>
            </w:tcBorders>
            <w:vAlign w:val="center"/>
          </w:tcPr>
          <w:p w14:paraId="0F53FFF0">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5.4</w:t>
            </w:r>
          </w:p>
        </w:tc>
      </w:tr>
      <w:tr w14:paraId="088CEA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0" w:type="auto"/>
            <w:vMerge w:val="continue"/>
            <w:tcBorders>
              <w:top w:val="single" w:color="000000" w:sz="4" w:space="0"/>
              <w:left w:val="nil"/>
              <w:bottom w:val="single" w:color="000000" w:sz="4" w:space="0"/>
              <w:right w:val="single" w:color="000000" w:sz="4" w:space="0"/>
            </w:tcBorders>
            <w:vAlign w:val="center"/>
          </w:tcPr>
          <w:p w14:paraId="0348F8CB">
            <w:pPr>
              <w:widowControl/>
              <w:jc w:val="left"/>
              <w:rPr>
                <w:rFonts w:hint="eastAsia" w:ascii="宋体" w:hAnsi="宋体"/>
                <w:color w:val="000000" w:themeColor="text1"/>
                <w:szCs w:val="21"/>
                <w14:textFill>
                  <w14:solidFill>
                    <w14:schemeClr w14:val="tx1"/>
                  </w14:solidFill>
                </w14:textFill>
              </w:rPr>
            </w:pPr>
          </w:p>
        </w:tc>
        <w:tc>
          <w:tcPr>
            <w:tcW w:w="1565" w:type="pct"/>
            <w:tcBorders>
              <w:top w:val="single" w:color="000000" w:sz="4" w:space="0"/>
              <w:left w:val="single" w:color="000000" w:sz="4" w:space="0"/>
              <w:bottom w:val="single" w:color="000000" w:sz="4" w:space="0"/>
              <w:right w:val="single" w:color="000000" w:sz="4" w:space="0"/>
            </w:tcBorders>
            <w:vAlign w:val="center"/>
          </w:tcPr>
          <w:p w14:paraId="217D4383">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6"/>
                <w:sz w:val="21"/>
                <w:szCs w:val="21"/>
                <w:lang w:eastAsia="zh-CN"/>
                <w14:textFill>
                  <w14:solidFill>
                    <w14:schemeClr w14:val="tx1"/>
                  </w14:solidFill>
                </w14:textFill>
              </w:rPr>
              <w:t>多年平均冰雹日数（d）</w:t>
            </w:r>
          </w:p>
        </w:tc>
        <w:tc>
          <w:tcPr>
            <w:tcW w:w="1697" w:type="pct"/>
            <w:tcBorders>
              <w:top w:val="single" w:color="000000" w:sz="4" w:space="0"/>
              <w:left w:val="single" w:color="000000" w:sz="4" w:space="0"/>
              <w:bottom w:val="single" w:color="000000" w:sz="4" w:space="0"/>
              <w:right w:val="nil"/>
            </w:tcBorders>
            <w:vAlign w:val="center"/>
          </w:tcPr>
          <w:p w14:paraId="5D93C22C">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1"/>
                <w:sz w:val="21"/>
                <w:szCs w:val="21"/>
                <w14:textFill>
                  <w14:solidFill>
                    <w14:schemeClr w14:val="tx1"/>
                  </w14:solidFill>
                </w14:textFill>
              </w:rPr>
              <w:t>0.0</w:t>
            </w:r>
          </w:p>
        </w:tc>
      </w:tr>
      <w:tr w14:paraId="16B61C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0" w:type="auto"/>
            <w:vMerge w:val="continue"/>
            <w:tcBorders>
              <w:top w:val="single" w:color="000000" w:sz="4" w:space="0"/>
              <w:left w:val="nil"/>
              <w:bottom w:val="single" w:color="000000" w:sz="4" w:space="0"/>
              <w:right w:val="single" w:color="000000" w:sz="4" w:space="0"/>
            </w:tcBorders>
            <w:vAlign w:val="center"/>
          </w:tcPr>
          <w:p w14:paraId="2114B144">
            <w:pPr>
              <w:widowControl/>
              <w:jc w:val="left"/>
              <w:rPr>
                <w:rFonts w:hint="eastAsia" w:ascii="宋体" w:hAnsi="宋体"/>
                <w:color w:val="000000" w:themeColor="text1"/>
                <w:szCs w:val="21"/>
                <w14:textFill>
                  <w14:solidFill>
                    <w14:schemeClr w14:val="tx1"/>
                  </w14:solidFill>
                </w14:textFill>
              </w:rPr>
            </w:pPr>
          </w:p>
        </w:tc>
        <w:tc>
          <w:tcPr>
            <w:tcW w:w="1565" w:type="pct"/>
            <w:tcBorders>
              <w:top w:val="single" w:color="000000" w:sz="4" w:space="0"/>
              <w:left w:val="single" w:color="000000" w:sz="4" w:space="0"/>
              <w:bottom w:val="single" w:color="000000" w:sz="4" w:space="0"/>
              <w:right w:val="single" w:color="000000" w:sz="4" w:space="0"/>
            </w:tcBorders>
            <w:vAlign w:val="center"/>
          </w:tcPr>
          <w:p w14:paraId="31E1482F">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6"/>
                <w:sz w:val="21"/>
                <w:szCs w:val="21"/>
                <w:lang w:eastAsia="zh-CN"/>
                <w14:textFill>
                  <w14:solidFill>
                    <w14:schemeClr w14:val="tx1"/>
                  </w14:solidFill>
                </w14:textFill>
              </w:rPr>
              <w:t>多年平均大风日数（d）</w:t>
            </w:r>
          </w:p>
        </w:tc>
        <w:tc>
          <w:tcPr>
            <w:tcW w:w="1697" w:type="pct"/>
            <w:tcBorders>
              <w:top w:val="single" w:color="000000" w:sz="4" w:space="0"/>
              <w:left w:val="single" w:color="000000" w:sz="4" w:space="0"/>
              <w:bottom w:val="single" w:color="000000" w:sz="4" w:space="0"/>
              <w:right w:val="nil"/>
            </w:tcBorders>
            <w:vAlign w:val="center"/>
          </w:tcPr>
          <w:p w14:paraId="2A9AFBAE">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2"/>
                <w:sz w:val="21"/>
                <w:szCs w:val="21"/>
                <w14:textFill>
                  <w14:solidFill>
                    <w14:schemeClr w14:val="tx1"/>
                  </w14:solidFill>
                </w14:textFill>
              </w:rPr>
              <w:t>10.7</w:t>
            </w:r>
          </w:p>
        </w:tc>
      </w:tr>
      <w:tr w14:paraId="58DA80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636D4FBF">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8"/>
                <w:sz w:val="21"/>
                <w:szCs w:val="21"/>
                <w:lang w:eastAsia="zh-CN"/>
                <w14:textFill>
                  <w14:solidFill>
                    <w14:schemeClr w14:val="tx1"/>
                  </w14:solidFill>
                </w14:textFill>
              </w:rPr>
              <w:t>多年实测极大风速（m/s）、相应风向</w:t>
            </w:r>
          </w:p>
        </w:tc>
        <w:tc>
          <w:tcPr>
            <w:tcW w:w="1697" w:type="pct"/>
            <w:tcBorders>
              <w:top w:val="single" w:color="000000" w:sz="4" w:space="0"/>
              <w:left w:val="single" w:color="000000" w:sz="4" w:space="0"/>
              <w:bottom w:val="single" w:color="000000" w:sz="4" w:space="0"/>
              <w:right w:val="nil"/>
            </w:tcBorders>
            <w:vAlign w:val="center"/>
          </w:tcPr>
          <w:p w14:paraId="73993D88">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7"/>
                <w:sz w:val="21"/>
                <w:szCs w:val="21"/>
                <w14:textFill>
                  <w14:solidFill>
                    <w14:schemeClr w14:val="tx1"/>
                  </w14:solidFill>
                </w14:textFill>
              </w:rPr>
              <w:t>24.4</w:t>
            </w:r>
            <w:r>
              <w:rPr>
                <w:rFonts w:hint="eastAsia" w:cs="Times New Roman"/>
                <w:color w:val="000000" w:themeColor="text1"/>
                <w:spacing w:val="7"/>
                <w:sz w:val="21"/>
                <w:szCs w:val="21"/>
                <w:lang w:eastAsia="zh-CN"/>
                <w14:textFill>
                  <w14:solidFill>
                    <w14:schemeClr w14:val="tx1"/>
                  </w14:solidFill>
                </w14:textFill>
              </w:rPr>
              <w:t xml:space="preserve"> </w:t>
            </w:r>
            <w:r>
              <w:rPr>
                <w:rFonts w:hint="eastAsia" w:cs="Times New Roman"/>
                <w:color w:val="000000" w:themeColor="text1"/>
                <w:sz w:val="21"/>
                <w:szCs w:val="21"/>
                <w14:textFill>
                  <w14:solidFill>
                    <w14:schemeClr w14:val="tx1"/>
                  </w14:solidFill>
                </w14:textFill>
              </w:rPr>
              <w:t>WNW</w:t>
            </w:r>
          </w:p>
        </w:tc>
      </w:tr>
      <w:tr w14:paraId="1ED580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518EA53B">
            <w:pPr>
              <w:spacing w:line="300" w:lineRule="exact"/>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pacing w:val="6"/>
                <w14:textFill>
                  <w14:solidFill>
                    <w14:schemeClr w14:val="tx1"/>
                  </w14:solidFill>
                </w14:textFill>
              </w:rPr>
              <w:t>多年平均风速</w:t>
            </w:r>
          </w:p>
        </w:tc>
        <w:tc>
          <w:tcPr>
            <w:tcW w:w="1697" w:type="pct"/>
            <w:tcBorders>
              <w:top w:val="single" w:color="000000" w:sz="4" w:space="0"/>
              <w:left w:val="single" w:color="000000" w:sz="4" w:space="0"/>
              <w:bottom w:val="single" w:color="000000" w:sz="4" w:space="0"/>
              <w:right w:val="nil"/>
            </w:tcBorders>
            <w:vAlign w:val="center"/>
          </w:tcPr>
          <w:p w14:paraId="6865A771">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4"/>
                <w:sz w:val="21"/>
                <w:szCs w:val="21"/>
                <w14:textFill>
                  <w14:solidFill>
                    <w14:schemeClr w14:val="tx1"/>
                  </w14:solidFill>
                </w14:textFill>
              </w:rPr>
              <w:t>1.8</w:t>
            </w:r>
          </w:p>
        </w:tc>
      </w:tr>
      <w:tr w14:paraId="04B200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4" w:space="0"/>
              <w:right w:val="single" w:color="000000" w:sz="4" w:space="0"/>
            </w:tcBorders>
            <w:vAlign w:val="center"/>
          </w:tcPr>
          <w:p w14:paraId="7FA32E49">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7"/>
                <w:sz w:val="21"/>
                <w:szCs w:val="21"/>
                <w:lang w:eastAsia="zh-CN"/>
                <w14:textFill>
                  <w14:solidFill>
                    <w14:schemeClr w14:val="tx1"/>
                  </w14:solidFill>
                </w14:textFill>
              </w:rPr>
              <w:t>多年主导风向、风向频率（%）</w:t>
            </w:r>
          </w:p>
        </w:tc>
        <w:tc>
          <w:tcPr>
            <w:tcW w:w="1697" w:type="pct"/>
            <w:tcBorders>
              <w:top w:val="single" w:color="000000" w:sz="4" w:space="0"/>
              <w:left w:val="single" w:color="000000" w:sz="4" w:space="0"/>
              <w:bottom w:val="single" w:color="000000" w:sz="4" w:space="0"/>
              <w:right w:val="nil"/>
            </w:tcBorders>
            <w:vAlign w:val="center"/>
          </w:tcPr>
          <w:p w14:paraId="3233B4F6">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WNW</w:t>
            </w:r>
            <w:r>
              <w:rPr>
                <w:rFonts w:hint="eastAsia" w:cs="Times New Roman"/>
                <w:color w:val="000000" w:themeColor="text1"/>
                <w:spacing w:val="26"/>
                <w:w w:val="101"/>
                <w:sz w:val="21"/>
                <w:szCs w:val="21"/>
                <w14:textFill>
                  <w14:solidFill>
                    <w14:schemeClr w14:val="tx1"/>
                  </w14:solidFill>
                </w14:textFill>
              </w:rPr>
              <w:t xml:space="preserve"> </w:t>
            </w:r>
            <w:r>
              <w:rPr>
                <w:rFonts w:hint="eastAsia" w:cs="Times New Roman"/>
                <w:color w:val="000000" w:themeColor="text1"/>
                <w:spacing w:val="4"/>
                <w:sz w:val="21"/>
                <w:szCs w:val="21"/>
                <w14:textFill>
                  <w14:solidFill>
                    <w14:schemeClr w14:val="tx1"/>
                  </w14:solidFill>
                </w14:textFill>
              </w:rPr>
              <w:t>12.6%</w:t>
            </w:r>
          </w:p>
        </w:tc>
      </w:tr>
      <w:tr w14:paraId="5EE003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02" w:type="pct"/>
            <w:gridSpan w:val="2"/>
            <w:tcBorders>
              <w:top w:val="single" w:color="000000" w:sz="4" w:space="0"/>
              <w:left w:val="nil"/>
              <w:bottom w:val="single" w:color="000000" w:sz="12" w:space="0"/>
              <w:right w:val="single" w:color="000000" w:sz="4" w:space="0"/>
            </w:tcBorders>
            <w:vAlign w:val="center"/>
          </w:tcPr>
          <w:p w14:paraId="3BC5803A">
            <w:pPr>
              <w:pStyle w:val="534"/>
              <w:spacing w:line="300" w:lineRule="exact"/>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pacing w:val="7"/>
                <w:sz w:val="21"/>
                <w:szCs w:val="21"/>
                <w:lang w:eastAsia="zh-CN"/>
                <w14:textFill>
                  <w14:solidFill>
                    <w14:schemeClr w14:val="tx1"/>
                  </w14:solidFill>
                </w14:textFill>
              </w:rPr>
              <w:t>多年静风频率（风速≤0.2m/s</w:t>
            </w:r>
            <w:r>
              <w:rPr>
                <w:rFonts w:hint="eastAsia" w:cs="Times New Roman"/>
                <w:color w:val="000000" w:themeColor="text1"/>
                <w:spacing w:val="2"/>
                <w:sz w:val="21"/>
                <w:szCs w:val="21"/>
                <w:lang w:eastAsia="zh-CN"/>
                <w14:textFill>
                  <w14:solidFill>
                    <w14:schemeClr w14:val="tx1"/>
                  </w14:solidFill>
                </w14:textFill>
              </w:rPr>
              <w:t>）（</w:t>
            </w:r>
            <w:r>
              <w:rPr>
                <w:rFonts w:hint="eastAsia" w:cs="Times New Roman"/>
                <w:color w:val="000000" w:themeColor="text1"/>
                <w:spacing w:val="7"/>
                <w:sz w:val="21"/>
                <w:szCs w:val="21"/>
                <w:lang w:eastAsia="zh-CN"/>
                <w14:textFill>
                  <w14:solidFill>
                    <w14:schemeClr w14:val="tx1"/>
                  </w14:solidFill>
                </w14:textFill>
              </w:rPr>
              <w:t>%）</w:t>
            </w:r>
          </w:p>
        </w:tc>
        <w:tc>
          <w:tcPr>
            <w:tcW w:w="1697" w:type="pct"/>
            <w:tcBorders>
              <w:top w:val="single" w:color="000000" w:sz="4" w:space="0"/>
              <w:left w:val="single" w:color="000000" w:sz="4" w:space="0"/>
              <w:bottom w:val="single" w:color="000000" w:sz="12" w:space="0"/>
              <w:right w:val="nil"/>
            </w:tcBorders>
            <w:vAlign w:val="center"/>
          </w:tcPr>
          <w:p w14:paraId="22D4F5A2">
            <w:pPr>
              <w:pStyle w:val="534"/>
              <w:spacing w:line="300" w:lineRule="exact"/>
              <w:jc w:val="center"/>
              <w:rPr>
                <w:rFonts w:hint="eastAsia" w:cs="Times New Roman"/>
                <w:color w:val="000000" w:themeColor="text1"/>
                <w:sz w:val="21"/>
                <w:szCs w:val="21"/>
                <w14:textFill>
                  <w14:solidFill>
                    <w14:schemeClr w14:val="tx1"/>
                  </w14:solidFill>
                </w14:textFill>
              </w:rPr>
            </w:pPr>
            <w:r>
              <w:rPr>
                <w:rFonts w:hint="eastAsia" w:cs="Times New Roman"/>
                <w:color w:val="000000" w:themeColor="text1"/>
                <w:spacing w:val="-2"/>
                <w:sz w:val="21"/>
                <w:szCs w:val="21"/>
                <w14:textFill>
                  <w14:solidFill>
                    <w14:schemeClr w14:val="tx1"/>
                  </w14:solidFill>
                </w14:textFill>
              </w:rPr>
              <w:t>10.5</w:t>
            </w:r>
          </w:p>
        </w:tc>
      </w:tr>
    </w:tbl>
    <w:p w14:paraId="52E1A9DE">
      <w:pPr>
        <w:pStyle w:val="7"/>
        <w:rPr>
          <w:rFonts w:hint="eastAsia"/>
          <w:color w:val="000000" w:themeColor="text1"/>
          <w14:textFill>
            <w14:solidFill>
              <w14:schemeClr w14:val="tx1"/>
            </w14:solidFill>
          </w14:textFill>
        </w:rPr>
      </w:pPr>
      <w:bookmarkStart w:id="366" w:name="_Toc18786"/>
      <w:r>
        <w:rPr>
          <w:rFonts w:hint="eastAsia"/>
          <w:color w:val="000000" w:themeColor="text1"/>
          <w14:textFill>
            <w14:solidFill>
              <w14:schemeClr w14:val="tx1"/>
            </w14:solidFill>
          </w14:textFill>
        </w:rPr>
        <w:t>环境保护目标调查</w:t>
      </w:r>
      <w:bookmarkEnd w:id="361"/>
      <w:bookmarkEnd w:id="366"/>
    </w:p>
    <w:p w14:paraId="363E809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评价范围内无自然保护区、风景名胜区、饮用水水源保护区、自然公园等环境敏感区、医院、学校等环境敏感目标。生态环境保护目标为</w:t>
      </w:r>
      <w:bookmarkStart w:id="367" w:name="_Hlk175244675"/>
      <w:r>
        <w:rPr>
          <w:rFonts w:hint="eastAsia"/>
          <w:color w:val="000000" w:themeColor="text1"/>
          <w14:textFill>
            <w14:solidFill>
              <w14:schemeClr w14:val="tx1"/>
            </w14:solidFill>
          </w14:textFill>
        </w:rPr>
        <w:t>永久基本农田、一般耕地、</w:t>
      </w:r>
      <w:bookmarkStart w:id="368" w:name="_Hlk175244881"/>
      <w:r>
        <w:rPr>
          <w:rFonts w:hint="eastAsia"/>
          <w:color w:val="000000" w:themeColor="text1"/>
          <w14:textFill>
            <w14:solidFill>
              <w14:schemeClr w14:val="tx1"/>
            </w14:solidFill>
          </w14:textFill>
        </w:rPr>
        <w:t>天然牧草地</w:t>
      </w:r>
      <w:bookmarkEnd w:id="368"/>
      <w:r>
        <w:rPr>
          <w:rFonts w:hint="eastAsia"/>
          <w:color w:val="000000" w:themeColor="text1"/>
          <w14:textFill>
            <w14:solidFill>
              <w14:schemeClr w14:val="tx1"/>
            </w14:solidFill>
          </w14:textFill>
        </w:rPr>
        <w:t>。</w:t>
      </w:r>
      <w:bookmarkEnd w:id="367"/>
      <w:r>
        <w:rPr>
          <w:rFonts w:hint="eastAsia"/>
          <w:color w:val="000000" w:themeColor="text1"/>
          <w14:textFill>
            <w14:solidFill>
              <w14:schemeClr w14:val="tx1"/>
            </w14:solidFill>
          </w14:textFill>
        </w:rPr>
        <w:t>评价范围内的永久基本农田和一般耕地种植农作物主要为玉米和棉花，目前均已采收完毕。大气环境保护目标为张家庄子村、张家庄子中村、张家庄子</w:t>
      </w:r>
      <w:r>
        <w:rPr>
          <w:rFonts w:hint="eastAsia"/>
          <w:color w:val="000000" w:themeColor="text1"/>
          <w:lang w:val="en-US"/>
          <w14:textFill>
            <w14:solidFill>
              <w14:schemeClr w14:val="tx1"/>
            </w14:solidFill>
          </w14:textFill>
        </w:rPr>
        <w:t>上村</w:t>
      </w:r>
      <w:r>
        <w:rPr>
          <w:rFonts w:hint="eastAsia"/>
          <w:color w:val="000000" w:themeColor="text1"/>
          <w14:textFill>
            <w14:solidFill>
              <w14:schemeClr w14:val="tx1"/>
            </w14:solidFill>
          </w14:textFill>
        </w:rPr>
        <w:t>的居民，约</w:t>
      </w:r>
      <w:r>
        <w:rPr>
          <w:rFonts w:hint="eastAsia"/>
          <w:color w:val="000000" w:themeColor="text1"/>
          <w:lang w:val="en-US"/>
          <w14:textFill>
            <w14:solidFill>
              <w14:schemeClr w14:val="tx1"/>
            </w14:solidFill>
          </w14:textFill>
        </w:rPr>
        <w:t>297</w:t>
      </w:r>
      <w:r>
        <w:rPr>
          <w:rFonts w:hint="eastAsia"/>
          <w:color w:val="000000" w:themeColor="text1"/>
          <w14:textFill>
            <w14:solidFill>
              <w14:schemeClr w14:val="tx1"/>
            </w14:solidFill>
          </w14:textFill>
        </w:rPr>
        <w:t>人。</w:t>
      </w:r>
    </w:p>
    <w:p w14:paraId="16D7092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各大气保护目标与项目区的相对位置关系详见前文表2.7-1和图2.7-1。</w:t>
      </w:r>
    </w:p>
    <w:p w14:paraId="5285F148">
      <w:pPr>
        <w:pStyle w:val="7"/>
        <w:rPr>
          <w:rFonts w:hint="eastAsia"/>
          <w:color w:val="000000" w:themeColor="text1"/>
          <w14:textFill>
            <w14:solidFill>
              <w14:schemeClr w14:val="tx1"/>
            </w14:solidFill>
          </w14:textFill>
        </w:rPr>
      </w:pPr>
      <w:bookmarkStart w:id="369" w:name="_Toc9412"/>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质量现状调查与评价</w:t>
      </w:r>
      <w:bookmarkEnd w:id="362"/>
      <w:bookmarkEnd w:id="363"/>
      <w:bookmarkEnd w:id="364"/>
      <w:bookmarkEnd w:id="369"/>
    </w:p>
    <w:bookmarkEnd w:id="365"/>
    <w:p w14:paraId="77863D21">
      <w:pPr>
        <w:pStyle w:val="8"/>
        <w:rPr>
          <w:rFonts w:hint="eastAsia"/>
          <w:color w:val="000000" w:themeColor="text1"/>
          <w14:textFill>
            <w14:solidFill>
              <w14:schemeClr w14:val="tx1"/>
            </w14:solidFill>
          </w14:textFill>
        </w:rPr>
      </w:pPr>
      <w:bookmarkStart w:id="370" w:name="_Toc474416133"/>
      <w:r>
        <w:rPr>
          <w:rFonts w:hint="eastAsia"/>
          <w:color w:val="000000" w:themeColor="text1"/>
          <w14:textFill>
            <w14:solidFill>
              <w14:schemeClr w14:val="tx1"/>
            </w14:solidFill>
          </w14:textFill>
        </w:rPr>
        <w:t>大气</w:t>
      </w:r>
      <w:r>
        <w:rPr>
          <w:color w:val="000000" w:themeColor="text1"/>
          <w14:textFill>
            <w14:solidFill>
              <w14:schemeClr w14:val="tx1"/>
            </w14:solidFill>
          </w14:textFill>
        </w:rPr>
        <w:t>环境质量现状调查与评价</w:t>
      </w:r>
      <w:bookmarkEnd w:id="370"/>
    </w:p>
    <w:p w14:paraId="73E4235B">
      <w:pPr>
        <w:pStyle w:val="120"/>
        <w:rPr>
          <w:rFonts w:hint="eastAsia"/>
          <w:color w:val="000000" w:themeColor="text1"/>
          <w:kern w:val="0"/>
          <w14:textFill>
            <w14:solidFill>
              <w14:schemeClr w14:val="tx1"/>
            </w14:solidFill>
          </w14:textFill>
        </w:rPr>
      </w:pPr>
      <w:r>
        <w:rPr>
          <w:rFonts w:hint="eastAsia"/>
          <w:color w:val="000000" w:themeColor="text1"/>
          <w14:textFill>
            <w14:solidFill>
              <w14:schemeClr w14:val="tx1"/>
            </w14:solidFill>
          </w14:textFill>
        </w:rPr>
        <w:t>（1）区域大气环境质量达标判定</w:t>
      </w:r>
    </w:p>
    <w:p w14:paraId="122D4A61">
      <w:pPr>
        <w:pStyle w:val="120"/>
        <w:jc w:val="left"/>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项目区位于吉木萨尔县，</w:t>
      </w:r>
      <w:r>
        <w:rPr>
          <w:rFonts w:hint="eastAsia"/>
          <w:color w:val="000000" w:themeColor="text1"/>
          <w14:textFill>
            <w14:solidFill>
              <w14:schemeClr w14:val="tx1"/>
            </w14:solidFill>
          </w14:textFill>
        </w:rPr>
        <w:t>根据《2024年新疆维吾尔自治区生态环境状况公报》可知，项目所在区域吉木萨尔县属于环境空气质量不达标区。</w:t>
      </w:r>
      <w:r>
        <w:rPr>
          <w:color w:val="000000" w:themeColor="text1"/>
          <w:lang w:val="en-US"/>
          <w14:textFill>
            <w14:solidFill>
              <w14:schemeClr w14:val="tx1"/>
            </w14:solidFill>
          </w14:textFill>
        </w:rPr>
        <w:t>评价范围内无环境空气质量监测网数据或公开发布的环境空气质量现状数据。本次评价选用环境空气质量模型技术支持服务系统</w:t>
      </w:r>
      <w:r>
        <w:rPr>
          <w:color w:val="000000" w:themeColor="text1"/>
          <w:spacing w:val="-12"/>
          <w:lang w:val="en-US"/>
          <w14:textFill>
            <w14:solidFill>
              <w14:schemeClr w14:val="tx1"/>
            </w14:solidFill>
          </w14:textFill>
        </w:rPr>
        <w:t>（http://data.lem.org.cn/eamds/apply/tostepone.html）</w:t>
      </w:r>
      <w:r>
        <w:rPr>
          <w:color w:val="000000" w:themeColor="text1"/>
          <w:lang w:val="en-US"/>
          <w14:textFill>
            <w14:solidFill>
              <w14:schemeClr w14:val="tx1"/>
            </w14:solidFill>
          </w14:textFill>
        </w:rPr>
        <w:t>发布的2024年昌吉回族自治州环境空气质量数据，其数据来源于生态环境部环境工程评估中心（国家环境保护环境影响评价数值模拟重点实验室）实时发布网站</w:t>
      </w:r>
      <w:r>
        <w:rPr>
          <w:rFonts w:hint="eastAsia" w:cs="宋体"/>
          <w:color w:val="000000" w:themeColor="text1"/>
          <w:kern w:val="0"/>
          <w14:textFill>
            <w14:solidFill>
              <w14:schemeClr w14:val="tx1"/>
            </w14:solidFill>
          </w14:textFill>
        </w:rPr>
        <w:t>，具体数据见表4.3-1。</w:t>
      </w:r>
    </w:p>
    <w:p w14:paraId="6E8B298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根据表4.3-1可知，六项基本污染物中SO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、CO、O</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的现状浓度均</w:t>
      </w:r>
      <w:r>
        <w:rPr>
          <w:rFonts w:hint="eastAsia"/>
          <w:color w:val="000000" w:themeColor="text1"/>
          <w:lang w:val="en-US"/>
          <w14:textFill>
            <w14:solidFill>
              <w14:schemeClr w14:val="tx1"/>
            </w14:solidFill>
          </w14:textFill>
        </w:rPr>
        <w:t>满足</w:t>
      </w:r>
      <w:r>
        <w:rPr>
          <w:color w:val="000000" w:themeColor="text1"/>
          <w:lang w:val="en-US"/>
          <w14:textFill>
            <w14:solidFill>
              <w14:schemeClr w14:val="tx1"/>
            </w14:solidFill>
          </w14:textFill>
        </w:rPr>
        <w:t>《环境空气质量标准》（GB3095-2026）过渡阶段二级浓度限值要求</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的现状浓度超标，属于环境空气质量不达标区，超标原因主要与当地风沙季有一定的原因。</w:t>
      </w:r>
    </w:p>
    <w:p w14:paraId="6BC41187">
      <w:pPr>
        <w:pStyle w:val="112"/>
        <w:rPr>
          <w:rFonts w:hint="eastAsia"/>
          <w:color w:val="000000" w:themeColor="text1"/>
          <w14:textFill>
            <w14:solidFill>
              <w14:schemeClr w14:val="tx1"/>
            </w14:solidFill>
          </w14:textFill>
        </w:rPr>
      </w:pPr>
    </w:p>
    <w:p w14:paraId="32C2BC55">
      <w:pPr>
        <w:pStyle w:val="112"/>
        <w:rPr>
          <w:rFonts w:hint="eastAsia"/>
          <w:color w:val="000000" w:themeColor="text1"/>
          <w14:textFill>
            <w14:solidFill>
              <w14:schemeClr w14:val="tx1"/>
            </w14:solidFill>
          </w14:textFill>
        </w:rPr>
      </w:pPr>
    </w:p>
    <w:p w14:paraId="5BE155F6">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表4.3-1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大气环境质量现状监测及评价结果一览表</w:t>
      </w:r>
    </w:p>
    <w:tbl>
      <w:tblPr>
        <w:tblStyle w:val="51"/>
        <w:tblW w:w="894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352"/>
        <w:gridCol w:w="1269"/>
        <w:gridCol w:w="1269"/>
        <w:gridCol w:w="889"/>
        <w:gridCol w:w="1066"/>
      </w:tblGrid>
      <w:tr w14:paraId="4B5A4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Align w:val="center"/>
          </w:tcPr>
          <w:p w14:paraId="6EABAA30">
            <w:pPr>
              <w:pStyle w:val="280"/>
              <w:rPr>
                <w:rFonts w:hint="eastAsia"/>
                <w:color w:val="000000" w:themeColor="text1"/>
                <w14:textFill>
                  <w14:solidFill>
                    <w14:schemeClr w14:val="tx1"/>
                  </w14:solidFill>
                </w14:textFill>
              </w:rPr>
            </w:pPr>
            <w:bookmarkStart w:id="371" w:name="_Hlk78400270"/>
            <w:r>
              <w:rPr>
                <w:rFonts w:hint="eastAsia"/>
                <w:color w:val="000000" w:themeColor="text1"/>
                <w14:textFill>
                  <w14:solidFill>
                    <w14:schemeClr w14:val="tx1"/>
                  </w14:solidFill>
                </w14:textFill>
              </w:rPr>
              <w:t>监测</w:t>
            </w:r>
          </w:p>
          <w:p w14:paraId="4AACDB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因子</w:t>
            </w:r>
          </w:p>
        </w:tc>
        <w:tc>
          <w:tcPr>
            <w:tcW w:w="3352" w:type="dxa"/>
            <w:vAlign w:val="center"/>
          </w:tcPr>
          <w:p w14:paraId="647C75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评价指标</w:t>
            </w:r>
          </w:p>
        </w:tc>
        <w:tc>
          <w:tcPr>
            <w:tcW w:w="1269" w:type="dxa"/>
            <w:vAlign w:val="center"/>
          </w:tcPr>
          <w:p w14:paraId="15B08D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现状浓度</w:t>
            </w:r>
          </w:p>
          <w:p w14:paraId="311FA1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269" w:type="dxa"/>
            <w:vAlign w:val="center"/>
          </w:tcPr>
          <w:p w14:paraId="257C240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p>
          <w:p w14:paraId="267EC93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889" w:type="dxa"/>
            <w:vAlign w:val="center"/>
          </w:tcPr>
          <w:p w14:paraId="68FAA8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占标率</w:t>
            </w:r>
          </w:p>
          <w:p w14:paraId="731025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66" w:type="dxa"/>
            <w:vAlign w:val="center"/>
          </w:tcPr>
          <w:p w14:paraId="4D7D2A8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p w14:paraId="55D444A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情况</w:t>
            </w:r>
          </w:p>
        </w:tc>
      </w:tr>
      <w:tr w14:paraId="2CF1B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Align w:val="center"/>
          </w:tcPr>
          <w:p w14:paraId="6166B6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2</w:t>
            </w:r>
          </w:p>
        </w:tc>
        <w:tc>
          <w:tcPr>
            <w:tcW w:w="3352" w:type="dxa"/>
            <w:vAlign w:val="center"/>
          </w:tcPr>
          <w:p w14:paraId="3C73D7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年平均值</w:t>
            </w:r>
          </w:p>
        </w:tc>
        <w:tc>
          <w:tcPr>
            <w:tcW w:w="1269" w:type="dxa"/>
            <w:vAlign w:val="center"/>
          </w:tcPr>
          <w:p w14:paraId="432E10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269" w:type="dxa"/>
            <w:vAlign w:val="center"/>
          </w:tcPr>
          <w:p w14:paraId="5942CEA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889" w:type="dxa"/>
            <w:vAlign w:val="center"/>
          </w:tcPr>
          <w:p w14:paraId="72FEEF0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11.67</w:t>
            </w:r>
          </w:p>
        </w:tc>
        <w:tc>
          <w:tcPr>
            <w:tcW w:w="1066" w:type="dxa"/>
            <w:vAlign w:val="center"/>
          </w:tcPr>
          <w:p w14:paraId="3923C9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950E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Align w:val="center"/>
          </w:tcPr>
          <w:p w14:paraId="4FA6950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p>
        </w:tc>
        <w:tc>
          <w:tcPr>
            <w:tcW w:w="3352" w:type="dxa"/>
            <w:vAlign w:val="center"/>
          </w:tcPr>
          <w:p w14:paraId="44AFF10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年平均值</w:t>
            </w:r>
          </w:p>
        </w:tc>
        <w:tc>
          <w:tcPr>
            <w:tcW w:w="1269" w:type="dxa"/>
            <w:vAlign w:val="center"/>
          </w:tcPr>
          <w:p w14:paraId="2CBF72D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1269" w:type="dxa"/>
            <w:vAlign w:val="center"/>
          </w:tcPr>
          <w:p w14:paraId="47A46F6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889" w:type="dxa"/>
            <w:vAlign w:val="center"/>
          </w:tcPr>
          <w:p w14:paraId="0A52941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75.00</w:t>
            </w:r>
          </w:p>
        </w:tc>
        <w:tc>
          <w:tcPr>
            <w:tcW w:w="1066" w:type="dxa"/>
            <w:vAlign w:val="center"/>
          </w:tcPr>
          <w:p w14:paraId="1D080FB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AFBC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Align w:val="center"/>
          </w:tcPr>
          <w:p w14:paraId="0EC5B2C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10</w:t>
            </w:r>
          </w:p>
        </w:tc>
        <w:tc>
          <w:tcPr>
            <w:tcW w:w="3352" w:type="dxa"/>
            <w:vAlign w:val="center"/>
          </w:tcPr>
          <w:p w14:paraId="5168BB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年平均值</w:t>
            </w:r>
          </w:p>
        </w:tc>
        <w:tc>
          <w:tcPr>
            <w:tcW w:w="1269" w:type="dxa"/>
            <w:vAlign w:val="center"/>
          </w:tcPr>
          <w:p w14:paraId="39E8994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269" w:type="dxa"/>
            <w:vAlign w:val="center"/>
          </w:tcPr>
          <w:p w14:paraId="2B4E19D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889" w:type="dxa"/>
            <w:vAlign w:val="center"/>
          </w:tcPr>
          <w:p w14:paraId="6E42BC3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116.67</w:t>
            </w:r>
          </w:p>
        </w:tc>
        <w:tc>
          <w:tcPr>
            <w:tcW w:w="1066" w:type="dxa"/>
            <w:vAlign w:val="center"/>
          </w:tcPr>
          <w:p w14:paraId="113AE1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超标</w:t>
            </w:r>
          </w:p>
        </w:tc>
      </w:tr>
      <w:tr w14:paraId="2BDF75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Align w:val="center"/>
          </w:tcPr>
          <w:p w14:paraId="4730E1F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p>
        </w:tc>
        <w:tc>
          <w:tcPr>
            <w:tcW w:w="3352" w:type="dxa"/>
            <w:vAlign w:val="center"/>
          </w:tcPr>
          <w:p w14:paraId="395A231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年平均值</w:t>
            </w:r>
          </w:p>
        </w:tc>
        <w:tc>
          <w:tcPr>
            <w:tcW w:w="1269" w:type="dxa"/>
            <w:vAlign w:val="center"/>
          </w:tcPr>
          <w:p w14:paraId="5200F91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1269" w:type="dxa"/>
            <w:vAlign w:val="center"/>
          </w:tcPr>
          <w:p w14:paraId="0A6058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889" w:type="dxa"/>
            <w:vAlign w:val="center"/>
          </w:tcPr>
          <w:p w14:paraId="2D2821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133.33</w:t>
            </w:r>
          </w:p>
        </w:tc>
        <w:tc>
          <w:tcPr>
            <w:tcW w:w="1066" w:type="dxa"/>
            <w:vAlign w:val="center"/>
          </w:tcPr>
          <w:p w14:paraId="77A9103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超标</w:t>
            </w:r>
          </w:p>
        </w:tc>
      </w:tr>
      <w:tr w14:paraId="08963D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Align w:val="center"/>
          </w:tcPr>
          <w:p w14:paraId="36B359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CO</w:t>
            </w:r>
          </w:p>
        </w:tc>
        <w:tc>
          <w:tcPr>
            <w:tcW w:w="3352" w:type="dxa"/>
            <w:vAlign w:val="center"/>
          </w:tcPr>
          <w:p w14:paraId="198DA34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24小时平均第95百分位数</w:t>
            </w:r>
          </w:p>
        </w:tc>
        <w:tc>
          <w:tcPr>
            <w:tcW w:w="1269" w:type="dxa"/>
            <w:vAlign w:val="center"/>
          </w:tcPr>
          <w:p w14:paraId="69BDAD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269" w:type="dxa"/>
            <w:vAlign w:val="center"/>
          </w:tcPr>
          <w:p w14:paraId="2CC4C8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889" w:type="dxa"/>
            <w:vAlign w:val="center"/>
          </w:tcPr>
          <w:p w14:paraId="143FBFE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1066" w:type="dxa"/>
            <w:vAlign w:val="center"/>
          </w:tcPr>
          <w:p w14:paraId="6CB2208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AD77E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Align w:val="center"/>
          </w:tcPr>
          <w:p w14:paraId="06CBA17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O</w:t>
            </w:r>
            <w:r>
              <w:rPr>
                <w:rFonts w:hint="eastAsia"/>
                <w:color w:val="000000" w:themeColor="text1"/>
                <w:vertAlign w:val="subscript"/>
                <w14:textFill>
                  <w14:solidFill>
                    <w14:schemeClr w14:val="tx1"/>
                  </w14:solidFill>
                </w14:textFill>
              </w:rPr>
              <w:t>3</w:t>
            </w:r>
          </w:p>
        </w:tc>
        <w:tc>
          <w:tcPr>
            <w:tcW w:w="3352" w:type="dxa"/>
            <w:vAlign w:val="center"/>
          </w:tcPr>
          <w:p w14:paraId="4CFE9E0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最大8小时平均第90百分位数</w:t>
            </w:r>
          </w:p>
        </w:tc>
        <w:tc>
          <w:tcPr>
            <w:tcW w:w="1269" w:type="dxa"/>
            <w:vAlign w:val="center"/>
          </w:tcPr>
          <w:p w14:paraId="5F019B8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134</w:t>
            </w:r>
          </w:p>
        </w:tc>
        <w:tc>
          <w:tcPr>
            <w:tcW w:w="1269" w:type="dxa"/>
            <w:vAlign w:val="center"/>
          </w:tcPr>
          <w:p w14:paraId="5BB794B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889" w:type="dxa"/>
            <w:vAlign w:val="center"/>
          </w:tcPr>
          <w:p w14:paraId="2CD0AC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83.75</w:t>
            </w:r>
          </w:p>
        </w:tc>
        <w:tc>
          <w:tcPr>
            <w:tcW w:w="1066" w:type="dxa"/>
            <w:vAlign w:val="center"/>
          </w:tcPr>
          <w:p w14:paraId="5C711F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bookmarkEnd w:id="371"/>
    </w:tbl>
    <w:p w14:paraId="3817A0E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（2）特征污染因子环境质量现状评价</w:t>
      </w:r>
    </w:p>
    <w:p w14:paraId="7D85C11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①监测因子及监测点位</w:t>
      </w:r>
    </w:p>
    <w:p w14:paraId="0F4CBDF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监测因子：非甲烷总烃、硫化氢。</w:t>
      </w:r>
    </w:p>
    <w:p w14:paraId="0E213C8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监测点位：本次在评价范围内布设2个大气环境监测点，监测点坐标见表4.3-2和图4.3-1。</w:t>
      </w:r>
    </w:p>
    <w:p w14:paraId="2C1AA6B6">
      <w:pPr>
        <w:spacing w:line="500" w:lineRule="exact"/>
        <w:ind w:firstLine="480"/>
        <w:jc w:val="center"/>
        <w:rPr>
          <w:rFonts w:hint="eastAsia" w:ascii="黑体" w:hAnsi="黑体" w:eastAsia="黑体"/>
          <w:bCs/>
          <w:color w:val="000000" w:themeColor="text1"/>
          <w:szCs w:val="21"/>
          <w14:textFill>
            <w14:solidFill>
              <w14:schemeClr w14:val="tx1"/>
            </w14:solidFill>
          </w14:textFill>
        </w:rPr>
      </w:pPr>
      <w:r>
        <w:rPr>
          <w:rFonts w:hint="eastAsia" w:ascii="黑体" w:hAnsi="黑体" w:eastAsia="黑体"/>
          <w:bCs/>
          <w:color w:val="000000" w:themeColor="text1"/>
          <w:szCs w:val="21"/>
          <w14:textFill>
            <w14:solidFill>
              <w14:schemeClr w14:val="tx1"/>
            </w14:solidFill>
          </w14:textFill>
        </w:rPr>
        <w:t>表</w:t>
      </w:r>
      <w:r>
        <w:rPr>
          <w:rFonts w:ascii="黑体" w:hAnsi="黑体" w:eastAsia="黑体"/>
          <w:bCs/>
          <w:color w:val="000000" w:themeColor="text1"/>
          <w:szCs w:val="21"/>
          <w14:textFill>
            <w14:solidFill>
              <w14:schemeClr w14:val="tx1"/>
            </w14:solidFill>
          </w14:textFill>
        </w:rPr>
        <w:t xml:space="preserve">4.3-2  </w:t>
      </w:r>
      <w:r>
        <w:rPr>
          <w:rFonts w:hint="eastAsia" w:ascii="黑体" w:hAnsi="黑体" w:eastAsia="黑体"/>
          <w:bCs/>
          <w:color w:val="000000" w:themeColor="text1"/>
          <w:szCs w:val="21"/>
          <w14:textFill>
            <w14:solidFill>
              <w14:schemeClr w14:val="tx1"/>
            </w14:solidFill>
          </w14:textFill>
        </w:rPr>
        <w:t>大气监测点坐标一览表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3872"/>
        <w:gridCol w:w="2083"/>
        <w:gridCol w:w="2028"/>
      </w:tblGrid>
      <w:tr w14:paraId="076A53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8" w:type="pct"/>
            <w:vMerge w:val="restart"/>
            <w:vAlign w:val="center"/>
          </w:tcPr>
          <w:p w14:paraId="157A4E0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2217" w:type="pct"/>
            <w:vMerge w:val="restart"/>
            <w:vAlign w:val="center"/>
          </w:tcPr>
          <w:p w14:paraId="101098C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监测点描述</w:t>
            </w:r>
          </w:p>
        </w:tc>
        <w:tc>
          <w:tcPr>
            <w:tcW w:w="2354" w:type="pct"/>
            <w:gridSpan w:val="2"/>
            <w:vAlign w:val="center"/>
          </w:tcPr>
          <w:p w14:paraId="67C18DD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井位坐标</w:t>
            </w:r>
          </w:p>
        </w:tc>
      </w:tr>
      <w:tr w14:paraId="17673D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pct"/>
            <w:vMerge w:val="continue"/>
            <w:vAlign w:val="center"/>
          </w:tcPr>
          <w:p w14:paraId="14FF4387">
            <w:pPr>
              <w:pStyle w:val="280"/>
              <w:rPr>
                <w:rFonts w:hint="eastAsia"/>
                <w:color w:val="000000" w:themeColor="text1"/>
                <w14:textFill>
                  <w14:solidFill>
                    <w14:schemeClr w14:val="tx1"/>
                  </w14:solidFill>
                </w14:textFill>
              </w:rPr>
            </w:pPr>
          </w:p>
        </w:tc>
        <w:tc>
          <w:tcPr>
            <w:tcW w:w="2217" w:type="pct"/>
            <w:vMerge w:val="continue"/>
            <w:vAlign w:val="center"/>
          </w:tcPr>
          <w:p w14:paraId="1FCE56AE">
            <w:pPr>
              <w:pStyle w:val="280"/>
              <w:rPr>
                <w:rFonts w:hint="eastAsia"/>
                <w:color w:val="000000" w:themeColor="text1"/>
                <w14:textFill>
                  <w14:solidFill>
                    <w14:schemeClr w14:val="tx1"/>
                  </w14:solidFill>
                </w14:textFill>
              </w:rPr>
            </w:pPr>
          </w:p>
        </w:tc>
        <w:tc>
          <w:tcPr>
            <w:tcW w:w="1193" w:type="pct"/>
            <w:vAlign w:val="center"/>
          </w:tcPr>
          <w:p w14:paraId="49E0135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p>
        </w:tc>
        <w:tc>
          <w:tcPr>
            <w:tcW w:w="1160" w:type="pct"/>
            <w:vAlign w:val="center"/>
          </w:tcPr>
          <w:p w14:paraId="34540C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w:t>
            </w:r>
          </w:p>
        </w:tc>
      </w:tr>
      <w:tr w14:paraId="7909AE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8" w:type="pct"/>
            <w:vAlign w:val="center"/>
          </w:tcPr>
          <w:p w14:paraId="6EB43AC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1</w:t>
            </w:r>
          </w:p>
        </w:tc>
        <w:tc>
          <w:tcPr>
            <w:tcW w:w="2217" w:type="pct"/>
            <w:vAlign w:val="center"/>
          </w:tcPr>
          <w:p w14:paraId="133FD6B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JD6089井主导风向下风向约1000m处</w:t>
            </w:r>
          </w:p>
        </w:tc>
        <w:tc>
          <w:tcPr>
            <w:tcW w:w="2135" w:type="dxa"/>
            <w:vAlign w:val="center"/>
          </w:tcPr>
          <w:p w14:paraId="131CC5A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44°6'32.640"</w:t>
            </w:r>
          </w:p>
        </w:tc>
        <w:tc>
          <w:tcPr>
            <w:tcW w:w="2078" w:type="dxa"/>
            <w:vAlign w:val="center"/>
          </w:tcPr>
          <w:p w14:paraId="51D87B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89°16'48.110"</w:t>
            </w:r>
          </w:p>
        </w:tc>
      </w:tr>
      <w:tr w14:paraId="0B762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8" w:type="pct"/>
            <w:vAlign w:val="center"/>
          </w:tcPr>
          <w:p w14:paraId="037E77B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2</w:t>
            </w:r>
          </w:p>
        </w:tc>
        <w:tc>
          <w:tcPr>
            <w:tcW w:w="2217" w:type="pct"/>
          </w:tcPr>
          <w:p w14:paraId="25C283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JD6186井主导风向下风向约1000m处</w:t>
            </w:r>
          </w:p>
        </w:tc>
        <w:tc>
          <w:tcPr>
            <w:tcW w:w="2135" w:type="dxa"/>
            <w:vAlign w:val="center"/>
          </w:tcPr>
          <w:p w14:paraId="322EAF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44°5'48.530"</w:t>
            </w:r>
          </w:p>
        </w:tc>
        <w:tc>
          <w:tcPr>
            <w:tcW w:w="2078" w:type="dxa"/>
            <w:vAlign w:val="center"/>
          </w:tcPr>
          <w:p w14:paraId="440193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89°16'14.220"</w:t>
            </w:r>
          </w:p>
        </w:tc>
      </w:tr>
    </w:tbl>
    <w:p w14:paraId="4E133D0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②监测频次</w:t>
      </w:r>
    </w:p>
    <w:p w14:paraId="5318634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非甲烷总烃和硫化氢均连续监测7天，其中非甲烷总烃每天测4次，每次取4次样；硫化氢每天测4次。</w:t>
      </w:r>
    </w:p>
    <w:p w14:paraId="69A53D5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③监测时间及监测单位</w:t>
      </w:r>
    </w:p>
    <w:p w14:paraId="032EDBF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监测时间：2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6年02月06日～02月12日。</w:t>
      </w:r>
    </w:p>
    <w:p w14:paraId="37B976C3">
      <w:pPr>
        <w:pStyle w:val="12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监测单位：新疆壹诺环保科技有限公司。</w:t>
      </w:r>
    </w:p>
    <w:p w14:paraId="610DDD2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④评价标准</w:t>
      </w:r>
    </w:p>
    <w:p w14:paraId="6BE8EDA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NMHC参照《〈大气污染物综合排放标准〉详解》中的推荐值2.0mg/m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执行，H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S执行《环境影响评价技术导则大气环境》（</w:t>
      </w:r>
      <w:r>
        <w:rPr>
          <w:color w:val="000000" w:themeColor="text1"/>
          <w14:textFill>
            <w14:solidFill>
              <w14:schemeClr w14:val="tx1"/>
            </w14:solidFill>
          </w14:textFill>
        </w:rPr>
        <w:t>HJ2.2-2018）附录D中</w:t>
      </w:r>
      <w:r>
        <w:rPr>
          <w:rFonts w:hint="eastAsia"/>
          <w:color w:val="000000" w:themeColor="text1"/>
          <w14:textFill>
            <w14:solidFill>
              <w14:schemeClr w14:val="tx1"/>
            </w14:solidFill>
          </w14:textFill>
        </w:rPr>
        <w:t>推荐值。</w:t>
      </w:r>
    </w:p>
    <w:p w14:paraId="61F17E53">
      <w:pPr>
        <w:pStyle w:val="120"/>
        <w:rPr>
          <w:rFonts w:hint="eastAsia"/>
          <w:color w:val="000000" w:themeColor="text1"/>
          <w:kern w:val="0"/>
          <w14:textFill>
            <w14:solidFill>
              <w14:schemeClr w14:val="tx1"/>
            </w14:solidFill>
          </w14:textFill>
        </w:rPr>
      </w:pPr>
      <w:r>
        <w:rPr>
          <w:rFonts w:hint="eastAsia"/>
          <w:color w:val="000000" w:themeColor="text1"/>
          <w14:textFill>
            <w14:solidFill>
              <w14:schemeClr w14:val="tx1"/>
            </w14:solidFill>
          </w14:textFill>
        </w:rPr>
        <w:t>⑤评价方法</w:t>
      </w:r>
    </w:p>
    <w:p w14:paraId="0888169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采用最大占标率法来评价大气污染物在评价区域内的环境质量现状，计算公式如下：</w:t>
      </w:r>
    </w:p>
    <w:p w14:paraId="67D74990">
      <w:pPr>
        <w:pStyle w:val="112"/>
        <w:spacing w:line="240" w:lineRule="auto"/>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972820" cy="446405"/>
            <wp:effectExtent l="0" t="0" r="0" b="0"/>
            <wp:docPr id="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972820" cy="446405"/>
                    </a:xfrm>
                    <a:prstGeom prst="rect">
                      <a:avLst/>
                    </a:prstGeom>
                    <a:noFill/>
                    <a:ln>
                      <a:noFill/>
                    </a:ln>
                  </pic:spPr>
                </pic:pic>
              </a:graphicData>
            </a:graphic>
          </wp:inline>
        </w:drawing>
      </w:r>
    </w:p>
    <w:p w14:paraId="492E07A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rFonts w:hint="eastAsia"/>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—第i种污染物的最大地面质量浓度占标率，%；</w:t>
      </w:r>
    </w:p>
    <w:p w14:paraId="05E98D6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rFonts w:hint="eastAsia"/>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w:t>
      </w:r>
      <w:bookmarkStart w:id="372" w:name="_Hlk511383737"/>
      <w:r>
        <w:rPr>
          <w:rFonts w:hint="eastAsia"/>
          <w:color w:val="000000" w:themeColor="text1"/>
          <w14:textFill>
            <w14:solidFill>
              <w14:schemeClr w14:val="tx1"/>
            </w14:solidFill>
          </w14:textFill>
        </w:rPr>
        <w:t>污染物i的实测浓度，μg/m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6BE2978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rFonts w:hint="eastAsia"/>
          <w:color w:val="000000" w:themeColor="text1"/>
          <w:vertAlign w:val="subscript"/>
          <w14:textFill>
            <w14:solidFill>
              <w14:schemeClr w14:val="tx1"/>
            </w14:solidFill>
          </w14:textFill>
        </w:rPr>
        <w:t>oi</w:t>
      </w:r>
      <w:r>
        <w:rPr>
          <w:rFonts w:hint="eastAsia"/>
          <w:color w:val="000000" w:themeColor="text1"/>
          <w14:textFill>
            <w14:solidFill>
              <w14:schemeClr w14:val="tx1"/>
            </w14:solidFill>
          </w14:textFill>
        </w:rPr>
        <w:t>—污染物i的环境空气标准浓度，μg/m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6EDC4AE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⑥评价结果</w:t>
      </w:r>
    </w:p>
    <w:p w14:paraId="143305C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监测数据及评价结果详见表</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p>
    <w:p w14:paraId="0472104C">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大气环境质量现状监测及评价结果一览表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276"/>
        <w:gridCol w:w="1276"/>
        <w:gridCol w:w="1417"/>
        <w:gridCol w:w="1418"/>
        <w:gridCol w:w="1134"/>
        <w:gridCol w:w="988"/>
      </w:tblGrid>
      <w:tr w14:paraId="007518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Align w:val="center"/>
          </w:tcPr>
          <w:p w14:paraId="26E7D5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监测点位</w:t>
            </w:r>
          </w:p>
        </w:tc>
        <w:tc>
          <w:tcPr>
            <w:tcW w:w="1276" w:type="dxa"/>
            <w:vAlign w:val="center"/>
          </w:tcPr>
          <w:p w14:paraId="26E447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监测因子</w:t>
            </w:r>
          </w:p>
        </w:tc>
        <w:tc>
          <w:tcPr>
            <w:tcW w:w="1276" w:type="dxa"/>
            <w:vAlign w:val="center"/>
          </w:tcPr>
          <w:p w14:paraId="1EA48B8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评价指标</w:t>
            </w:r>
          </w:p>
        </w:tc>
        <w:tc>
          <w:tcPr>
            <w:tcW w:w="1417" w:type="dxa"/>
            <w:vAlign w:val="center"/>
          </w:tcPr>
          <w:p w14:paraId="29886E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p>
          <w:p w14:paraId="71F711B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418" w:type="dxa"/>
            <w:vAlign w:val="center"/>
          </w:tcPr>
          <w:p w14:paraId="2E700FE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现状浓度</w:t>
            </w:r>
          </w:p>
          <w:p w14:paraId="1C1F943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134" w:type="dxa"/>
            <w:vAlign w:val="center"/>
          </w:tcPr>
          <w:p w14:paraId="028701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最大占标率（%）</w:t>
            </w:r>
          </w:p>
        </w:tc>
        <w:tc>
          <w:tcPr>
            <w:tcW w:w="988" w:type="dxa"/>
            <w:vAlign w:val="center"/>
          </w:tcPr>
          <w:p w14:paraId="1055BDE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p w14:paraId="44620C0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情况</w:t>
            </w:r>
          </w:p>
        </w:tc>
      </w:tr>
      <w:tr w14:paraId="7412E9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vAlign w:val="center"/>
          </w:tcPr>
          <w:p w14:paraId="2743694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G1</w:t>
            </w:r>
          </w:p>
        </w:tc>
        <w:tc>
          <w:tcPr>
            <w:tcW w:w="1276" w:type="dxa"/>
            <w:vAlign w:val="center"/>
          </w:tcPr>
          <w:p w14:paraId="602A6F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1276" w:type="dxa"/>
            <w:vAlign w:val="center"/>
          </w:tcPr>
          <w:p w14:paraId="56F177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087415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1418" w:type="dxa"/>
            <w:vAlign w:val="center"/>
          </w:tcPr>
          <w:p w14:paraId="686D0B3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940～1240</w:t>
            </w:r>
          </w:p>
        </w:tc>
        <w:tc>
          <w:tcPr>
            <w:tcW w:w="1134" w:type="dxa"/>
            <w:vAlign w:val="center"/>
          </w:tcPr>
          <w:p w14:paraId="3A53E9C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62</w:t>
            </w:r>
          </w:p>
        </w:tc>
        <w:tc>
          <w:tcPr>
            <w:tcW w:w="988" w:type="dxa"/>
            <w:vAlign w:val="center"/>
          </w:tcPr>
          <w:p w14:paraId="403CB5B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9968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vAlign w:val="center"/>
          </w:tcPr>
          <w:p w14:paraId="149373D8">
            <w:pPr>
              <w:pStyle w:val="280"/>
              <w:rPr>
                <w:rFonts w:hint="eastAsia"/>
                <w:color w:val="000000" w:themeColor="text1"/>
                <w14:textFill>
                  <w14:solidFill>
                    <w14:schemeClr w14:val="tx1"/>
                  </w14:solidFill>
                </w14:textFill>
              </w:rPr>
            </w:pPr>
          </w:p>
        </w:tc>
        <w:tc>
          <w:tcPr>
            <w:tcW w:w="1276" w:type="dxa"/>
            <w:vAlign w:val="center"/>
          </w:tcPr>
          <w:p w14:paraId="77CFD17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1276" w:type="dxa"/>
            <w:vAlign w:val="center"/>
          </w:tcPr>
          <w:p w14:paraId="7AA31A8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5E3D2FF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418" w:type="dxa"/>
            <w:vAlign w:val="center"/>
          </w:tcPr>
          <w:p w14:paraId="6C65F3D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134" w:type="dxa"/>
            <w:vAlign w:val="center"/>
          </w:tcPr>
          <w:p w14:paraId="1E495D0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988" w:type="dxa"/>
            <w:vAlign w:val="center"/>
          </w:tcPr>
          <w:p w14:paraId="7F826C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1783B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vAlign w:val="center"/>
          </w:tcPr>
          <w:p w14:paraId="2ECA4C1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2</w:t>
            </w:r>
          </w:p>
        </w:tc>
        <w:tc>
          <w:tcPr>
            <w:tcW w:w="1276" w:type="dxa"/>
            <w:vAlign w:val="center"/>
          </w:tcPr>
          <w:p w14:paraId="21D4C43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1276" w:type="dxa"/>
            <w:vAlign w:val="center"/>
          </w:tcPr>
          <w:p w14:paraId="7A77AFD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5CA0D6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1418" w:type="dxa"/>
            <w:vAlign w:val="center"/>
          </w:tcPr>
          <w:p w14:paraId="2146EE6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900～1280</w:t>
            </w:r>
          </w:p>
        </w:tc>
        <w:tc>
          <w:tcPr>
            <w:tcW w:w="1134" w:type="dxa"/>
            <w:vAlign w:val="center"/>
          </w:tcPr>
          <w:p w14:paraId="393480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64</w:t>
            </w:r>
          </w:p>
        </w:tc>
        <w:tc>
          <w:tcPr>
            <w:tcW w:w="988" w:type="dxa"/>
            <w:vAlign w:val="center"/>
          </w:tcPr>
          <w:p w14:paraId="2E3424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71F60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vAlign w:val="center"/>
          </w:tcPr>
          <w:p w14:paraId="1C844E2D">
            <w:pPr>
              <w:pStyle w:val="280"/>
              <w:rPr>
                <w:rFonts w:hint="eastAsia"/>
                <w:color w:val="000000" w:themeColor="text1"/>
                <w14:textFill>
                  <w14:solidFill>
                    <w14:schemeClr w14:val="tx1"/>
                  </w14:solidFill>
                </w14:textFill>
              </w:rPr>
            </w:pPr>
          </w:p>
        </w:tc>
        <w:tc>
          <w:tcPr>
            <w:tcW w:w="1276" w:type="dxa"/>
            <w:vAlign w:val="center"/>
          </w:tcPr>
          <w:p w14:paraId="1AB7D9B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1276" w:type="dxa"/>
            <w:vAlign w:val="center"/>
          </w:tcPr>
          <w:p w14:paraId="1A28BC6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27D1146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418" w:type="dxa"/>
            <w:vAlign w:val="center"/>
          </w:tcPr>
          <w:p w14:paraId="1B08DB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134" w:type="dxa"/>
            <w:vAlign w:val="center"/>
          </w:tcPr>
          <w:p w14:paraId="3DCD682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988" w:type="dxa"/>
            <w:vAlign w:val="center"/>
          </w:tcPr>
          <w:p w14:paraId="0C215DF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09D01F5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可知，</w:t>
      </w:r>
      <w:r>
        <w:rPr>
          <w:color w:val="000000" w:themeColor="text1"/>
          <w14:textFill>
            <w14:solidFill>
              <w14:schemeClr w14:val="tx1"/>
            </w14:solidFill>
          </w14:textFill>
        </w:rPr>
        <w:t>NMHC</w:t>
      </w:r>
      <w:r>
        <w:rPr>
          <w:rFonts w:hint="eastAsia"/>
          <w:color w:val="000000" w:themeColor="text1"/>
          <w14:textFill>
            <w14:solidFill>
              <w14:schemeClr w14:val="tx1"/>
            </w14:solidFill>
          </w14:textFill>
        </w:rPr>
        <w:t>监测浓度</w:t>
      </w:r>
      <w:r>
        <w:rPr>
          <w:color w:val="000000" w:themeColor="text1"/>
          <w14:textFill>
            <w14:solidFill>
              <w14:schemeClr w14:val="tx1"/>
            </w14:solidFill>
          </w14:textFill>
        </w:rPr>
        <w:t>满足《</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大气污染物综合排放标准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详解》中推荐值2.0mg/m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要求</w:t>
      </w:r>
      <w:bookmarkStart w:id="373" w:name="_Hlk92466348"/>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S监测浓度满足《环境影响评价技术导则大气环境》（</w:t>
      </w:r>
      <w:r>
        <w:rPr>
          <w:color w:val="000000" w:themeColor="text1"/>
          <w14:textFill>
            <w14:solidFill>
              <w14:schemeClr w14:val="tx1"/>
            </w14:solidFill>
          </w14:textFill>
        </w:rPr>
        <w:t>HJ2.2-2018）附录D中</w:t>
      </w:r>
      <w:r>
        <w:rPr>
          <w:rFonts w:hint="eastAsia"/>
          <w:color w:val="000000" w:themeColor="text1"/>
          <w14:textFill>
            <w14:solidFill>
              <w14:schemeClr w14:val="tx1"/>
            </w14:solidFill>
          </w14:textFill>
        </w:rPr>
        <w:t>推荐值要求。</w:t>
      </w:r>
      <w:bookmarkEnd w:id="372"/>
    </w:p>
    <w:p w14:paraId="104F01E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（3）区域内特征污染物环境质量变化趋势</w:t>
      </w:r>
    </w:p>
    <w:p w14:paraId="4207F43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本次收集了2021年、2022年、2024年三年的区域特征污染物非甲烷总烃、硫化氢的监测数据，详见表4.3-4。</w:t>
      </w:r>
    </w:p>
    <w:p w14:paraId="46300BBD">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表4.3-4  2019年—2023年区域基本污染物和特征污染物非甲烷总烃、硫化氢的监测数据</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276"/>
        <w:gridCol w:w="1276"/>
        <w:gridCol w:w="1417"/>
        <w:gridCol w:w="1418"/>
        <w:gridCol w:w="1134"/>
        <w:gridCol w:w="988"/>
      </w:tblGrid>
      <w:tr w14:paraId="7555A5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Align w:val="center"/>
          </w:tcPr>
          <w:p w14:paraId="3C3F28E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监测点位</w:t>
            </w:r>
          </w:p>
        </w:tc>
        <w:tc>
          <w:tcPr>
            <w:tcW w:w="1276" w:type="dxa"/>
            <w:vAlign w:val="center"/>
          </w:tcPr>
          <w:p w14:paraId="5E1003B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监测因子</w:t>
            </w:r>
          </w:p>
        </w:tc>
        <w:tc>
          <w:tcPr>
            <w:tcW w:w="1276" w:type="dxa"/>
            <w:vAlign w:val="center"/>
          </w:tcPr>
          <w:p w14:paraId="276ABA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评价指标</w:t>
            </w:r>
          </w:p>
        </w:tc>
        <w:tc>
          <w:tcPr>
            <w:tcW w:w="1417" w:type="dxa"/>
            <w:vAlign w:val="center"/>
          </w:tcPr>
          <w:p w14:paraId="44761E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p>
          <w:p w14:paraId="0269E04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418" w:type="dxa"/>
            <w:vAlign w:val="center"/>
          </w:tcPr>
          <w:p w14:paraId="32CE14C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现状浓度</w:t>
            </w:r>
          </w:p>
          <w:p w14:paraId="270002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134" w:type="dxa"/>
            <w:vAlign w:val="center"/>
          </w:tcPr>
          <w:p w14:paraId="4666B1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最大占标率（%）</w:t>
            </w:r>
          </w:p>
        </w:tc>
        <w:tc>
          <w:tcPr>
            <w:tcW w:w="988" w:type="dxa"/>
            <w:vAlign w:val="center"/>
          </w:tcPr>
          <w:p w14:paraId="6CB82D4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p w14:paraId="70AE99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情况</w:t>
            </w:r>
          </w:p>
        </w:tc>
      </w:tr>
      <w:tr w14:paraId="198218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vAlign w:val="center"/>
          </w:tcPr>
          <w:p w14:paraId="71BBC4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2021</w:t>
            </w:r>
          </w:p>
        </w:tc>
        <w:tc>
          <w:tcPr>
            <w:tcW w:w="1276" w:type="dxa"/>
            <w:vAlign w:val="center"/>
          </w:tcPr>
          <w:p w14:paraId="4B7B71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1276" w:type="dxa"/>
            <w:vAlign w:val="center"/>
          </w:tcPr>
          <w:p w14:paraId="59AEDC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244142C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1418" w:type="dxa"/>
            <w:vAlign w:val="center"/>
          </w:tcPr>
          <w:p w14:paraId="76AB88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950～1160</w:t>
            </w:r>
          </w:p>
        </w:tc>
        <w:tc>
          <w:tcPr>
            <w:tcW w:w="1134" w:type="dxa"/>
            <w:vAlign w:val="center"/>
          </w:tcPr>
          <w:p w14:paraId="2D8DAC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c>
          <w:tcPr>
            <w:tcW w:w="988" w:type="dxa"/>
            <w:vAlign w:val="center"/>
          </w:tcPr>
          <w:p w14:paraId="2F0CCF8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4F22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vAlign w:val="center"/>
          </w:tcPr>
          <w:p w14:paraId="2EFC6C1F">
            <w:pPr>
              <w:pStyle w:val="280"/>
              <w:rPr>
                <w:rFonts w:hint="eastAsia"/>
                <w:color w:val="000000" w:themeColor="text1"/>
                <w14:textFill>
                  <w14:solidFill>
                    <w14:schemeClr w14:val="tx1"/>
                  </w14:solidFill>
                </w14:textFill>
              </w:rPr>
            </w:pPr>
          </w:p>
        </w:tc>
        <w:tc>
          <w:tcPr>
            <w:tcW w:w="1276" w:type="dxa"/>
            <w:vAlign w:val="center"/>
          </w:tcPr>
          <w:p w14:paraId="24CCAA1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1276" w:type="dxa"/>
            <w:vAlign w:val="center"/>
          </w:tcPr>
          <w:p w14:paraId="5AA6237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32ABC1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418" w:type="dxa"/>
            <w:vAlign w:val="center"/>
          </w:tcPr>
          <w:p w14:paraId="021C151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ND</w:t>
            </w:r>
          </w:p>
        </w:tc>
        <w:tc>
          <w:tcPr>
            <w:tcW w:w="1134" w:type="dxa"/>
            <w:vAlign w:val="center"/>
          </w:tcPr>
          <w:p w14:paraId="0A618C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88" w:type="dxa"/>
            <w:vAlign w:val="center"/>
          </w:tcPr>
          <w:p w14:paraId="5B4AF05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21AE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vAlign w:val="center"/>
          </w:tcPr>
          <w:p w14:paraId="3804534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2022</w:t>
            </w:r>
          </w:p>
        </w:tc>
        <w:tc>
          <w:tcPr>
            <w:tcW w:w="1276" w:type="dxa"/>
            <w:vAlign w:val="center"/>
          </w:tcPr>
          <w:p w14:paraId="18FBB6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1276" w:type="dxa"/>
            <w:vAlign w:val="center"/>
          </w:tcPr>
          <w:p w14:paraId="0BA50C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55EF576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1418" w:type="dxa"/>
            <w:vAlign w:val="center"/>
          </w:tcPr>
          <w:p w14:paraId="59F8743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480～760</w:t>
            </w:r>
          </w:p>
        </w:tc>
        <w:tc>
          <w:tcPr>
            <w:tcW w:w="1134" w:type="dxa"/>
            <w:vAlign w:val="center"/>
          </w:tcPr>
          <w:p w14:paraId="2B902A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988" w:type="dxa"/>
            <w:vAlign w:val="center"/>
          </w:tcPr>
          <w:p w14:paraId="54CE1C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DBB3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vAlign w:val="center"/>
          </w:tcPr>
          <w:p w14:paraId="5C537DEE">
            <w:pPr>
              <w:pStyle w:val="280"/>
              <w:rPr>
                <w:rFonts w:hint="eastAsia"/>
                <w:color w:val="000000" w:themeColor="text1"/>
                <w14:textFill>
                  <w14:solidFill>
                    <w14:schemeClr w14:val="tx1"/>
                  </w14:solidFill>
                </w14:textFill>
              </w:rPr>
            </w:pPr>
          </w:p>
        </w:tc>
        <w:tc>
          <w:tcPr>
            <w:tcW w:w="1276" w:type="dxa"/>
            <w:vAlign w:val="center"/>
          </w:tcPr>
          <w:p w14:paraId="0A1304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1276" w:type="dxa"/>
            <w:vAlign w:val="center"/>
          </w:tcPr>
          <w:p w14:paraId="16B2E2C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67B2E5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418" w:type="dxa"/>
            <w:vAlign w:val="center"/>
          </w:tcPr>
          <w:p w14:paraId="550B029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ND～7</w:t>
            </w:r>
          </w:p>
        </w:tc>
        <w:tc>
          <w:tcPr>
            <w:tcW w:w="1134" w:type="dxa"/>
            <w:vAlign w:val="center"/>
          </w:tcPr>
          <w:p w14:paraId="22700C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988" w:type="dxa"/>
            <w:vAlign w:val="center"/>
          </w:tcPr>
          <w:p w14:paraId="3F990E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87FA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vAlign w:val="center"/>
          </w:tcPr>
          <w:p w14:paraId="41744A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2024</w:t>
            </w:r>
          </w:p>
        </w:tc>
        <w:tc>
          <w:tcPr>
            <w:tcW w:w="1276" w:type="dxa"/>
            <w:vAlign w:val="center"/>
          </w:tcPr>
          <w:p w14:paraId="2568016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1276" w:type="dxa"/>
            <w:vAlign w:val="center"/>
          </w:tcPr>
          <w:p w14:paraId="220BC5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389D34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1418" w:type="dxa"/>
            <w:vAlign w:val="center"/>
          </w:tcPr>
          <w:p w14:paraId="01E873D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820～1240</w:t>
            </w:r>
          </w:p>
        </w:tc>
        <w:tc>
          <w:tcPr>
            <w:tcW w:w="1134" w:type="dxa"/>
            <w:vAlign w:val="center"/>
          </w:tcPr>
          <w:p w14:paraId="4DB043B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62</w:t>
            </w:r>
          </w:p>
        </w:tc>
        <w:tc>
          <w:tcPr>
            <w:tcW w:w="988" w:type="dxa"/>
            <w:vAlign w:val="center"/>
          </w:tcPr>
          <w:p w14:paraId="7E218F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5A4F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vAlign w:val="center"/>
          </w:tcPr>
          <w:p w14:paraId="0536ECB8">
            <w:pPr>
              <w:pStyle w:val="280"/>
              <w:rPr>
                <w:rFonts w:hint="eastAsia"/>
                <w:color w:val="000000" w:themeColor="text1"/>
                <w14:textFill>
                  <w14:solidFill>
                    <w14:schemeClr w14:val="tx1"/>
                  </w14:solidFill>
                </w14:textFill>
              </w:rPr>
            </w:pPr>
          </w:p>
        </w:tc>
        <w:tc>
          <w:tcPr>
            <w:tcW w:w="1276" w:type="dxa"/>
            <w:vAlign w:val="center"/>
          </w:tcPr>
          <w:p w14:paraId="2723EFA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p>
        </w:tc>
        <w:tc>
          <w:tcPr>
            <w:tcW w:w="1276" w:type="dxa"/>
            <w:vAlign w:val="center"/>
          </w:tcPr>
          <w:p w14:paraId="28AE15A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一次值</w:t>
            </w:r>
          </w:p>
        </w:tc>
        <w:tc>
          <w:tcPr>
            <w:tcW w:w="1417" w:type="dxa"/>
            <w:vAlign w:val="center"/>
          </w:tcPr>
          <w:p w14:paraId="3981EA7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418" w:type="dxa"/>
            <w:vAlign w:val="center"/>
          </w:tcPr>
          <w:p w14:paraId="480D54B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ND</w:t>
            </w:r>
          </w:p>
        </w:tc>
        <w:tc>
          <w:tcPr>
            <w:tcW w:w="1134" w:type="dxa"/>
            <w:vAlign w:val="center"/>
          </w:tcPr>
          <w:p w14:paraId="4277B6C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88" w:type="dxa"/>
            <w:vAlign w:val="center"/>
          </w:tcPr>
          <w:p w14:paraId="05AB3F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755C7A4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由表4.3-4可知，区域硫化氢浓度变化不大，非甲烷总烃浓度稍有增加。</w:t>
      </w:r>
    </w:p>
    <w:bookmarkEnd w:id="373"/>
    <w:p w14:paraId="77CBE655">
      <w:pPr>
        <w:pStyle w:val="8"/>
        <w:rPr>
          <w:rFonts w:hint="eastAsia"/>
          <w:color w:val="000000" w:themeColor="text1"/>
          <w14:textFill>
            <w14:solidFill>
              <w14:schemeClr w14:val="tx1"/>
            </w14:solidFill>
          </w14:textFill>
        </w:rPr>
      </w:pPr>
      <w:bookmarkStart w:id="374" w:name="_Hlk175252529"/>
      <w:r>
        <w:rPr>
          <w:rFonts w:hint="eastAsia"/>
          <w:color w:val="000000" w:themeColor="text1"/>
          <w14:textFill>
            <w14:solidFill>
              <w14:schemeClr w14:val="tx1"/>
            </w14:solidFill>
          </w14:textFill>
        </w:rPr>
        <w:t>水环境质量现状调查与评价</w:t>
      </w:r>
    </w:p>
    <w:bookmarkEnd w:id="374"/>
    <w:p w14:paraId="6450447C">
      <w:pPr>
        <w:pStyle w:val="193"/>
        <w:rPr>
          <w:rFonts w:hint="eastAsia"/>
          <w:color w:val="000000" w:themeColor="text1"/>
          <w:lang w:bidi="ar"/>
          <w14:textFill>
            <w14:solidFill>
              <w14:schemeClr w14:val="tx1"/>
            </w14:solidFill>
          </w14:textFill>
        </w:rPr>
      </w:pPr>
      <w:bookmarkStart w:id="375" w:name="_Hlk175252549"/>
      <w:r>
        <w:rPr>
          <w:rFonts w:hint="eastAsia"/>
          <w:color w:val="000000" w:themeColor="text1"/>
          <w:lang w:bidi="ar"/>
          <w14:textFill>
            <w14:solidFill>
              <w14:schemeClr w14:val="tx1"/>
            </w14:solidFill>
          </w14:textFill>
        </w:rPr>
        <w:t>运营期废水全部送至吉祥联合站采出水处理系统处理，出水水质《碎屑岩油藏注水水质指标技术要求及分析方法》（SY/T5329-2022）相关标准要求后，回注油藏，</w:t>
      </w:r>
      <w:r>
        <w:rPr>
          <w:rFonts w:hint="eastAsia" w:cs="宋体"/>
          <w:color w:val="000000" w:themeColor="text1"/>
          <w:lang w:bidi="ar"/>
          <w14:textFill>
            <w14:solidFill>
              <w14:schemeClr w14:val="tx1"/>
            </w14:solidFill>
          </w14:textFill>
        </w:rPr>
        <w:t>与下新湖水库不发生水力联系，根据</w:t>
      </w:r>
      <w:r>
        <w:rPr>
          <w:rFonts w:cs="宋体"/>
          <w:color w:val="000000" w:themeColor="text1"/>
          <w:szCs w:val="20"/>
          <w:lang w:bidi="ar"/>
          <w14:textFill>
            <w14:solidFill>
              <w14:schemeClr w14:val="tx1"/>
            </w14:solidFill>
          </w14:textFill>
        </w:rPr>
        <w:t>《环境影响评价技术导则  地表水环境》（HJ2.3-2018）</w:t>
      </w:r>
      <w:r>
        <w:rPr>
          <w:rFonts w:hint="eastAsia" w:cs="宋体"/>
          <w:color w:val="000000" w:themeColor="text1"/>
          <w:szCs w:val="20"/>
          <w:lang w:bidi="ar"/>
          <w14:textFill>
            <w14:solidFill>
              <w14:schemeClr w14:val="tx1"/>
            </w14:solidFill>
          </w14:textFill>
        </w:rPr>
        <w:t>中的相关要求，</w:t>
      </w:r>
      <w:r>
        <w:rPr>
          <w:rFonts w:hint="eastAsia" w:cs="宋体"/>
          <w:color w:val="000000" w:themeColor="text1"/>
          <w:lang w:bidi="ar"/>
          <w14:textFill>
            <w14:solidFill>
              <w14:schemeClr w14:val="tx1"/>
            </w14:solidFill>
          </w14:textFill>
        </w:rPr>
        <w:t>地表水评价等级为三级B，</w:t>
      </w:r>
      <w:r>
        <w:rPr>
          <w:rFonts w:hint="eastAsia" w:cs="宋体"/>
          <w:color w:val="000000" w:themeColor="text1"/>
          <w:szCs w:val="20"/>
          <w:lang w:bidi="ar"/>
          <w14:textFill>
            <w14:solidFill>
              <w14:schemeClr w14:val="tx1"/>
            </w14:solidFill>
          </w14:textFill>
        </w:rPr>
        <w:t>不</w:t>
      </w:r>
      <w:r>
        <w:rPr>
          <w:rFonts w:hint="eastAsia" w:cs="宋体"/>
          <w:color w:val="000000" w:themeColor="text1"/>
          <w:lang w:bidi="ar"/>
          <w14:textFill>
            <w14:solidFill>
              <w14:schemeClr w14:val="tx1"/>
            </w14:solidFill>
          </w14:textFill>
        </w:rPr>
        <w:t>需对地表水环境质量现状调查，本次仅对地下水环境质量现状进行调查和评价。</w:t>
      </w:r>
    </w:p>
    <w:p w14:paraId="766041C1">
      <w:pPr>
        <w:pStyle w:val="193"/>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（1）数据来源</w:t>
      </w:r>
    </w:p>
    <w:p w14:paraId="65C77ADA">
      <w:pPr>
        <w:pStyle w:val="193"/>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本次评价采用实测的方法来说明区域地下水环境质量现状。监测单位：新疆壹诺环保科技有限公司；监测时间：2026年02月06日。监测点位见表4.3-5和图4.3-2。</w:t>
      </w:r>
    </w:p>
    <w:p w14:paraId="30C0F335">
      <w:pPr>
        <w:pStyle w:val="112"/>
        <w:rPr>
          <w:rFonts w:hint="eastAsia"/>
          <w:color w:val="000000" w:themeColor="text1"/>
          <w14:textFill>
            <w14:solidFill>
              <w14:schemeClr w14:val="tx1"/>
            </w14:solidFill>
          </w14:textFill>
        </w:rPr>
      </w:pPr>
      <w:bookmarkStart w:id="376" w:name="_Hlk160376314"/>
      <w:r>
        <w:rPr>
          <w:rFonts w:hint="eastAsia"/>
          <w:color w:val="000000" w:themeColor="text1"/>
          <w14:textFill>
            <w14:solidFill>
              <w14:schemeClr w14:val="tx1"/>
            </w14:solidFill>
          </w14:textFill>
        </w:rPr>
        <w:t>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地下水监测坐标一览表</w:t>
      </w:r>
    </w:p>
    <w:tbl>
      <w:tblPr>
        <w:tblStyle w:val="434"/>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708"/>
        <w:gridCol w:w="1702"/>
        <w:gridCol w:w="1703"/>
        <w:gridCol w:w="1134"/>
        <w:gridCol w:w="853"/>
        <w:gridCol w:w="1073"/>
        <w:gridCol w:w="1557"/>
      </w:tblGrid>
      <w:tr w14:paraId="17474A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06" w:type="pct"/>
            <w:vMerge w:val="restart"/>
            <w:vAlign w:val="center"/>
          </w:tcPr>
          <w:p w14:paraId="753F155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监测点</w:t>
            </w:r>
          </w:p>
        </w:tc>
        <w:tc>
          <w:tcPr>
            <w:tcW w:w="1949" w:type="pct"/>
            <w:gridSpan w:val="2"/>
            <w:vAlign w:val="center"/>
          </w:tcPr>
          <w:p w14:paraId="10218E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坐标</w:t>
            </w:r>
          </w:p>
        </w:tc>
        <w:tc>
          <w:tcPr>
            <w:tcW w:w="649" w:type="pct"/>
            <w:vMerge w:val="restart"/>
            <w:vAlign w:val="center"/>
          </w:tcPr>
          <w:p w14:paraId="72714317">
            <w:pPr>
              <w:pStyle w:val="280"/>
              <w:rPr>
                <w:rFonts w:hint="eastAsia"/>
                <w:bCs/>
                <w:color w:val="000000" w:themeColor="text1"/>
                <w14:textFill>
                  <w14:solidFill>
                    <w14:schemeClr w14:val="tx1"/>
                  </w14:solidFill>
                </w14:textFill>
              </w:rPr>
            </w:pPr>
            <w:r>
              <w:rPr>
                <w:rFonts w:hint="eastAsia"/>
                <w:color w:val="000000" w:themeColor="text1"/>
                <w14:textFill>
                  <w14:solidFill>
                    <w14:schemeClr w14:val="tx1"/>
                  </w14:solidFill>
                </w14:textFill>
              </w:rPr>
              <w:t>水位（m）</w:t>
            </w:r>
          </w:p>
        </w:tc>
        <w:tc>
          <w:tcPr>
            <w:tcW w:w="488" w:type="pct"/>
            <w:vMerge w:val="restart"/>
            <w:vAlign w:val="center"/>
          </w:tcPr>
          <w:p w14:paraId="7E27AEA8">
            <w:pPr>
              <w:pStyle w:val="280"/>
              <w:rPr>
                <w:rFonts w:hint="eastAsia"/>
                <w:bCs/>
                <w:color w:val="000000" w:themeColor="text1"/>
                <w14:textFill>
                  <w14:solidFill>
                    <w14:schemeClr w14:val="tx1"/>
                  </w14:solidFill>
                </w14:textFill>
              </w:rPr>
            </w:pPr>
            <w:r>
              <w:rPr>
                <w:rFonts w:hint="eastAsia"/>
                <w:color w:val="000000" w:themeColor="text1"/>
                <w14:textFill>
                  <w14:solidFill>
                    <w14:schemeClr w14:val="tx1"/>
                  </w14:solidFill>
                </w14:textFill>
              </w:rPr>
              <w:t>水井功能</w:t>
            </w:r>
          </w:p>
        </w:tc>
        <w:tc>
          <w:tcPr>
            <w:tcW w:w="614" w:type="pct"/>
            <w:vMerge w:val="restart"/>
            <w:vAlign w:val="center"/>
          </w:tcPr>
          <w:p w14:paraId="5364530C">
            <w:pPr>
              <w:pStyle w:val="280"/>
              <w:rPr>
                <w:rFonts w:hint="eastAsia"/>
                <w:bCs/>
                <w:color w:val="000000" w:themeColor="text1"/>
                <w14:textFill>
                  <w14:solidFill>
                    <w14:schemeClr w14:val="tx1"/>
                  </w14:solidFill>
                </w14:textFill>
              </w:rPr>
            </w:pPr>
            <w:r>
              <w:rPr>
                <w:rFonts w:hint="eastAsia"/>
                <w:color w:val="000000" w:themeColor="text1"/>
                <w14:textFill>
                  <w14:solidFill>
                    <w14:schemeClr w14:val="tx1"/>
                  </w14:solidFill>
                </w14:textFill>
              </w:rPr>
              <w:t>层位</w:t>
            </w:r>
          </w:p>
        </w:tc>
        <w:tc>
          <w:tcPr>
            <w:tcW w:w="891" w:type="pct"/>
            <w:vMerge w:val="restart"/>
            <w:vAlign w:val="center"/>
          </w:tcPr>
          <w:p w14:paraId="4AD2E27A">
            <w:pPr>
              <w:pStyle w:val="280"/>
              <w:rPr>
                <w:rFonts w:hint="eastAsia"/>
                <w:bCs/>
                <w:color w:val="000000" w:themeColor="text1"/>
                <w14:textFill>
                  <w14:solidFill>
                    <w14:schemeClr w14:val="tx1"/>
                  </w14:solidFill>
                </w14:textFill>
              </w:rPr>
            </w:pPr>
            <w:r>
              <w:rPr>
                <w:rFonts w:hint="eastAsia"/>
                <w:color w:val="000000" w:themeColor="text1"/>
                <w14:textFill>
                  <w14:solidFill>
                    <w14:schemeClr w14:val="tx1"/>
                  </w14:solidFill>
                </w14:textFill>
              </w:rPr>
              <w:t>与项目区的相对位置关系</w:t>
            </w:r>
          </w:p>
        </w:tc>
      </w:tr>
      <w:tr w14:paraId="3B2AA5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06" w:type="pct"/>
            <w:vMerge w:val="continue"/>
            <w:vAlign w:val="center"/>
          </w:tcPr>
          <w:p w14:paraId="2500C9DE">
            <w:pPr>
              <w:pStyle w:val="280"/>
              <w:rPr>
                <w:rFonts w:hint="eastAsia"/>
                <w:color w:val="000000" w:themeColor="text1"/>
                <w14:textFill>
                  <w14:solidFill>
                    <w14:schemeClr w14:val="tx1"/>
                  </w14:solidFill>
                </w14:textFill>
              </w:rPr>
            </w:pPr>
          </w:p>
        </w:tc>
        <w:tc>
          <w:tcPr>
            <w:tcW w:w="974" w:type="pct"/>
            <w:vAlign w:val="center"/>
          </w:tcPr>
          <w:p w14:paraId="2A4D0F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p>
        </w:tc>
        <w:tc>
          <w:tcPr>
            <w:tcW w:w="975" w:type="pct"/>
            <w:vAlign w:val="center"/>
          </w:tcPr>
          <w:p w14:paraId="694C47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w:t>
            </w:r>
          </w:p>
        </w:tc>
        <w:tc>
          <w:tcPr>
            <w:tcW w:w="649" w:type="pct"/>
            <w:vMerge w:val="continue"/>
            <w:tcBorders>
              <w:bottom w:val="single" w:color="auto" w:sz="4" w:space="0"/>
            </w:tcBorders>
            <w:vAlign w:val="center"/>
          </w:tcPr>
          <w:p w14:paraId="2E519AA6">
            <w:pPr>
              <w:pStyle w:val="280"/>
              <w:rPr>
                <w:rFonts w:hint="eastAsia"/>
                <w:color w:val="000000" w:themeColor="text1"/>
                <w14:textFill>
                  <w14:solidFill>
                    <w14:schemeClr w14:val="tx1"/>
                  </w14:solidFill>
                </w14:textFill>
              </w:rPr>
            </w:pPr>
          </w:p>
        </w:tc>
        <w:tc>
          <w:tcPr>
            <w:tcW w:w="488" w:type="pct"/>
            <w:vMerge w:val="continue"/>
            <w:tcBorders>
              <w:bottom w:val="single" w:color="auto" w:sz="4" w:space="0"/>
            </w:tcBorders>
            <w:vAlign w:val="center"/>
          </w:tcPr>
          <w:p w14:paraId="0BA6AE18">
            <w:pPr>
              <w:pStyle w:val="280"/>
              <w:rPr>
                <w:rFonts w:hint="eastAsia"/>
                <w:color w:val="000000" w:themeColor="text1"/>
                <w14:textFill>
                  <w14:solidFill>
                    <w14:schemeClr w14:val="tx1"/>
                  </w14:solidFill>
                </w14:textFill>
              </w:rPr>
            </w:pPr>
          </w:p>
        </w:tc>
        <w:tc>
          <w:tcPr>
            <w:tcW w:w="614" w:type="pct"/>
            <w:vMerge w:val="continue"/>
            <w:tcBorders>
              <w:bottom w:val="single" w:color="auto" w:sz="4" w:space="0"/>
            </w:tcBorders>
            <w:vAlign w:val="center"/>
          </w:tcPr>
          <w:p w14:paraId="147195C1">
            <w:pPr>
              <w:pStyle w:val="280"/>
              <w:rPr>
                <w:rFonts w:hint="eastAsia"/>
                <w:color w:val="000000" w:themeColor="text1"/>
                <w14:textFill>
                  <w14:solidFill>
                    <w14:schemeClr w14:val="tx1"/>
                  </w14:solidFill>
                </w14:textFill>
              </w:rPr>
            </w:pPr>
          </w:p>
        </w:tc>
        <w:tc>
          <w:tcPr>
            <w:tcW w:w="891" w:type="pct"/>
            <w:vMerge w:val="continue"/>
            <w:vAlign w:val="center"/>
          </w:tcPr>
          <w:p w14:paraId="648AC814">
            <w:pPr>
              <w:pStyle w:val="280"/>
              <w:rPr>
                <w:rFonts w:hint="eastAsia"/>
                <w:color w:val="000000" w:themeColor="text1"/>
                <w14:textFill>
                  <w14:solidFill>
                    <w14:schemeClr w14:val="tx1"/>
                  </w14:solidFill>
                </w14:textFill>
              </w:rPr>
            </w:pPr>
          </w:p>
        </w:tc>
      </w:tr>
      <w:tr w14:paraId="00D0E5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06" w:type="pct"/>
            <w:vAlign w:val="center"/>
          </w:tcPr>
          <w:p w14:paraId="6E1F9B7F">
            <w:pPr>
              <w:pStyle w:val="280"/>
              <w:rPr>
                <w:rFonts w:hint="eastAsia"/>
                <w:color w:val="000000" w:themeColor="text1"/>
                <w14:textFill>
                  <w14:solidFill>
                    <w14:schemeClr w14:val="tx1"/>
                  </w14:solidFill>
                </w14:textFill>
              </w:rPr>
            </w:pPr>
            <w:bookmarkStart w:id="377" w:name="_Hlk94003221"/>
            <w:r>
              <w:rPr>
                <w:rFonts w:hint="eastAsia"/>
                <w:color w:val="000000" w:themeColor="text1"/>
                <w14:textFill>
                  <w14:solidFill>
                    <w14:schemeClr w14:val="tx1"/>
                  </w14:solidFill>
                </w14:textFill>
              </w:rPr>
              <w:t>W1</w:t>
            </w:r>
            <w:bookmarkEnd w:id="377"/>
          </w:p>
        </w:tc>
        <w:tc>
          <w:tcPr>
            <w:tcW w:w="974" w:type="pct"/>
            <w:vAlign w:val="center"/>
          </w:tcPr>
          <w:p w14:paraId="4D9D4A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44°5'53.270"</w:t>
            </w:r>
          </w:p>
        </w:tc>
        <w:tc>
          <w:tcPr>
            <w:tcW w:w="975" w:type="pct"/>
            <w:vAlign w:val="center"/>
          </w:tcPr>
          <w:p w14:paraId="264C6BE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89°16'20.510"</w:t>
            </w:r>
          </w:p>
        </w:tc>
        <w:tc>
          <w:tcPr>
            <w:tcW w:w="649" w:type="pct"/>
            <w:tcBorders>
              <w:top w:val="single" w:color="auto" w:sz="4" w:space="0"/>
            </w:tcBorders>
            <w:vAlign w:val="center"/>
          </w:tcPr>
          <w:p w14:paraId="5CD3477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488" w:type="pct"/>
            <w:vMerge w:val="restart"/>
            <w:tcBorders>
              <w:top w:val="single" w:color="auto" w:sz="4" w:space="0"/>
            </w:tcBorders>
            <w:vAlign w:val="center"/>
          </w:tcPr>
          <w:p w14:paraId="30689670">
            <w:pPr>
              <w:pStyle w:val="280"/>
              <w:rPr>
                <w:rFonts w:hint="eastAsia"/>
                <w:bCs/>
                <w:color w:val="000000" w:themeColor="text1"/>
                <w14:textFill>
                  <w14:solidFill>
                    <w14:schemeClr w14:val="tx1"/>
                  </w14:solidFill>
                </w14:textFill>
              </w:rPr>
            </w:pPr>
            <w:r>
              <w:rPr>
                <w:rFonts w:hint="eastAsia"/>
                <w:color w:val="000000" w:themeColor="text1"/>
                <w14:textFill>
                  <w14:solidFill>
                    <w14:schemeClr w14:val="tx1"/>
                  </w14:solidFill>
                </w14:textFill>
              </w:rPr>
              <w:t>农田灌溉</w:t>
            </w:r>
          </w:p>
        </w:tc>
        <w:tc>
          <w:tcPr>
            <w:tcW w:w="614" w:type="pct"/>
            <w:vMerge w:val="restart"/>
            <w:tcBorders>
              <w:top w:val="single" w:color="auto" w:sz="4" w:space="0"/>
            </w:tcBorders>
            <w:vAlign w:val="center"/>
          </w:tcPr>
          <w:p w14:paraId="37601F1B">
            <w:pPr>
              <w:pStyle w:val="280"/>
              <w:rPr>
                <w:rFonts w:hint="eastAsia"/>
                <w:bCs/>
                <w:color w:val="000000" w:themeColor="text1"/>
                <w14:textFill>
                  <w14:solidFill>
                    <w14:schemeClr w14:val="tx1"/>
                  </w14:solidFill>
                </w14:textFill>
              </w:rPr>
            </w:pPr>
            <w:r>
              <w:rPr>
                <w:rFonts w:hint="eastAsia"/>
                <w:color w:val="000000" w:themeColor="text1"/>
                <w14:textFill>
                  <w14:solidFill>
                    <w14:schemeClr w14:val="tx1"/>
                  </w14:solidFill>
                </w14:textFill>
              </w:rPr>
              <w:t>潜水层</w:t>
            </w:r>
          </w:p>
        </w:tc>
        <w:tc>
          <w:tcPr>
            <w:tcW w:w="891" w:type="pct"/>
            <w:vAlign w:val="center"/>
          </w:tcPr>
          <w:p w14:paraId="7D960F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JD6186井东南约1.1km处</w:t>
            </w:r>
          </w:p>
        </w:tc>
      </w:tr>
      <w:tr w14:paraId="4FCA09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406" w:type="pct"/>
            <w:vAlign w:val="center"/>
          </w:tcPr>
          <w:p w14:paraId="6912628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W2</w:t>
            </w:r>
          </w:p>
        </w:tc>
        <w:tc>
          <w:tcPr>
            <w:tcW w:w="974" w:type="pct"/>
            <w:vAlign w:val="center"/>
          </w:tcPr>
          <w:p w14:paraId="015AF1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44°6'29.920"</w:t>
            </w:r>
          </w:p>
        </w:tc>
        <w:tc>
          <w:tcPr>
            <w:tcW w:w="975" w:type="pct"/>
            <w:vAlign w:val="center"/>
          </w:tcPr>
          <w:p w14:paraId="18F51E0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89°17'29.360"</w:t>
            </w:r>
          </w:p>
        </w:tc>
        <w:tc>
          <w:tcPr>
            <w:tcW w:w="649" w:type="pct"/>
            <w:vAlign w:val="center"/>
          </w:tcPr>
          <w:p w14:paraId="0E8D0F1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88" w:type="pct"/>
            <w:vMerge w:val="continue"/>
            <w:vAlign w:val="center"/>
          </w:tcPr>
          <w:p w14:paraId="5489AF73">
            <w:pPr>
              <w:pStyle w:val="280"/>
              <w:rPr>
                <w:rFonts w:hint="eastAsia"/>
                <w:color w:val="000000" w:themeColor="text1"/>
                <w14:textFill>
                  <w14:solidFill>
                    <w14:schemeClr w14:val="tx1"/>
                  </w14:solidFill>
                </w14:textFill>
              </w:rPr>
            </w:pPr>
          </w:p>
        </w:tc>
        <w:tc>
          <w:tcPr>
            <w:tcW w:w="614" w:type="pct"/>
            <w:vMerge w:val="continue"/>
            <w:vAlign w:val="center"/>
          </w:tcPr>
          <w:p w14:paraId="411CC427">
            <w:pPr>
              <w:pStyle w:val="280"/>
              <w:rPr>
                <w:rFonts w:hint="eastAsia"/>
                <w:color w:val="000000" w:themeColor="text1"/>
                <w14:textFill>
                  <w14:solidFill>
                    <w14:schemeClr w14:val="tx1"/>
                  </w14:solidFill>
                </w14:textFill>
              </w:rPr>
            </w:pPr>
          </w:p>
        </w:tc>
        <w:tc>
          <w:tcPr>
            <w:tcW w:w="891" w:type="pct"/>
            <w:vAlign w:val="center"/>
          </w:tcPr>
          <w:p w14:paraId="079DE7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JD8399A井东北侧约0.4km处</w:t>
            </w:r>
          </w:p>
        </w:tc>
      </w:tr>
      <w:tr w14:paraId="6D6699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406" w:type="pct"/>
            <w:vAlign w:val="center"/>
          </w:tcPr>
          <w:p w14:paraId="14E24E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W3</w:t>
            </w:r>
          </w:p>
        </w:tc>
        <w:tc>
          <w:tcPr>
            <w:tcW w:w="974" w:type="pct"/>
            <w:vAlign w:val="center"/>
          </w:tcPr>
          <w:p w14:paraId="48DCDDE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44°5'50.260"</w:t>
            </w:r>
          </w:p>
        </w:tc>
        <w:tc>
          <w:tcPr>
            <w:tcW w:w="975" w:type="pct"/>
            <w:vAlign w:val="center"/>
          </w:tcPr>
          <w:p w14:paraId="5C398F1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89°17'24.150"</w:t>
            </w:r>
          </w:p>
        </w:tc>
        <w:tc>
          <w:tcPr>
            <w:tcW w:w="649" w:type="pct"/>
            <w:vAlign w:val="center"/>
          </w:tcPr>
          <w:p w14:paraId="2732D9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488" w:type="pct"/>
            <w:vMerge w:val="continue"/>
            <w:vAlign w:val="center"/>
          </w:tcPr>
          <w:p w14:paraId="64DDE1AF">
            <w:pPr>
              <w:pStyle w:val="280"/>
              <w:rPr>
                <w:rFonts w:hint="eastAsia"/>
                <w:color w:val="000000" w:themeColor="text1"/>
                <w14:textFill>
                  <w14:solidFill>
                    <w14:schemeClr w14:val="tx1"/>
                  </w14:solidFill>
                </w14:textFill>
              </w:rPr>
            </w:pPr>
          </w:p>
        </w:tc>
        <w:tc>
          <w:tcPr>
            <w:tcW w:w="614" w:type="pct"/>
            <w:vMerge w:val="continue"/>
            <w:vAlign w:val="center"/>
          </w:tcPr>
          <w:p w14:paraId="2F27D8F5">
            <w:pPr>
              <w:pStyle w:val="280"/>
              <w:rPr>
                <w:rFonts w:hint="eastAsia"/>
                <w:color w:val="000000" w:themeColor="text1"/>
                <w14:textFill>
                  <w14:solidFill>
                    <w14:schemeClr w14:val="tx1"/>
                  </w14:solidFill>
                </w14:textFill>
              </w:rPr>
            </w:pPr>
          </w:p>
        </w:tc>
        <w:tc>
          <w:tcPr>
            <w:tcW w:w="891" w:type="pct"/>
            <w:vAlign w:val="center"/>
          </w:tcPr>
          <w:p w14:paraId="26BAF57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JD8664A井西北侧约0.9km处</w:t>
            </w:r>
          </w:p>
        </w:tc>
      </w:tr>
      <w:tr w14:paraId="6EC387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406" w:type="pct"/>
            <w:vAlign w:val="center"/>
          </w:tcPr>
          <w:p w14:paraId="1420D4C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W4</w:t>
            </w:r>
          </w:p>
        </w:tc>
        <w:tc>
          <w:tcPr>
            <w:tcW w:w="974" w:type="pct"/>
            <w:vAlign w:val="center"/>
          </w:tcPr>
          <w:p w14:paraId="4A9003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44°6'25.230"</w:t>
            </w:r>
          </w:p>
        </w:tc>
        <w:tc>
          <w:tcPr>
            <w:tcW w:w="975" w:type="pct"/>
            <w:vAlign w:val="center"/>
          </w:tcPr>
          <w:p w14:paraId="11E14A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89°13'49.400"</w:t>
            </w:r>
          </w:p>
        </w:tc>
        <w:tc>
          <w:tcPr>
            <w:tcW w:w="649" w:type="pct"/>
            <w:vAlign w:val="center"/>
          </w:tcPr>
          <w:p w14:paraId="0AE8E7F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w:t>
            </w:r>
          </w:p>
        </w:tc>
        <w:tc>
          <w:tcPr>
            <w:tcW w:w="488" w:type="pct"/>
            <w:vMerge w:val="continue"/>
            <w:vAlign w:val="center"/>
          </w:tcPr>
          <w:p w14:paraId="24189DBE">
            <w:pPr>
              <w:pStyle w:val="280"/>
              <w:rPr>
                <w:rFonts w:hint="eastAsia"/>
                <w:color w:val="000000" w:themeColor="text1"/>
                <w14:textFill>
                  <w14:solidFill>
                    <w14:schemeClr w14:val="tx1"/>
                  </w14:solidFill>
                </w14:textFill>
              </w:rPr>
            </w:pPr>
          </w:p>
        </w:tc>
        <w:tc>
          <w:tcPr>
            <w:tcW w:w="614" w:type="pct"/>
            <w:vMerge w:val="continue"/>
            <w:vAlign w:val="center"/>
          </w:tcPr>
          <w:p w14:paraId="5F684AC7">
            <w:pPr>
              <w:pStyle w:val="280"/>
              <w:rPr>
                <w:rFonts w:hint="eastAsia"/>
                <w:color w:val="000000" w:themeColor="text1"/>
                <w14:textFill>
                  <w14:solidFill>
                    <w14:schemeClr w14:val="tx1"/>
                  </w14:solidFill>
                </w14:textFill>
              </w:rPr>
            </w:pPr>
          </w:p>
        </w:tc>
        <w:tc>
          <w:tcPr>
            <w:tcW w:w="891" w:type="pct"/>
            <w:vAlign w:val="center"/>
          </w:tcPr>
          <w:p w14:paraId="3F099C7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JD6186井西北约2.5km处</w:t>
            </w:r>
          </w:p>
        </w:tc>
      </w:tr>
      <w:tr w14:paraId="2A207A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406" w:type="pct"/>
            <w:vAlign w:val="center"/>
          </w:tcPr>
          <w:p w14:paraId="5E2B40A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W5</w:t>
            </w:r>
          </w:p>
        </w:tc>
        <w:tc>
          <w:tcPr>
            <w:tcW w:w="974" w:type="pct"/>
            <w:vAlign w:val="center"/>
          </w:tcPr>
          <w:p w14:paraId="3C5D68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44°3'32.450"</w:t>
            </w:r>
          </w:p>
        </w:tc>
        <w:tc>
          <w:tcPr>
            <w:tcW w:w="975" w:type="pct"/>
            <w:vAlign w:val="center"/>
          </w:tcPr>
          <w:p w14:paraId="6691B5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89°17'30.600"</w:t>
            </w:r>
          </w:p>
        </w:tc>
        <w:tc>
          <w:tcPr>
            <w:tcW w:w="649" w:type="pct"/>
            <w:vAlign w:val="center"/>
          </w:tcPr>
          <w:p w14:paraId="7EFD6D9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488" w:type="pct"/>
            <w:vMerge w:val="continue"/>
            <w:vAlign w:val="center"/>
          </w:tcPr>
          <w:p w14:paraId="5B62E711">
            <w:pPr>
              <w:pStyle w:val="280"/>
              <w:rPr>
                <w:rFonts w:hint="eastAsia"/>
                <w:color w:val="000000" w:themeColor="text1"/>
                <w14:textFill>
                  <w14:solidFill>
                    <w14:schemeClr w14:val="tx1"/>
                  </w14:solidFill>
                </w14:textFill>
              </w:rPr>
            </w:pPr>
          </w:p>
        </w:tc>
        <w:tc>
          <w:tcPr>
            <w:tcW w:w="614" w:type="pct"/>
            <w:vMerge w:val="continue"/>
            <w:vAlign w:val="center"/>
          </w:tcPr>
          <w:p w14:paraId="7C475881">
            <w:pPr>
              <w:pStyle w:val="280"/>
              <w:rPr>
                <w:rFonts w:hint="eastAsia"/>
                <w:color w:val="000000" w:themeColor="text1"/>
                <w14:textFill>
                  <w14:solidFill>
                    <w14:schemeClr w14:val="tx1"/>
                  </w14:solidFill>
                </w14:textFill>
              </w:rPr>
            </w:pPr>
          </w:p>
        </w:tc>
        <w:tc>
          <w:tcPr>
            <w:tcW w:w="891" w:type="pct"/>
            <w:vAlign w:val="center"/>
          </w:tcPr>
          <w:p w14:paraId="581B4B3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JD8664A井西南侧约3.5km处</w:t>
            </w:r>
          </w:p>
        </w:tc>
      </w:tr>
      <w:tr w14:paraId="7EF2E1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406" w:type="pct"/>
            <w:vAlign w:val="center"/>
          </w:tcPr>
          <w:p w14:paraId="3AFE04B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W6</w:t>
            </w:r>
          </w:p>
        </w:tc>
        <w:tc>
          <w:tcPr>
            <w:tcW w:w="974" w:type="pct"/>
            <w:vAlign w:val="center"/>
          </w:tcPr>
          <w:p w14:paraId="3E0703A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44°8'48.900"</w:t>
            </w:r>
          </w:p>
        </w:tc>
        <w:tc>
          <w:tcPr>
            <w:tcW w:w="975" w:type="pct"/>
            <w:vAlign w:val="center"/>
          </w:tcPr>
          <w:p w14:paraId="2E23A8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89°6'53.140"</w:t>
            </w:r>
          </w:p>
        </w:tc>
        <w:tc>
          <w:tcPr>
            <w:tcW w:w="649" w:type="pct"/>
            <w:vAlign w:val="center"/>
          </w:tcPr>
          <w:p w14:paraId="290DEFD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w:t>
            </w:r>
          </w:p>
        </w:tc>
        <w:tc>
          <w:tcPr>
            <w:tcW w:w="488" w:type="pct"/>
            <w:vMerge w:val="continue"/>
            <w:vAlign w:val="center"/>
          </w:tcPr>
          <w:p w14:paraId="16B620DC">
            <w:pPr>
              <w:pStyle w:val="280"/>
              <w:rPr>
                <w:rFonts w:hint="eastAsia"/>
                <w:color w:val="000000" w:themeColor="text1"/>
                <w14:textFill>
                  <w14:solidFill>
                    <w14:schemeClr w14:val="tx1"/>
                  </w14:solidFill>
                </w14:textFill>
              </w:rPr>
            </w:pPr>
          </w:p>
        </w:tc>
        <w:tc>
          <w:tcPr>
            <w:tcW w:w="614" w:type="pct"/>
            <w:vMerge w:val="continue"/>
            <w:vAlign w:val="center"/>
          </w:tcPr>
          <w:p w14:paraId="64175C08">
            <w:pPr>
              <w:pStyle w:val="280"/>
              <w:rPr>
                <w:rFonts w:hint="eastAsia"/>
                <w:color w:val="000000" w:themeColor="text1"/>
                <w14:textFill>
                  <w14:solidFill>
                    <w14:schemeClr w14:val="tx1"/>
                  </w14:solidFill>
                </w14:textFill>
              </w:rPr>
            </w:pPr>
          </w:p>
        </w:tc>
        <w:tc>
          <w:tcPr>
            <w:tcW w:w="891" w:type="pct"/>
            <w:vAlign w:val="center"/>
          </w:tcPr>
          <w:p w14:paraId="6F327D0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JD6089井西北约12.9km处</w:t>
            </w:r>
          </w:p>
        </w:tc>
      </w:tr>
      <w:tr w14:paraId="7F02C2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406" w:type="pct"/>
            <w:vAlign w:val="center"/>
          </w:tcPr>
          <w:p w14:paraId="46C8F1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W7</w:t>
            </w:r>
          </w:p>
        </w:tc>
        <w:tc>
          <w:tcPr>
            <w:tcW w:w="974" w:type="pct"/>
            <w:vAlign w:val="center"/>
          </w:tcPr>
          <w:p w14:paraId="25EC8AD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44°8'35.850"</w:t>
            </w:r>
          </w:p>
        </w:tc>
        <w:tc>
          <w:tcPr>
            <w:tcW w:w="975" w:type="pct"/>
            <w:vAlign w:val="center"/>
          </w:tcPr>
          <w:p w14:paraId="7E96F9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89°7'50.020"</w:t>
            </w:r>
          </w:p>
        </w:tc>
        <w:tc>
          <w:tcPr>
            <w:tcW w:w="649" w:type="pct"/>
            <w:vAlign w:val="center"/>
          </w:tcPr>
          <w:p w14:paraId="00EBA1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488" w:type="pct"/>
            <w:vMerge w:val="continue"/>
            <w:vAlign w:val="center"/>
          </w:tcPr>
          <w:p w14:paraId="6AA2F359">
            <w:pPr>
              <w:pStyle w:val="280"/>
              <w:rPr>
                <w:rFonts w:hint="eastAsia"/>
                <w:color w:val="000000" w:themeColor="text1"/>
                <w14:textFill>
                  <w14:solidFill>
                    <w14:schemeClr w14:val="tx1"/>
                  </w14:solidFill>
                </w14:textFill>
              </w:rPr>
            </w:pPr>
          </w:p>
        </w:tc>
        <w:tc>
          <w:tcPr>
            <w:tcW w:w="614" w:type="pct"/>
            <w:vMerge w:val="continue"/>
            <w:vAlign w:val="center"/>
          </w:tcPr>
          <w:p w14:paraId="085E80D7">
            <w:pPr>
              <w:pStyle w:val="280"/>
              <w:rPr>
                <w:rFonts w:hint="eastAsia"/>
                <w:color w:val="000000" w:themeColor="text1"/>
                <w14:textFill>
                  <w14:solidFill>
                    <w14:schemeClr w14:val="tx1"/>
                  </w14:solidFill>
                </w14:textFill>
              </w:rPr>
            </w:pPr>
          </w:p>
        </w:tc>
        <w:tc>
          <w:tcPr>
            <w:tcW w:w="891" w:type="pct"/>
            <w:vAlign w:val="center"/>
          </w:tcPr>
          <w:p w14:paraId="2C817F7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JD6089井西北约11.6km处</w:t>
            </w:r>
          </w:p>
        </w:tc>
      </w:tr>
      <w:tr w14:paraId="52077E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90" w:hRule="atLeast"/>
        </w:trPr>
        <w:tc>
          <w:tcPr>
            <w:tcW w:w="406" w:type="pct"/>
            <w:vAlign w:val="center"/>
          </w:tcPr>
          <w:p w14:paraId="27EDA2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W8</w:t>
            </w:r>
          </w:p>
        </w:tc>
        <w:tc>
          <w:tcPr>
            <w:tcW w:w="974" w:type="pct"/>
            <w:vAlign w:val="center"/>
          </w:tcPr>
          <w:p w14:paraId="628EC36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44°7'38.130"</w:t>
            </w:r>
          </w:p>
        </w:tc>
        <w:tc>
          <w:tcPr>
            <w:tcW w:w="975" w:type="pct"/>
            <w:vAlign w:val="center"/>
          </w:tcPr>
          <w:p w14:paraId="19EAC6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89°6'19.500"</w:t>
            </w:r>
          </w:p>
        </w:tc>
        <w:tc>
          <w:tcPr>
            <w:tcW w:w="649" w:type="pct"/>
            <w:vAlign w:val="center"/>
          </w:tcPr>
          <w:p w14:paraId="5EDC0F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488" w:type="pct"/>
            <w:vMerge w:val="continue"/>
            <w:vAlign w:val="center"/>
          </w:tcPr>
          <w:p w14:paraId="3B5C2322">
            <w:pPr>
              <w:pStyle w:val="280"/>
              <w:rPr>
                <w:rFonts w:hint="eastAsia"/>
                <w:color w:val="000000" w:themeColor="text1"/>
                <w14:textFill>
                  <w14:solidFill>
                    <w14:schemeClr w14:val="tx1"/>
                  </w14:solidFill>
                </w14:textFill>
              </w:rPr>
            </w:pPr>
          </w:p>
        </w:tc>
        <w:tc>
          <w:tcPr>
            <w:tcW w:w="614" w:type="pct"/>
            <w:vMerge w:val="continue"/>
            <w:vAlign w:val="center"/>
          </w:tcPr>
          <w:p w14:paraId="58BCAAFD">
            <w:pPr>
              <w:pStyle w:val="280"/>
              <w:rPr>
                <w:rFonts w:hint="eastAsia"/>
                <w:color w:val="000000" w:themeColor="text1"/>
                <w14:textFill>
                  <w14:solidFill>
                    <w14:schemeClr w14:val="tx1"/>
                  </w14:solidFill>
                </w14:textFill>
              </w:rPr>
            </w:pPr>
          </w:p>
        </w:tc>
        <w:tc>
          <w:tcPr>
            <w:tcW w:w="891" w:type="pct"/>
            <w:vAlign w:val="center"/>
          </w:tcPr>
          <w:p w14:paraId="58F88B5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JD6089井西北约13.3km处</w:t>
            </w:r>
          </w:p>
        </w:tc>
      </w:tr>
      <w:tr w14:paraId="0CC839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406" w:type="pct"/>
            <w:vAlign w:val="center"/>
          </w:tcPr>
          <w:p w14:paraId="049556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W9</w:t>
            </w:r>
          </w:p>
        </w:tc>
        <w:tc>
          <w:tcPr>
            <w:tcW w:w="974" w:type="pct"/>
            <w:vAlign w:val="center"/>
          </w:tcPr>
          <w:p w14:paraId="7021578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44°9'17.060"</w:t>
            </w:r>
          </w:p>
        </w:tc>
        <w:tc>
          <w:tcPr>
            <w:tcW w:w="975" w:type="pct"/>
            <w:vAlign w:val="center"/>
          </w:tcPr>
          <w:p w14:paraId="4A28D91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89°9'48.720"</w:t>
            </w:r>
          </w:p>
        </w:tc>
        <w:tc>
          <w:tcPr>
            <w:tcW w:w="649" w:type="pct"/>
            <w:vAlign w:val="center"/>
          </w:tcPr>
          <w:p w14:paraId="1C1E61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488" w:type="pct"/>
            <w:vMerge w:val="continue"/>
            <w:vAlign w:val="center"/>
          </w:tcPr>
          <w:p w14:paraId="549E2352">
            <w:pPr>
              <w:pStyle w:val="280"/>
              <w:rPr>
                <w:rFonts w:hint="eastAsia"/>
                <w:color w:val="000000" w:themeColor="text1"/>
                <w14:textFill>
                  <w14:solidFill>
                    <w14:schemeClr w14:val="tx1"/>
                  </w14:solidFill>
                </w14:textFill>
              </w:rPr>
            </w:pPr>
          </w:p>
        </w:tc>
        <w:tc>
          <w:tcPr>
            <w:tcW w:w="614" w:type="pct"/>
            <w:vMerge w:val="continue"/>
            <w:vAlign w:val="center"/>
          </w:tcPr>
          <w:p w14:paraId="51BDE32B">
            <w:pPr>
              <w:pStyle w:val="280"/>
              <w:rPr>
                <w:rFonts w:hint="eastAsia"/>
                <w:color w:val="000000" w:themeColor="text1"/>
                <w14:textFill>
                  <w14:solidFill>
                    <w14:schemeClr w14:val="tx1"/>
                  </w14:solidFill>
                </w14:textFill>
              </w:rPr>
            </w:pPr>
          </w:p>
        </w:tc>
        <w:tc>
          <w:tcPr>
            <w:tcW w:w="891" w:type="pct"/>
            <w:vAlign w:val="center"/>
          </w:tcPr>
          <w:p w14:paraId="7CC0D5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JD6089井西北约9.6km处</w:t>
            </w:r>
          </w:p>
        </w:tc>
      </w:tr>
      <w:tr w14:paraId="57FB76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406" w:type="pct"/>
            <w:vAlign w:val="center"/>
          </w:tcPr>
          <w:p w14:paraId="785EFF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W10</w:t>
            </w:r>
          </w:p>
        </w:tc>
        <w:tc>
          <w:tcPr>
            <w:tcW w:w="974" w:type="pct"/>
            <w:vAlign w:val="center"/>
          </w:tcPr>
          <w:p w14:paraId="6F8D5B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44°8'31.630"</w:t>
            </w:r>
          </w:p>
        </w:tc>
        <w:tc>
          <w:tcPr>
            <w:tcW w:w="975" w:type="pct"/>
            <w:vAlign w:val="center"/>
          </w:tcPr>
          <w:p w14:paraId="1CEBCD6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89°10'34.930"</w:t>
            </w:r>
          </w:p>
        </w:tc>
        <w:tc>
          <w:tcPr>
            <w:tcW w:w="649" w:type="pct"/>
            <w:vAlign w:val="center"/>
          </w:tcPr>
          <w:p w14:paraId="1D34D3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488" w:type="pct"/>
            <w:vMerge w:val="continue"/>
            <w:vAlign w:val="center"/>
          </w:tcPr>
          <w:p w14:paraId="0EA657DF">
            <w:pPr>
              <w:pStyle w:val="280"/>
              <w:rPr>
                <w:rFonts w:hint="eastAsia"/>
                <w:color w:val="000000" w:themeColor="text1"/>
                <w14:textFill>
                  <w14:solidFill>
                    <w14:schemeClr w14:val="tx1"/>
                  </w14:solidFill>
                </w14:textFill>
              </w:rPr>
            </w:pPr>
          </w:p>
        </w:tc>
        <w:tc>
          <w:tcPr>
            <w:tcW w:w="614" w:type="pct"/>
            <w:vMerge w:val="continue"/>
            <w:vAlign w:val="center"/>
          </w:tcPr>
          <w:p w14:paraId="1E85BDD6">
            <w:pPr>
              <w:pStyle w:val="280"/>
              <w:rPr>
                <w:rFonts w:hint="eastAsia"/>
                <w:color w:val="000000" w:themeColor="text1"/>
                <w14:textFill>
                  <w14:solidFill>
                    <w14:schemeClr w14:val="tx1"/>
                  </w14:solidFill>
                </w14:textFill>
              </w:rPr>
            </w:pPr>
          </w:p>
        </w:tc>
        <w:tc>
          <w:tcPr>
            <w:tcW w:w="891" w:type="pct"/>
            <w:vAlign w:val="center"/>
          </w:tcPr>
          <w:p w14:paraId="0BD07A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JD6089井西北约8.1km处</w:t>
            </w:r>
          </w:p>
        </w:tc>
      </w:tr>
      <w:bookmarkEnd w:id="375"/>
    </w:tbl>
    <w:p w14:paraId="6504AECD">
      <w:pPr>
        <w:adjustRightInd w:val="0"/>
        <w:snapToGrid w:val="0"/>
        <w:spacing w:line="500" w:lineRule="exact"/>
        <w:ind w:firstLine="480" w:firstLineChars="200"/>
        <w:rPr>
          <w:rFonts w:hint="eastAsia"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（2）监测因子</w:t>
      </w:r>
    </w:p>
    <w:p w14:paraId="7FB2D426">
      <w:pPr>
        <w:pStyle w:val="193"/>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W1～W5监测因子：K</w:t>
      </w:r>
      <w:r>
        <w:rPr>
          <w:rFonts w:hint="eastAsia"/>
          <w:color w:val="000000" w:themeColor="text1"/>
          <w:vertAlign w:val="superscript"/>
          <w14:textFill>
            <w14:solidFill>
              <w14:schemeClr w14:val="tx1"/>
            </w14:solidFill>
          </w14:textFill>
        </w:rPr>
        <w:t>+</w:t>
      </w:r>
      <w:r>
        <w:rPr>
          <w:rFonts w:hint="eastAsia"/>
          <w:color w:val="000000" w:themeColor="text1"/>
          <w14:textFill>
            <w14:solidFill>
              <w14:schemeClr w14:val="tx1"/>
            </w14:solidFill>
          </w14:textFill>
        </w:rPr>
        <w:t>、Na</w:t>
      </w:r>
      <w:r>
        <w:rPr>
          <w:rFonts w:hint="eastAsia"/>
          <w:color w:val="000000" w:themeColor="text1"/>
          <w:vertAlign w:val="superscript"/>
          <w14:textFill>
            <w14:solidFill>
              <w14:schemeClr w14:val="tx1"/>
            </w14:solidFill>
          </w14:textFill>
        </w:rPr>
        <w:t>+</w:t>
      </w:r>
      <w:r>
        <w:rPr>
          <w:rFonts w:hint="eastAsia"/>
          <w:color w:val="000000" w:themeColor="text1"/>
          <w14:textFill>
            <w14:solidFill>
              <w14:schemeClr w14:val="tx1"/>
            </w14:solidFill>
          </w14:textFill>
        </w:rPr>
        <w:t>、Ca</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、Mg</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、CO</w:t>
      </w:r>
      <w:r>
        <w:rPr>
          <w:rFonts w:hint="eastAsia"/>
          <w:color w:val="000000" w:themeColor="text1"/>
          <w:vertAlign w:val="subscript"/>
          <w14:textFill>
            <w14:solidFill>
              <w14:schemeClr w14:val="tx1"/>
            </w14:solidFill>
          </w14:textFill>
        </w:rPr>
        <w:t>3</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、HCO</w:t>
      </w:r>
      <w:r>
        <w:rPr>
          <w:rFonts w:hint="eastAsia"/>
          <w:color w:val="000000" w:themeColor="text1"/>
          <w:vertAlign w:val="subscript"/>
          <w14:textFill>
            <w14:solidFill>
              <w14:schemeClr w14:val="tx1"/>
            </w14:solidFill>
          </w14:textFill>
        </w:rPr>
        <w:t>3</w:t>
      </w:r>
      <w:r>
        <w:rPr>
          <w:rFonts w:hint="eastAsia"/>
          <w:color w:val="000000" w:themeColor="text1"/>
          <w:vertAlign w:val="superscript"/>
          <w14:textFill>
            <w14:solidFill>
              <w14:schemeClr w14:val="tx1"/>
            </w14:solidFill>
          </w14:textFill>
        </w:rPr>
        <w:t>-</w:t>
      </w:r>
      <w:r>
        <w:rPr>
          <w:rFonts w:hint="eastAsia"/>
          <w:color w:val="000000" w:themeColor="text1"/>
          <w14:textFill>
            <w14:solidFill>
              <w14:schemeClr w14:val="tx1"/>
            </w14:solidFill>
          </w14:textFill>
        </w:rPr>
        <w:t>、Cl</w:t>
      </w:r>
      <w:r>
        <w:rPr>
          <w:rFonts w:hint="eastAsia"/>
          <w:color w:val="000000" w:themeColor="text1"/>
          <w:vertAlign w:val="superscript"/>
          <w14:textFill>
            <w14:solidFill>
              <w14:schemeClr w14:val="tx1"/>
            </w14:solidFill>
          </w14:textFill>
        </w:rPr>
        <w:t>-</w:t>
      </w: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4</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的浓度，pH、氨氮、硝酸盐氮、亚硝酸盐氮、挥发性酚类、氰化物、砷、汞、铬（六价）、总硬度、铅、氟化物、镉、铁、锰、溶解性总固体、耗氧量、硫酸盐、氯化物、石油类、总大肠菌群、细菌总数、钠、硫化物、钡，水位、水温。W6～W10监测因子为水位。</w:t>
      </w:r>
    </w:p>
    <w:p w14:paraId="0A81A24E">
      <w:pPr>
        <w:adjustRightInd w:val="0"/>
        <w:snapToGrid w:val="0"/>
        <w:spacing w:line="500" w:lineRule="exact"/>
        <w:ind w:firstLine="480" w:firstLineChars="200"/>
        <w:rPr>
          <w:rFonts w:hint="eastAsia"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（3）评价</w:t>
      </w:r>
      <w:r>
        <w:rPr>
          <w:rFonts w:ascii="宋体" w:hAnsi="宋体" w:cs="宋体"/>
          <w:color w:val="000000" w:themeColor="text1"/>
          <w:sz w:val="24"/>
          <w:szCs w:val="24"/>
          <w:lang w:bidi="ar"/>
          <w14:textFill>
            <w14:solidFill>
              <w14:schemeClr w14:val="tx1"/>
            </w14:solidFill>
          </w14:textFill>
        </w:rPr>
        <w:t>标准</w:t>
      </w:r>
    </w:p>
    <w:p w14:paraId="2A3C3E6A">
      <w:pPr>
        <w:adjustRightInd w:val="0"/>
        <w:snapToGrid w:val="0"/>
        <w:spacing w:line="500" w:lineRule="exact"/>
        <w:ind w:firstLine="480" w:firstLineChars="200"/>
        <w:rPr>
          <w:rFonts w:hint="eastAsia" w:ascii="宋体" w:hAnsi="宋体" w:cs="宋体"/>
          <w:color w:val="000000" w:themeColor="text1"/>
          <w:sz w:val="24"/>
          <w:szCs w:val="24"/>
          <w:lang w:bidi="ar"/>
          <w14:textFill>
            <w14:solidFill>
              <w14:schemeClr w14:val="tx1"/>
            </w14:solidFill>
          </w14:textFill>
        </w:rPr>
      </w:pPr>
      <w:r>
        <w:rPr>
          <w:rFonts w:ascii="宋体" w:hAnsi="宋体" w:cs="宋体"/>
          <w:color w:val="000000" w:themeColor="text1"/>
          <w:sz w:val="24"/>
          <w:szCs w:val="24"/>
          <w:lang w:bidi="ar"/>
          <w14:textFill>
            <w14:solidFill>
              <w14:schemeClr w14:val="tx1"/>
            </w14:solidFill>
          </w14:textFill>
        </w:rPr>
        <w:t>执行《地下水质量标准》（GB/T14848-</w:t>
      </w:r>
      <w:r>
        <w:rPr>
          <w:rFonts w:hint="eastAsia" w:ascii="宋体" w:hAnsi="宋体" w:cs="宋体"/>
          <w:color w:val="000000" w:themeColor="text1"/>
          <w:sz w:val="24"/>
          <w:szCs w:val="24"/>
          <w:lang w:bidi="ar"/>
          <w14:textFill>
            <w14:solidFill>
              <w14:schemeClr w14:val="tx1"/>
            </w14:solidFill>
          </w14:textFill>
        </w:rPr>
        <w:t>2017</w:t>
      </w:r>
      <w:r>
        <w:rPr>
          <w:rFonts w:ascii="宋体" w:hAnsi="宋体" w:cs="宋体"/>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Ⅲ</w:t>
      </w:r>
      <w:r>
        <w:rPr>
          <w:rFonts w:ascii="宋体" w:hAnsi="宋体" w:cs="宋体"/>
          <w:color w:val="000000" w:themeColor="text1"/>
          <w:sz w:val="24"/>
          <w:szCs w:val="24"/>
          <w:lang w:bidi="ar"/>
          <w14:textFill>
            <w14:solidFill>
              <w14:schemeClr w14:val="tx1"/>
            </w14:solidFill>
          </w14:textFill>
        </w:rPr>
        <w:t>类标准</w:t>
      </w:r>
      <w:r>
        <w:rPr>
          <w:rFonts w:hint="eastAsia" w:ascii="宋体" w:hAnsi="宋体" w:cs="宋体"/>
          <w:color w:val="000000" w:themeColor="text1"/>
          <w:sz w:val="24"/>
          <w:szCs w:val="24"/>
          <w:lang w:bidi="ar"/>
          <w14:textFill>
            <w14:solidFill>
              <w14:schemeClr w14:val="tx1"/>
            </w14:solidFill>
          </w14:textFill>
        </w:rPr>
        <w:t>，石油类参照《地表水环境质量标准》（GB3838-2002）中的Ⅲ类标准</w:t>
      </w:r>
      <w:r>
        <w:rPr>
          <w:rFonts w:ascii="宋体" w:hAnsi="宋体" w:cs="宋体"/>
          <w:color w:val="000000" w:themeColor="text1"/>
          <w:sz w:val="24"/>
          <w:szCs w:val="24"/>
          <w:lang w:bidi="ar"/>
          <w14:textFill>
            <w14:solidFill>
              <w14:schemeClr w14:val="tx1"/>
            </w14:solidFill>
          </w14:textFill>
        </w:rPr>
        <w:t>。</w:t>
      </w:r>
    </w:p>
    <w:p w14:paraId="64332533">
      <w:pPr>
        <w:adjustRightInd w:val="0"/>
        <w:snapToGrid w:val="0"/>
        <w:spacing w:line="500" w:lineRule="exact"/>
        <w:ind w:firstLine="480" w:firstLineChars="200"/>
        <w:rPr>
          <w:rFonts w:hint="eastAsia"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（4）</w:t>
      </w:r>
      <w:r>
        <w:rPr>
          <w:rFonts w:ascii="宋体" w:hAnsi="宋体" w:cs="宋体"/>
          <w:color w:val="000000" w:themeColor="text1"/>
          <w:sz w:val="24"/>
          <w:szCs w:val="24"/>
          <w:lang w:bidi="ar"/>
          <w14:textFill>
            <w14:solidFill>
              <w14:schemeClr w14:val="tx1"/>
            </w14:solidFill>
          </w14:textFill>
        </w:rPr>
        <w:t>评价</w:t>
      </w:r>
      <w:r>
        <w:rPr>
          <w:rFonts w:hint="eastAsia" w:ascii="宋体" w:hAnsi="宋体" w:cs="宋体"/>
          <w:color w:val="000000" w:themeColor="text1"/>
          <w:sz w:val="24"/>
          <w:szCs w:val="24"/>
          <w:lang w:bidi="ar"/>
          <w14:textFill>
            <w14:solidFill>
              <w14:schemeClr w14:val="tx1"/>
            </w14:solidFill>
          </w14:textFill>
        </w:rPr>
        <w:t>方法</w:t>
      </w:r>
    </w:p>
    <w:p w14:paraId="1926F450">
      <w:pPr>
        <w:adjustRightInd w:val="0"/>
        <w:snapToGrid w:val="0"/>
        <w:spacing w:line="500" w:lineRule="exact"/>
        <w:ind w:firstLine="480" w:firstLineChars="200"/>
        <w:rPr>
          <w:rFonts w:hint="eastAsia"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采用单项标准指数法对地下水进行评价。</w:t>
      </w:r>
    </w:p>
    <w:bookmarkEnd w:id="376"/>
    <w:p w14:paraId="0677724A">
      <w:pPr>
        <w:adjustRightInd w:val="0"/>
        <w:snapToGrid w:val="0"/>
        <w:spacing w:line="500" w:lineRule="exact"/>
        <w:ind w:firstLine="496" w:firstLineChars="200"/>
        <w:jc w:val="center"/>
        <w:rPr>
          <w:rFonts w:hint="eastAsia" w:ascii="宋体" w:hAnsi="宋体" w:cs="宋体"/>
          <w:color w:val="000000" w:themeColor="text1"/>
          <w:spacing w:val="4"/>
          <w:sz w:val="24"/>
          <w:szCs w:val="24"/>
          <w14:textFill>
            <w14:solidFill>
              <w14:schemeClr w14:val="tx1"/>
            </w14:solidFill>
          </w14:textFill>
        </w:rPr>
      </w:pPr>
      <w:bookmarkStart w:id="378" w:name="_Hlk37437002"/>
      <w:r>
        <w:rPr>
          <w:rFonts w:hint="eastAsia" w:ascii="宋体" w:hAnsi="宋体" w:cs="宋体"/>
          <w:color w:val="000000" w:themeColor="text1"/>
          <w:spacing w:val="4"/>
          <w:sz w:val="24"/>
          <w:szCs w:val="24"/>
          <w:lang w:bidi="ar"/>
          <w14:textFill>
            <w14:solidFill>
              <w14:schemeClr w14:val="tx1"/>
            </w14:solidFill>
          </w14:textFill>
        </w:rPr>
        <w:t>P</w:t>
      </w:r>
      <w:r>
        <w:rPr>
          <w:rFonts w:hint="eastAsia" w:ascii="宋体" w:hAnsi="宋体" w:cs="宋体"/>
          <w:color w:val="000000" w:themeColor="text1"/>
          <w:spacing w:val="4"/>
          <w:sz w:val="24"/>
          <w:szCs w:val="24"/>
          <w:vertAlign w:val="subscript"/>
          <w:lang w:bidi="ar"/>
          <w14:textFill>
            <w14:solidFill>
              <w14:schemeClr w14:val="tx1"/>
            </w14:solidFill>
          </w14:textFill>
        </w:rPr>
        <w:t>i</w:t>
      </w:r>
      <w:r>
        <w:rPr>
          <w:rFonts w:hint="eastAsia" w:ascii="宋体" w:hAnsi="宋体" w:cs="宋体"/>
          <w:color w:val="000000" w:themeColor="text1"/>
          <w:spacing w:val="4"/>
          <w:sz w:val="24"/>
          <w:szCs w:val="24"/>
          <w:lang w:bidi="ar"/>
          <w14:textFill>
            <w14:solidFill>
              <w14:schemeClr w14:val="tx1"/>
            </w14:solidFill>
          </w14:textFill>
        </w:rPr>
        <w:t>=C</w:t>
      </w:r>
      <w:r>
        <w:rPr>
          <w:rFonts w:hint="eastAsia" w:ascii="宋体" w:hAnsi="宋体" w:cs="宋体"/>
          <w:color w:val="000000" w:themeColor="text1"/>
          <w:spacing w:val="4"/>
          <w:sz w:val="24"/>
          <w:szCs w:val="24"/>
          <w:vertAlign w:val="subscript"/>
          <w:lang w:bidi="ar"/>
          <w14:textFill>
            <w14:solidFill>
              <w14:schemeClr w14:val="tx1"/>
            </w14:solidFill>
          </w14:textFill>
        </w:rPr>
        <w:t>i</w:t>
      </w:r>
      <w:r>
        <w:rPr>
          <w:rFonts w:hint="eastAsia" w:ascii="宋体" w:hAnsi="宋体" w:cs="宋体"/>
          <w:color w:val="000000" w:themeColor="text1"/>
          <w:spacing w:val="4"/>
          <w:sz w:val="24"/>
          <w:szCs w:val="24"/>
          <w:lang w:bidi="ar"/>
          <w14:textFill>
            <w14:solidFill>
              <w14:schemeClr w14:val="tx1"/>
            </w14:solidFill>
          </w14:textFill>
        </w:rPr>
        <w:t>/C</w:t>
      </w:r>
      <w:r>
        <w:rPr>
          <w:rFonts w:hint="eastAsia" w:ascii="宋体" w:hAnsi="宋体" w:cs="宋体"/>
          <w:color w:val="000000" w:themeColor="text1"/>
          <w:spacing w:val="4"/>
          <w:sz w:val="24"/>
          <w:szCs w:val="24"/>
          <w:vertAlign w:val="subscript"/>
          <w:lang w:bidi="ar"/>
          <w14:textFill>
            <w14:solidFill>
              <w14:schemeClr w14:val="tx1"/>
            </w14:solidFill>
          </w14:textFill>
        </w:rPr>
        <w:t>si</w:t>
      </w:r>
    </w:p>
    <w:p w14:paraId="2F683077">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式中：P</w:t>
      </w:r>
      <w:r>
        <w:rPr>
          <w:rFonts w:hint="eastAsia" w:ascii="宋体" w:hAnsi="宋体" w:cs="宋体"/>
          <w:color w:val="000000" w:themeColor="text1"/>
          <w:sz w:val="24"/>
          <w:szCs w:val="24"/>
          <w:vertAlign w:val="subscript"/>
          <w:lang w:bidi="ar"/>
          <w14:textFill>
            <w14:solidFill>
              <w14:schemeClr w14:val="tx1"/>
            </w14:solidFill>
          </w14:textFill>
        </w:rPr>
        <w:t>i</w:t>
      </w:r>
      <w:r>
        <w:rPr>
          <w:rFonts w:hint="eastAsia" w:ascii="宋体" w:hAnsi="宋体" w:cs="宋体"/>
          <w:color w:val="000000" w:themeColor="text1"/>
          <w:sz w:val="24"/>
          <w:szCs w:val="24"/>
          <w:lang w:bidi="ar"/>
          <w14:textFill>
            <w14:solidFill>
              <w14:schemeClr w14:val="tx1"/>
            </w14:solidFill>
          </w14:textFill>
        </w:rPr>
        <w:t>——水质单项标准指数；</w:t>
      </w:r>
    </w:p>
    <w:p w14:paraId="4B1805D1">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 xml:space="preserve">      C</w:t>
      </w:r>
      <w:r>
        <w:rPr>
          <w:rFonts w:hint="eastAsia" w:ascii="宋体" w:hAnsi="宋体" w:cs="宋体"/>
          <w:color w:val="000000" w:themeColor="text1"/>
          <w:sz w:val="24"/>
          <w:szCs w:val="24"/>
          <w:vertAlign w:val="subscript"/>
          <w:lang w:bidi="ar"/>
          <w14:textFill>
            <w14:solidFill>
              <w14:schemeClr w14:val="tx1"/>
            </w14:solidFill>
          </w14:textFill>
        </w:rPr>
        <w:t>i,j</w:t>
      </w:r>
      <w:r>
        <w:rPr>
          <w:rFonts w:hint="eastAsia" w:ascii="宋体" w:hAnsi="宋体" w:cs="宋体"/>
          <w:color w:val="000000" w:themeColor="text1"/>
          <w:sz w:val="24"/>
          <w:szCs w:val="24"/>
          <w:lang w:bidi="ar"/>
          <w14:textFill>
            <w14:solidFill>
              <w14:schemeClr w14:val="tx1"/>
            </w14:solidFill>
          </w14:textFill>
        </w:rPr>
        <w:t>——水质评价因子i在第j取样点的浓度，mg/L；</w:t>
      </w:r>
    </w:p>
    <w:p w14:paraId="73A412CA">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 xml:space="preserve">      C</w:t>
      </w:r>
      <w:r>
        <w:rPr>
          <w:rFonts w:hint="eastAsia" w:ascii="宋体" w:hAnsi="宋体" w:cs="宋体"/>
          <w:color w:val="000000" w:themeColor="text1"/>
          <w:sz w:val="24"/>
          <w:szCs w:val="24"/>
          <w:vertAlign w:val="subscript"/>
          <w:lang w:bidi="ar"/>
          <w14:textFill>
            <w14:solidFill>
              <w14:schemeClr w14:val="tx1"/>
            </w14:solidFill>
          </w14:textFill>
        </w:rPr>
        <w:t xml:space="preserve">si </w:t>
      </w:r>
      <w:r>
        <w:rPr>
          <w:rFonts w:hint="eastAsia" w:ascii="宋体" w:hAnsi="宋体" w:cs="宋体"/>
          <w:color w:val="000000" w:themeColor="text1"/>
          <w:sz w:val="24"/>
          <w:szCs w:val="24"/>
          <w:lang w:bidi="ar"/>
          <w14:textFill>
            <w14:solidFill>
              <w14:schemeClr w14:val="tx1"/>
            </w14:solidFill>
          </w14:textFill>
        </w:rPr>
        <w:t>——i因子的评价标准，mg/L；</w:t>
      </w:r>
    </w:p>
    <w:p w14:paraId="7871D6DA">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pH的单项标准指数表达式为：</w:t>
      </w:r>
    </w:p>
    <w:p w14:paraId="424C529F">
      <w:pPr>
        <w:adjustRightInd w:val="0"/>
        <w:snapToGrid w:val="0"/>
        <w:spacing w:line="360" w:lineRule="auto"/>
        <w:ind w:firstLine="496" w:firstLineChars="200"/>
        <w:jc w:val="center"/>
        <w:rPr>
          <w:rFonts w:hint="eastAsia" w:ascii="宋体" w:hAnsi="宋体" w:cs="宋体"/>
          <w:color w:val="000000" w:themeColor="text1"/>
          <w:spacing w:val="4"/>
          <w:sz w:val="24"/>
          <w:szCs w:val="24"/>
          <w14:textFill>
            <w14:solidFill>
              <w14:schemeClr w14:val="tx1"/>
            </w14:solidFill>
          </w14:textFill>
        </w:rPr>
      </w:pPr>
      <w:r>
        <w:rPr>
          <w:rFonts w:hint="eastAsia" w:ascii="宋体" w:hAnsi="宋体" w:cs="宋体"/>
          <w:color w:val="000000" w:themeColor="text1"/>
          <w:spacing w:val="4"/>
          <w:sz w:val="24"/>
          <w:szCs w:val="24"/>
          <w:lang w:bidi="ar"/>
          <w14:textFill>
            <w14:solidFill>
              <w14:schemeClr w14:val="tx1"/>
            </w14:solidFill>
          </w14:textFill>
        </w:rPr>
        <w:t>pH</w:t>
      </w:r>
      <w:r>
        <w:rPr>
          <w:rFonts w:hint="eastAsia" w:ascii="宋体" w:hAnsi="宋体" w:cs="宋体"/>
          <w:color w:val="000000" w:themeColor="text1"/>
          <w:spacing w:val="4"/>
          <w:sz w:val="24"/>
          <w:szCs w:val="24"/>
          <w:vertAlign w:val="subscript"/>
          <w:lang w:bidi="ar"/>
          <w14:textFill>
            <w14:solidFill>
              <w14:schemeClr w14:val="tx1"/>
            </w14:solidFill>
          </w14:textFill>
        </w:rPr>
        <w:t>j</w:t>
      </w:r>
      <w:r>
        <w:rPr>
          <w:rFonts w:hint="eastAsia" w:ascii="宋体" w:hAnsi="宋体" w:cs="宋体"/>
          <w:color w:val="000000" w:themeColor="text1"/>
          <w:spacing w:val="4"/>
          <w:sz w:val="24"/>
          <w:szCs w:val="24"/>
          <w:lang w:bidi="ar"/>
          <w14:textFill>
            <w14:solidFill>
              <w14:schemeClr w14:val="tx1"/>
            </w14:solidFill>
          </w14:textFill>
        </w:rPr>
        <w:t xml:space="preserve">≤7.0时；  </w:t>
      </w:r>
      <w:r>
        <w:rPr>
          <w:rFonts w:hint="eastAsia" w:ascii="宋体" w:hAnsi="宋体" w:cs="宋体"/>
          <w:color w:val="000000" w:themeColor="text1"/>
          <w:spacing w:val="4"/>
          <w:position w:val="-30"/>
          <w:sz w:val="24"/>
          <w:szCs w:val="24"/>
          <w:lang w:bidi="ar"/>
          <w14:textFill>
            <w14:solidFill>
              <w14:schemeClr w14:val="tx1"/>
            </w14:solidFill>
          </w14:textFill>
        </w:rPr>
        <w:drawing>
          <wp:inline distT="0" distB="0" distL="0" distR="0">
            <wp:extent cx="1217930" cy="457200"/>
            <wp:effectExtent l="0" t="0" r="0" b="0"/>
            <wp:docPr id="8738900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90050" name="图片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217930" cy="457200"/>
                    </a:xfrm>
                    <a:prstGeom prst="rect">
                      <a:avLst/>
                    </a:prstGeom>
                    <a:noFill/>
                    <a:ln>
                      <a:noFill/>
                    </a:ln>
                  </pic:spPr>
                </pic:pic>
              </a:graphicData>
            </a:graphic>
          </wp:inline>
        </w:drawing>
      </w:r>
    </w:p>
    <w:p w14:paraId="050A671F">
      <w:pPr>
        <w:adjustRightInd w:val="0"/>
        <w:snapToGrid w:val="0"/>
        <w:spacing w:line="360" w:lineRule="auto"/>
        <w:ind w:firstLine="496" w:firstLineChars="200"/>
        <w:jc w:val="center"/>
        <w:rPr>
          <w:rFonts w:hint="eastAsia" w:ascii="宋体" w:hAnsi="宋体" w:cs="宋体"/>
          <w:color w:val="000000" w:themeColor="text1"/>
          <w:spacing w:val="4"/>
          <w:sz w:val="24"/>
          <w:szCs w:val="24"/>
          <w14:textFill>
            <w14:solidFill>
              <w14:schemeClr w14:val="tx1"/>
            </w14:solidFill>
          </w14:textFill>
        </w:rPr>
      </w:pPr>
      <w:r>
        <w:rPr>
          <w:rFonts w:hint="eastAsia" w:ascii="宋体" w:hAnsi="宋体" w:cs="宋体"/>
          <w:color w:val="000000" w:themeColor="text1"/>
          <w:spacing w:val="4"/>
          <w:sz w:val="24"/>
          <w:szCs w:val="24"/>
          <w:lang w:bidi="ar"/>
          <w14:textFill>
            <w14:solidFill>
              <w14:schemeClr w14:val="tx1"/>
            </w14:solidFill>
          </w14:textFill>
        </w:rPr>
        <w:t>pH</w:t>
      </w:r>
      <w:r>
        <w:rPr>
          <w:rFonts w:hint="eastAsia" w:ascii="宋体" w:hAnsi="宋体" w:cs="宋体"/>
          <w:color w:val="000000" w:themeColor="text1"/>
          <w:spacing w:val="4"/>
          <w:sz w:val="24"/>
          <w:szCs w:val="24"/>
          <w:vertAlign w:val="subscript"/>
          <w:lang w:bidi="ar"/>
          <w14:textFill>
            <w14:solidFill>
              <w14:schemeClr w14:val="tx1"/>
            </w14:solidFill>
          </w14:textFill>
        </w:rPr>
        <w:t>j</w:t>
      </w:r>
      <w:r>
        <w:rPr>
          <w:rFonts w:hint="eastAsia" w:ascii="宋体" w:hAnsi="宋体" w:cs="宋体"/>
          <w:color w:val="000000" w:themeColor="text1"/>
          <w:spacing w:val="4"/>
          <w:sz w:val="24"/>
          <w:szCs w:val="24"/>
          <w:lang w:bidi="ar"/>
          <w14:textFill>
            <w14:solidFill>
              <w14:schemeClr w14:val="tx1"/>
            </w14:solidFill>
          </w14:textFill>
        </w:rPr>
        <w:t xml:space="preserve">＞7.0时；  </w:t>
      </w:r>
      <w:r>
        <w:rPr>
          <w:rFonts w:hint="eastAsia" w:ascii="宋体" w:hAnsi="宋体" w:cs="宋体"/>
          <w:color w:val="000000" w:themeColor="text1"/>
          <w:spacing w:val="4"/>
          <w:position w:val="-30"/>
          <w:sz w:val="24"/>
          <w:szCs w:val="24"/>
          <w:lang w:bidi="ar"/>
          <w14:textFill>
            <w14:solidFill>
              <w14:schemeClr w14:val="tx1"/>
            </w14:solidFill>
          </w14:textFill>
        </w:rPr>
        <w:drawing>
          <wp:inline distT="0" distB="0" distL="0" distR="0">
            <wp:extent cx="1217930" cy="457200"/>
            <wp:effectExtent l="0" t="0" r="1270" b="0"/>
            <wp:docPr id="739561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61620" name="图片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1217930" cy="457200"/>
                    </a:xfrm>
                    <a:prstGeom prst="rect">
                      <a:avLst/>
                    </a:prstGeom>
                    <a:noFill/>
                    <a:ln>
                      <a:noFill/>
                    </a:ln>
                  </pic:spPr>
                </pic:pic>
              </a:graphicData>
            </a:graphic>
          </wp:inline>
        </w:drawing>
      </w:r>
    </w:p>
    <w:p w14:paraId="7B22BD11">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式中：S</w:t>
      </w:r>
      <w:r>
        <w:rPr>
          <w:rFonts w:hint="eastAsia" w:ascii="宋体" w:hAnsi="宋体" w:cs="宋体"/>
          <w:color w:val="000000" w:themeColor="text1"/>
          <w:sz w:val="24"/>
          <w:szCs w:val="24"/>
          <w:vertAlign w:val="subscript"/>
          <w:lang w:bidi="ar"/>
          <w14:textFill>
            <w14:solidFill>
              <w14:schemeClr w14:val="tx1"/>
            </w14:solidFill>
          </w14:textFill>
        </w:rPr>
        <w:t>pH,j</w:t>
      </w:r>
      <w:r>
        <w:rPr>
          <w:rFonts w:hint="eastAsia" w:ascii="宋体" w:hAnsi="宋体" w:cs="宋体"/>
          <w:color w:val="000000" w:themeColor="text1"/>
          <w:sz w:val="24"/>
          <w:szCs w:val="24"/>
          <w:lang w:bidi="ar"/>
          <w14:textFill>
            <w14:solidFill>
              <w14:schemeClr w14:val="tx1"/>
            </w14:solidFill>
          </w14:textFill>
        </w:rPr>
        <w:t>—pH标准指数；</w:t>
      </w:r>
    </w:p>
    <w:p w14:paraId="7EBC26D7">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 xml:space="preserve">      pH</w:t>
      </w:r>
      <w:r>
        <w:rPr>
          <w:rFonts w:hint="eastAsia" w:ascii="宋体" w:hAnsi="宋体" w:cs="宋体"/>
          <w:color w:val="000000" w:themeColor="text1"/>
          <w:sz w:val="24"/>
          <w:szCs w:val="24"/>
          <w:vertAlign w:val="subscript"/>
          <w:lang w:bidi="ar"/>
          <w14:textFill>
            <w14:solidFill>
              <w14:schemeClr w14:val="tx1"/>
            </w14:solidFill>
          </w14:textFill>
        </w:rPr>
        <w:t xml:space="preserve">j </w:t>
      </w:r>
      <w:r>
        <w:rPr>
          <w:rFonts w:hint="eastAsia" w:ascii="宋体" w:hAnsi="宋体" w:cs="宋体"/>
          <w:color w:val="000000" w:themeColor="text1"/>
          <w:sz w:val="24"/>
          <w:szCs w:val="24"/>
          <w:lang w:bidi="ar"/>
          <w14:textFill>
            <w14:solidFill>
              <w14:schemeClr w14:val="tx1"/>
            </w14:solidFill>
          </w14:textFill>
        </w:rPr>
        <w:t>—j点实测pH值；</w:t>
      </w:r>
    </w:p>
    <w:p w14:paraId="132AF514">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 xml:space="preserve">      pH</w:t>
      </w:r>
      <w:r>
        <w:rPr>
          <w:rFonts w:hint="eastAsia" w:ascii="宋体" w:hAnsi="宋体" w:cs="宋体"/>
          <w:color w:val="000000" w:themeColor="text1"/>
          <w:sz w:val="24"/>
          <w:szCs w:val="24"/>
          <w:vertAlign w:val="subscript"/>
          <w:lang w:bidi="ar"/>
          <w14:textFill>
            <w14:solidFill>
              <w14:schemeClr w14:val="tx1"/>
            </w14:solidFill>
          </w14:textFill>
        </w:rPr>
        <w:t>sd</w:t>
      </w:r>
      <w:r>
        <w:rPr>
          <w:rFonts w:hint="eastAsia" w:ascii="宋体" w:hAnsi="宋体" w:cs="宋体"/>
          <w:color w:val="000000" w:themeColor="text1"/>
          <w:sz w:val="24"/>
          <w:szCs w:val="24"/>
          <w:lang w:bidi="ar"/>
          <w14:textFill>
            <w14:solidFill>
              <w14:schemeClr w14:val="tx1"/>
            </w14:solidFill>
          </w14:textFill>
        </w:rPr>
        <w:t>—标准中的pH值的下限值；</w:t>
      </w:r>
    </w:p>
    <w:p w14:paraId="7208B430">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 xml:space="preserve">      pH</w:t>
      </w:r>
      <w:r>
        <w:rPr>
          <w:rFonts w:hint="eastAsia" w:ascii="宋体" w:hAnsi="宋体" w:cs="宋体"/>
          <w:color w:val="000000" w:themeColor="text1"/>
          <w:sz w:val="24"/>
          <w:szCs w:val="24"/>
          <w:vertAlign w:val="subscript"/>
          <w:lang w:bidi="ar"/>
          <w14:textFill>
            <w14:solidFill>
              <w14:schemeClr w14:val="tx1"/>
            </w14:solidFill>
          </w14:textFill>
        </w:rPr>
        <w:t>SU</w:t>
      </w:r>
      <w:r>
        <w:rPr>
          <w:rFonts w:hint="eastAsia" w:ascii="宋体" w:hAnsi="宋体" w:cs="宋体"/>
          <w:color w:val="000000" w:themeColor="text1"/>
          <w:sz w:val="24"/>
          <w:szCs w:val="24"/>
          <w:lang w:bidi="ar"/>
          <w14:textFill>
            <w14:solidFill>
              <w14:schemeClr w14:val="tx1"/>
            </w14:solidFill>
          </w14:textFill>
        </w:rPr>
        <w:t>—标准中的pH值的上限值。</w:t>
      </w:r>
    </w:p>
    <w:p w14:paraId="52F590EB">
      <w:pPr>
        <w:adjustRightInd w:val="0"/>
        <w:snapToGrid w:val="0"/>
        <w:spacing w:line="500" w:lineRule="exact"/>
        <w:ind w:firstLine="420" w:firstLineChars="200"/>
        <w:rPr>
          <w:rFonts w:hint="eastAsia" w:ascii="宋体" w:hAnsi="宋体" w:cs="宋体"/>
          <w:color w:val="000000" w:themeColor="text1"/>
          <w:sz w:val="24"/>
          <w:szCs w:val="24"/>
          <w:lang w:bidi="ar"/>
          <w14:textFill>
            <w14:solidFill>
              <w14:schemeClr w14:val="tx1"/>
            </w14:solidFill>
          </w14:textFill>
        </w:rPr>
      </w:pPr>
      <w:r>
        <w:rPr>
          <w:rFonts w:hint="eastAsia" w:cs="宋体"/>
          <w:color w:val="000000" w:themeColor="text1"/>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5）评价结果</w:t>
      </w:r>
    </w:p>
    <w:p w14:paraId="31C56E66">
      <w:pPr>
        <w:adjustRightInd w:val="0"/>
        <w:snapToGrid w:val="0"/>
        <w:spacing w:line="500" w:lineRule="exact"/>
        <w:ind w:firstLine="480" w:firstLineChars="200"/>
        <w:rPr>
          <w:rFonts w:hint="eastAsia"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水质监测及评价结果见表</w:t>
      </w:r>
      <w:r>
        <w:rPr>
          <w:rFonts w:ascii="宋体" w:hAnsi="宋体" w:cs="宋体"/>
          <w:color w:val="000000" w:themeColor="text1"/>
          <w:sz w:val="24"/>
          <w:szCs w:val="24"/>
          <w:lang w:bidi="ar"/>
          <w14:textFill>
            <w14:solidFill>
              <w14:schemeClr w14:val="tx1"/>
            </w14:solidFill>
          </w14:textFill>
        </w:rPr>
        <w:t>4.3</w:t>
      </w:r>
      <w:r>
        <w:rPr>
          <w:rFonts w:hint="eastAsia" w:ascii="宋体" w:hAnsi="宋体" w:cs="宋体"/>
          <w:color w:val="000000" w:themeColor="text1"/>
          <w:sz w:val="24"/>
          <w:szCs w:val="24"/>
          <w:lang w:bidi="ar"/>
          <w14:textFill>
            <w14:solidFill>
              <w14:schemeClr w14:val="tx1"/>
            </w14:solidFill>
          </w14:textFill>
        </w:rPr>
        <w:t>-6。</w:t>
      </w:r>
    </w:p>
    <w:p w14:paraId="7E290F86">
      <w:pPr>
        <w:adjustRightInd w:val="0"/>
        <w:snapToGrid w:val="0"/>
        <w:spacing w:line="500" w:lineRule="exact"/>
        <w:ind w:firstLine="480" w:firstLineChars="200"/>
        <w:rPr>
          <w:rStyle w:val="192"/>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p>
    <w:p w14:paraId="08458B08">
      <w:pPr>
        <w:pStyle w:val="120"/>
        <w:spacing w:line="240" w:lineRule="auto"/>
        <w:ind w:firstLine="0" w:firstLineChars="0"/>
        <w:rPr>
          <w:rFonts w:hint="eastAsia"/>
          <w:color w:val="000000" w:themeColor="text1"/>
          <w14:textFill>
            <w14:solidFill>
              <w14:schemeClr w14:val="tx1"/>
            </w14:solidFill>
          </w14:textFill>
        </w:rPr>
      </w:pPr>
      <w:bookmarkStart w:id="379" w:name="_Hlk520568237"/>
      <w:r>
        <w:rPr>
          <w:rFonts w:hint="eastAsia"/>
          <w:color w:val="000000" w:themeColor="text1"/>
          <w14:textFill>
            <w14:solidFill>
              <w14:schemeClr w14:val="tx1"/>
            </w14:solidFill>
          </w14:textFill>
        </w:rPr>
        <w:drawing>
          <wp:inline distT="0" distB="0" distL="114300" distR="114300">
            <wp:extent cx="8886190" cy="5093970"/>
            <wp:effectExtent l="9525" t="9525" r="19685" b="20955"/>
            <wp:docPr id="106" name="图片 106" descr="大气监测点（吉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大气监测点（吉7）"/>
                    <pic:cNvPicPr>
                      <a:picLocks noChangeAspect="1"/>
                    </pic:cNvPicPr>
                  </pic:nvPicPr>
                  <pic:blipFill>
                    <a:blip r:embed="rId67"/>
                    <a:stretch>
                      <a:fillRect/>
                    </a:stretch>
                  </pic:blipFill>
                  <pic:spPr>
                    <a:xfrm>
                      <a:off x="0" y="0"/>
                      <a:ext cx="8886190" cy="5093970"/>
                    </a:xfrm>
                    <a:prstGeom prst="rect">
                      <a:avLst/>
                    </a:prstGeom>
                    <a:ln>
                      <a:solidFill>
                        <a:schemeClr val="tx1"/>
                      </a:solidFill>
                    </a:ln>
                  </pic:spPr>
                </pic:pic>
              </a:graphicData>
            </a:graphic>
          </wp:inline>
        </w:drawing>
      </w:r>
    </w:p>
    <w:p w14:paraId="6EF3756A">
      <w:pPr>
        <w:spacing w:line="500" w:lineRule="exact"/>
        <w:ind w:firstLine="480"/>
        <w:jc w:val="center"/>
        <w:rPr>
          <w:rFonts w:hint="eastAsia" w:ascii="黑体" w:hAnsi="黑体" w:eastAsia="黑体"/>
          <w:bCs/>
          <w:color w:val="000000" w:themeColor="text1"/>
          <w:szCs w:val="21"/>
          <w14:textFill>
            <w14:solidFill>
              <w14:schemeClr w14:val="tx1"/>
            </w14:solidFill>
          </w14:textFill>
        </w:rPr>
      </w:pPr>
      <w:r>
        <w:rPr>
          <w:rFonts w:hint="eastAsia" w:ascii="黑体" w:hAnsi="黑体" w:eastAsia="黑体"/>
          <w:bCs/>
          <w:color w:val="000000" w:themeColor="text1"/>
          <w:szCs w:val="21"/>
          <w14:textFill>
            <w14:solidFill>
              <w14:schemeClr w14:val="tx1"/>
            </w14:solidFill>
          </w14:textFill>
        </w:rPr>
        <w:t>图4.3-1  环境空气质量监测布点示意图</w:t>
      </w:r>
    </w:p>
    <w:p w14:paraId="0CEC569A">
      <w:pPr>
        <w:rPr>
          <w:rFonts w:hint="eastAsia" w:ascii="黑体" w:hAnsi="黑体" w:eastAsia="黑体"/>
          <w:bCs/>
          <w:color w:val="000000" w:themeColor="text1"/>
          <w:szCs w:val="21"/>
          <w14:textFill>
            <w14:solidFill>
              <w14:schemeClr w14:val="tx1"/>
            </w14:solidFill>
          </w14:textFill>
        </w:rPr>
      </w:pPr>
      <w:r>
        <w:rPr>
          <w:rFonts w:hint="eastAsia" w:ascii="黑体" w:hAnsi="黑体" w:eastAsia="黑体"/>
          <w:bCs/>
          <w:color w:val="000000" w:themeColor="text1"/>
          <w:szCs w:val="21"/>
          <w14:textFill>
            <w14:solidFill>
              <w14:schemeClr w14:val="tx1"/>
            </w14:solidFill>
          </w14:textFill>
        </w:rPr>
        <w:drawing>
          <wp:inline distT="0" distB="0" distL="114300" distR="114300">
            <wp:extent cx="8879205" cy="5040630"/>
            <wp:effectExtent l="9525" t="9525" r="26670" b="17145"/>
            <wp:docPr id="101" name="图片 101" descr="吉7地下水监测点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吉7地下水监测点位图"/>
                    <pic:cNvPicPr>
                      <a:picLocks noChangeAspect="1"/>
                    </pic:cNvPicPr>
                  </pic:nvPicPr>
                  <pic:blipFill>
                    <a:blip r:embed="rId68"/>
                    <a:stretch>
                      <a:fillRect/>
                    </a:stretch>
                  </pic:blipFill>
                  <pic:spPr>
                    <a:xfrm>
                      <a:off x="0" y="0"/>
                      <a:ext cx="8879205" cy="5040630"/>
                    </a:xfrm>
                    <a:prstGeom prst="rect">
                      <a:avLst/>
                    </a:prstGeom>
                    <a:ln>
                      <a:solidFill>
                        <a:schemeClr val="tx1"/>
                      </a:solidFill>
                    </a:ln>
                  </pic:spPr>
                </pic:pic>
              </a:graphicData>
            </a:graphic>
          </wp:inline>
        </w:drawing>
      </w:r>
    </w:p>
    <w:p w14:paraId="61C3056B">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图4.3-2  地下水监测布点示意图</w:t>
      </w:r>
    </w:p>
    <w:p w14:paraId="11B3D1E9">
      <w:pPr>
        <w:pStyle w:val="19"/>
        <w:jc w:val="both"/>
        <w:rPr>
          <w:rStyle w:val="166"/>
          <w:rFonts w:hint="eastAsia"/>
          <w:color w:val="000000" w:themeColor="text1"/>
          <w14:textFill>
            <w14:solidFill>
              <w14:schemeClr w14:val="tx1"/>
            </w14:solidFill>
          </w14:textFill>
        </w:rPr>
      </w:pPr>
      <w:r>
        <w:rPr>
          <w:rStyle w:val="166"/>
          <w:rFonts w:hint="eastAsia"/>
          <w:color w:val="000000" w:themeColor="text1"/>
          <w14:textFill>
            <w14:solidFill>
              <w14:schemeClr w14:val="tx1"/>
            </w14:solidFill>
          </w14:textFill>
        </w:rPr>
        <w:drawing>
          <wp:inline distT="0" distB="0" distL="114300" distR="114300">
            <wp:extent cx="8881110" cy="4987290"/>
            <wp:effectExtent l="0" t="0" r="15240" b="3810"/>
            <wp:docPr id="104" name="图片 104" descr="噪声监测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噪声监测点"/>
                    <pic:cNvPicPr>
                      <a:picLocks noChangeAspect="1"/>
                    </pic:cNvPicPr>
                  </pic:nvPicPr>
                  <pic:blipFill>
                    <a:blip r:embed="rId69"/>
                    <a:stretch>
                      <a:fillRect/>
                    </a:stretch>
                  </pic:blipFill>
                  <pic:spPr>
                    <a:xfrm>
                      <a:off x="0" y="0"/>
                      <a:ext cx="8881110" cy="4987290"/>
                    </a:xfrm>
                    <a:prstGeom prst="rect">
                      <a:avLst/>
                    </a:prstGeom>
                  </pic:spPr>
                </pic:pic>
              </a:graphicData>
            </a:graphic>
          </wp:inline>
        </w:drawing>
      </w:r>
    </w:p>
    <w:p w14:paraId="3A888AAC">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图4.3-3  声环境质量监测布点示意图</w:t>
      </w:r>
    </w:p>
    <w:p w14:paraId="233CB6B6">
      <w:pPr>
        <w:pStyle w:val="19"/>
        <w:jc w:val="both"/>
        <w:rPr>
          <w:rStyle w:val="166"/>
          <w:rFonts w:hint="eastAsia"/>
          <w:color w:val="000000" w:themeColor="text1"/>
          <w14:textFill>
            <w14:solidFill>
              <w14:schemeClr w14:val="tx1"/>
            </w14:solidFill>
          </w14:textFill>
        </w:rPr>
      </w:pPr>
      <w:r>
        <w:rPr>
          <w:rStyle w:val="166"/>
          <w:rFonts w:hint="eastAsia"/>
          <w:color w:val="000000" w:themeColor="text1"/>
          <w14:textFill>
            <w14:solidFill>
              <w14:schemeClr w14:val="tx1"/>
            </w14:solidFill>
          </w14:textFill>
        </w:rPr>
        <w:drawing>
          <wp:inline distT="0" distB="0" distL="114300" distR="114300">
            <wp:extent cx="8879840" cy="4898390"/>
            <wp:effectExtent l="9525" t="9525" r="26035" b="26035"/>
            <wp:docPr id="95" name="图片 95" descr="土壤监测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土壤监测点"/>
                    <pic:cNvPicPr>
                      <a:picLocks noChangeAspect="1"/>
                    </pic:cNvPicPr>
                  </pic:nvPicPr>
                  <pic:blipFill>
                    <a:blip r:embed="rId70"/>
                    <a:stretch>
                      <a:fillRect/>
                    </a:stretch>
                  </pic:blipFill>
                  <pic:spPr>
                    <a:xfrm>
                      <a:off x="0" y="0"/>
                      <a:ext cx="8879840" cy="4898390"/>
                    </a:xfrm>
                    <a:prstGeom prst="rect">
                      <a:avLst/>
                    </a:prstGeom>
                    <a:ln>
                      <a:solidFill>
                        <a:schemeClr val="tx1"/>
                      </a:solidFill>
                    </a:ln>
                  </pic:spPr>
                </pic:pic>
              </a:graphicData>
            </a:graphic>
          </wp:inline>
        </w:drawing>
      </w:r>
    </w:p>
    <w:p w14:paraId="6B3A2FDE">
      <w:pPr>
        <w:jc w:val="center"/>
        <w:rPr>
          <w:rFonts w:hint="eastAsia" w:ascii="黑体" w:hAnsi="黑体" w:eastAsia="黑体"/>
          <w:color w:val="000000" w:themeColor="text1"/>
          <w:szCs w:val="20"/>
          <w14:textFill>
            <w14:solidFill>
              <w14:schemeClr w14:val="tx1"/>
            </w14:solidFill>
          </w14:textFill>
        </w:rPr>
      </w:pPr>
      <w:r>
        <w:rPr>
          <w:rFonts w:hint="eastAsia" w:ascii="黑体" w:hAnsi="黑体" w:eastAsia="黑体"/>
          <w:color w:val="000000" w:themeColor="text1"/>
          <w:szCs w:val="20"/>
          <w14:textFill>
            <w14:solidFill>
              <w14:schemeClr w14:val="tx1"/>
            </w14:solidFill>
          </w14:textFill>
        </w:rPr>
        <w:t>图4.3-4  土壤监测布点示意图</w:t>
      </w:r>
    </w:p>
    <w:p w14:paraId="324B49FD">
      <w:pPr>
        <w:rPr>
          <w:color w:val="000000" w:themeColor="text1"/>
          <w14:textFill>
            <w14:solidFill>
              <w14:schemeClr w14:val="tx1"/>
            </w14:solidFill>
          </w14:textFill>
        </w:rPr>
      </w:pPr>
    </w:p>
    <w:p w14:paraId="0D624FF2">
      <w:pPr>
        <w:pStyle w:val="19"/>
        <w:ind w:firstLine="420"/>
        <w:rPr>
          <w:rFonts w:hint="eastAsia"/>
          <w:color w:val="000000" w:themeColor="text1"/>
          <w14:textFill>
            <w14:solidFill>
              <w14:schemeClr w14:val="tx1"/>
            </w14:solidFill>
          </w14:textFill>
        </w:rPr>
      </w:pPr>
      <w:r>
        <w:rPr>
          <w:rStyle w:val="166"/>
          <w:rFonts w:hint="eastAsia"/>
          <w:color w:val="000000" w:themeColor="text1"/>
          <w14:textFill>
            <w14:solidFill>
              <w14:schemeClr w14:val="tx1"/>
            </w14:solidFill>
          </w14:textFill>
        </w:rPr>
        <w:t>表</w:t>
      </w:r>
      <w:r>
        <w:rPr>
          <w:rStyle w:val="166"/>
          <w:color w:val="000000" w:themeColor="text1"/>
          <w14:textFill>
            <w14:solidFill>
              <w14:schemeClr w14:val="tx1"/>
            </w14:solidFill>
          </w14:textFill>
        </w:rPr>
        <w:t>4.3</w:t>
      </w:r>
      <w:r>
        <w:rPr>
          <w:rStyle w:val="166"/>
          <w:rFonts w:hint="eastAsia"/>
          <w:color w:val="000000" w:themeColor="text1"/>
          <w14:textFill>
            <w14:solidFill>
              <w14:schemeClr w14:val="tx1"/>
            </w14:solidFill>
          </w14:textFill>
        </w:rPr>
        <w:t>-6  地下水现状监测数据一览表    （单位：mg/L，pH无量纲）</w:t>
      </w:r>
    </w:p>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6" w:type="dxa"/>
          <w:bottom w:w="0" w:type="dxa"/>
          <w:right w:w="6" w:type="dxa"/>
        </w:tblCellMar>
      </w:tblPr>
      <w:tblGrid>
        <w:gridCol w:w="427"/>
        <w:gridCol w:w="1443"/>
        <w:gridCol w:w="880"/>
        <w:gridCol w:w="650"/>
        <w:gridCol w:w="944"/>
        <w:gridCol w:w="490"/>
        <w:gridCol w:w="694"/>
        <w:gridCol w:w="916"/>
        <w:gridCol w:w="647"/>
        <w:gridCol w:w="709"/>
        <w:gridCol w:w="989"/>
        <w:gridCol w:w="567"/>
        <w:gridCol w:w="717"/>
        <w:gridCol w:w="1061"/>
        <w:gridCol w:w="633"/>
        <w:gridCol w:w="717"/>
        <w:gridCol w:w="991"/>
        <w:gridCol w:w="525"/>
      </w:tblGrid>
      <w:tr w14:paraId="74FA88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Merge w:val="restart"/>
            <w:vAlign w:val="center"/>
          </w:tcPr>
          <w:p w14:paraId="0FA1B30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515" w:type="pct"/>
            <w:vMerge w:val="restart"/>
            <w:vAlign w:val="center"/>
          </w:tcPr>
          <w:p w14:paraId="495D212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监测项目</w:t>
            </w:r>
          </w:p>
        </w:tc>
        <w:tc>
          <w:tcPr>
            <w:tcW w:w="314" w:type="pct"/>
            <w:vMerge w:val="restart"/>
            <w:vAlign w:val="center"/>
          </w:tcPr>
          <w:p w14:paraId="14CCBAD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p>
        </w:tc>
        <w:tc>
          <w:tcPr>
            <w:tcW w:w="744" w:type="pct"/>
            <w:gridSpan w:val="3"/>
            <w:vAlign w:val="center"/>
          </w:tcPr>
          <w:p w14:paraId="0D27B6E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1</w:t>
            </w:r>
          </w:p>
        </w:tc>
        <w:tc>
          <w:tcPr>
            <w:tcW w:w="806" w:type="pct"/>
            <w:gridSpan w:val="3"/>
            <w:vAlign w:val="center"/>
          </w:tcPr>
          <w:p w14:paraId="479F65C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2</w:t>
            </w:r>
          </w:p>
        </w:tc>
        <w:tc>
          <w:tcPr>
            <w:tcW w:w="809" w:type="pct"/>
            <w:gridSpan w:val="3"/>
            <w:vAlign w:val="center"/>
          </w:tcPr>
          <w:p w14:paraId="491031D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3</w:t>
            </w:r>
          </w:p>
        </w:tc>
        <w:tc>
          <w:tcPr>
            <w:tcW w:w="861" w:type="pct"/>
            <w:gridSpan w:val="3"/>
            <w:vAlign w:val="center"/>
          </w:tcPr>
          <w:p w14:paraId="0D543DC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W7</w:t>
            </w:r>
          </w:p>
        </w:tc>
        <w:tc>
          <w:tcPr>
            <w:tcW w:w="798" w:type="pct"/>
            <w:gridSpan w:val="3"/>
            <w:vAlign w:val="center"/>
          </w:tcPr>
          <w:p w14:paraId="73D2B1C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W9</w:t>
            </w:r>
          </w:p>
        </w:tc>
      </w:tr>
      <w:tr w14:paraId="26A0BF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Merge w:val="continue"/>
            <w:vAlign w:val="center"/>
          </w:tcPr>
          <w:p w14:paraId="4A42C253">
            <w:pPr>
              <w:pStyle w:val="280"/>
              <w:spacing w:line="300" w:lineRule="exact"/>
              <w:rPr>
                <w:rFonts w:hint="eastAsia"/>
                <w:color w:val="000000" w:themeColor="text1"/>
                <w14:textFill>
                  <w14:solidFill>
                    <w14:schemeClr w14:val="tx1"/>
                  </w14:solidFill>
                </w14:textFill>
              </w:rPr>
            </w:pPr>
          </w:p>
        </w:tc>
        <w:tc>
          <w:tcPr>
            <w:tcW w:w="515" w:type="pct"/>
            <w:vMerge w:val="continue"/>
            <w:vAlign w:val="center"/>
          </w:tcPr>
          <w:p w14:paraId="7E25D55F">
            <w:pPr>
              <w:pStyle w:val="280"/>
              <w:spacing w:line="300" w:lineRule="exact"/>
              <w:rPr>
                <w:rFonts w:hint="eastAsia"/>
                <w:color w:val="000000" w:themeColor="text1"/>
                <w14:textFill>
                  <w14:solidFill>
                    <w14:schemeClr w14:val="tx1"/>
                  </w14:solidFill>
                </w14:textFill>
              </w:rPr>
            </w:pPr>
          </w:p>
        </w:tc>
        <w:tc>
          <w:tcPr>
            <w:tcW w:w="314" w:type="pct"/>
            <w:vMerge w:val="continue"/>
            <w:vAlign w:val="center"/>
          </w:tcPr>
          <w:p w14:paraId="0C779AF2">
            <w:pPr>
              <w:pStyle w:val="280"/>
              <w:spacing w:line="300" w:lineRule="exact"/>
              <w:rPr>
                <w:rFonts w:hint="eastAsia"/>
                <w:color w:val="000000" w:themeColor="text1"/>
                <w14:textFill>
                  <w14:solidFill>
                    <w14:schemeClr w14:val="tx1"/>
                  </w14:solidFill>
                </w14:textFill>
              </w:rPr>
            </w:pPr>
          </w:p>
        </w:tc>
        <w:tc>
          <w:tcPr>
            <w:tcW w:w="232" w:type="pct"/>
            <w:vAlign w:val="center"/>
          </w:tcPr>
          <w:p w14:paraId="637FEC1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337" w:type="pct"/>
            <w:vAlign w:val="center"/>
          </w:tcPr>
          <w:p w14:paraId="3D90EE5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175" w:type="pct"/>
            <w:vAlign w:val="center"/>
          </w:tcPr>
          <w:p w14:paraId="7C14847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248" w:type="pct"/>
            <w:vAlign w:val="center"/>
          </w:tcPr>
          <w:p w14:paraId="3A2A31D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327" w:type="pct"/>
            <w:vAlign w:val="center"/>
          </w:tcPr>
          <w:p w14:paraId="7FC75E9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231" w:type="pct"/>
            <w:vAlign w:val="center"/>
          </w:tcPr>
          <w:p w14:paraId="1E85DF3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253" w:type="pct"/>
            <w:vAlign w:val="center"/>
          </w:tcPr>
          <w:p w14:paraId="10D118B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353" w:type="pct"/>
            <w:vAlign w:val="center"/>
          </w:tcPr>
          <w:p w14:paraId="40AE3F9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203" w:type="pct"/>
            <w:vAlign w:val="center"/>
          </w:tcPr>
          <w:p w14:paraId="77CA10D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256" w:type="pct"/>
            <w:vAlign w:val="center"/>
          </w:tcPr>
          <w:p w14:paraId="1DF40C0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379" w:type="pct"/>
            <w:vAlign w:val="center"/>
          </w:tcPr>
          <w:p w14:paraId="367E23D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226" w:type="pct"/>
            <w:vAlign w:val="center"/>
          </w:tcPr>
          <w:p w14:paraId="2030B00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256" w:type="pct"/>
            <w:vAlign w:val="center"/>
          </w:tcPr>
          <w:p w14:paraId="06DE426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354" w:type="pct"/>
            <w:vAlign w:val="center"/>
          </w:tcPr>
          <w:p w14:paraId="17A744C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188" w:type="pct"/>
            <w:vAlign w:val="center"/>
          </w:tcPr>
          <w:p w14:paraId="0706B02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3D7A48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7FEEE4C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15" w:type="pct"/>
            <w:vAlign w:val="center"/>
          </w:tcPr>
          <w:p w14:paraId="0ACC44D3">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pH</w:t>
            </w:r>
            <w:r>
              <w:rPr>
                <w:rFonts w:hint="eastAsia"/>
                <w:color w:val="000000" w:themeColor="text1"/>
                <w14:textFill>
                  <w14:solidFill>
                    <w14:schemeClr w14:val="tx1"/>
                  </w14:solidFill>
                </w14:textFill>
              </w:rPr>
              <w:t>值</w:t>
            </w:r>
          </w:p>
        </w:tc>
        <w:tc>
          <w:tcPr>
            <w:tcW w:w="314" w:type="pct"/>
            <w:vAlign w:val="center"/>
          </w:tcPr>
          <w:p w14:paraId="5978F68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6.5-8.5</w:t>
            </w:r>
          </w:p>
        </w:tc>
        <w:tc>
          <w:tcPr>
            <w:tcW w:w="232" w:type="pct"/>
            <w:vAlign w:val="center"/>
          </w:tcPr>
          <w:p w14:paraId="10970C9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7.4</w:t>
            </w:r>
          </w:p>
        </w:tc>
        <w:tc>
          <w:tcPr>
            <w:tcW w:w="337" w:type="pct"/>
            <w:vAlign w:val="center"/>
          </w:tcPr>
          <w:p w14:paraId="0DC9B08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0.267</w:t>
            </w:r>
          </w:p>
        </w:tc>
        <w:tc>
          <w:tcPr>
            <w:tcW w:w="175" w:type="pct"/>
            <w:vAlign w:val="center"/>
          </w:tcPr>
          <w:p w14:paraId="0D85F81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678A99E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7.7</w:t>
            </w:r>
          </w:p>
        </w:tc>
        <w:tc>
          <w:tcPr>
            <w:tcW w:w="327" w:type="pct"/>
            <w:vAlign w:val="center"/>
          </w:tcPr>
          <w:p w14:paraId="4B3E810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0.467</w:t>
            </w:r>
          </w:p>
        </w:tc>
        <w:tc>
          <w:tcPr>
            <w:tcW w:w="231" w:type="pct"/>
            <w:vAlign w:val="center"/>
          </w:tcPr>
          <w:p w14:paraId="37E8515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66855D1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7.4</w:t>
            </w:r>
          </w:p>
        </w:tc>
        <w:tc>
          <w:tcPr>
            <w:tcW w:w="353" w:type="pct"/>
            <w:vAlign w:val="center"/>
          </w:tcPr>
          <w:p w14:paraId="2551C13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0.267</w:t>
            </w:r>
          </w:p>
        </w:tc>
        <w:tc>
          <w:tcPr>
            <w:tcW w:w="203" w:type="pct"/>
            <w:vAlign w:val="center"/>
          </w:tcPr>
          <w:p w14:paraId="4C6EC7E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50F7D01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7.2</w:t>
            </w:r>
          </w:p>
        </w:tc>
        <w:tc>
          <w:tcPr>
            <w:tcW w:w="379" w:type="pct"/>
            <w:vAlign w:val="center"/>
          </w:tcPr>
          <w:p w14:paraId="4DF7072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0.133</w:t>
            </w:r>
          </w:p>
        </w:tc>
        <w:tc>
          <w:tcPr>
            <w:tcW w:w="226" w:type="pct"/>
            <w:vAlign w:val="center"/>
          </w:tcPr>
          <w:p w14:paraId="18D951B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64215D7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c>
          <w:tcPr>
            <w:tcW w:w="354" w:type="pct"/>
            <w:vAlign w:val="center"/>
          </w:tcPr>
          <w:p w14:paraId="6F0C1CC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0.200</w:t>
            </w:r>
          </w:p>
        </w:tc>
        <w:tc>
          <w:tcPr>
            <w:tcW w:w="188" w:type="pct"/>
            <w:vAlign w:val="center"/>
          </w:tcPr>
          <w:p w14:paraId="3EB83FF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99E37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174341A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15" w:type="pct"/>
            <w:vAlign w:val="center"/>
          </w:tcPr>
          <w:p w14:paraId="0A39B87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水温/℃</w:t>
            </w:r>
          </w:p>
        </w:tc>
        <w:tc>
          <w:tcPr>
            <w:tcW w:w="314" w:type="pct"/>
            <w:vAlign w:val="center"/>
          </w:tcPr>
          <w:p w14:paraId="6365CA0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2" w:type="pct"/>
            <w:vAlign w:val="center"/>
          </w:tcPr>
          <w:p w14:paraId="5304358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5.4</w:t>
            </w:r>
          </w:p>
        </w:tc>
        <w:tc>
          <w:tcPr>
            <w:tcW w:w="337" w:type="pct"/>
            <w:vAlign w:val="center"/>
          </w:tcPr>
          <w:p w14:paraId="638549D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0B6F7F6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48" w:type="pct"/>
            <w:vAlign w:val="center"/>
          </w:tcPr>
          <w:p w14:paraId="4F76426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327" w:type="pct"/>
            <w:vAlign w:val="center"/>
          </w:tcPr>
          <w:p w14:paraId="06DED3B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2D6D134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3" w:type="pct"/>
            <w:vAlign w:val="center"/>
          </w:tcPr>
          <w:p w14:paraId="4C8A92E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353" w:type="pct"/>
            <w:vAlign w:val="center"/>
          </w:tcPr>
          <w:p w14:paraId="7B3222D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4D6EC50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2D8894C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c>
          <w:tcPr>
            <w:tcW w:w="379" w:type="pct"/>
            <w:vAlign w:val="center"/>
          </w:tcPr>
          <w:p w14:paraId="6BC1435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7041CD7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2773BB6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354" w:type="pct"/>
            <w:vAlign w:val="center"/>
          </w:tcPr>
          <w:p w14:paraId="1DEA07D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363A676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AD914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45D0B68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15" w:type="pct"/>
            <w:vAlign w:val="center"/>
          </w:tcPr>
          <w:p w14:paraId="72F826D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溶解性总固体</w:t>
            </w:r>
          </w:p>
        </w:tc>
        <w:tc>
          <w:tcPr>
            <w:tcW w:w="314" w:type="pct"/>
            <w:vAlign w:val="center"/>
          </w:tcPr>
          <w:p w14:paraId="34F734B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≤1000</w:t>
            </w:r>
          </w:p>
        </w:tc>
        <w:tc>
          <w:tcPr>
            <w:tcW w:w="232" w:type="pct"/>
            <w:vAlign w:val="center"/>
          </w:tcPr>
          <w:p w14:paraId="0AAD267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194</w:t>
            </w:r>
          </w:p>
        </w:tc>
        <w:tc>
          <w:tcPr>
            <w:tcW w:w="337" w:type="pct"/>
            <w:vAlign w:val="center"/>
          </w:tcPr>
          <w:p w14:paraId="2FA99DF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0.194</w:t>
            </w:r>
          </w:p>
        </w:tc>
        <w:tc>
          <w:tcPr>
            <w:tcW w:w="175" w:type="pct"/>
            <w:vAlign w:val="center"/>
          </w:tcPr>
          <w:p w14:paraId="191DD471">
            <w:pPr>
              <w:pStyle w:val="280"/>
              <w:spacing w:line="300" w:lineRule="exact"/>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286BA00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209</w:t>
            </w:r>
          </w:p>
        </w:tc>
        <w:tc>
          <w:tcPr>
            <w:tcW w:w="327" w:type="pct"/>
            <w:vAlign w:val="center"/>
          </w:tcPr>
          <w:p w14:paraId="43E645F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0.209</w:t>
            </w:r>
          </w:p>
        </w:tc>
        <w:tc>
          <w:tcPr>
            <w:tcW w:w="231" w:type="pct"/>
            <w:vAlign w:val="center"/>
          </w:tcPr>
          <w:p w14:paraId="7416FB6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30B6B29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215</w:t>
            </w:r>
          </w:p>
        </w:tc>
        <w:tc>
          <w:tcPr>
            <w:tcW w:w="353" w:type="pct"/>
            <w:vAlign w:val="center"/>
          </w:tcPr>
          <w:p w14:paraId="6BEE62E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0.215</w:t>
            </w:r>
          </w:p>
        </w:tc>
        <w:tc>
          <w:tcPr>
            <w:tcW w:w="203" w:type="pct"/>
            <w:vAlign w:val="center"/>
          </w:tcPr>
          <w:p w14:paraId="335466F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480017E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394</w:t>
            </w:r>
          </w:p>
        </w:tc>
        <w:tc>
          <w:tcPr>
            <w:tcW w:w="379" w:type="pct"/>
            <w:vAlign w:val="center"/>
          </w:tcPr>
          <w:p w14:paraId="46A10B5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0.394</w:t>
            </w:r>
          </w:p>
        </w:tc>
        <w:tc>
          <w:tcPr>
            <w:tcW w:w="226" w:type="pct"/>
            <w:vAlign w:val="center"/>
          </w:tcPr>
          <w:p w14:paraId="2B3E264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0A4F922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412</w:t>
            </w:r>
          </w:p>
        </w:tc>
        <w:tc>
          <w:tcPr>
            <w:tcW w:w="354" w:type="pct"/>
            <w:vAlign w:val="center"/>
          </w:tcPr>
          <w:p w14:paraId="29A63DD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0.412</w:t>
            </w:r>
          </w:p>
        </w:tc>
        <w:tc>
          <w:tcPr>
            <w:tcW w:w="188" w:type="pct"/>
            <w:vAlign w:val="center"/>
          </w:tcPr>
          <w:p w14:paraId="699EC42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AC40B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44F6E22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5" w:type="pct"/>
            <w:vAlign w:val="center"/>
          </w:tcPr>
          <w:p w14:paraId="4E4FE0F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耗氧量</w:t>
            </w:r>
          </w:p>
        </w:tc>
        <w:tc>
          <w:tcPr>
            <w:tcW w:w="314" w:type="pct"/>
            <w:vAlign w:val="center"/>
          </w:tcPr>
          <w:p w14:paraId="69755C6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32" w:type="pct"/>
            <w:vAlign w:val="center"/>
          </w:tcPr>
          <w:p w14:paraId="5667005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337" w:type="pct"/>
            <w:vAlign w:val="center"/>
          </w:tcPr>
          <w:p w14:paraId="4884B51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0.500</w:t>
            </w:r>
          </w:p>
        </w:tc>
        <w:tc>
          <w:tcPr>
            <w:tcW w:w="175" w:type="pct"/>
            <w:vAlign w:val="center"/>
          </w:tcPr>
          <w:p w14:paraId="26230E2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29E2411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327" w:type="pct"/>
            <w:vAlign w:val="center"/>
          </w:tcPr>
          <w:p w14:paraId="67E6CF5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0.500</w:t>
            </w:r>
          </w:p>
        </w:tc>
        <w:tc>
          <w:tcPr>
            <w:tcW w:w="231" w:type="pct"/>
            <w:vAlign w:val="center"/>
          </w:tcPr>
          <w:p w14:paraId="1CAC1B5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11A2767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353" w:type="pct"/>
            <w:vAlign w:val="center"/>
          </w:tcPr>
          <w:p w14:paraId="20A73EC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0.567</w:t>
            </w:r>
          </w:p>
        </w:tc>
        <w:tc>
          <w:tcPr>
            <w:tcW w:w="203" w:type="pct"/>
            <w:vAlign w:val="center"/>
          </w:tcPr>
          <w:p w14:paraId="4B1FE45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21885A4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w:t>
            </w:r>
          </w:p>
        </w:tc>
        <w:tc>
          <w:tcPr>
            <w:tcW w:w="379" w:type="pct"/>
            <w:vAlign w:val="center"/>
          </w:tcPr>
          <w:p w14:paraId="06FBA91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0.600</w:t>
            </w:r>
          </w:p>
        </w:tc>
        <w:tc>
          <w:tcPr>
            <w:tcW w:w="226" w:type="pct"/>
            <w:vAlign w:val="center"/>
          </w:tcPr>
          <w:p w14:paraId="7F9193C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0EDFA97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354" w:type="pct"/>
            <w:vAlign w:val="center"/>
          </w:tcPr>
          <w:p w14:paraId="35740DA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0.500</w:t>
            </w:r>
          </w:p>
        </w:tc>
        <w:tc>
          <w:tcPr>
            <w:tcW w:w="188" w:type="pct"/>
            <w:vAlign w:val="center"/>
          </w:tcPr>
          <w:p w14:paraId="403D4D1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883C5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1E0989D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15" w:type="pct"/>
            <w:vAlign w:val="center"/>
          </w:tcPr>
          <w:p w14:paraId="6EFAC1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314" w:type="pct"/>
            <w:vAlign w:val="center"/>
          </w:tcPr>
          <w:p w14:paraId="24D17F5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232" w:type="pct"/>
            <w:vAlign w:val="center"/>
          </w:tcPr>
          <w:p w14:paraId="140E01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0.082</w:t>
            </w:r>
          </w:p>
        </w:tc>
        <w:tc>
          <w:tcPr>
            <w:tcW w:w="337" w:type="pct"/>
            <w:vAlign w:val="center"/>
          </w:tcPr>
          <w:p w14:paraId="784CD82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0.164</w:t>
            </w:r>
          </w:p>
        </w:tc>
        <w:tc>
          <w:tcPr>
            <w:tcW w:w="175" w:type="pct"/>
            <w:vAlign w:val="center"/>
          </w:tcPr>
          <w:p w14:paraId="370E03C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2FB2A8A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0.243</w:t>
            </w:r>
          </w:p>
        </w:tc>
        <w:tc>
          <w:tcPr>
            <w:tcW w:w="327" w:type="pct"/>
            <w:vAlign w:val="center"/>
          </w:tcPr>
          <w:p w14:paraId="73FCE89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0.486</w:t>
            </w:r>
          </w:p>
        </w:tc>
        <w:tc>
          <w:tcPr>
            <w:tcW w:w="231" w:type="pct"/>
            <w:vAlign w:val="center"/>
          </w:tcPr>
          <w:p w14:paraId="487374C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10537EE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0.122</w:t>
            </w:r>
          </w:p>
        </w:tc>
        <w:tc>
          <w:tcPr>
            <w:tcW w:w="353" w:type="pct"/>
            <w:vAlign w:val="center"/>
          </w:tcPr>
          <w:p w14:paraId="6E38863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0.244</w:t>
            </w:r>
          </w:p>
        </w:tc>
        <w:tc>
          <w:tcPr>
            <w:tcW w:w="203" w:type="pct"/>
            <w:vAlign w:val="center"/>
          </w:tcPr>
          <w:p w14:paraId="0981B01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4F4D408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0.179</w:t>
            </w:r>
          </w:p>
        </w:tc>
        <w:tc>
          <w:tcPr>
            <w:tcW w:w="379" w:type="pct"/>
            <w:vAlign w:val="center"/>
          </w:tcPr>
          <w:p w14:paraId="61B1D45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0.358</w:t>
            </w:r>
          </w:p>
        </w:tc>
        <w:tc>
          <w:tcPr>
            <w:tcW w:w="226" w:type="pct"/>
            <w:vAlign w:val="center"/>
          </w:tcPr>
          <w:p w14:paraId="7E2BB7C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6E36A45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0.269</w:t>
            </w:r>
          </w:p>
        </w:tc>
        <w:tc>
          <w:tcPr>
            <w:tcW w:w="354" w:type="pct"/>
            <w:vAlign w:val="center"/>
          </w:tcPr>
          <w:p w14:paraId="414B5D1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0.538</w:t>
            </w:r>
          </w:p>
        </w:tc>
        <w:tc>
          <w:tcPr>
            <w:tcW w:w="188" w:type="pct"/>
            <w:vAlign w:val="center"/>
          </w:tcPr>
          <w:p w14:paraId="033E4FB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AC4B5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4245C35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15" w:type="pct"/>
            <w:vAlign w:val="center"/>
          </w:tcPr>
          <w:p w14:paraId="0963F61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氟化物</w:t>
            </w:r>
          </w:p>
        </w:tc>
        <w:tc>
          <w:tcPr>
            <w:tcW w:w="314" w:type="pct"/>
            <w:vAlign w:val="center"/>
          </w:tcPr>
          <w:p w14:paraId="5AE4362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32" w:type="pct"/>
            <w:vAlign w:val="center"/>
          </w:tcPr>
          <w:p w14:paraId="7FFD7A2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0.142</w:t>
            </w:r>
          </w:p>
        </w:tc>
        <w:tc>
          <w:tcPr>
            <w:tcW w:w="337" w:type="pct"/>
            <w:vAlign w:val="center"/>
          </w:tcPr>
          <w:p w14:paraId="3A445F7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0.142</w:t>
            </w:r>
          </w:p>
        </w:tc>
        <w:tc>
          <w:tcPr>
            <w:tcW w:w="175" w:type="pct"/>
            <w:vAlign w:val="center"/>
          </w:tcPr>
          <w:p w14:paraId="6C10547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498638F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0.135</w:t>
            </w:r>
          </w:p>
        </w:tc>
        <w:tc>
          <w:tcPr>
            <w:tcW w:w="327" w:type="pct"/>
            <w:vAlign w:val="center"/>
          </w:tcPr>
          <w:p w14:paraId="3D43675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0.135</w:t>
            </w:r>
          </w:p>
        </w:tc>
        <w:tc>
          <w:tcPr>
            <w:tcW w:w="231" w:type="pct"/>
            <w:vAlign w:val="center"/>
          </w:tcPr>
          <w:p w14:paraId="5DE1579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28EB136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0.115</w:t>
            </w:r>
          </w:p>
        </w:tc>
        <w:tc>
          <w:tcPr>
            <w:tcW w:w="353" w:type="pct"/>
            <w:vAlign w:val="center"/>
          </w:tcPr>
          <w:p w14:paraId="5D54297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0.115</w:t>
            </w:r>
          </w:p>
        </w:tc>
        <w:tc>
          <w:tcPr>
            <w:tcW w:w="203" w:type="pct"/>
            <w:vAlign w:val="center"/>
          </w:tcPr>
          <w:p w14:paraId="00C6916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5CC586A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0.126</w:t>
            </w:r>
          </w:p>
        </w:tc>
        <w:tc>
          <w:tcPr>
            <w:tcW w:w="379" w:type="pct"/>
            <w:vAlign w:val="center"/>
          </w:tcPr>
          <w:p w14:paraId="20CB3A7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0.126</w:t>
            </w:r>
          </w:p>
        </w:tc>
        <w:tc>
          <w:tcPr>
            <w:tcW w:w="226" w:type="pct"/>
            <w:vAlign w:val="center"/>
          </w:tcPr>
          <w:p w14:paraId="2F8DBF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6BF71DD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0.136</w:t>
            </w:r>
          </w:p>
        </w:tc>
        <w:tc>
          <w:tcPr>
            <w:tcW w:w="354" w:type="pct"/>
            <w:vAlign w:val="center"/>
          </w:tcPr>
          <w:p w14:paraId="024059E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0.136</w:t>
            </w:r>
          </w:p>
        </w:tc>
        <w:tc>
          <w:tcPr>
            <w:tcW w:w="188" w:type="pct"/>
            <w:vAlign w:val="center"/>
          </w:tcPr>
          <w:p w14:paraId="79C5F7E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FBE0F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2779E34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15" w:type="pct"/>
            <w:vAlign w:val="center"/>
          </w:tcPr>
          <w:p w14:paraId="0A11985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氯化物</w:t>
            </w:r>
          </w:p>
        </w:tc>
        <w:tc>
          <w:tcPr>
            <w:tcW w:w="314" w:type="pct"/>
            <w:vAlign w:val="center"/>
          </w:tcPr>
          <w:p w14:paraId="600E81F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c>
          <w:tcPr>
            <w:tcW w:w="232" w:type="pct"/>
            <w:vAlign w:val="center"/>
          </w:tcPr>
          <w:p w14:paraId="279C052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27.3</w:t>
            </w:r>
          </w:p>
        </w:tc>
        <w:tc>
          <w:tcPr>
            <w:tcW w:w="337" w:type="pct"/>
            <w:vAlign w:val="center"/>
          </w:tcPr>
          <w:p w14:paraId="277F1DD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0.109</w:t>
            </w:r>
          </w:p>
        </w:tc>
        <w:tc>
          <w:tcPr>
            <w:tcW w:w="175" w:type="pct"/>
            <w:vAlign w:val="center"/>
          </w:tcPr>
          <w:p w14:paraId="52A76A3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7BA2758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26.8</w:t>
            </w:r>
          </w:p>
        </w:tc>
        <w:tc>
          <w:tcPr>
            <w:tcW w:w="327" w:type="pct"/>
            <w:vAlign w:val="center"/>
          </w:tcPr>
          <w:p w14:paraId="22849D8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0.107</w:t>
            </w:r>
          </w:p>
        </w:tc>
        <w:tc>
          <w:tcPr>
            <w:tcW w:w="231" w:type="pct"/>
            <w:vAlign w:val="center"/>
          </w:tcPr>
          <w:p w14:paraId="549D29D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2C5A6A4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26.3</w:t>
            </w:r>
          </w:p>
        </w:tc>
        <w:tc>
          <w:tcPr>
            <w:tcW w:w="353" w:type="pct"/>
            <w:vAlign w:val="center"/>
          </w:tcPr>
          <w:p w14:paraId="23AD065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0.105</w:t>
            </w:r>
          </w:p>
        </w:tc>
        <w:tc>
          <w:tcPr>
            <w:tcW w:w="203" w:type="pct"/>
            <w:vAlign w:val="center"/>
          </w:tcPr>
          <w:p w14:paraId="3FD8B61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77CF11BB">
            <w:pPr>
              <w:pStyle w:val="280"/>
              <w:spacing w:line="300" w:lineRule="exact"/>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379" w:type="pct"/>
            <w:vAlign w:val="center"/>
          </w:tcPr>
          <w:p w14:paraId="5DE830A9">
            <w:pPr>
              <w:pStyle w:val="280"/>
              <w:spacing w:line="300" w:lineRule="exact"/>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0.132</w:t>
            </w:r>
          </w:p>
        </w:tc>
        <w:tc>
          <w:tcPr>
            <w:tcW w:w="226" w:type="pct"/>
            <w:vAlign w:val="center"/>
          </w:tcPr>
          <w:p w14:paraId="2F9FBBC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1DF4A3B5">
            <w:pPr>
              <w:pStyle w:val="280"/>
              <w:spacing w:line="300" w:lineRule="exact"/>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32</w:t>
            </w:r>
          </w:p>
        </w:tc>
        <w:tc>
          <w:tcPr>
            <w:tcW w:w="354" w:type="pct"/>
            <w:vAlign w:val="center"/>
          </w:tcPr>
          <w:p w14:paraId="4D391060">
            <w:pPr>
              <w:pStyle w:val="280"/>
              <w:spacing w:line="300" w:lineRule="exact"/>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0.128</w:t>
            </w:r>
          </w:p>
        </w:tc>
        <w:tc>
          <w:tcPr>
            <w:tcW w:w="188" w:type="pct"/>
            <w:vAlign w:val="center"/>
          </w:tcPr>
          <w:p w14:paraId="2136008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F17D5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295B376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15" w:type="pct"/>
            <w:vAlign w:val="center"/>
          </w:tcPr>
          <w:p w14:paraId="2B68622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硝酸盐氮</w:t>
            </w:r>
          </w:p>
        </w:tc>
        <w:tc>
          <w:tcPr>
            <w:tcW w:w="314" w:type="pct"/>
            <w:vAlign w:val="center"/>
          </w:tcPr>
          <w:p w14:paraId="5E892FF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232" w:type="pct"/>
            <w:vAlign w:val="center"/>
          </w:tcPr>
          <w:p w14:paraId="500184A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0.906</w:t>
            </w:r>
          </w:p>
        </w:tc>
        <w:tc>
          <w:tcPr>
            <w:tcW w:w="337" w:type="pct"/>
            <w:vAlign w:val="center"/>
          </w:tcPr>
          <w:p w14:paraId="654B9CF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0.045</w:t>
            </w:r>
          </w:p>
        </w:tc>
        <w:tc>
          <w:tcPr>
            <w:tcW w:w="175" w:type="pct"/>
            <w:vAlign w:val="center"/>
          </w:tcPr>
          <w:p w14:paraId="20D096F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7D3BDA7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1.15</w:t>
            </w:r>
          </w:p>
        </w:tc>
        <w:tc>
          <w:tcPr>
            <w:tcW w:w="327" w:type="pct"/>
            <w:vAlign w:val="center"/>
          </w:tcPr>
          <w:p w14:paraId="7C39008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0.058</w:t>
            </w:r>
          </w:p>
        </w:tc>
        <w:tc>
          <w:tcPr>
            <w:tcW w:w="231" w:type="pct"/>
            <w:vAlign w:val="center"/>
          </w:tcPr>
          <w:p w14:paraId="31D68AF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0E9E280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0.796</w:t>
            </w:r>
          </w:p>
        </w:tc>
        <w:tc>
          <w:tcPr>
            <w:tcW w:w="353" w:type="pct"/>
            <w:vAlign w:val="center"/>
          </w:tcPr>
          <w:p w14:paraId="64728FD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0.040</w:t>
            </w:r>
          </w:p>
        </w:tc>
        <w:tc>
          <w:tcPr>
            <w:tcW w:w="203" w:type="pct"/>
            <w:vAlign w:val="center"/>
          </w:tcPr>
          <w:p w14:paraId="1A065D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013C76F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2.35</w:t>
            </w:r>
          </w:p>
        </w:tc>
        <w:tc>
          <w:tcPr>
            <w:tcW w:w="379" w:type="pct"/>
            <w:vAlign w:val="center"/>
          </w:tcPr>
          <w:p w14:paraId="07ABFE2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0.118</w:t>
            </w:r>
          </w:p>
        </w:tc>
        <w:tc>
          <w:tcPr>
            <w:tcW w:w="226" w:type="pct"/>
            <w:vAlign w:val="center"/>
          </w:tcPr>
          <w:p w14:paraId="6C41E8A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3786FC6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2.36</w:t>
            </w:r>
          </w:p>
        </w:tc>
        <w:tc>
          <w:tcPr>
            <w:tcW w:w="354" w:type="pct"/>
            <w:vAlign w:val="center"/>
          </w:tcPr>
          <w:p w14:paraId="508E311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0.118</w:t>
            </w:r>
          </w:p>
        </w:tc>
        <w:tc>
          <w:tcPr>
            <w:tcW w:w="188" w:type="pct"/>
            <w:vAlign w:val="center"/>
          </w:tcPr>
          <w:p w14:paraId="79FF381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45C6C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606C0E8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15" w:type="pct"/>
            <w:vAlign w:val="center"/>
          </w:tcPr>
          <w:p w14:paraId="2C7741D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硫酸盐</w:t>
            </w:r>
          </w:p>
        </w:tc>
        <w:tc>
          <w:tcPr>
            <w:tcW w:w="314" w:type="pct"/>
            <w:vAlign w:val="center"/>
          </w:tcPr>
          <w:p w14:paraId="7625B04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c>
          <w:tcPr>
            <w:tcW w:w="232" w:type="pct"/>
            <w:vAlign w:val="center"/>
          </w:tcPr>
          <w:p w14:paraId="1EE9094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42.7</w:t>
            </w:r>
          </w:p>
        </w:tc>
        <w:tc>
          <w:tcPr>
            <w:tcW w:w="337" w:type="pct"/>
            <w:vAlign w:val="center"/>
          </w:tcPr>
          <w:p w14:paraId="6D1504E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0.171</w:t>
            </w:r>
          </w:p>
        </w:tc>
        <w:tc>
          <w:tcPr>
            <w:tcW w:w="175" w:type="pct"/>
            <w:vAlign w:val="center"/>
          </w:tcPr>
          <w:p w14:paraId="5A6A59F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3D0AA50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42.1</w:t>
            </w:r>
          </w:p>
        </w:tc>
        <w:tc>
          <w:tcPr>
            <w:tcW w:w="327" w:type="pct"/>
            <w:vAlign w:val="center"/>
          </w:tcPr>
          <w:p w14:paraId="5C6B17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0.168</w:t>
            </w:r>
          </w:p>
        </w:tc>
        <w:tc>
          <w:tcPr>
            <w:tcW w:w="231" w:type="pct"/>
            <w:vAlign w:val="center"/>
          </w:tcPr>
          <w:p w14:paraId="1362147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34B6FE4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41.5</w:t>
            </w:r>
          </w:p>
        </w:tc>
        <w:tc>
          <w:tcPr>
            <w:tcW w:w="353" w:type="pct"/>
            <w:vAlign w:val="center"/>
          </w:tcPr>
          <w:p w14:paraId="6B45D1B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0.166</w:t>
            </w:r>
          </w:p>
        </w:tc>
        <w:tc>
          <w:tcPr>
            <w:tcW w:w="203" w:type="pct"/>
            <w:vAlign w:val="center"/>
          </w:tcPr>
          <w:p w14:paraId="708B573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2C9D84A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141</w:t>
            </w:r>
          </w:p>
        </w:tc>
        <w:tc>
          <w:tcPr>
            <w:tcW w:w="379" w:type="pct"/>
            <w:vAlign w:val="center"/>
          </w:tcPr>
          <w:p w14:paraId="31F743B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0.564</w:t>
            </w:r>
          </w:p>
        </w:tc>
        <w:tc>
          <w:tcPr>
            <w:tcW w:w="226" w:type="pct"/>
            <w:vAlign w:val="center"/>
          </w:tcPr>
          <w:p w14:paraId="75ED10F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22B136B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137</w:t>
            </w:r>
          </w:p>
        </w:tc>
        <w:tc>
          <w:tcPr>
            <w:tcW w:w="354" w:type="pct"/>
            <w:vAlign w:val="center"/>
          </w:tcPr>
          <w:p w14:paraId="038BDF2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0.548</w:t>
            </w:r>
          </w:p>
        </w:tc>
        <w:tc>
          <w:tcPr>
            <w:tcW w:w="188" w:type="pct"/>
            <w:vAlign w:val="center"/>
          </w:tcPr>
          <w:p w14:paraId="27FB724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E2541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18B79E5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15" w:type="pct"/>
            <w:vAlign w:val="center"/>
          </w:tcPr>
          <w:p w14:paraId="5742FB7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亚硝酸盐氮</w:t>
            </w:r>
          </w:p>
        </w:tc>
        <w:tc>
          <w:tcPr>
            <w:tcW w:w="314" w:type="pct"/>
            <w:vAlign w:val="center"/>
          </w:tcPr>
          <w:p w14:paraId="3FB638C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32" w:type="pct"/>
            <w:vAlign w:val="center"/>
          </w:tcPr>
          <w:p w14:paraId="4CAE2D9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37" w:type="pct"/>
            <w:vAlign w:val="center"/>
          </w:tcPr>
          <w:p w14:paraId="51181C9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250E0781">
            <w:pPr>
              <w:pStyle w:val="280"/>
              <w:spacing w:line="300" w:lineRule="exact"/>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2642A54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27" w:type="pct"/>
            <w:vAlign w:val="center"/>
          </w:tcPr>
          <w:p w14:paraId="65CA435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1B87530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3189F4C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53" w:type="pct"/>
            <w:vAlign w:val="center"/>
          </w:tcPr>
          <w:p w14:paraId="147FAAE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00CCB73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489C80A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79" w:type="pct"/>
            <w:vAlign w:val="center"/>
          </w:tcPr>
          <w:p w14:paraId="37008D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2B346B4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15049FF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54" w:type="pct"/>
            <w:vAlign w:val="center"/>
          </w:tcPr>
          <w:p w14:paraId="6D7AB04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16C8BDC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CE3E2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663D6DA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515" w:type="pct"/>
            <w:vAlign w:val="center"/>
          </w:tcPr>
          <w:p w14:paraId="5DA5A3D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挥发酚类</w:t>
            </w:r>
          </w:p>
        </w:tc>
        <w:tc>
          <w:tcPr>
            <w:tcW w:w="314" w:type="pct"/>
            <w:vAlign w:val="center"/>
          </w:tcPr>
          <w:p w14:paraId="368C7EE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232" w:type="pct"/>
            <w:vAlign w:val="center"/>
          </w:tcPr>
          <w:p w14:paraId="46EE069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37" w:type="pct"/>
            <w:vAlign w:val="center"/>
          </w:tcPr>
          <w:p w14:paraId="347EB28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7B94CF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16DC9FC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27" w:type="pct"/>
            <w:vAlign w:val="center"/>
          </w:tcPr>
          <w:p w14:paraId="28EB6CF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6AC106D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0A314E2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53" w:type="pct"/>
            <w:vAlign w:val="center"/>
          </w:tcPr>
          <w:p w14:paraId="208F663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3851FD9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3C7B468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79" w:type="pct"/>
            <w:vAlign w:val="center"/>
          </w:tcPr>
          <w:p w14:paraId="604C8DD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73EB50A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258293D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54" w:type="pct"/>
            <w:vAlign w:val="center"/>
          </w:tcPr>
          <w:p w14:paraId="1D6EE30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4208F67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50D75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7D64477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515" w:type="pct"/>
            <w:vAlign w:val="center"/>
          </w:tcPr>
          <w:p w14:paraId="0B15ACC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314" w:type="pct"/>
            <w:vAlign w:val="center"/>
          </w:tcPr>
          <w:p w14:paraId="5991B8A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232" w:type="pct"/>
            <w:vAlign w:val="center"/>
          </w:tcPr>
          <w:p w14:paraId="4665327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0.03L</w:t>
            </w:r>
          </w:p>
        </w:tc>
        <w:tc>
          <w:tcPr>
            <w:tcW w:w="337" w:type="pct"/>
            <w:vAlign w:val="center"/>
          </w:tcPr>
          <w:p w14:paraId="334DAC4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45D6668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4D28EB6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0.03L</w:t>
            </w:r>
          </w:p>
        </w:tc>
        <w:tc>
          <w:tcPr>
            <w:tcW w:w="327" w:type="pct"/>
            <w:vAlign w:val="center"/>
          </w:tcPr>
          <w:p w14:paraId="35DB2FB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34C1ADB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0532D89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0.03L</w:t>
            </w:r>
          </w:p>
        </w:tc>
        <w:tc>
          <w:tcPr>
            <w:tcW w:w="353" w:type="pct"/>
            <w:vAlign w:val="center"/>
          </w:tcPr>
          <w:p w14:paraId="0AACFEA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29B199D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1D68ADA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0.03L</w:t>
            </w:r>
          </w:p>
        </w:tc>
        <w:tc>
          <w:tcPr>
            <w:tcW w:w="379" w:type="pct"/>
            <w:vAlign w:val="center"/>
          </w:tcPr>
          <w:p w14:paraId="53DA5E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7B5B7F8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0038F53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0.03L</w:t>
            </w:r>
          </w:p>
        </w:tc>
        <w:tc>
          <w:tcPr>
            <w:tcW w:w="354" w:type="pct"/>
            <w:vAlign w:val="center"/>
          </w:tcPr>
          <w:p w14:paraId="2424841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27ED48C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F124A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0064513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515" w:type="pct"/>
            <w:vAlign w:val="center"/>
          </w:tcPr>
          <w:p w14:paraId="238D338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氰化物</w:t>
            </w:r>
          </w:p>
        </w:tc>
        <w:tc>
          <w:tcPr>
            <w:tcW w:w="314" w:type="pct"/>
            <w:vAlign w:val="center"/>
          </w:tcPr>
          <w:p w14:paraId="7AFF905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232" w:type="pct"/>
            <w:vAlign w:val="center"/>
          </w:tcPr>
          <w:p w14:paraId="3952872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0.002L</w:t>
            </w:r>
          </w:p>
        </w:tc>
        <w:tc>
          <w:tcPr>
            <w:tcW w:w="337" w:type="pct"/>
            <w:vAlign w:val="center"/>
          </w:tcPr>
          <w:p w14:paraId="2E1863C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78B9678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7BC52E0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0.002L</w:t>
            </w:r>
          </w:p>
        </w:tc>
        <w:tc>
          <w:tcPr>
            <w:tcW w:w="327" w:type="pct"/>
            <w:vAlign w:val="center"/>
          </w:tcPr>
          <w:p w14:paraId="5684E01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4294FEA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68FA775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0.002L</w:t>
            </w:r>
          </w:p>
        </w:tc>
        <w:tc>
          <w:tcPr>
            <w:tcW w:w="353" w:type="pct"/>
            <w:vAlign w:val="center"/>
          </w:tcPr>
          <w:p w14:paraId="6BC1AF5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007112F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0CF196E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0.002L</w:t>
            </w:r>
          </w:p>
        </w:tc>
        <w:tc>
          <w:tcPr>
            <w:tcW w:w="379" w:type="pct"/>
            <w:vAlign w:val="center"/>
          </w:tcPr>
          <w:p w14:paraId="2B37CBF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16991EE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0B438DC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0.002L</w:t>
            </w:r>
          </w:p>
        </w:tc>
        <w:tc>
          <w:tcPr>
            <w:tcW w:w="354" w:type="pct"/>
            <w:vAlign w:val="center"/>
          </w:tcPr>
          <w:p w14:paraId="39A1CA5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0EDB53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4F69E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4BB64FF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515" w:type="pct"/>
            <w:vAlign w:val="center"/>
          </w:tcPr>
          <w:p w14:paraId="2C276A3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总大肠菌群（MPN/100mL）</w:t>
            </w:r>
          </w:p>
        </w:tc>
        <w:tc>
          <w:tcPr>
            <w:tcW w:w="314" w:type="pct"/>
            <w:vAlign w:val="center"/>
          </w:tcPr>
          <w:p w14:paraId="7F236B0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232" w:type="pct"/>
            <w:vAlign w:val="center"/>
          </w:tcPr>
          <w:p w14:paraId="0CCD75E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10L</w:t>
            </w:r>
          </w:p>
        </w:tc>
        <w:tc>
          <w:tcPr>
            <w:tcW w:w="337" w:type="pct"/>
            <w:vAlign w:val="center"/>
          </w:tcPr>
          <w:p w14:paraId="41303BA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726CC29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5171132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10L</w:t>
            </w:r>
          </w:p>
        </w:tc>
        <w:tc>
          <w:tcPr>
            <w:tcW w:w="327" w:type="pct"/>
            <w:vAlign w:val="center"/>
          </w:tcPr>
          <w:p w14:paraId="79F8E7A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5CDCEB9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22477AA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10L</w:t>
            </w:r>
          </w:p>
        </w:tc>
        <w:tc>
          <w:tcPr>
            <w:tcW w:w="353" w:type="pct"/>
            <w:vAlign w:val="center"/>
          </w:tcPr>
          <w:p w14:paraId="2B38BD8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3ACC60C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4DA97F9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10L</w:t>
            </w:r>
          </w:p>
        </w:tc>
        <w:tc>
          <w:tcPr>
            <w:tcW w:w="379" w:type="pct"/>
            <w:vAlign w:val="center"/>
          </w:tcPr>
          <w:p w14:paraId="7A91BB9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43D799D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4135368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10L</w:t>
            </w:r>
          </w:p>
        </w:tc>
        <w:tc>
          <w:tcPr>
            <w:tcW w:w="354" w:type="pct"/>
            <w:vAlign w:val="center"/>
          </w:tcPr>
          <w:p w14:paraId="317AA59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492ED6E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1CD12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241F0AC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515" w:type="pct"/>
            <w:vAlign w:val="center"/>
          </w:tcPr>
          <w:p w14:paraId="55ED336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总硬度</w:t>
            </w:r>
          </w:p>
        </w:tc>
        <w:tc>
          <w:tcPr>
            <w:tcW w:w="314" w:type="pct"/>
            <w:vAlign w:val="center"/>
          </w:tcPr>
          <w:p w14:paraId="07D90E3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w:t>
            </w:r>
          </w:p>
        </w:tc>
        <w:tc>
          <w:tcPr>
            <w:tcW w:w="232" w:type="pct"/>
            <w:vAlign w:val="center"/>
          </w:tcPr>
          <w:p w14:paraId="2D02549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152</w:t>
            </w:r>
          </w:p>
        </w:tc>
        <w:tc>
          <w:tcPr>
            <w:tcW w:w="337" w:type="pct"/>
            <w:vAlign w:val="center"/>
          </w:tcPr>
          <w:p w14:paraId="4D7479E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0.338</w:t>
            </w:r>
          </w:p>
        </w:tc>
        <w:tc>
          <w:tcPr>
            <w:tcW w:w="175" w:type="pct"/>
            <w:vAlign w:val="center"/>
          </w:tcPr>
          <w:p w14:paraId="08746FBA">
            <w:pPr>
              <w:pStyle w:val="280"/>
              <w:spacing w:line="300" w:lineRule="exact"/>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75EEF4E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143</w:t>
            </w:r>
          </w:p>
        </w:tc>
        <w:tc>
          <w:tcPr>
            <w:tcW w:w="327" w:type="pct"/>
            <w:vAlign w:val="center"/>
          </w:tcPr>
          <w:p w14:paraId="6B35526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0.318</w:t>
            </w:r>
          </w:p>
        </w:tc>
        <w:tc>
          <w:tcPr>
            <w:tcW w:w="231" w:type="pct"/>
            <w:vAlign w:val="center"/>
          </w:tcPr>
          <w:p w14:paraId="77A7EEA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007B221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119</w:t>
            </w:r>
          </w:p>
        </w:tc>
        <w:tc>
          <w:tcPr>
            <w:tcW w:w="353" w:type="pct"/>
            <w:vAlign w:val="center"/>
          </w:tcPr>
          <w:p w14:paraId="0ED6658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0.264</w:t>
            </w:r>
          </w:p>
        </w:tc>
        <w:tc>
          <w:tcPr>
            <w:tcW w:w="203" w:type="pct"/>
            <w:vAlign w:val="center"/>
          </w:tcPr>
          <w:p w14:paraId="5200C75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02ECA39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c>
          <w:tcPr>
            <w:tcW w:w="379" w:type="pct"/>
            <w:vAlign w:val="center"/>
          </w:tcPr>
          <w:p w14:paraId="4B4CE2E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0.556</w:t>
            </w:r>
          </w:p>
        </w:tc>
        <w:tc>
          <w:tcPr>
            <w:tcW w:w="226" w:type="pct"/>
            <w:vAlign w:val="center"/>
          </w:tcPr>
          <w:p w14:paraId="5FAA565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24C054C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242</w:t>
            </w:r>
          </w:p>
        </w:tc>
        <w:tc>
          <w:tcPr>
            <w:tcW w:w="354" w:type="pct"/>
            <w:vAlign w:val="center"/>
          </w:tcPr>
          <w:p w14:paraId="0182119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0.538</w:t>
            </w:r>
          </w:p>
        </w:tc>
        <w:tc>
          <w:tcPr>
            <w:tcW w:w="188" w:type="pct"/>
            <w:vAlign w:val="center"/>
          </w:tcPr>
          <w:p w14:paraId="75E9B4E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8B701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534E79E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515" w:type="pct"/>
            <w:vAlign w:val="center"/>
          </w:tcPr>
          <w:p w14:paraId="04A861D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铁</w:t>
            </w:r>
          </w:p>
        </w:tc>
        <w:tc>
          <w:tcPr>
            <w:tcW w:w="314" w:type="pct"/>
            <w:vAlign w:val="center"/>
          </w:tcPr>
          <w:p w14:paraId="4ABE992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.3</w:t>
            </w:r>
          </w:p>
        </w:tc>
        <w:tc>
          <w:tcPr>
            <w:tcW w:w="232" w:type="pct"/>
            <w:vAlign w:val="center"/>
          </w:tcPr>
          <w:p w14:paraId="0D052B8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0.12</w:t>
            </w:r>
          </w:p>
        </w:tc>
        <w:tc>
          <w:tcPr>
            <w:tcW w:w="337" w:type="pct"/>
            <w:vAlign w:val="center"/>
          </w:tcPr>
          <w:p w14:paraId="1A64B2A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0.400</w:t>
            </w:r>
          </w:p>
        </w:tc>
        <w:tc>
          <w:tcPr>
            <w:tcW w:w="175" w:type="pct"/>
            <w:vAlign w:val="center"/>
          </w:tcPr>
          <w:p w14:paraId="2425FF1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60B6FF9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0.15</w:t>
            </w:r>
          </w:p>
        </w:tc>
        <w:tc>
          <w:tcPr>
            <w:tcW w:w="327" w:type="pct"/>
            <w:vAlign w:val="center"/>
          </w:tcPr>
          <w:p w14:paraId="6777806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0.500</w:t>
            </w:r>
          </w:p>
        </w:tc>
        <w:tc>
          <w:tcPr>
            <w:tcW w:w="231" w:type="pct"/>
            <w:vAlign w:val="center"/>
          </w:tcPr>
          <w:p w14:paraId="6E8676C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37880F2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0.22</w:t>
            </w:r>
          </w:p>
        </w:tc>
        <w:tc>
          <w:tcPr>
            <w:tcW w:w="353" w:type="pct"/>
            <w:vAlign w:val="center"/>
          </w:tcPr>
          <w:p w14:paraId="79B9469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0.733</w:t>
            </w:r>
          </w:p>
        </w:tc>
        <w:tc>
          <w:tcPr>
            <w:tcW w:w="203" w:type="pct"/>
            <w:vAlign w:val="center"/>
          </w:tcPr>
          <w:p w14:paraId="53D70F3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7C706A1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0.22</w:t>
            </w:r>
          </w:p>
        </w:tc>
        <w:tc>
          <w:tcPr>
            <w:tcW w:w="379" w:type="pct"/>
            <w:vAlign w:val="center"/>
          </w:tcPr>
          <w:p w14:paraId="7FA36A9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0.733</w:t>
            </w:r>
          </w:p>
        </w:tc>
        <w:tc>
          <w:tcPr>
            <w:tcW w:w="226" w:type="pct"/>
            <w:vAlign w:val="center"/>
          </w:tcPr>
          <w:p w14:paraId="3B3C381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10405DC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w:t>
            </w:r>
          </w:p>
        </w:tc>
        <w:tc>
          <w:tcPr>
            <w:tcW w:w="354" w:type="pct"/>
            <w:vAlign w:val="center"/>
          </w:tcPr>
          <w:p w14:paraId="1059DD6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0.100</w:t>
            </w:r>
          </w:p>
        </w:tc>
        <w:tc>
          <w:tcPr>
            <w:tcW w:w="188" w:type="pct"/>
            <w:vAlign w:val="center"/>
          </w:tcPr>
          <w:p w14:paraId="628F90E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036D4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5FD3AAA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7</w:t>
            </w:r>
          </w:p>
        </w:tc>
        <w:tc>
          <w:tcPr>
            <w:tcW w:w="515" w:type="pct"/>
            <w:vAlign w:val="center"/>
          </w:tcPr>
          <w:p w14:paraId="5647033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锰</w:t>
            </w:r>
          </w:p>
        </w:tc>
        <w:tc>
          <w:tcPr>
            <w:tcW w:w="314" w:type="pct"/>
            <w:vAlign w:val="center"/>
          </w:tcPr>
          <w:p w14:paraId="7D541FE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w:t>
            </w:r>
          </w:p>
        </w:tc>
        <w:tc>
          <w:tcPr>
            <w:tcW w:w="232" w:type="pct"/>
            <w:vAlign w:val="center"/>
          </w:tcPr>
          <w:p w14:paraId="1F5A1FC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37" w:type="pct"/>
            <w:vAlign w:val="center"/>
          </w:tcPr>
          <w:p w14:paraId="5F826DE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29BF623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2E27479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27" w:type="pct"/>
            <w:vAlign w:val="center"/>
          </w:tcPr>
          <w:p w14:paraId="33F18E5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54EEABC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6341852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53" w:type="pct"/>
            <w:vAlign w:val="center"/>
          </w:tcPr>
          <w:p w14:paraId="639F07E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66FF331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6757AAB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79" w:type="pct"/>
            <w:vAlign w:val="center"/>
          </w:tcPr>
          <w:p w14:paraId="293DBCA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407BEC2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6D203E1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54" w:type="pct"/>
            <w:vAlign w:val="center"/>
          </w:tcPr>
          <w:p w14:paraId="08FA8D4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0F0A10E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191DF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228695E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8</w:t>
            </w:r>
          </w:p>
        </w:tc>
        <w:tc>
          <w:tcPr>
            <w:tcW w:w="515" w:type="pct"/>
            <w:vAlign w:val="center"/>
          </w:tcPr>
          <w:p w14:paraId="20325C3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钡</w:t>
            </w:r>
          </w:p>
        </w:tc>
        <w:tc>
          <w:tcPr>
            <w:tcW w:w="314" w:type="pct"/>
            <w:vAlign w:val="center"/>
          </w:tcPr>
          <w:p w14:paraId="4709AAB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≤0.7</w:t>
            </w:r>
          </w:p>
        </w:tc>
        <w:tc>
          <w:tcPr>
            <w:tcW w:w="232" w:type="pct"/>
            <w:vAlign w:val="center"/>
          </w:tcPr>
          <w:p w14:paraId="58E7E3E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w:t>
            </w:r>
          </w:p>
        </w:tc>
        <w:tc>
          <w:tcPr>
            <w:tcW w:w="337" w:type="pct"/>
            <w:vAlign w:val="center"/>
          </w:tcPr>
          <w:p w14:paraId="5320286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0.029</w:t>
            </w:r>
          </w:p>
        </w:tc>
        <w:tc>
          <w:tcPr>
            <w:tcW w:w="175" w:type="pct"/>
            <w:vAlign w:val="center"/>
          </w:tcPr>
          <w:p w14:paraId="13BAFCC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0780B78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w:t>
            </w:r>
          </w:p>
        </w:tc>
        <w:tc>
          <w:tcPr>
            <w:tcW w:w="327" w:type="pct"/>
            <w:vAlign w:val="center"/>
          </w:tcPr>
          <w:p w14:paraId="700CE6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0.043</w:t>
            </w:r>
          </w:p>
        </w:tc>
        <w:tc>
          <w:tcPr>
            <w:tcW w:w="231" w:type="pct"/>
            <w:vAlign w:val="center"/>
          </w:tcPr>
          <w:p w14:paraId="39E6E7B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6A537D0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w:t>
            </w:r>
          </w:p>
        </w:tc>
        <w:tc>
          <w:tcPr>
            <w:tcW w:w="353" w:type="pct"/>
            <w:vAlign w:val="center"/>
          </w:tcPr>
          <w:p w14:paraId="1FF0DF9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0.043</w:t>
            </w:r>
          </w:p>
        </w:tc>
        <w:tc>
          <w:tcPr>
            <w:tcW w:w="203" w:type="pct"/>
            <w:vAlign w:val="center"/>
          </w:tcPr>
          <w:p w14:paraId="76BF9B5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2FB67A5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w:t>
            </w:r>
          </w:p>
        </w:tc>
        <w:tc>
          <w:tcPr>
            <w:tcW w:w="379" w:type="pct"/>
            <w:vAlign w:val="center"/>
          </w:tcPr>
          <w:p w14:paraId="06806EF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0.029</w:t>
            </w:r>
          </w:p>
        </w:tc>
        <w:tc>
          <w:tcPr>
            <w:tcW w:w="226" w:type="pct"/>
            <w:vAlign w:val="center"/>
          </w:tcPr>
          <w:p w14:paraId="082EC4C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053F596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w:t>
            </w:r>
          </w:p>
        </w:tc>
        <w:tc>
          <w:tcPr>
            <w:tcW w:w="354" w:type="pct"/>
            <w:vAlign w:val="center"/>
          </w:tcPr>
          <w:p w14:paraId="6A55F28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0.029</w:t>
            </w:r>
          </w:p>
        </w:tc>
        <w:tc>
          <w:tcPr>
            <w:tcW w:w="188" w:type="pct"/>
            <w:vAlign w:val="center"/>
          </w:tcPr>
          <w:p w14:paraId="7E46EA2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BDCEA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543F5726">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19</w:t>
            </w:r>
          </w:p>
        </w:tc>
        <w:tc>
          <w:tcPr>
            <w:tcW w:w="515" w:type="pct"/>
            <w:vAlign w:val="center"/>
          </w:tcPr>
          <w:p w14:paraId="1CFF427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314" w:type="pct"/>
            <w:vAlign w:val="center"/>
          </w:tcPr>
          <w:p w14:paraId="07A4D51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w:t>
            </w:r>
          </w:p>
        </w:tc>
        <w:tc>
          <w:tcPr>
            <w:tcW w:w="232" w:type="pct"/>
            <w:vAlign w:val="center"/>
          </w:tcPr>
          <w:p w14:paraId="598FF71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0.00004L</w:t>
            </w:r>
          </w:p>
        </w:tc>
        <w:tc>
          <w:tcPr>
            <w:tcW w:w="337" w:type="pct"/>
            <w:vAlign w:val="center"/>
          </w:tcPr>
          <w:p w14:paraId="0306695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28034B5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216D958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0.00004L</w:t>
            </w:r>
          </w:p>
        </w:tc>
        <w:tc>
          <w:tcPr>
            <w:tcW w:w="327" w:type="pct"/>
            <w:vAlign w:val="center"/>
          </w:tcPr>
          <w:p w14:paraId="040D6B5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11DC2E5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46EAA6D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0.00004L</w:t>
            </w:r>
          </w:p>
        </w:tc>
        <w:tc>
          <w:tcPr>
            <w:tcW w:w="353" w:type="pct"/>
            <w:vAlign w:val="center"/>
          </w:tcPr>
          <w:p w14:paraId="331004F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089A3BD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1FF55F2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0.00004L</w:t>
            </w:r>
          </w:p>
        </w:tc>
        <w:tc>
          <w:tcPr>
            <w:tcW w:w="379" w:type="pct"/>
            <w:vAlign w:val="center"/>
          </w:tcPr>
          <w:p w14:paraId="234F09D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2A3883C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5525000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0.00004L</w:t>
            </w:r>
          </w:p>
        </w:tc>
        <w:tc>
          <w:tcPr>
            <w:tcW w:w="354" w:type="pct"/>
            <w:vAlign w:val="center"/>
          </w:tcPr>
          <w:p w14:paraId="077EDAF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28A422E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ACFCB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251AACB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515" w:type="pct"/>
            <w:vAlign w:val="center"/>
          </w:tcPr>
          <w:p w14:paraId="0B5FF29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314" w:type="pct"/>
            <w:vAlign w:val="center"/>
          </w:tcPr>
          <w:p w14:paraId="7AEB7BF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w:t>
            </w:r>
          </w:p>
        </w:tc>
        <w:tc>
          <w:tcPr>
            <w:tcW w:w="232" w:type="pct"/>
            <w:vAlign w:val="center"/>
          </w:tcPr>
          <w:p w14:paraId="36FF105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37" w:type="pct"/>
            <w:vAlign w:val="center"/>
          </w:tcPr>
          <w:p w14:paraId="7222A53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3628C6A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555A042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27" w:type="pct"/>
            <w:vAlign w:val="center"/>
          </w:tcPr>
          <w:p w14:paraId="795E464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30BBD4A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30DA256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53" w:type="pct"/>
            <w:vAlign w:val="center"/>
          </w:tcPr>
          <w:p w14:paraId="3BD970E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1FCD264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1C4191B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79" w:type="pct"/>
            <w:vAlign w:val="center"/>
          </w:tcPr>
          <w:p w14:paraId="1A80B86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572E4E5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267FFEB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354" w:type="pct"/>
            <w:vAlign w:val="center"/>
          </w:tcPr>
          <w:p w14:paraId="175B017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1954871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94AAA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70CC817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1</w:t>
            </w:r>
          </w:p>
        </w:tc>
        <w:tc>
          <w:tcPr>
            <w:tcW w:w="515" w:type="pct"/>
            <w:vAlign w:val="center"/>
          </w:tcPr>
          <w:p w14:paraId="708FF4E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314" w:type="pct"/>
            <w:vAlign w:val="center"/>
          </w:tcPr>
          <w:p w14:paraId="5DB2CB6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c>
          <w:tcPr>
            <w:tcW w:w="232" w:type="pct"/>
            <w:vAlign w:val="center"/>
          </w:tcPr>
          <w:p w14:paraId="2F333DD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37" w:type="pct"/>
            <w:vAlign w:val="center"/>
          </w:tcPr>
          <w:p w14:paraId="5BD9074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2FF8E6E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7ABF7AB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27" w:type="pct"/>
            <w:vAlign w:val="center"/>
          </w:tcPr>
          <w:p w14:paraId="1ED3CB4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3E29FB9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6BA5D4C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53" w:type="pct"/>
            <w:vAlign w:val="center"/>
          </w:tcPr>
          <w:p w14:paraId="53E0B8F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6F250AD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7B1DA08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79" w:type="pct"/>
            <w:vAlign w:val="center"/>
          </w:tcPr>
          <w:p w14:paraId="3AA49E1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58515E4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449A8AA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354" w:type="pct"/>
            <w:vAlign w:val="center"/>
          </w:tcPr>
          <w:p w14:paraId="77C71A9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2C53E37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E7539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3071EE1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2</w:t>
            </w:r>
          </w:p>
        </w:tc>
        <w:tc>
          <w:tcPr>
            <w:tcW w:w="515" w:type="pct"/>
            <w:vAlign w:val="center"/>
          </w:tcPr>
          <w:p w14:paraId="1DC7622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细菌总数（CFU/mL）</w:t>
            </w:r>
          </w:p>
        </w:tc>
        <w:tc>
          <w:tcPr>
            <w:tcW w:w="314" w:type="pct"/>
            <w:vAlign w:val="center"/>
          </w:tcPr>
          <w:p w14:paraId="050CAFA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232" w:type="pct"/>
            <w:vAlign w:val="center"/>
          </w:tcPr>
          <w:p w14:paraId="52BAA84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337" w:type="pct"/>
            <w:vAlign w:val="center"/>
          </w:tcPr>
          <w:p w14:paraId="5DD772A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0.440</w:t>
            </w:r>
          </w:p>
        </w:tc>
        <w:tc>
          <w:tcPr>
            <w:tcW w:w="175" w:type="pct"/>
            <w:vAlign w:val="center"/>
          </w:tcPr>
          <w:p w14:paraId="2D5570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41C8673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327" w:type="pct"/>
            <w:vAlign w:val="center"/>
          </w:tcPr>
          <w:p w14:paraId="402D591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0.490</w:t>
            </w:r>
          </w:p>
        </w:tc>
        <w:tc>
          <w:tcPr>
            <w:tcW w:w="231" w:type="pct"/>
            <w:vAlign w:val="center"/>
          </w:tcPr>
          <w:p w14:paraId="26C0921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44B14D0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53</w:t>
            </w:r>
          </w:p>
        </w:tc>
        <w:tc>
          <w:tcPr>
            <w:tcW w:w="353" w:type="pct"/>
            <w:vAlign w:val="center"/>
          </w:tcPr>
          <w:p w14:paraId="60E5DD9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0.530</w:t>
            </w:r>
          </w:p>
        </w:tc>
        <w:tc>
          <w:tcPr>
            <w:tcW w:w="203" w:type="pct"/>
            <w:vAlign w:val="center"/>
          </w:tcPr>
          <w:p w14:paraId="6D73AD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09D2C1D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379" w:type="pct"/>
            <w:vAlign w:val="center"/>
          </w:tcPr>
          <w:p w14:paraId="756328A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0.490</w:t>
            </w:r>
          </w:p>
        </w:tc>
        <w:tc>
          <w:tcPr>
            <w:tcW w:w="226" w:type="pct"/>
            <w:vAlign w:val="center"/>
          </w:tcPr>
          <w:p w14:paraId="781B567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4BD0543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354" w:type="pct"/>
            <w:vAlign w:val="center"/>
          </w:tcPr>
          <w:p w14:paraId="123BA51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0.480</w:t>
            </w:r>
          </w:p>
        </w:tc>
        <w:tc>
          <w:tcPr>
            <w:tcW w:w="188" w:type="pct"/>
            <w:vAlign w:val="center"/>
          </w:tcPr>
          <w:p w14:paraId="153A08E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2BA97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22202FD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3</w:t>
            </w:r>
          </w:p>
        </w:tc>
        <w:tc>
          <w:tcPr>
            <w:tcW w:w="515" w:type="pct"/>
            <w:vAlign w:val="center"/>
          </w:tcPr>
          <w:p w14:paraId="47D854E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硫化物</w:t>
            </w:r>
          </w:p>
        </w:tc>
        <w:tc>
          <w:tcPr>
            <w:tcW w:w="314" w:type="pct"/>
            <w:vAlign w:val="center"/>
          </w:tcPr>
          <w:p w14:paraId="513DD6D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232" w:type="pct"/>
            <w:vAlign w:val="center"/>
          </w:tcPr>
          <w:p w14:paraId="4C66F2E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37" w:type="pct"/>
            <w:vAlign w:val="center"/>
          </w:tcPr>
          <w:p w14:paraId="248186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1802426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29BB25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27" w:type="pct"/>
            <w:vAlign w:val="center"/>
          </w:tcPr>
          <w:p w14:paraId="0B8DA6B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5442320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0A86AF3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53" w:type="pct"/>
            <w:vAlign w:val="center"/>
          </w:tcPr>
          <w:p w14:paraId="6BFD3F1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6D6AAC0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30564B7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79" w:type="pct"/>
            <w:vAlign w:val="center"/>
          </w:tcPr>
          <w:p w14:paraId="799982E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1140732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708E435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0.003L</w:t>
            </w:r>
          </w:p>
        </w:tc>
        <w:tc>
          <w:tcPr>
            <w:tcW w:w="354" w:type="pct"/>
            <w:vAlign w:val="center"/>
          </w:tcPr>
          <w:p w14:paraId="1CBAF00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4A95DFE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F5545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7B475EE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4</w:t>
            </w:r>
          </w:p>
        </w:tc>
        <w:tc>
          <w:tcPr>
            <w:tcW w:w="515" w:type="pct"/>
            <w:vAlign w:val="center"/>
          </w:tcPr>
          <w:p w14:paraId="7C10F35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314" w:type="pct"/>
            <w:vAlign w:val="center"/>
          </w:tcPr>
          <w:p w14:paraId="3153998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.01</w:t>
            </w:r>
          </w:p>
        </w:tc>
        <w:tc>
          <w:tcPr>
            <w:tcW w:w="232" w:type="pct"/>
            <w:vAlign w:val="center"/>
          </w:tcPr>
          <w:p w14:paraId="6F35E34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0.00009L</w:t>
            </w:r>
          </w:p>
        </w:tc>
        <w:tc>
          <w:tcPr>
            <w:tcW w:w="337" w:type="pct"/>
            <w:vAlign w:val="center"/>
          </w:tcPr>
          <w:p w14:paraId="015CF1B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65B1A19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6A90185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0.00009L</w:t>
            </w:r>
          </w:p>
        </w:tc>
        <w:tc>
          <w:tcPr>
            <w:tcW w:w="327" w:type="pct"/>
            <w:vAlign w:val="center"/>
          </w:tcPr>
          <w:p w14:paraId="3502665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381C31C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2CAE7EE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0.00009L</w:t>
            </w:r>
          </w:p>
        </w:tc>
        <w:tc>
          <w:tcPr>
            <w:tcW w:w="353" w:type="pct"/>
            <w:vAlign w:val="center"/>
          </w:tcPr>
          <w:p w14:paraId="3D47351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6FCB9C2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713248E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0.00009L</w:t>
            </w:r>
          </w:p>
        </w:tc>
        <w:tc>
          <w:tcPr>
            <w:tcW w:w="379" w:type="pct"/>
            <w:vAlign w:val="center"/>
          </w:tcPr>
          <w:p w14:paraId="3122A8F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19B8113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4579923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0.00009L</w:t>
            </w:r>
          </w:p>
        </w:tc>
        <w:tc>
          <w:tcPr>
            <w:tcW w:w="354" w:type="pct"/>
            <w:vAlign w:val="center"/>
          </w:tcPr>
          <w:p w14:paraId="63EB585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56A9E8D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3EFB0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154B085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515" w:type="pct"/>
            <w:vAlign w:val="center"/>
          </w:tcPr>
          <w:p w14:paraId="7A8ADDC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314" w:type="pct"/>
            <w:vAlign w:val="center"/>
          </w:tcPr>
          <w:p w14:paraId="3C6AC04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.005</w:t>
            </w:r>
          </w:p>
        </w:tc>
        <w:tc>
          <w:tcPr>
            <w:tcW w:w="232" w:type="pct"/>
            <w:vAlign w:val="center"/>
          </w:tcPr>
          <w:p w14:paraId="6660665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0.00005L</w:t>
            </w:r>
          </w:p>
        </w:tc>
        <w:tc>
          <w:tcPr>
            <w:tcW w:w="337" w:type="pct"/>
            <w:vAlign w:val="center"/>
          </w:tcPr>
          <w:p w14:paraId="1B43416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7E308A1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272EA2B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0.00005L</w:t>
            </w:r>
          </w:p>
        </w:tc>
        <w:tc>
          <w:tcPr>
            <w:tcW w:w="327" w:type="pct"/>
            <w:vAlign w:val="center"/>
          </w:tcPr>
          <w:p w14:paraId="43254B2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08C1F17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135A10B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0.00005L</w:t>
            </w:r>
          </w:p>
        </w:tc>
        <w:tc>
          <w:tcPr>
            <w:tcW w:w="353" w:type="pct"/>
            <w:vAlign w:val="center"/>
          </w:tcPr>
          <w:p w14:paraId="0140213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1445E6B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58B0976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0.00005L</w:t>
            </w:r>
          </w:p>
        </w:tc>
        <w:tc>
          <w:tcPr>
            <w:tcW w:w="379" w:type="pct"/>
            <w:vAlign w:val="center"/>
          </w:tcPr>
          <w:p w14:paraId="09AD341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54B4BE5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34F6AA8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0.00005L</w:t>
            </w:r>
          </w:p>
        </w:tc>
        <w:tc>
          <w:tcPr>
            <w:tcW w:w="354" w:type="pct"/>
            <w:vAlign w:val="center"/>
          </w:tcPr>
          <w:p w14:paraId="75F7F8B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450D8D3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DE0F3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0D55F4B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6</w:t>
            </w:r>
          </w:p>
        </w:tc>
        <w:tc>
          <w:tcPr>
            <w:tcW w:w="515" w:type="pct"/>
            <w:vAlign w:val="center"/>
          </w:tcPr>
          <w:p w14:paraId="3598AC0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钠</w:t>
            </w:r>
          </w:p>
        </w:tc>
        <w:tc>
          <w:tcPr>
            <w:tcW w:w="314" w:type="pct"/>
            <w:vAlign w:val="center"/>
          </w:tcPr>
          <w:p w14:paraId="3D0C42D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232" w:type="pct"/>
            <w:vAlign w:val="center"/>
          </w:tcPr>
          <w:p w14:paraId="1A6CF1B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42.7</w:t>
            </w:r>
          </w:p>
        </w:tc>
        <w:tc>
          <w:tcPr>
            <w:tcW w:w="337" w:type="pct"/>
            <w:vAlign w:val="center"/>
          </w:tcPr>
          <w:p w14:paraId="608201D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0.214</w:t>
            </w:r>
          </w:p>
        </w:tc>
        <w:tc>
          <w:tcPr>
            <w:tcW w:w="175" w:type="pct"/>
            <w:vAlign w:val="center"/>
          </w:tcPr>
          <w:p w14:paraId="768DD22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48" w:type="pct"/>
            <w:vAlign w:val="center"/>
          </w:tcPr>
          <w:p w14:paraId="39C3E05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43.7</w:t>
            </w:r>
          </w:p>
        </w:tc>
        <w:tc>
          <w:tcPr>
            <w:tcW w:w="327" w:type="pct"/>
            <w:vAlign w:val="center"/>
          </w:tcPr>
          <w:p w14:paraId="2A82FA4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0.219</w:t>
            </w:r>
          </w:p>
        </w:tc>
        <w:tc>
          <w:tcPr>
            <w:tcW w:w="231" w:type="pct"/>
            <w:vAlign w:val="center"/>
          </w:tcPr>
          <w:p w14:paraId="7DC8028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3" w:type="pct"/>
            <w:vAlign w:val="center"/>
          </w:tcPr>
          <w:p w14:paraId="7D15F09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44.7</w:t>
            </w:r>
          </w:p>
        </w:tc>
        <w:tc>
          <w:tcPr>
            <w:tcW w:w="353" w:type="pct"/>
            <w:vAlign w:val="center"/>
          </w:tcPr>
          <w:p w14:paraId="4DBC0BA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0.224</w:t>
            </w:r>
          </w:p>
        </w:tc>
        <w:tc>
          <w:tcPr>
            <w:tcW w:w="203" w:type="pct"/>
            <w:vAlign w:val="center"/>
          </w:tcPr>
          <w:p w14:paraId="4217D91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27EF1B06">
            <w:pPr>
              <w:pStyle w:val="280"/>
              <w:spacing w:line="300" w:lineRule="exact"/>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44.7</w:t>
            </w:r>
          </w:p>
        </w:tc>
        <w:tc>
          <w:tcPr>
            <w:tcW w:w="379" w:type="pct"/>
            <w:vAlign w:val="center"/>
          </w:tcPr>
          <w:p w14:paraId="1AEC715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0.224</w:t>
            </w:r>
          </w:p>
        </w:tc>
        <w:tc>
          <w:tcPr>
            <w:tcW w:w="226" w:type="pct"/>
            <w:vAlign w:val="center"/>
          </w:tcPr>
          <w:p w14:paraId="7BC537B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56" w:type="pct"/>
            <w:vAlign w:val="center"/>
          </w:tcPr>
          <w:p w14:paraId="57F6BC19">
            <w:pPr>
              <w:pStyle w:val="280"/>
              <w:spacing w:line="300" w:lineRule="exact"/>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44.4</w:t>
            </w:r>
          </w:p>
        </w:tc>
        <w:tc>
          <w:tcPr>
            <w:tcW w:w="354" w:type="pct"/>
            <w:vAlign w:val="center"/>
          </w:tcPr>
          <w:p w14:paraId="2F9ADE7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0.222</w:t>
            </w:r>
          </w:p>
        </w:tc>
        <w:tc>
          <w:tcPr>
            <w:tcW w:w="188" w:type="pct"/>
            <w:vAlign w:val="center"/>
          </w:tcPr>
          <w:p w14:paraId="6355CE8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9853D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69ED22C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7</w:t>
            </w:r>
          </w:p>
        </w:tc>
        <w:tc>
          <w:tcPr>
            <w:tcW w:w="515" w:type="pct"/>
            <w:vAlign w:val="center"/>
          </w:tcPr>
          <w:p w14:paraId="495BCDC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Cl</w:t>
            </w:r>
            <w:r>
              <w:rPr>
                <w:rFonts w:hint="eastAsia"/>
                <w:color w:val="000000" w:themeColor="text1"/>
                <w:vertAlign w:val="superscript"/>
                <w14:textFill>
                  <w14:solidFill>
                    <w14:schemeClr w14:val="tx1"/>
                  </w14:solidFill>
                </w14:textFill>
              </w:rPr>
              <w:t>-</w:t>
            </w:r>
          </w:p>
        </w:tc>
        <w:tc>
          <w:tcPr>
            <w:tcW w:w="314" w:type="pct"/>
            <w:vAlign w:val="center"/>
          </w:tcPr>
          <w:p w14:paraId="61F2794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2" w:type="pct"/>
            <w:vAlign w:val="center"/>
          </w:tcPr>
          <w:p w14:paraId="2E2369C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27.3</w:t>
            </w:r>
          </w:p>
        </w:tc>
        <w:tc>
          <w:tcPr>
            <w:tcW w:w="337" w:type="pct"/>
            <w:vAlign w:val="center"/>
          </w:tcPr>
          <w:p w14:paraId="1F9E51C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17B458F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48" w:type="pct"/>
            <w:vAlign w:val="center"/>
          </w:tcPr>
          <w:p w14:paraId="7CC610D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26.8</w:t>
            </w:r>
          </w:p>
        </w:tc>
        <w:tc>
          <w:tcPr>
            <w:tcW w:w="327" w:type="pct"/>
            <w:vAlign w:val="center"/>
          </w:tcPr>
          <w:p w14:paraId="5580CD6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495536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3" w:type="pct"/>
            <w:vAlign w:val="center"/>
          </w:tcPr>
          <w:p w14:paraId="650927B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26.3</w:t>
            </w:r>
          </w:p>
        </w:tc>
        <w:tc>
          <w:tcPr>
            <w:tcW w:w="353" w:type="pct"/>
            <w:vAlign w:val="center"/>
          </w:tcPr>
          <w:p w14:paraId="2B4547A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1BDAF05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3944150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379" w:type="pct"/>
            <w:vAlign w:val="center"/>
          </w:tcPr>
          <w:p w14:paraId="03E8517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028A0F7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0580C5F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w:t>
            </w:r>
          </w:p>
        </w:tc>
        <w:tc>
          <w:tcPr>
            <w:tcW w:w="354" w:type="pct"/>
            <w:vAlign w:val="center"/>
          </w:tcPr>
          <w:p w14:paraId="3836636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198F4CE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2A5B8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779C5CA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8</w:t>
            </w:r>
          </w:p>
        </w:tc>
        <w:tc>
          <w:tcPr>
            <w:tcW w:w="515" w:type="pct"/>
            <w:vAlign w:val="center"/>
          </w:tcPr>
          <w:p w14:paraId="449A889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4</w:t>
            </w:r>
            <w:r>
              <w:rPr>
                <w:rFonts w:hint="eastAsia"/>
                <w:color w:val="000000" w:themeColor="text1"/>
                <w:vertAlign w:val="superscript"/>
                <w14:textFill>
                  <w14:solidFill>
                    <w14:schemeClr w14:val="tx1"/>
                  </w14:solidFill>
                </w14:textFill>
              </w:rPr>
              <w:t>2-</w:t>
            </w:r>
          </w:p>
        </w:tc>
        <w:tc>
          <w:tcPr>
            <w:tcW w:w="314" w:type="pct"/>
            <w:vAlign w:val="center"/>
          </w:tcPr>
          <w:p w14:paraId="77761B1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2" w:type="pct"/>
            <w:vAlign w:val="center"/>
          </w:tcPr>
          <w:p w14:paraId="08F9F0D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42.7</w:t>
            </w:r>
          </w:p>
        </w:tc>
        <w:tc>
          <w:tcPr>
            <w:tcW w:w="337" w:type="pct"/>
            <w:vAlign w:val="center"/>
          </w:tcPr>
          <w:p w14:paraId="779A080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6B33DCA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48" w:type="pct"/>
            <w:vAlign w:val="center"/>
          </w:tcPr>
          <w:p w14:paraId="3FA4A4F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42.1</w:t>
            </w:r>
          </w:p>
        </w:tc>
        <w:tc>
          <w:tcPr>
            <w:tcW w:w="327" w:type="pct"/>
            <w:vAlign w:val="center"/>
          </w:tcPr>
          <w:p w14:paraId="2A58AD4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26FB928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3" w:type="pct"/>
            <w:vAlign w:val="center"/>
          </w:tcPr>
          <w:p w14:paraId="1C31C8F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41.5</w:t>
            </w:r>
          </w:p>
        </w:tc>
        <w:tc>
          <w:tcPr>
            <w:tcW w:w="353" w:type="pct"/>
            <w:vAlign w:val="center"/>
          </w:tcPr>
          <w:p w14:paraId="3CF7B03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052F9A2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0E38924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141</w:t>
            </w:r>
          </w:p>
        </w:tc>
        <w:tc>
          <w:tcPr>
            <w:tcW w:w="379" w:type="pct"/>
            <w:vAlign w:val="center"/>
          </w:tcPr>
          <w:p w14:paraId="2B512AD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63E4C9D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5B208AE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137</w:t>
            </w:r>
          </w:p>
        </w:tc>
        <w:tc>
          <w:tcPr>
            <w:tcW w:w="354" w:type="pct"/>
            <w:vAlign w:val="center"/>
          </w:tcPr>
          <w:p w14:paraId="0A7ECB6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3D4D89A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163A3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0A98B77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w:t>
            </w:r>
          </w:p>
        </w:tc>
        <w:tc>
          <w:tcPr>
            <w:tcW w:w="515" w:type="pct"/>
            <w:vAlign w:val="center"/>
          </w:tcPr>
          <w:p w14:paraId="1FC37E3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2-</w:t>
            </w:r>
          </w:p>
        </w:tc>
        <w:tc>
          <w:tcPr>
            <w:tcW w:w="314" w:type="pct"/>
            <w:vAlign w:val="center"/>
          </w:tcPr>
          <w:p w14:paraId="29CDD4F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2" w:type="pct"/>
            <w:vAlign w:val="center"/>
          </w:tcPr>
          <w:p w14:paraId="5870623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337" w:type="pct"/>
            <w:vAlign w:val="center"/>
          </w:tcPr>
          <w:p w14:paraId="6A74F1A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2367A8C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48" w:type="pct"/>
            <w:vAlign w:val="center"/>
          </w:tcPr>
          <w:p w14:paraId="5AC29F9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327" w:type="pct"/>
            <w:vAlign w:val="center"/>
          </w:tcPr>
          <w:p w14:paraId="7771B17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5FB1BF8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3" w:type="pct"/>
            <w:vAlign w:val="center"/>
          </w:tcPr>
          <w:p w14:paraId="410D78C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353" w:type="pct"/>
            <w:vAlign w:val="center"/>
          </w:tcPr>
          <w:p w14:paraId="3CDF693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61D47E0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2FF2E57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379" w:type="pct"/>
            <w:vAlign w:val="center"/>
          </w:tcPr>
          <w:p w14:paraId="145934A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3D450C1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1CEE5F2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354" w:type="pct"/>
            <w:vAlign w:val="center"/>
          </w:tcPr>
          <w:p w14:paraId="7FC5DC0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64969F2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61524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6690087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515" w:type="pct"/>
            <w:vAlign w:val="center"/>
          </w:tcPr>
          <w:p w14:paraId="3EA206B7">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H</w:t>
            </w:r>
            <w:r>
              <w:rPr>
                <w:rFonts w:hint="eastAsia"/>
                <w:color w:val="000000" w:themeColor="text1"/>
                <w14:textFill>
                  <w14:solidFill>
                    <w14:schemeClr w14:val="tx1"/>
                  </w14:solidFill>
                </w14:textFill>
              </w:rPr>
              <w:t>C</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w:t>
            </w:r>
          </w:p>
        </w:tc>
        <w:tc>
          <w:tcPr>
            <w:tcW w:w="314" w:type="pct"/>
            <w:vAlign w:val="center"/>
          </w:tcPr>
          <w:p w14:paraId="68E869F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2" w:type="pct"/>
            <w:vAlign w:val="center"/>
          </w:tcPr>
          <w:p w14:paraId="3736914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161</w:t>
            </w:r>
          </w:p>
        </w:tc>
        <w:tc>
          <w:tcPr>
            <w:tcW w:w="337" w:type="pct"/>
            <w:vAlign w:val="center"/>
          </w:tcPr>
          <w:p w14:paraId="4371565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6E0A553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48" w:type="pct"/>
            <w:vAlign w:val="center"/>
          </w:tcPr>
          <w:p w14:paraId="1D742AB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96.4</w:t>
            </w:r>
          </w:p>
        </w:tc>
        <w:tc>
          <w:tcPr>
            <w:tcW w:w="327" w:type="pct"/>
            <w:vAlign w:val="center"/>
          </w:tcPr>
          <w:p w14:paraId="0C97CBE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36764EC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3" w:type="pct"/>
            <w:vAlign w:val="center"/>
          </w:tcPr>
          <w:p w14:paraId="73BA38A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123</w:t>
            </w:r>
          </w:p>
        </w:tc>
        <w:tc>
          <w:tcPr>
            <w:tcW w:w="353" w:type="pct"/>
            <w:vAlign w:val="center"/>
          </w:tcPr>
          <w:p w14:paraId="4A1B8C1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1DDA6EA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5FD2DE4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105</w:t>
            </w:r>
          </w:p>
        </w:tc>
        <w:tc>
          <w:tcPr>
            <w:tcW w:w="379" w:type="pct"/>
            <w:vAlign w:val="center"/>
          </w:tcPr>
          <w:p w14:paraId="37A5D75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7043932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6B720C5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126</w:t>
            </w:r>
          </w:p>
        </w:tc>
        <w:tc>
          <w:tcPr>
            <w:tcW w:w="354" w:type="pct"/>
            <w:vAlign w:val="center"/>
          </w:tcPr>
          <w:p w14:paraId="11518F6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00F8064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D0FDC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3438BFE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w:t>
            </w:r>
          </w:p>
        </w:tc>
        <w:tc>
          <w:tcPr>
            <w:tcW w:w="515" w:type="pct"/>
            <w:vAlign w:val="center"/>
          </w:tcPr>
          <w:p w14:paraId="0027A70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Ca</w:t>
            </w:r>
            <w:r>
              <w:rPr>
                <w:color w:val="000000" w:themeColor="text1"/>
                <w:vertAlign w:val="superscript"/>
                <w14:textFill>
                  <w14:solidFill>
                    <w14:schemeClr w14:val="tx1"/>
                  </w14:solidFill>
                </w14:textFill>
              </w:rPr>
              <w:t>2+</w:t>
            </w:r>
          </w:p>
        </w:tc>
        <w:tc>
          <w:tcPr>
            <w:tcW w:w="314" w:type="pct"/>
            <w:vAlign w:val="center"/>
          </w:tcPr>
          <w:p w14:paraId="0C3EF59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2" w:type="pct"/>
            <w:vAlign w:val="center"/>
          </w:tcPr>
          <w:p w14:paraId="66611B2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34.2</w:t>
            </w:r>
          </w:p>
        </w:tc>
        <w:tc>
          <w:tcPr>
            <w:tcW w:w="337" w:type="pct"/>
            <w:vAlign w:val="center"/>
          </w:tcPr>
          <w:p w14:paraId="365B288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622DD81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48" w:type="pct"/>
            <w:vAlign w:val="center"/>
          </w:tcPr>
          <w:p w14:paraId="13C8EF6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32.3</w:t>
            </w:r>
          </w:p>
        </w:tc>
        <w:tc>
          <w:tcPr>
            <w:tcW w:w="327" w:type="pct"/>
            <w:vAlign w:val="center"/>
          </w:tcPr>
          <w:p w14:paraId="1E945F7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3D1E278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3" w:type="pct"/>
            <w:vAlign w:val="center"/>
          </w:tcPr>
          <w:p w14:paraId="48E01A3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36.3</w:t>
            </w:r>
          </w:p>
        </w:tc>
        <w:tc>
          <w:tcPr>
            <w:tcW w:w="353" w:type="pct"/>
            <w:vAlign w:val="center"/>
          </w:tcPr>
          <w:p w14:paraId="585AD9E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3066E4B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7660F9D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50.1</w:t>
            </w:r>
          </w:p>
        </w:tc>
        <w:tc>
          <w:tcPr>
            <w:tcW w:w="379" w:type="pct"/>
            <w:vAlign w:val="center"/>
          </w:tcPr>
          <w:p w14:paraId="015EE577">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3095A6A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7828074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52.2</w:t>
            </w:r>
          </w:p>
        </w:tc>
        <w:tc>
          <w:tcPr>
            <w:tcW w:w="354" w:type="pct"/>
            <w:vAlign w:val="center"/>
          </w:tcPr>
          <w:p w14:paraId="32ABF84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0A5FECE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AB989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0495214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w:t>
            </w:r>
          </w:p>
        </w:tc>
        <w:tc>
          <w:tcPr>
            <w:tcW w:w="515" w:type="pct"/>
            <w:vAlign w:val="center"/>
          </w:tcPr>
          <w:p w14:paraId="682B2F2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a</w:t>
            </w:r>
            <w:r>
              <w:rPr>
                <w:color w:val="000000" w:themeColor="text1"/>
                <w:vertAlign w:val="superscript"/>
                <w14:textFill>
                  <w14:solidFill>
                    <w14:schemeClr w14:val="tx1"/>
                  </w14:solidFill>
                </w14:textFill>
              </w:rPr>
              <w:t>+</w:t>
            </w:r>
          </w:p>
        </w:tc>
        <w:tc>
          <w:tcPr>
            <w:tcW w:w="314" w:type="pct"/>
            <w:vAlign w:val="center"/>
          </w:tcPr>
          <w:p w14:paraId="5BBC12F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2" w:type="pct"/>
            <w:vAlign w:val="center"/>
          </w:tcPr>
          <w:p w14:paraId="5930E2A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42.7</w:t>
            </w:r>
          </w:p>
        </w:tc>
        <w:tc>
          <w:tcPr>
            <w:tcW w:w="337" w:type="pct"/>
            <w:vAlign w:val="center"/>
          </w:tcPr>
          <w:p w14:paraId="4374E93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772442D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48" w:type="pct"/>
            <w:vAlign w:val="center"/>
          </w:tcPr>
          <w:p w14:paraId="45260E9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43.7</w:t>
            </w:r>
          </w:p>
        </w:tc>
        <w:tc>
          <w:tcPr>
            <w:tcW w:w="327" w:type="pct"/>
            <w:vAlign w:val="center"/>
          </w:tcPr>
          <w:p w14:paraId="600AD63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1AC9565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3" w:type="pct"/>
            <w:vAlign w:val="center"/>
          </w:tcPr>
          <w:p w14:paraId="39016D2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44.7</w:t>
            </w:r>
          </w:p>
        </w:tc>
        <w:tc>
          <w:tcPr>
            <w:tcW w:w="353" w:type="pct"/>
            <w:vAlign w:val="center"/>
          </w:tcPr>
          <w:p w14:paraId="06C5DB3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6F78C47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07152AF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44.7</w:t>
            </w:r>
          </w:p>
        </w:tc>
        <w:tc>
          <w:tcPr>
            <w:tcW w:w="379" w:type="pct"/>
            <w:vAlign w:val="center"/>
          </w:tcPr>
          <w:p w14:paraId="521E591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714D926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47F5CC8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44.4</w:t>
            </w:r>
          </w:p>
        </w:tc>
        <w:tc>
          <w:tcPr>
            <w:tcW w:w="354" w:type="pct"/>
            <w:vAlign w:val="center"/>
          </w:tcPr>
          <w:p w14:paraId="3BB4854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1768CE2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8597B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2AD1845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515" w:type="pct"/>
            <w:vAlign w:val="center"/>
          </w:tcPr>
          <w:p w14:paraId="42CE6EB2">
            <w:pPr>
              <w:pStyle w:val="280"/>
              <w:spacing w:line="300" w:lineRule="exact"/>
              <w:rPr>
                <w:rFonts w:hint="eastAsia"/>
                <w:color w:val="000000" w:themeColor="text1"/>
                <w14:textFill>
                  <w14:solidFill>
                    <w14:schemeClr w14:val="tx1"/>
                  </w14:solidFill>
                </w14:textFill>
              </w:rPr>
            </w:pPr>
            <w:r>
              <w:rPr>
                <w:color w:val="000000" w:themeColor="text1"/>
                <w14:textFill>
                  <w14:solidFill>
                    <w14:schemeClr w14:val="tx1"/>
                  </w14:solidFill>
                </w14:textFill>
              </w:rPr>
              <w:t>K</w:t>
            </w:r>
            <w:r>
              <w:rPr>
                <w:color w:val="000000" w:themeColor="text1"/>
                <w:vertAlign w:val="superscript"/>
                <w14:textFill>
                  <w14:solidFill>
                    <w14:schemeClr w14:val="tx1"/>
                  </w14:solidFill>
                </w14:textFill>
              </w:rPr>
              <w:t>+</w:t>
            </w:r>
          </w:p>
        </w:tc>
        <w:tc>
          <w:tcPr>
            <w:tcW w:w="314" w:type="pct"/>
            <w:vAlign w:val="center"/>
          </w:tcPr>
          <w:p w14:paraId="047976E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2" w:type="pct"/>
            <w:vAlign w:val="center"/>
          </w:tcPr>
          <w:p w14:paraId="42D29C3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0.8</w:t>
            </w:r>
          </w:p>
        </w:tc>
        <w:tc>
          <w:tcPr>
            <w:tcW w:w="337" w:type="pct"/>
            <w:vAlign w:val="center"/>
          </w:tcPr>
          <w:p w14:paraId="24C0855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08C8F2E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48" w:type="pct"/>
            <w:vAlign w:val="center"/>
          </w:tcPr>
          <w:p w14:paraId="201BC25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0.77</w:t>
            </w:r>
          </w:p>
        </w:tc>
        <w:tc>
          <w:tcPr>
            <w:tcW w:w="327" w:type="pct"/>
            <w:vAlign w:val="center"/>
          </w:tcPr>
          <w:p w14:paraId="63FB5A7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3CC9B54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3" w:type="pct"/>
            <w:vAlign w:val="center"/>
          </w:tcPr>
          <w:p w14:paraId="213B89C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0.79</w:t>
            </w:r>
          </w:p>
        </w:tc>
        <w:tc>
          <w:tcPr>
            <w:tcW w:w="353" w:type="pct"/>
            <w:vAlign w:val="center"/>
          </w:tcPr>
          <w:p w14:paraId="042096B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7142D00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2B32BB4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0.95</w:t>
            </w:r>
          </w:p>
        </w:tc>
        <w:tc>
          <w:tcPr>
            <w:tcW w:w="379" w:type="pct"/>
            <w:vAlign w:val="center"/>
          </w:tcPr>
          <w:p w14:paraId="5447C25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5FF7C09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3EA3A4FD">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0.74</w:t>
            </w:r>
          </w:p>
        </w:tc>
        <w:tc>
          <w:tcPr>
            <w:tcW w:w="354" w:type="pct"/>
            <w:vAlign w:val="center"/>
          </w:tcPr>
          <w:p w14:paraId="26FD52B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5F5B9B16">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26820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6" w:type="dxa"/>
            <w:bottom w:w="0" w:type="dxa"/>
            <w:right w:w="6" w:type="dxa"/>
          </w:tblCellMar>
        </w:tblPrEx>
        <w:trPr>
          <w:cantSplit/>
          <w:trHeight w:val="227" w:hRule="atLeast"/>
          <w:jc w:val="center"/>
        </w:trPr>
        <w:tc>
          <w:tcPr>
            <w:tcW w:w="152" w:type="pct"/>
            <w:vAlign w:val="center"/>
          </w:tcPr>
          <w:p w14:paraId="7BF4F4C3">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515" w:type="pct"/>
            <w:vAlign w:val="center"/>
          </w:tcPr>
          <w:p w14:paraId="7F5ED4B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w:t>
            </w:r>
            <w:r>
              <w:rPr>
                <w:color w:val="000000" w:themeColor="text1"/>
                <w:vertAlign w:val="superscript"/>
                <w14:textFill>
                  <w14:solidFill>
                    <w14:schemeClr w14:val="tx1"/>
                  </w14:solidFill>
                </w14:textFill>
              </w:rPr>
              <w:t>2+</w:t>
            </w:r>
          </w:p>
        </w:tc>
        <w:tc>
          <w:tcPr>
            <w:tcW w:w="314" w:type="pct"/>
            <w:vAlign w:val="center"/>
          </w:tcPr>
          <w:p w14:paraId="7413AF05">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2" w:type="pct"/>
            <w:vAlign w:val="center"/>
          </w:tcPr>
          <w:p w14:paraId="322E4FB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4.92</w:t>
            </w:r>
          </w:p>
        </w:tc>
        <w:tc>
          <w:tcPr>
            <w:tcW w:w="337" w:type="pct"/>
            <w:vAlign w:val="center"/>
          </w:tcPr>
          <w:p w14:paraId="35B53E41">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5" w:type="pct"/>
            <w:vAlign w:val="center"/>
          </w:tcPr>
          <w:p w14:paraId="0522197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48" w:type="pct"/>
            <w:vAlign w:val="center"/>
          </w:tcPr>
          <w:p w14:paraId="083863A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4.79</w:t>
            </w:r>
          </w:p>
        </w:tc>
        <w:tc>
          <w:tcPr>
            <w:tcW w:w="327" w:type="pct"/>
            <w:vAlign w:val="center"/>
          </w:tcPr>
          <w:p w14:paraId="765464B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31" w:type="pct"/>
            <w:vAlign w:val="center"/>
          </w:tcPr>
          <w:p w14:paraId="1EA9D41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3" w:type="pct"/>
            <w:vAlign w:val="center"/>
          </w:tcPr>
          <w:p w14:paraId="743B6FE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5.13</w:t>
            </w:r>
          </w:p>
        </w:tc>
        <w:tc>
          <w:tcPr>
            <w:tcW w:w="353" w:type="pct"/>
            <w:vAlign w:val="center"/>
          </w:tcPr>
          <w:p w14:paraId="27416F3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 w:type="pct"/>
            <w:vAlign w:val="center"/>
          </w:tcPr>
          <w:p w14:paraId="1454CA6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13E6A6F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11.2</w:t>
            </w:r>
          </w:p>
        </w:tc>
        <w:tc>
          <w:tcPr>
            <w:tcW w:w="379" w:type="pct"/>
            <w:vAlign w:val="center"/>
          </w:tcPr>
          <w:p w14:paraId="129F423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6" w:type="pct"/>
            <w:vAlign w:val="center"/>
          </w:tcPr>
          <w:p w14:paraId="02BD2470">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6" w:type="pct"/>
            <w:vAlign w:val="center"/>
          </w:tcPr>
          <w:p w14:paraId="2D2B7CF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11.4</w:t>
            </w:r>
          </w:p>
        </w:tc>
        <w:tc>
          <w:tcPr>
            <w:tcW w:w="354" w:type="pct"/>
            <w:vAlign w:val="center"/>
          </w:tcPr>
          <w:p w14:paraId="78668E0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88" w:type="pct"/>
            <w:vAlign w:val="center"/>
          </w:tcPr>
          <w:p w14:paraId="1163F2D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2FBF84F5">
      <w:pPr>
        <w:pStyle w:val="280"/>
        <w:rPr>
          <w:rStyle w:val="192"/>
          <w:rFonts w:hint="eastAsia"/>
          <w:color w:val="000000" w:themeColor="text1"/>
          <w14:textFill>
            <w14:solidFill>
              <w14:schemeClr w14:val="tx1"/>
            </w14:solidFill>
          </w14:textFill>
        </w:rPr>
      </w:pPr>
    </w:p>
    <w:p w14:paraId="615C8A16">
      <w:pPr>
        <w:pStyle w:val="280"/>
        <w:rPr>
          <w:rFonts w:hint="eastAsia"/>
          <w:color w:val="000000" w:themeColor="text1"/>
          <w14:textFill>
            <w14:solidFill>
              <w14:schemeClr w14:val="tx1"/>
            </w14:solidFill>
          </w14:textFill>
        </w:rPr>
      </w:pPr>
    </w:p>
    <w:p w14:paraId="362A5B17">
      <w:pPr>
        <w:pStyle w:val="193"/>
        <w:rPr>
          <w:rFonts w:hint="eastAsia"/>
          <w:color w:val="000000" w:themeColor="text1"/>
          <w14:textFill>
            <w14:solidFill>
              <w14:schemeClr w14:val="tx1"/>
            </w14:solidFill>
          </w14:textFill>
        </w:rPr>
        <w:sectPr>
          <w:pgSz w:w="16838" w:h="11906" w:orient="landscape"/>
          <w:pgMar w:top="1588" w:right="1418" w:bottom="1588" w:left="1418" w:header="1020" w:footer="1020" w:gutter="0"/>
          <w:cols w:space="720" w:num="1"/>
          <w:docGrid w:type="lines" w:linePitch="312" w:charSpace="0"/>
        </w:sectPr>
      </w:pPr>
    </w:p>
    <w:bookmarkEnd w:id="379"/>
    <w:p w14:paraId="11F546D1">
      <w:pPr>
        <w:pStyle w:val="193"/>
        <w:rPr>
          <w:rFonts w:hint="eastAsia"/>
          <w:color w:val="000000" w:themeColor="text1"/>
          <w:lang w:bidi="ar"/>
          <w14:textFill>
            <w14:solidFill>
              <w14:schemeClr w14:val="tx1"/>
            </w14:solidFill>
          </w14:textFill>
        </w:rPr>
      </w:pPr>
      <w:bookmarkStart w:id="380" w:name="_Hlk160376379"/>
      <w:r>
        <w:rPr>
          <w:rFonts w:hint="eastAsia"/>
          <w:color w:val="000000" w:themeColor="text1"/>
          <w:lang w:bidi="ar"/>
          <w14:textFill>
            <w14:solidFill>
              <w14:schemeClr w14:val="tx1"/>
            </w14:solidFill>
          </w14:textFill>
        </w:rPr>
        <w:t>由表4.3-6可知，</w:t>
      </w:r>
      <w:bookmarkStart w:id="381" w:name="_Hlk175245810"/>
      <w:r>
        <w:rPr>
          <w:rFonts w:hint="eastAsia"/>
          <w:color w:val="000000" w:themeColor="text1"/>
          <w:lang w:bidi="ar"/>
          <w14:textFill>
            <w14:solidFill>
              <w14:schemeClr w14:val="tx1"/>
            </w14:solidFill>
          </w14:textFill>
        </w:rPr>
        <w:t>石油类满足《地表水环境质量标准》（GB3838-2002）中的Ⅲ类标准限值，</w:t>
      </w:r>
      <w:r>
        <w:rPr>
          <w:rFonts w:hint="eastAsia"/>
          <w:color w:val="000000" w:themeColor="text1"/>
          <w14:textFill>
            <w14:solidFill>
              <w14:schemeClr w14:val="tx1"/>
            </w14:solidFill>
          </w14:textFill>
        </w:rPr>
        <w:t>其余各点、各监测因子均可满足</w:t>
      </w:r>
      <w:r>
        <w:rPr>
          <w:rFonts w:hint="eastAsia"/>
          <w:color w:val="000000" w:themeColor="text1"/>
          <w:lang w:bidi="ar"/>
          <w14:textFill>
            <w14:solidFill>
              <w14:schemeClr w14:val="tx1"/>
            </w14:solidFill>
          </w14:textFill>
        </w:rPr>
        <w:t>《地下水质量标准》（GB/T14848-2017）Ⅲ类标准。</w:t>
      </w:r>
    </w:p>
    <w:bookmarkEnd w:id="380"/>
    <w:bookmarkEnd w:id="381"/>
    <w:p w14:paraId="09AA8204">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（5）包气带质量现状监测</w:t>
      </w:r>
    </w:p>
    <w:p w14:paraId="6D4A8EDE">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现场踏勘及问询结果，井区运行至今，未发生包气带污染情况，综合考虑，本次在可能发生漏油事件的井区现有井场和计量站分别布设1个包气带监测点，对样品进行浸溶实验，采样时间：2026年3月15日。监测单位：新疆壹诺环保科技有限公司。包气带质量现状监测结果见表4.3-7。根据监测结果，参照《地下水质量标准》（GB/T14848-2017）中Ⅲ类标准，各项因子均达标，表明项目区包气带未受到现有工程油气开采活动的污染。</w:t>
      </w:r>
    </w:p>
    <w:p w14:paraId="6057DC6C">
      <w:pPr>
        <w:pStyle w:val="112"/>
        <w:rPr>
          <w:rStyle w:val="166"/>
          <w:rFonts w:hint="eastAsia"/>
          <w:color w:val="000000" w:themeColor="text1"/>
          <w14:textFill>
            <w14:solidFill>
              <w14:schemeClr w14:val="tx1"/>
            </w14:solidFill>
          </w14:textFill>
        </w:rPr>
      </w:pPr>
      <w:r>
        <w:rPr>
          <w:rStyle w:val="166"/>
          <w:rFonts w:hint="eastAsia"/>
          <w:color w:val="000000" w:themeColor="text1"/>
          <w14:textFill>
            <w14:solidFill>
              <w14:schemeClr w14:val="tx1"/>
            </w14:solidFill>
          </w14:textFill>
        </w:rPr>
        <w:t>表4.3-7  包气带质量现状监测结果一览表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559"/>
        <w:gridCol w:w="1418"/>
        <w:gridCol w:w="850"/>
        <w:gridCol w:w="993"/>
        <w:gridCol w:w="1133"/>
        <w:gridCol w:w="707"/>
        <w:gridCol w:w="650"/>
      </w:tblGrid>
      <w:tr w14:paraId="3F240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bottom w:val="single" w:color="auto" w:sz="4" w:space="0"/>
            </w:tcBorders>
            <w:tcMar>
              <w:left w:w="0" w:type="dxa"/>
              <w:right w:w="0" w:type="dxa"/>
            </w:tcMar>
            <w:vAlign w:val="center"/>
          </w:tcPr>
          <w:p w14:paraId="25B00C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监测点名称</w:t>
            </w:r>
          </w:p>
        </w:tc>
        <w:tc>
          <w:tcPr>
            <w:tcW w:w="893" w:type="pct"/>
            <w:tcMar>
              <w:left w:w="0" w:type="dxa"/>
              <w:right w:w="0" w:type="dxa"/>
            </w:tcMar>
            <w:vAlign w:val="center"/>
          </w:tcPr>
          <w:p w14:paraId="6DCF03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采样点坐标</w:t>
            </w:r>
          </w:p>
        </w:tc>
        <w:tc>
          <w:tcPr>
            <w:tcW w:w="812" w:type="pct"/>
            <w:tcMar>
              <w:left w:w="0" w:type="dxa"/>
              <w:right w:w="0" w:type="dxa"/>
            </w:tcMar>
            <w:vAlign w:val="center"/>
          </w:tcPr>
          <w:p w14:paraId="39CF661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采样深度</w:t>
            </w:r>
          </w:p>
        </w:tc>
        <w:tc>
          <w:tcPr>
            <w:tcW w:w="487" w:type="pct"/>
            <w:tcMar>
              <w:left w:w="0" w:type="dxa"/>
              <w:right w:w="0" w:type="dxa"/>
            </w:tcMar>
            <w:vAlign w:val="center"/>
          </w:tcPr>
          <w:p w14:paraId="648D5B7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监测因子</w:t>
            </w:r>
          </w:p>
        </w:tc>
        <w:tc>
          <w:tcPr>
            <w:tcW w:w="569" w:type="pct"/>
            <w:tcMar>
              <w:left w:w="0" w:type="dxa"/>
              <w:right w:w="0" w:type="dxa"/>
            </w:tcMar>
            <w:vAlign w:val="center"/>
          </w:tcPr>
          <w:p w14:paraId="1DFC05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执行标准</w:t>
            </w:r>
          </w:p>
          <w:p w14:paraId="6874B4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（Ⅲ类）</w:t>
            </w:r>
          </w:p>
        </w:tc>
        <w:tc>
          <w:tcPr>
            <w:tcW w:w="649" w:type="pct"/>
            <w:tcMar>
              <w:left w:w="0" w:type="dxa"/>
              <w:right w:w="0" w:type="dxa"/>
            </w:tcMar>
            <w:vAlign w:val="center"/>
          </w:tcPr>
          <w:p w14:paraId="6043E6E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05" w:type="pct"/>
            <w:vAlign w:val="center"/>
          </w:tcPr>
          <w:p w14:paraId="27FD08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372" w:type="pct"/>
            <w:tcMar>
              <w:left w:w="0" w:type="dxa"/>
              <w:right w:w="0" w:type="dxa"/>
            </w:tcMar>
            <w:vAlign w:val="center"/>
          </w:tcPr>
          <w:p w14:paraId="3141AA0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评价结果</w:t>
            </w:r>
          </w:p>
        </w:tc>
      </w:tr>
      <w:tr w14:paraId="5F46CE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restart"/>
            <w:tcBorders>
              <w:top w:val="single" w:color="auto" w:sz="4" w:space="0"/>
            </w:tcBorders>
            <w:tcMar>
              <w:left w:w="0" w:type="dxa"/>
              <w:right w:w="0" w:type="dxa"/>
            </w:tcMar>
            <w:vAlign w:val="center"/>
          </w:tcPr>
          <w:p w14:paraId="648E9B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井区现有井场</w:t>
            </w:r>
          </w:p>
        </w:tc>
        <w:tc>
          <w:tcPr>
            <w:tcW w:w="893" w:type="pct"/>
            <w:vMerge w:val="restart"/>
            <w:tcMar>
              <w:left w:w="0" w:type="dxa"/>
              <w:right w:w="0" w:type="dxa"/>
            </w:tcMar>
            <w:vAlign w:val="center"/>
          </w:tcPr>
          <w:p w14:paraId="4DEE339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 89°16'12.040"</w:t>
            </w:r>
          </w:p>
          <w:p w14:paraId="463EE7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44°6'56.260"</w:t>
            </w:r>
          </w:p>
        </w:tc>
        <w:tc>
          <w:tcPr>
            <w:tcW w:w="812" w:type="pct"/>
            <w:vMerge w:val="restart"/>
            <w:tcMar>
              <w:left w:w="0" w:type="dxa"/>
              <w:right w:w="0" w:type="dxa"/>
            </w:tcMar>
            <w:vAlign w:val="center"/>
          </w:tcPr>
          <w:p w14:paraId="7649AE6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0.2m</w:t>
            </w:r>
          </w:p>
        </w:tc>
        <w:tc>
          <w:tcPr>
            <w:tcW w:w="487" w:type="pct"/>
            <w:tcMar>
              <w:left w:w="0" w:type="dxa"/>
              <w:right w:w="0" w:type="dxa"/>
            </w:tcMar>
            <w:vAlign w:val="center"/>
          </w:tcPr>
          <w:p w14:paraId="03B5BE1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569" w:type="pct"/>
            <w:tcMar>
              <w:left w:w="0" w:type="dxa"/>
              <w:right w:w="0" w:type="dxa"/>
            </w:tcMar>
            <w:vAlign w:val="center"/>
          </w:tcPr>
          <w:p w14:paraId="6E49D2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649" w:type="pct"/>
            <w:tcMar>
              <w:left w:w="0" w:type="dxa"/>
              <w:right w:w="0" w:type="dxa"/>
            </w:tcMar>
            <w:vAlign w:val="center"/>
          </w:tcPr>
          <w:p w14:paraId="211DF63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405" w:type="pct"/>
            <w:vAlign w:val="center"/>
          </w:tcPr>
          <w:p w14:paraId="157B2A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2" w:type="pct"/>
            <w:tcMar>
              <w:left w:w="0" w:type="dxa"/>
              <w:right w:w="0" w:type="dxa"/>
            </w:tcMar>
            <w:vAlign w:val="center"/>
          </w:tcPr>
          <w:p w14:paraId="311DCC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FC825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continue"/>
            <w:tcMar>
              <w:left w:w="0" w:type="dxa"/>
              <w:right w:w="0" w:type="dxa"/>
            </w:tcMar>
            <w:vAlign w:val="center"/>
          </w:tcPr>
          <w:p w14:paraId="3A6E0D20">
            <w:pPr>
              <w:pStyle w:val="210"/>
              <w:rPr>
                <w:rFonts w:hint="eastAsia"/>
                <w:color w:val="000000" w:themeColor="text1"/>
                <w14:textFill>
                  <w14:solidFill>
                    <w14:schemeClr w14:val="tx1"/>
                  </w14:solidFill>
                </w14:textFill>
              </w:rPr>
            </w:pPr>
          </w:p>
        </w:tc>
        <w:tc>
          <w:tcPr>
            <w:tcW w:w="893" w:type="pct"/>
            <w:vMerge w:val="continue"/>
            <w:tcMar>
              <w:left w:w="0" w:type="dxa"/>
              <w:right w:w="0" w:type="dxa"/>
            </w:tcMar>
            <w:vAlign w:val="center"/>
          </w:tcPr>
          <w:p w14:paraId="2AFA56AC">
            <w:pPr>
              <w:pStyle w:val="210"/>
              <w:rPr>
                <w:rFonts w:hint="eastAsia"/>
                <w:color w:val="000000" w:themeColor="text1"/>
                <w14:textFill>
                  <w14:solidFill>
                    <w14:schemeClr w14:val="tx1"/>
                  </w14:solidFill>
                </w14:textFill>
              </w:rPr>
            </w:pPr>
          </w:p>
        </w:tc>
        <w:tc>
          <w:tcPr>
            <w:tcW w:w="812" w:type="pct"/>
            <w:vMerge w:val="continue"/>
            <w:tcMar>
              <w:left w:w="0" w:type="dxa"/>
              <w:right w:w="0" w:type="dxa"/>
            </w:tcMar>
            <w:vAlign w:val="center"/>
          </w:tcPr>
          <w:p w14:paraId="60DBDA5A">
            <w:pPr>
              <w:pStyle w:val="210"/>
              <w:rPr>
                <w:rFonts w:hint="eastAsia"/>
                <w:color w:val="000000" w:themeColor="text1"/>
                <w14:textFill>
                  <w14:solidFill>
                    <w14:schemeClr w14:val="tx1"/>
                  </w14:solidFill>
                </w14:textFill>
              </w:rPr>
            </w:pPr>
          </w:p>
        </w:tc>
        <w:tc>
          <w:tcPr>
            <w:tcW w:w="487" w:type="pct"/>
            <w:tcMar>
              <w:left w:w="0" w:type="dxa"/>
              <w:right w:w="0" w:type="dxa"/>
            </w:tcMar>
            <w:vAlign w:val="center"/>
          </w:tcPr>
          <w:p w14:paraId="6D548EA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569" w:type="pct"/>
            <w:tcMar>
              <w:left w:w="0" w:type="dxa"/>
              <w:right w:w="0" w:type="dxa"/>
            </w:tcMar>
            <w:vAlign w:val="center"/>
          </w:tcPr>
          <w:p w14:paraId="5FF276D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6.5～8.5</w:t>
            </w:r>
          </w:p>
        </w:tc>
        <w:tc>
          <w:tcPr>
            <w:tcW w:w="649" w:type="pct"/>
            <w:tcMar>
              <w:left w:w="0" w:type="dxa"/>
              <w:right w:w="0" w:type="dxa"/>
            </w:tcMar>
            <w:vAlign w:val="center"/>
          </w:tcPr>
          <w:p w14:paraId="73C5D0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8.5</w:t>
            </w:r>
          </w:p>
        </w:tc>
        <w:tc>
          <w:tcPr>
            <w:tcW w:w="405" w:type="pct"/>
            <w:vAlign w:val="center"/>
          </w:tcPr>
          <w:p w14:paraId="06DB9E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372" w:type="pct"/>
            <w:tcMar>
              <w:left w:w="0" w:type="dxa"/>
              <w:right w:w="0" w:type="dxa"/>
            </w:tcMar>
            <w:vAlign w:val="center"/>
          </w:tcPr>
          <w:p w14:paraId="326BE1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F614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continue"/>
            <w:tcMar>
              <w:left w:w="0" w:type="dxa"/>
              <w:right w:w="0" w:type="dxa"/>
            </w:tcMar>
            <w:vAlign w:val="center"/>
          </w:tcPr>
          <w:p w14:paraId="6C630E12">
            <w:pPr>
              <w:pStyle w:val="210"/>
              <w:rPr>
                <w:rFonts w:hint="eastAsia"/>
                <w:color w:val="000000" w:themeColor="text1"/>
                <w14:textFill>
                  <w14:solidFill>
                    <w14:schemeClr w14:val="tx1"/>
                  </w14:solidFill>
                </w14:textFill>
              </w:rPr>
            </w:pPr>
          </w:p>
        </w:tc>
        <w:tc>
          <w:tcPr>
            <w:tcW w:w="893" w:type="pct"/>
            <w:vMerge w:val="continue"/>
            <w:tcMar>
              <w:left w:w="0" w:type="dxa"/>
              <w:right w:w="0" w:type="dxa"/>
            </w:tcMar>
            <w:vAlign w:val="center"/>
          </w:tcPr>
          <w:p w14:paraId="2F1FABD2">
            <w:pPr>
              <w:pStyle w:val="210"/>
              <w:rPr>
                <w:rFonts w:hint="eastAsia"/>
                <w:color w:val="000000" w:themeColor="text1"/>
                <w14:textFill>
                  <w14:solidFill>
                    <w14:schemeClr w14:val="tx1"/>
                  </w14:solidFill>
                </w14:textFill>
              </w:rPr>
            </w:pPr>
          </w:p>
        </w:tc>
        <w:tc>
          <w:tcPr>
            <w:tcW w:w="812" w:type="pct"/>
            <w:vMerge w:val="continue"/>
            <w:tcMar>
              <w:left w:w="0" w:type="dxa"/>
              <w:right w:w="0" w:type="dxa"/>
            </w:tcMar>
            <w:vAlign w:val="center"/>
          </w:tcPr>
          <w:p w14:paraId="6D0F64B0">
            <w:pPr>
              <w:pStyle w:val="210"/>
              <w:rPr>
                <w:rFonts w:hint="eastAsia"/>
                <w:color w:val="000000" w:themeColor="text1"/>
                <w14:textFill>
                  <w14:solidFill>
                    <w14:schemeClr w14:val="tx1"/>
                  </w14:solidFill>
                </w14:textFill>
              </w:rPr>
            </w:pPr>
          </w:p>
        </w:tc>
        <w:tc>
          <w:tcPr>
            <w:tcW w:w="487" w:type="pct"/>
            <w:tcMar>
              <w:left w:w="0" w:type="dxa"/>
              <w:right w:w="0" w:type="dxa"/>
            </w:tcMar>
            <w:vAlign w:val="center"/>
          </w:tcPr>
          <w:p w14:paraId="0296A6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569" w:type="pct"/>
            <w:tcMar>
              <w:left w:w="0" w:type="dxa"/>
              <w:right w:w="0" w:type="dxa"/>
            </w:tcMar>
            <w:vAlign w:val="center"/>
          </w:tcPr>
          <w:p w14:paraId="687012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≤0.001</w:t>
            </w:r>
          </w:p>
        </w:tc>
        <w:tc>
          <w:tcPr>
            <w:tcW w:w="649" w:type="pct"/>
            <w:tcMar>
              <w:left w:w="0" w:type="dxa"/>
              <w:right w:w="0" w:type="dxa"/>
            </w:tcMar>
            <w:vAlign w:val="center"/>
          </w:tcPr>
          <w:p w14:paraId="2E9337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0.00005</w:t>
            </w:r>
          </w:p>
        </w:tc>
        <w:tc>
          <w:tcPr>
            <w:tcW w:w="405" w:type="pct"/>
            <w:vAlign w:val="center"/>
          </w:tcPr>
          <w:p w14:paraId="60C861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2" w:type="pct"/>
            <w:tcMar>
              <w:left w:w="0" w:type="dxa"/>
              <w:right w:w="0" w:type="dxa"/>
            </w:tcMar>
            <w:vAlign w:val="center"/>
          </w:tcPr>
          <w:p w14:paraId="024D02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E91B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continue"/>
            <w:tcMar>
              <w:left w:w="0" w:type="dxa"/>
              <w:right w:w="0" w:type="dxa"/>
            </w:tcMar>
            <w:vAlign w:val="center"/>
          </w:tcPr>
          <w:p w14:paraId="31F7B121">
            <w:pPr>
              <w:pStyle w:val="210"/>
              <w:rPr>
                <w:rFonts w:hint="eastAsia"/>
                <w:color w:val="000000" w:themeColor="text1"/>
                <w14:textFill>
                  <w14:solidFill>
                    <w14:schemeClr w14:val="tx1"/>
                  </w14:solidFill>
                </w14:textFill>
              </w:rPr>
            </w:pPr>
          </w:p>
        </w:tc>
        <w:tc>
          <w:tcPr>
            <w:tcW w:w="893" w:type="pct"/>
            <w:vMerge w:val="continue"/>
            <w:tcMar>
              <w:left w:w="0" w:type="dxa"/>
              <w:right w:w="0" w:type="dxa"/>
            </w:tcMar>
            <w:vAlign w:val="center"/>
          </w:tcPr>
          <w:p w14:paraId="06531D07">
            <w:pPr>
              <w:pStyle w:val="210"/>
              <w:rPr>
                <w:rFonts w:hint="eastAsia"/>
                <w:color w:val="000000" w:themeColor="text1"/>
                <w14:textFill>
                  <w14:solidFill>
                    <w14:schemeClr w14:val="tx1"/>
                  </w14:solidFill>
                </w14:textFill>
              </w:rPr>
            </w:pPr>
          </w:p>
        </w:tc>
        <w:tc>
          <w:tcPr>
            <w:tcW w:w="812" w:type="pct"/>
            <w:vMerge w:val="continue"/>
            <w:tcMar>
              <w:left w:w="0" w:type="dxa"/>
              <w:right w:w="0" w:type="dxa"/>
            </w:tcMar>
            <w:vAlign w:val="center"/>
          </w:tcPr>
          <w:p w14:paraId="3D8D4772">
            <w:pPr>
              <w:pStyle w:val="210"/>
              <w:rPr>
                <w:rFonts w:hint="eastAsia"/>
                <w:color w:val="000000" w:themeColor="text1"/>
                <w14:textFill>
                  <w14:solidFill>
                    <w14:schemeClr w14:val="tx1"/>
                  </w14:solidFill>
                </w14:textFill>
              </w:rPr>
            </w:pPr>
          </w:p>
        </w:tc>
        <w:tc>
          <w:tcPr>
            <w:tcW w:w="487" w:type="pct"/>
            <w:tcMar>
              <w:left w:w="0" w:type="dxa"/>
              <w:right w:w="0" w:type="dxa"/>
            </w:tcMar>
            <w:vAlign w:val="center"/>
          </w:tcPr>
          <w:p w14:paraId="6FFAB93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569" w:type="pct"/>
            <w:tcMar>
              <w:left w:w="0" w:type="dxa"/>
              <w:right w:w="0" w:type="dxa"/>
            </w:tcMar>
            <w:vAlign w:val="center"/>
          </w:tcPr>
          <w:p w14:paraId="009FE3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w:t>
            </w:r>
          </w:p>
        </w:tc>
        <w:tc>
          <w:tcPr>
            <w:tcW w:w="649" w:type="pct"/>
            <w:tcMar>
              <w:left w:w="0" w:type="dxa"/>
              <w:right w:w="0" w:type="dxa"/>
            </w:tcMar>
            <w:vAlign w:val="center"/>
          </w:tcPr>
          <w:p w14:paraId="10D7FC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405" w:type="pct"/>
            <w:vAlign w:val="center"/>
          </w:tcPr>
          <w:p w14:paraId="48FC440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2" w:type="pct"/>
            <w:tcMar>
              <w:left w:w="0" w:type="dxa"/>
              <w:right w:w="0" w:type="dxa"/>
            </w:tcMar>
            <w:vAlign w:val="center"/>
          </w:tcPr>
          <w:p w14:paraId="10CAC9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3F7B0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continue"/>
            <w:tcMar>
              <w:left w:w="0" w:type="dxa"/>
              <w:right w:w="0" w:type="dxa"/>
            </w:tcMar>
            <w:vAlign w:val="center"/>
          </w:tcPr>
          <w:p w14:paraId="46807495">
            <w:pPr>
              <w:pStyle w:val="210"/>
              <w:rPr>
                <w:rFonts w:hint="eastAsia"/>
                <w:color w:val="000000" w:themeColor="text1"/>
                <w14:textFill>
                  <w14:solidFill>
                    <w14:schemeClr w14:val="tx1"/>
                  </w14:solidFill>
                </w14:textFill>
              </w:rPr>
            </w:pPr>
          </w:p>
        </w:tc>
        <w:tc>
          <w:tcPr>
            <w:tcW w:w="893" w:type="pct"/>
            <w:vMerge w:val="continue"/>
            <w:tcBorders>
              <w:bottom w:val="single" w:color="auto" w:sz="4" w:space="0"/>
            </w:tcBorders>
            <w:tcMar>
              <w:left w:w="0" w:type="dxa"/>
              <w:right w:w="0" w:type="dxa"/>
            </w:tcMar>
            <w:vAlign w:val="center"/>
          </w:tcPr>
          <w:p w14:paraId="49055AE2">
            <w:pPr>
              <w:pStyle w:val="210"/>
              <w:rPr>
                <w:rFonts w:hint="eastAsia"/>
                <w:color w:val="000000" w:themeColor="text1"/>
                <w14:textFill>
                  <w14:solidFill>
                    <w14:schemeClr w14:val="tx1"/>
                  </w14:solidFill>
                </w14:textFill>
              </w:rPr>
            </w:pPr>
          </w:p>
        </w:tc>
        <w:tc>
          <w:tcPr>
            <w:tcW w:w="812" w:type="pct"/>
            <w:vMerge w:val="continue"/>
            <w:tcBorders>
              <w:bottom w:val="single" w:color="auto" w:sz="4" w:space="0"/>
            </w:tcBorders>
            <w:tcMar>
              <w:left w:w="0" w:type="dxa"/>
              <w:right w:w="0" w:type="dxa"/>
            </w:tcMar>
            <w:vAlign w:val="center"/>
          </w:tcPr>
          <w:p w14:paraId="6D7C7960">
            <w:pPr>
              <w:pStyle w:val="210"/>
              <w:rPr>
                <w:rFonts w:hint="eastAsia"/>
                <w:color w:val="000000" w:themeColor="text1"/>
                <w14:textFill>
                  <w14:solidFill>
                    <w14:schemeClr w14:val="tx1"/>
                  </w14:solidFill>
                </w14:textFill>
              </w:rPr>
            </w:pPr>
          </w:p>
        </w:tc>
        <w:tc>
          <w:tcPr>
            <w:tcW w:w="487" w:type="pct"/>
            <w:tcBorders>
              <w:bottom w:val="single" w:color="auto" w:sz="4" w:space="0"/>
            </w:tcBorders>
            <w:tcMar>
              <w:left w:w="0" w:type="dxa"/>
              <w:right w:w="0" w:type="dxa"/>
            </w:tcMar>
            <w:vAlign w:val="center"/>
          </w:tcPr>
          <w:p w14:paraId="5B4939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569" w:type="pct"/>
            <w:tcMar>
              <w:left w:w="0" w:type="dxa"/>
              <w:right w:w="0" w:type="dxa"/>
            </w:tcMar>
            <w:vAlign w:val="center"/>
          </w:tcPr>
          <w:p w14:paraId="2332DD9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649" w:type="pct"/>
            <w:tcMar>
              <w:left w:w="0" w:type="dxa"/>
              <w:right w:w="0" w:type="dxa"/>
            </w:tcMar>
            <w:vAlign w:val="center"/>
          </w:tcPr>
          <w:p w14:paraId="716B1F1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0.004L</w:t>
            </w:r>
          </w:p>
        </w:tc>
        <w:tc>
          <w:tcPr>
            <w:tcW w:w="405" w:type="pct"/>
            <w:vAlign w:val="center"/>
          </w:tcPr>
          <w:p w14:paraId="3594117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2" w:type="pct"/>
            <w:tcMar>
              <w:left w:w="0" w:type="dxa"/>
              <w:right w:w="0" w:type="dxa"/>
            </w:tcMar>
            <w:vAlign w:val="center"/>
          </w:tcPr>
          <w:p w14:paraId="0C6EDBE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EDDB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restart"/>
            <w:tcMar>
              <w:left w:w="0" w:type="dxa"/>
              <w:right w:w="0" w:type="dxa"/>
            </w:tcMar>
            <w:vAlign w:val="center"/>
          </w:tcPr>
          <w:p w14:paraId="2039CD3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井区现有计量站</w:t>
            </w:r>
          </w:p>
        </w:tc>
        <w:tc>
          <w:tcPr>
            <w:tcW w:w="893" w:type="pct"/>
            <w:vMerge w:val="restart"/>
            <w:tcBorders>
              <w:top w:val="single" w:color="auto" w:sz="4" w:space="0"/>
            </w:tcBorders>
            <w:tcMar>
              <w:left w:w="0" w:type="dxa"/>
              <w:right w:w="0" w:type="dxa"/>
            </w:tcMar>
            <w:vAlign w:val="center"/>
          </w:tcPr>
          <w:p w14:paraId="6482F78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 89°15'29.050"</w:t>
            </w:r>
          </w:p>
          <w:p w14:paraId="0F5F88A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44° 6'5.510"</w:t>
            </w:r>
          </w:p>
        </w:tc>
        <w:tc>
          <w:tcPr>
            <w:tcW w:w="812" w:type="pct"/>
            <w:vMerge w:val="restart"/>
            <w:tcBorders>
              <w:top w:val="single" w:color="auto" w:sz="4" w:space="0"/>
            </w:tcBorders>
            <w:tcMar>
              <w:left w:w="0" w:type="dxa"/>
              <w:right w:w="0" w:type="dxa"/>
            </w:tcMar>
            <w:vAlign w:val="center"/>
          </w:tcPr>
          <w:p w14:paraId="5F0A63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0.2m</w:t>
            </w:r>
          </w:p>
        </w:tc>
        <w:tc>
          <w:tcPr>
            <w:tcW w:w="487"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2CA5A5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569"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69D26F0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649"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48FA90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≤0.01L</w:t>
            </w:r>
          </w:p>
        </w:tc>
        <w:tc>
          <w:tcPr>
            <w:tcW w:w="405" w:type="pct"/>
            <w:tcBorders>
              <w:top w:val="single" w:color="auto" w:sz="4" w:space="0"/>
              <w:left w:val="single" w:color="auto" w:sz="4" w:space="0"/>
              <w:bottom w:val="single" w:color="auto" w:sz="4" w:space="0"/>
              <w:right w:val="single" w:color="auto" w:sz="4" w:space="0"/>
            </w:tcBorders>
            <w:vAlign w:val="center"/>
          </w:tcPr>
          <w:p w14:paraId="4F78E0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2" w:type="pct"/>
            <w:tcBorders>
              <w:top w:val="single" w:color="auto" w:sz="4" w:space="0"/>
              <w:left w:val="single" w:color="auto" w:sz="4" w:space="0"/>
              <w:bottom w:val="single" w:color="auto" w:sz="4" w:space="0"/>
            </w:tcBorders>
            <w:tcMar>
              <w:left w:w="0" w:type="dxa"/>
              <w:right w:w="0" w:type="dxa"/>
            </w:tcMar>
            <w:vAlign w:val="center"/>
          </w:tcPr>
          <w:p w14:paraId="6B49F23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A930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continue"/>
            <w:tcMar>
              <w:left w:w="0" w:type="dxa"/>
              <w:right w:w="0" w:type="dxa"/>
            </w:tcMar>
            <w:vAlign w:val="center"/>
          </w:tcPr>
          <w:p w14:paraId="6A81CB26">
            <w:pPr>
              <w:pStyle w:val="210"/>
              <w:rPr>
                <w:rFonts w:hint="eastAsia"/>
                <w:color w:val="000000" w:themeColor="text1"/>
                <w14:textFill>
                  <w14:solidFill>
                    <w14:schemeClr w14:val="tx1"/>
                  </w14:solidFill>
                </w14:textFill>
              </w:rPr>
            </w:pPr>
          </w:p>
        </w:tc>
        <w:tc>
          <w:tcPr>
            <w:tcW w:w="893" w:type="pct"/>
            <w:vMerge w:val="continue"/>
            <w:tcMar>
              <w:left w:w="0" w:type="dxa"/>
              <w:right w:w="0" w:type="dxa"/>
            </w:tcMar>
            <w:vAlign w:val="center"/>
          </w:tcPr>
          <w:p w14:paraId="105B7222">
            <w:pPr>
              <w:pStyle w:val="210"/>
              <w:rPr>
                <w:rFonts w:hint="eastAsia"/>
                <w:color w:val="000000" w:themeColor="text1"/>
                <w14:textFill>
                  <w14:solidFill>
                    <w14:schemeClr w14:val="tx1"/>
                  </w14:solidFill>
                </w14:textFill>
              </w:rPr>
            </w:pPr>
          </w:p>
        </w:tc>
        <w:tc>
          <w:tcPr>
            <w:tcW w:w="812" w:type="pct"/>
            <w:vMerge w:val="continue"/>
            <w:tcMar>
              <w:left w:w="0" w:type="dxa"/>
              <w:right w:w="0" w:type="dxa"/>
            </w:tcMar>
            <w:vAlign w:val="center"/>
          </w:tcPr>
          <w:p w14:paraId="1F364976">
            <w:pPr>
              <w:pStyle w:val="210"/>
              <w:rPr>
                <w:rFonts w:hint="eastAsia"/>
                <w:color w:val="000000" w:themeColor="text1"/>
                <w14:textFill>
                  <w14:solidFill>
                    <w14:schemeClr w14:val="tx1"/>
                  </w14:solidFill>
                </w14:textFill>
              </w:rPr>
            </w:pPr>
          </w:p>
        </w:tc>
        <w:tc>
          <w:tcPr>
            <w:tcW w:w="487"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00ACF5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569"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065EB3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6.5～8.5</w:t>
            </w:r>
          </w:p>
        </w:tc>
        <w:tc>
          <w:tcPr>
            <w:tcW w:w="649"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7A1FFDD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8.4</w:t>
            </w:r>
          </w:p>
        </w:tc>
        <w:tc>
          <w:tcPr>
            <w:tcW w:w="405" w:type="pct"/>
            <w:tcBorders>
              <w:top w:val="single" w:color="auto" w:sz="4" w:space="0"/>
              <w:left w:val="single" w:color="auto" w:sz="4" w:space="0"/>
              <w:bottom w:val="single" w:color="auto" w:sz="4" w:space="0"/>
              <w:right w:val="single" w:color="auto" w:sz="4" w:space="0"/>
            </w:tcBorders>
            <w:vAlign w:val="center"/>
          </w:tcPr>
          <w:p w14:paraId="385B02F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0.93</w:t>
            </w:r>
          </w:p>
        </w:tc>
        <w:tc>
          <w:tcPr>
            <w:tcW w:w="372" w:type="pct"/>
            <w:tcBorders>
              <w:top w:val="single" w:color="auto" w:sz="4" w:space="0"/>
              <w:left w:val="single" w:color="auto" w:sz="4" w:space="0"/>
              <w:bottom w:val="single" w:color="auto" w:sz="4" w:space="0"/>
            </w:tcBorders>
            <w:tcMar>
              <w:left w:w="0" w:type="dxa"/>
              <w:right w:w="0" w:type="dxa"/>
            </w:tcMar>
            <w:vAlign w:val="center"/>
          </w:tcPr>
          <w:p w14:paraId="168D02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45256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continue"/>
            <w:tcMar>
              <w:left w:w="0" w:type="dxa"/>
              <w:right w:w="0" w:type="dxa"/>
            </w:tcMar>
            <w:vAlign w:val="center"/>
          </w:tcPr>
          <w:p w14:paraId="36D3BABE">
            <w:pPr>
              <w:pStyle w:val="210"/>
              <w:rPr>
                <w:rFonts w:hint="eastAsia"/>
                <w:color w:val="000000" w:themeColor="text1"/>
                <w14:textFill>
                  <w14:solidFill>
                    <w14:schemeClr w14:val="tx1"/>
                  </w14:solidFill>
                </w14:textFill>
              </w:rPr>
            </w:pPr>
          </w:p>
        </w:tc>
        <w:tc>
          <w:tcPr>
            <w:tcW w:w="893" w:type="pct"/>
            <w:vMerge w:val="continue"/>
            <w:tcMar>
              <w:left w:w="0" w:type="dxa"/>
              <w:right w:w="0" w:type="dxa"/>
            </w:tcMar>
            <w:vAlign w:val="center"/>
          </w:tcPr>
          <w:p w14:paraId="73AFECBA">
            <w:pPr>
              <w:pStyle w:val="210"/>
              <w:rPr>
                <w:rFonts w:hint="eastAsia"/>
                <w:color w:val="000000" w:themeColor="text1"/>
                <w14:textFill>
                  <w14:solidFill>
                    <w14:schemeClr w14:val="tx1"/>
                  </w14:solidFill>
                </w14:textFill>
              </w:rPr>
            </w:pPr>
          </w:p>
        </w:tc>
        <w:tc>
          <w:tcPr>
            <w:tcW w:w="812" w:type="pct"/>
            <w:vMerge w:val="continue"/>
            <w:tcMar>
              <w:left w:w="0" w:type="dxa"/>
              <w:right w:w="0" w:type="dxa"/>
            </w:tcMar>
            <w:vAlign w:val="center"/>
          </w:tcPr>
          <w:p w14:paraId="3F199661">
            <w:pPr>
              <w:pStyle w:val="210"/>
              <w:rPr>
                <w:rFonts w:hint="eastAsia"/>
                <w:color w:val="000000" w:themeColor="text1"/>
                <w14:textFill>
                  <w14:solidFill>
                    <w14:schemeClr w14:val="tx1"/>
                  </w14:solidFill>
                </w14:textFill>
              </w:rPr>
            </w:pPr>
          </w:p>
        </w:tc>
        <w:tc>
          <w:tcPr>
            <w:tcW w:w="487"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53AAD5F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569"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5BE0211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≤0.001</w:t>
            </w:r>
          </w:p>
        </w:tc>
        <w:tc>
          <w:tcPr>
            <w:tcW w:w="649"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4061D1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0.00004</w:t>
            </w:r>
          </w:p>
        </w:tc>
        <w:tc>
          <w:tcPr>
            <w:tcW w:w="405" w:type="pct"/>
            <w:tcBorders>
              <w:top w:val="single" w:color="auto" w:sz="4" w:space="0"/>
              <w:left w:val="single" w:color="auto" w:sz="4" w:space="0"/>
              <w:bottom w:val="single" w:color="auto" w:sz="4" w:space="0"/>
              <w:right w:val="single" w:color="auto" w:sz="4" w:space="0"/>
            </w:tcBorders>
            <w:vAlign w:val="center"/>
          </w:tcPr>
          <w:p w14:paraId="03B8E2F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2" w:type="pct"/>
            <w:tcBorders>
              <w:top w:val="single" w:color="auto" w:sz="4" w:space="0"/>
              <w:left w:val="single" w:color="auto" w:sz="4" w:space="0"/>
              <w:bottom w:val="single" w:color="auto" w:sz="4" w:space="0"/>
            </w:tcBorders>
            <w:tcMar>
              <w:left w:w="0" w:type="dxa"/>
              <w:right w:w="0" w:type="dxa"/>
            </w:tcMar>
            <w:vAlign w:val="center"/>
          </w:tcPr>
          <w:p w14:paraId="66E899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FB66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continue"/>
            <w:tcMar>
              <w:left w:w="0" w:type="dxa"/>
              <w:right w:w="0" w:type="dxa"/>
            </w:tcMar>
            <w:vAlign w:val="center"/>
          </w:tcPr>
          <w:p w14:paraId="65C82C56">
            <w:pPr>
              <w:pStyle w:val="210"/>
              <w:rPr>
                <w:rFonts w:hint="eastAsia"/>
                <w:color w:val="000000" w:themeColor="text1"/>
                <w14:textFill>
                  <w14:solidFill>
                    <w14:schemeClr w14:val="tx1"/>
                  </w14:solidFill>
                </w14:textFill>
              </w:rPr>
            </w:pPr>
          </w:p>
        </w:tc>
        <w:tc>
          <w:tcPr>
            <w:tcW w:w="893" w:type="pct"/>
            <w:vMerge w:val="continue"/>
            <w:tcMar>
              <w:left w:w="0" w:type="dxa"/>
              <w:right w:w="0" w:type="dxa"/>
            </w:tcMar>
            <w:vAlign w:val="center"/>
          </w:tcPr>
          <w:p w14:paraId="4B59D76D">
            <w:pPr>
              <w:pStyle w:val="210"/>
              <w:rPr>
                <w:rFonts w:hint="eastAsia"/>
                <w:color w:val="000000" w:themeColor="text1"/>
                <w14:textFill>
                  <w14:solidFill>
                    <w14:schemeClr w14:val="tx1"/>
                  </w14:solidFill>
                </w14:textFill>
              </w:rPr>
            </w:pPr>
          </w:p>
        </w:tc>
        <w:tc>
          <w:tcPr>
            <w:tcW w:w="812" w:type="pct"/>
            <w:vMerge w:val="continue"/>
            <w:tcMar>
              <w:left w:w="0" w:type="dxa"/>
              <w:right w:w="0" w:type="dxa"/>
            </w:tcMar>
            <w:vAlign w:val="center"/>
          </w:tcPr>
          <w:p w14:paraId="50AA57EC">
            <w:pPr>
              <w:pStyle w:val="210"/>
              <w:rPr>
                <w:rFonts w:hint="eastAsia"/>
                <w:color w:val="000000" w:themeColor="text1"/>
                <w14:textFill>
                  <w14:solidFill>
                    <w14:schemeClr w14:val="tx1"/>
                  </w14:solidFill>
                </w14:textFill>
              </w:rPr>
            </w:pPr>
          </w:p>
        </w:tc>
        <w:tc>
          <w:tcPr>
            <w:tcW w:w="487"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31FBE51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569"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279023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w:t>
            </w:r>
          </w:p>
        </w:tc>
        <w:tc>
          <w:tcPr>
            <w:tcW w:w="649"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14:paraId="5FA0944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≤0.0003L</w:t>
            </w:r>
          </w:p>
        </w:tc>
        <w:tc>
          <w:tcPr>
            <w:tcW w:w="405" w:type="pct"/>
            <w:tcBorders>
              <w:top w:val="single" w:color="auto" w:sz="4" w:space="0"/>
              <w:left w:val="single" w:color="auto" w:sz="4" w:space="0"/>
              <w:bottom w:val="single" w:color="auto" w:sz="4" w:space="0"/>
              <w:right w:val="single" w:color="auto" w:sz="4" w:space="0"/>
            </w:tcBorders>
            <w:vAlign w:val="center"/>
          </w:tcPr>
          <w:p w14:paraId="2E6592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2" w:type="pct"/>
            <w:tcBorders>
              <w:top w:val="single" w:color="auto" w:sz="4" w:space="0"/>
              <w:left w:val="single" w:color="auto" w:sz="4" w:space="0"/>
              <w:bottom w:val="single" w:color="auto" w:sz="4" w:space="0"/>
            </w:tcBorders>
            <w:tcMar>
              <w:left w:w="0" w:type="dxa"/>
              <w:right w:w="0" w:type="dxa"/>
            </w:tcMar>
            <w:vAlign w:val="center"/>
          </w:tcPr>
          <w:p w14:paraId="09B429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4580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vMerge w:val="continue"/>
            <w:tcMar>
              <w:left w:w="0" w:type="dxa"/>
              <w:right w:w="0" w:type="dxa"/>
            </w:tcMar>
            <w:vAlign w:val="center"/>
          </w:tcPr>
          <w:p w14:paraId="73E66EC0">
            <w:pPr>
              <w:pStyle w:val="210"/>
              <w:rPr>
                <w:rFonts w:hint="eastAsia"/>
                <w:color w:val="000000" w:themeColor="text1"/>
                <w14:textFill>
                  <w14:solidFill>
                    <w14:schemeClr w14:val="tx1"/>
                  </w14:solidFill>
                </w14:textFill>
              </w:rPr>
            </w:pPr>
          </w:p>
        </w:tc>
        <w:tc>
          <w:tcPr>
            <w:tcW w:w="893" w:type="pct"/>
            <w:vMerge w:val="continue"/>
            <w:tcMar>
              <w:left w:w="0" w:type="dxa"/>
              <w:right w:w="0" w:type="dxa"/>
            </w:tcMar>
            <w:vAlign w:val="center"/>
          </w:tcPr>
          <w:p w14:paraId="6A33A878">
            <w:pPr>
              <w:pStyle w:val="210"/>
              <w:rPr>
                <w:rFonts w:hint="eastAsia"/>
                <w:color w:val="000000" w:themeColor="text1"/>
                <w14:textFill>
                  <w14:solidFill>
                    <w14:schemeClr w14:val="tx1"/>
                  </w14:solidFill>
                </w14:textFill>
              </w:rPr>
            </w:pPr>
          </w:p>
        </w:tc>
        <w:tc>
          <w:tcPr>
            <w:tcW w:w="812" w:type="pct"/>
            <w:vMerge w:val="continue"/>
            <w:tcMar>
              <w:left w:w="0" w:type="dxa"/>
              <w:right w:w="0" w:type="dxa"/>
            </w:tcMar>
            <w:vAlign w:val="center"/>
          </w:tcPr>
          <w:p w14:paraId="5AD2F303">
            <w:pPr>
              <w:pStyle w:val="210"/>
              <w:rPr>
                <w:rFonts w:hint="eastAsia"/>
                <w:color w:val="000000" w:themeColor="text1"/>
                <w14:textFill>
                  <w14:solidFill>
                    <w14:schemeClr w14:val="tx1"/>
                  </w14:solidFill>
                </w14:textFill>
              </w:rPr>
            </w:pPr>
          </w:p>
        </w:tc>
        <w:tc>
          <w:tcPr>
            <w:tcW w:w="487" w:type="pct"/>
            <w:tcBorders>
              <w:top w:val="single" w:color="auto" w:sz="4" w:space="0"/>
              <w:left w:val="single" w:color="auto" w:sz="4" w:space="0"/>
              <w:bottom w:val="single" w:color="auto" w:sz="12" w:space="0"/>
              <w:right w:val="single" w:color="auto" w:sz="4" w:space="0"/>
            </w:tcBorders>
            <w:tcMar>
              <w:left w:w="0" w:type="dxa"/>
              <w:right w:w="0" w:type="dxa"/>
            </w:tcMar>
            <w:vAlign w:val="center"/>
          </w:tcPr>
          <w:p w14:paraId="69C197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569" w:type="pct"/>
            <w:tcBorders>
              <w:top w:val="single" w:color="auto" w:sz="4" w:space="0"/>
              <w:left w:val="single" w:color="auto" w:sz="4" w:space="0"/>
              <w:bottom w:val="single" w:color="auto" w:sz="12" w:space="0"/>
              <w:right w:val="single" w:color="auto" w:sz="4" w:space="0"/>
            </w:tcBorders>
            <w:tcMar>
              <w:left w:w="0" w:type="dxa"/>
              <w:right w:w="0" w:type="dxa"/>
            </w:tcMar>
            <w:vAlign w:val="center"/>
          </w:tcPr>
          <w:p w14:paraId="42E77C8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649" w:type="pct"/>
            <w:tcBorders>
              <w:top w:val="single" w:color="auto" w:sz="4" w:space="0"/>
              <w:left w:val="single" w:color="auto" w:sz="4" w:space="0"/>
              <w:bottom w:val="single" w:color="auto" w:sz="12" w:space="0"/>
              <w:right w:val="single" w:color="auto" w:sz="4" w:space="0"/>
            </w:tcBorders>
            <w:tcMar>
              <w:left w:w="0" w:type="dxa"/>
              <w:right w:w="0" w:type="dxa"/>
            </w:tcMar>
            <w:vAlign w:val="center"/>
          </w:tcPr>
          <w:p w14:paraId="45A181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0.004L</w:t>
            </w:r>
          </w:p>
        </w:tc>
        <w:tc>
          <w:tcPr>
            <w:tcW w:w="405" w:type="pct"/>
            <w:tcBorders>
              <w:top w:val="single" w:color="auto" w:sz="4" w:space="0"/>
              <w:left w:val="single" w:color="auto" w:sz="4" w:space="0"/>
              <w:bottom w:val="single" w:color="auto" w:sz="12" w:space="0"/>
              <w:right w:val="single" w:color="auto" w:sz="4" w:space="0"/>
            </w:tcBorders>
            <w:vAlign w:val="center"/>
          </w:tcPr>
          <w:p w14:paraId="5FE509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2" w:type="pct"/>
            <w:tcBorders>
              <w:top w:val="single" w:color="auto" w:sz="4" w:space="0"/>
              <w:left w:val="single" w:color="auto" w:sz="4" w:space="0"/>
              <w:bottom w:val="single" w:color="auto" w:sz="12" w:space="0"/>
            </w:tcBorders>
            <w:tcMar>
              <w:left w:w="0" w:type="dxa"/>
              <w:right w:w="0" w:type="dxa"/>
            </w:tcMar>
            <w:vAlign w:val="center"/>
          </w:tcPr>
          <w:p w14:paraId="70ADBD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4FB42270">
      <w:pPr>
        <w:pStyle w:val="7"/>
        <w:rPr>
          <w:rFonts w:hint="eastAsia"/>
          <w:color w:val="000000" w:themeColor="text1"/>
          <w14:textFill>
            <w14:solidFill>
              <w14:schemeClr w14:val="tx1"/>
            </w14:solidFill>
          </w14:textFill>
        </w:rPr>
        <w:sectPr>
          <w:footerReference r:id="rId8" w:type="default"/>
          <w:pgSz w:w="11906" w:h="16838"/>
          <w:pgMar w:top="1418" w:right="1588" w:bottom="1418" w:left="1588" w:header="1020" w:footer="1020" w:gutter="0"/>
          <w:cols w:space="720" w:num="1"/>
          <w:docGrid w:type="lines" w:linePitch="312" w:charSpace="0"/>
        </w:sectPr>
      </w:pPr>
    </w:p>
    <w:bookmarkEnd w:id="378"/>
    <w:p w14:paraId="4C9A14E1">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声环境质量现状调查与评价</w:t>
      </w:r>
    </w:p>
    <w:p w14:paraId="4E1FCEAF">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（1）监测点位</w:t>
      </w:r>
    </w:p>
    <w:p w14:paraId="3548EC5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在每座井场（含平台井）布设1个监测点，共布设4个监测点，4座已建计量站厂界四周各设置1个监测点，共20个噪声监测点，监测点坐标见表4.3-8和图4.3-3。</w:t>
      </w:r>
    </w:p>
    <w:p w14:paraId="499F7423">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-8  噪声监测点坐标一览表</w:t>
      </w:r>
    </w:p>
    <w:tbl>
      <w:tblPr>
        <w:tblStyle w:val="440"/>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70"/>
        <w:gridCol w:w="770"/>
        <w:gridCol w:w="883"/>
        <w:gridCol w:w="2868"/>
        <w:gridCol w:w="2836"/>
      </w:tblGrid>
      <w:tr w14:paraId="19D339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053734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编号</w:t>
            </w:r>
          </w:p>
        </w:tc>
        <w:tc>
          <w:tcPr>
            <w:tcW w:w="947" w:type="pct"/>
            <w:gridSpan w:val="2"/>
            <w:vAlign w:val="center"/>
          </w:tcPr>
          <w:p w14:paraId="31F2D2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井号</w:t>
            </w:r>
          </w:p>
        </w:tc>
        <w:tc>
          <w:tcPr>
            <w:tcW w:w="1643" w:type="pct"/>
            <w:vAlign w:val="center"/>
          </w:tcPr>
          <w:p w14:paraId="4B8553A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w:t>
            </w:r>
          </w:p>
        </w:tc>
        <w:tc>
          <w:tcPr>
            <w:tcW w:w="1624" w:type="pct"/>
            <w:vAlign w:val="center"/>
          </w:tcPr>
          <w:p w14:paraId="54E6157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p>
        </w:tc>
      </w:tr>
      <w:tr w14:paraId="3B35F1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575661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w:t>
            </w:r>
          </w:p>
        </w:tc>
        <w:tc>
          <w:tcPr>
            <w:tcW w:w="947" w:type="pct"/>
            <w:gridSpan w:val="2"/>
            <w:vAlign w:val="center"/>
          </w:tcPr>
          <w:p w14:paraId="27D8023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J6093A</w:t>
            </w:r>
          </w:p>
        </w:tc>
        <w:tc>
          <w:tcPr>
            <w:tcW w:w="1643" w:type="pct"/>
            <w:vAlign w:val="center"/>
          </w:tcPr>
          <w:p w14:paraId="24D963F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89°16'40.950"</w:t>
            </w:r>
          </w:p>
        </w:tc>
        <w:tc>
          <w:tcPr>
            <w:tcW w:w="1624" w:type="pct"/>
            <w:vAlign w:val="center"/>
          </w:tcPr>
          <w:p w14:paraId="42DD348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44°6'56.900"</w:t>
            </w:r>
          </w:p>
        </w:tc>
      </w:tr>
      <w:tr w14:paraId="4AC9F0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1F6D1B7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Z2</w:t>
            </w:r>
          </w:p>
        </w:tc>
        <w:tc>
          <w:tcPr>
            <w:tcW w:w="947" w:type="pct"/>
            <w:gridSpan w:val="2"/>
            <w:vAlign w:val="center"/>
          </w:tcPr>
          <w:p w14:paraId="37C2C63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J9100A</w:t>
            </w:r>
          </w:p>
        </w:tc>
        <w:tc>
          <w:tcPr>
            <w:tcW w:w="1643" w:type="pct"/>
            <w:vAlign w:val="center"/>
          </w:tcPr>
          <w:p w14:paraId="463A47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89°17'36.250"</w:t>
            </w:r>
          </w:p>
        </w:tc>
        <w:tc>
          <w:tcPr>
            <w:tcW w:w="1624" w:type="pct"/>
            <w:vAlign w:val="center"/>
          </w:tcPr>
          <w:p w14:paraId="44D8C3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44°6'16.360"</w:t>
            </w:r>
          </w:p>
        </w:tc>
      </w:tr>
      <w:tr w14:paraId="6A1B6A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4016F5E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Z3</w:t>
            </w:r>
          </w:p>
        </w:tc>
        <w:tc>
          <w:tcPr>
            <w:tcW w:w="947" w:type="pct"/>
            <w:gridSpan w:val="2"/>
            <w:vAlign w:val="center"/>
          </w:tcPr>
          <w:p w14:paraId="4BE387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JD6089/JD6110</w:t>
            </w:r>
          </w:p>
        </w:tc>
        <w:tc>
          <w:tcPr>
            <w:tcW w:w="1643" w:type="pct"/>
            <w:vAlign w:val="center"/>
          </w:tcPr>
          <w:p w14:paraId="72C8FCF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89°16'12.380"</w:t>
            </w:r>
          </w:p>
        </w:tc>
        <w:tc>
          <w:tcPr>
            <w:tcW w:w="1624" w:type="pct"/>
            <w:vAlign w:val="center"/>
          </w:tcPr>
          <w:p w14:paraId="239D719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44°6'49.130"</w:t>
            </w:r>
          </w:p>
        </w:tc>
      </w:tr>
      <w:tr w14:paraId="3F4BCD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38BF3C8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Z4</w:t>
            </w:r>
          </w:p>
        </w:tc>
        <w:tc>
          <w:tcPr>
            <w:tcW w:w="947" w:type="pct"/>
            <w:gridSpan w:val="2"/>
            <w:vAlign w:val="center"/>
          </w:tcPr>
          <w:p w14:paraId="1B82B4E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JD8664A</w:t>
            </w:r>
          </w:p>
        </w:tc>
        <w:tc>
          <w:tcPr>
            <w:tcW w:w="1643" w:type="pct"/>
            <w:vAlign w:val="center"/>
          </w:tcPr>
          <w:p w14:paraId="0063E1C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89°17'47.970"</w:t>
            </w:r>
          </w:p>
        </w:tc>
        <w:tc>
          <w:tcPr>
            <w:tcW w:w="1624" w:type="pct"/>
            <w:vAlign w:val="center"/>
          </w:tcPr>
          <w:p w14:paraId="12D98EE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44°5'23.360"</w:t>
            </w:r>
          </w:p>
        </w:tc>
      </w:tr>
      <w:tr w14:paraId="03548F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5A24B9D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Z5</w:t>
            </w:r>
          </w:p>
        </w:tc>
        <w:tc>
          <w:tcPr>
            <w:tcW w:w="441" w:type="pct"/>
            <w:vMerge w:val="restart"/>
            <w:vAlign w:val="center"/>
          </w:tcPr>
          <w:p w14:paraId="4DF9EE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1号计量站</w:t>
            </w:r>
          </w:p>
        </w:tc>
        <w:tc>
          <w:tcPr>
            <w:tcW w:w="505" w:type="pct"/>
            <w:vAlign w:val="center"/>
          </w:tcPr>
          <w:p w14:paraId="08465B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1643" w:type="pct"/>
            <w:vAlign w:val="center"/>
          </w:tcPr>
          <w:p w14:paraId="0E41A7A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89°16'51.210"</w:t>
            </w:r>
          </w:p>
        </w:tc>
        <w:tc>
          <w:tcPr>
            <w:tcW w:w="1624" w:type="pct"/>
            <w:vAlign w:val="center"/>
          </w:tcPr>
          <w:p w14:paraId="07CA9F7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44°6'57.750"</w:t>
            </w:r>
          </w:p>
        </w:tc>
      </w:tr>
      <w:tr w14:paraId="07D521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5E157B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Z6</w:t>
            </w:r>
          </w:p>
        </w:tc>
        <w:tc>
          <w:tcPr>
            <w:tcW w:w="0" w:type="auto"/>
            <w:vMerge w:val="continue"/>
            <w:vAlign w:val="center"/>
          </w:tcPr>
          <w:p w14:paraId="79265FED">
            <w:pPr>
              <w:pStyle w:val="280"/>
              <w:rPr>
                <w:rFonts w:hint="eastAsia"/>
                <w:color w:val="000000" w:themeColor="text1"/>
                <w14:textFill>
                  <w14:solidFill>
                    <w14:schemeClr w14:val="tx1"/>
                  </w14:solidFill>
                </w14:textFill>
              </w:rPr>
            </w:pPr>
          </w:p>
        </w:tc>
        <w:tc>
          <w:tcPr>
            <w:tcW w:w="505" w:type="pct"/>
            <w:vAlign w:val="center"/>
          </w:tcPr>
          <w:p w14:paraId="503B0C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1643" w:type="pct"/>
            <w:vAlign w:val="center"/>
          </w:tcPr>
          <w:p w14:paraId="04689D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89°16'49.690"</w:t>
            </w:r>
          </w:p>
        </w:tc>
        <w:tc>
          <w:tcPr>
            <w:tcW w:w="1624" w:type="pct"/>
            <w:vAlign w:val="center"/>
          </w:tcPr>
          <w:p w14:paraId="3C619D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44°6'57.680"</w:t>
            </w:r>
          </w:p>
        </w:tc>
      </w:tr>
      <w:tr w14:paraId="4C3E7E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165FD1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Z7</w:t>
            </w:r>
          </w:p>
        </w:tc>
        <w:tc>
          <w:tcPr>
            <w:tcW w:w="0" w:type="auto"/>
            <w:vMerge w:val="continue"/>
            <w:vAlign w:val="center"/>
          </w:tcPr>
          <w:p w14:paraId="74E471BC">
            <w:pPr>
              <w:pStyle w:val="280"/>
              <w:rPr>
                <w:rFonts w:hint="eastAsia"/>
                <w:color w:val="000000" w:themeColor="text1"/>
                <w14:textFill>
                  <w14:solidFill>
                    <w14:schemeClr w14:val="tx1"/>
                  </w14:solidFill>
                </w14:textFill>
              </w:rPr>
            </w:pPr>
          </w:p>
        </w:tc>
        <w:tc>
          <w:tcPr>
            <w:tcW w:w="505" w:type="pct"/>
            <w:vAlign w:val="center"/>
          </w:tcPr>
          <w:p w14:paraId="7AEC1D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1643" w:type="pct"/>
            <w:vAlign w:val="center"/>
          </w:tcPr>
          <w:p w14:paraId="4F2546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89°16'48.480"</w:t>
            </w:r>
          </w:p>
        </w:tc>
        <w:tc>
          <w:tcPr>
            <w:tcW w:w="1624" w:type="pct"/>
            <w:vAlign w:val="center"/>
          </w:tcPr>
          <w:p w14:paraId="64026D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44°6'58.220"</w:t>
            </w:r>
          </w:p>
        </w:tc>
      </w:tr>
      <w:tr w14:paraId="42C25C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147951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Z8</w:t>
            </w:r>
          </w:p>
        </w:tc>
        <w:tc>
          <w:tcPr>
            <w:tcW w:w="0" w:type="auto"/>
            <w:vMerge w:val="continue"/>
            <w:vAlign w:val="center"/>
          </w:tcPr>
          <w:p w14:paraId="0D2E732B">
            <w:pPr>
              <w:pStyle w:val="280"/>
              <w:rPr>
                <w:rFonts w:hint="eastAsia"/>
                <w:color w:val="000000" w:themeColor="text1"/>
                <w14:textFill>
                  <w14:solidFill>
                    <w14:schemeClr w14:val="tx1"/>
                  </w14:solidFill>
                </w14:textFill>
              </w:rPr>
            </w:pPr>
          </w:p>
        </w:tc>
        <w:tc>
          <w:tcPr>
            <w:tcW w:w="505" w:type="pct"/>
            <w:vAlign w:val="center"/>
          </w:tcPr>
          <w:p w14:paraId="4A05029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c>
          <w:tcPr>
            <w:tcW w:w="1643" w:type="pct"/>
            <w:vAlign w:val="center"/>
          </w:tcPr>
          <w:p w14:paraId="3D40A5F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89°16'49.880"</w:t>
            </w:r>
          </w:p>
        </w:tc>
        <w:tc>
          <w:tcPr>
            <w:tcW w:w="1624" w:type="pct"/>
            <w:vAlign w:val="center"/>
          </w:tcPr>
          <w:p w14:paraId="742B78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44°6'58.290"</w:t>
            </w:r>
          </w:p>
        </w:tc>
      </w:tr>
      <w:tr w14:paraId="0D1B13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357380C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Z9</w:t>
            </w:r>
          </w:p>
        </w:tc>
        <w:tc>
          <w:tcPr>
            <w:tcW w:w="441" w:type="pct"/>
            <w:vMerge w:val="restart"/>
            <w:vAlign w:val="center"/>
          </w:tcPr>
          <w:p w14:paraId="2B214C1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2号计量站</w:t>
            </w:r>
          </w:p>
        </w:tc>
        <w:tc>
          <w:tcPr>
            <w:tcW w:w="840" w:type="dxa"/>
            <w:vAlign w:val="center"/>
          </w:tcPr>
          <w:p w14:paraId="3770950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1643" w:type="pct"/>
            <w:vAlign w:val="center"/>
          </w:tcPr>
          <w:p w14:paraId="7511E76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89°16'12.820"</w:t>
            </w:r>
          </w:p>
        </w:tc>
        <w:tc>
          <w:tcPr>
            <w:tcW w:w="1624" w:type="pct"/>
            <w:vAlign w:val="center"/>
          </w:tcPr>
          <w:p w14:paraId="4AE6A3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44°6'56.380"</w:t>
            </w:r>
          </w:p>
        </w:tc>
      </w:tr>
      <w:tr w14:paraId="0BCF8D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62CB09C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Z10</w:t>
            </w:r>
          </w:p>
        </w:tc>
        <w:tc>
          <w:tcPr>
            <w:tcW w:w="0" w:type="auto"/>
            <w:vMerge w:val="continue"/>
            <w:vAlign w:val="center"/>
          </w:tcPr>
          <w:p w14:paraId="2243F30A">
            <w:pPr>
              <w:pStyle w:val="280"/>
              <w:rPr>
                <w:rFonts w:hint="eastAsia"/>
                <w:color w:val="000000" w:themeColor="text1"/>
                <w14:textFill>
                  <w14:solidFill>
                    <w14:schemeClr w14:val="tx1"/>
                  </w14:solidFill>
                </w14:textFill>
              </w:rPr>
            </w:pPr>
          </w:p>
        </w:tc>
        <w:tc>
          <w:tcPr>
            <w:tcW w:w="840" w:type="dxa"/>
            <w:vAlign w:val="center"/>
          </w:tcPr>
          <w:p w14:paraId="23CF79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1643" w:type="pct"/>
            <w:vAlign w:val="center"/>
          </w:tcPr>
          <w:p w14:paraId="6983B63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89°16'12.290"</w:t>
            </w:r>
          </w:p>
        </w:tc>
        <w:tc>
          <w:tcPr>
            <w:tcW w:w="1624" w:type="pct"/>
            <w:vAlign w:val="center"/>
          </w:tcPr>
          <w:p w14:paraId="7CF2DB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44°6'56.140"</w:t>
            </w:r>
          </w:p>
        </w:tc>
      </w:tr>
      <w:tr w14:paraId="47FA31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3475BD8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Z11</w:t>
            </w:r>
          </w:p>
        </w:tc>
        <w:tc>
          <w:tcPr>
            <w:tcW w:w="0" w:type="auto"/>
            <w:vMerge w:val="continue"/>
            <w:vAlign w:val="center"/>
          </w:tcPr>
          <w:p w14:paraId="23F4A814">
            <w:pPr>
              <w:pStyle w:val="280"/>
              <w:rPr>
                <w:rFonts w:hint="eastAsia"/>
                <w:color w:val="000000" w:themeColor="text1"/>
                <w14:textFill>
                  <w14:solidFill>
                    <w14:schemeClr w14:val="tx1"/>
                  </w14:solidFill>
                </w14:textFill>
              </w:rPr>
            </w:pPr>
          </w:p>
        </w:tc>
        <w:tc>
          <w:tcPr>
            <w:tcW w:w="840" w:type="dxa"/>
            <w:vAlign w:val="center"/>
          </w:tcPr>
          <w:p w14:paraId="7BE0DE6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1643" w:type="pct"/>
            <w:vAlign w:val="center"/>
          </w:tcPr>
          <w:p w14:paraId="7CC11F2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89°16'11.900"</w:t>
            </w:r>
          </w:p>
        </w:tc>
        <w:tc>
          <w:tcPr>
            <w:tcW w:w="1624" w:type="pct"/>
            <w:vAlign w:val="center"/>
          </w:tcPr>
          <w:p w14:paraId="17D4562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44°6'56.420"</w:t>
            </w:r>
          </w:p>
        </w:tc>
      </w:tr>
      <w:tr w14:paraId="3A489F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644F5D1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Z12</w:t>
            </w:r>
          </w:p>
        </w:tc>
        <w:tc>
          <w:tcPr>
            <w:tcW w:w="0" w:type="auto"/>
            <w:vMerge w:val="continue"/>
            <w:vAlign w:val="center"/>
          </w:tcPr>
          <w:p w14:paraId="53B3D0AA">
            <w:pPr>
              <w:pStyle w:val="280"/>
              <w:rPr>
                <w:rFonts w:hint="eastAsia"/>
                <w:color w:val="000000" w:themeColor="text1"/>
                <w14:textFill>
                  <w14:solidFill>
                    <w14:schemeClr w14:val="tx1"/>
                  </w14:solidFill>
                </w14:textFill>
              </w:rPr>
            </w:pPr>
          </w:p>
        </w:tc>
        <w:tc>
          <w:tcPr>
            <w:tcW w:w="840" w:type="dxa"/>
            <w:vAlign w:val="center"/>
          </w:tcPr>
          <w:p w14:paraId="3458ED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c>
          <w:tcPr>
            <w:tcW w:w="1643" w:type="pct"/>
            <w:vAlign w:val="center"/>
          </w:tcPr>
          <w:p w14:paraId="5293059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89°16'12.360"</w:t>
            </w:r>
          </w:p>
        </w:tc>
        <w:tc>
          <w:tcPr>
            <w:tcW w:w="1624" w:type="pct"/>
            <w:vAlign w:val="center"/>
          </w:tcPr>
          <w:p w14:paraId="6D4990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44°6'56.680"</w:t>
            </w:r>
          </w:p>
        </w:tc>
      </w:tr>
      <w:tr w14:paraId="6A239A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0F25344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Z13</w:t>
            </w:r>
          </w:p>
        </w:tc>
        <w:tc>
          <w:tcPr>
            <w:tcW w:w="441" w:type="pct"/>
            <w:vMerge w:val="restart"/>
            <w:vAlign w:val="center"/>
          </w:tcPr>
          <w:p w14:paraId="21539C7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6号计量站</w:t>
            </w:r>
          </w:p>
        </w:tc>
        <w:tc>
          <w:tcPr>
            <w:tcW w:w="840" w:type="dxa"/>
            <w:vAlign w:val="center"/>
          </w:tcPr>
          <w:p w14:paraId="1FA5D00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1643" w:type="pct"/>
            <w:vAlign w:val="center"/>
          </w:tcPr>
          <w:p w14:paraId="372983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89°15'24.760"</w:t>
            </w:r>
          </w:p>
        </w:tc>
        <w:tc>
          <w:tcPr>
            <w:tcW w:w="1624" w:type="pct"/>
            <w:vAlign w:val="center"/>
          </w:tcPr>
          <w:p w14:paraId="4E9CA2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44°6'5.670"</w:t>
            </w:r>
          </w:p>
        </w:tc>
      </w:tr>
      <w:tr w14:paraId="2EBFAA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72EF79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Z14</w:t>
            </w:r>
          </w:p>
        </w:tc>
        <w:tc>
          <w:tcPr>
            <w:tcW w:w="0" w:type="auto"/>
            <w:vMerge w:val="continue"/>
            <w:vAlign w:val="center"/>
          </w:tcPr>
          <w:p w14:paraId="68166A50">
            <w:pPr>
              <w:pStyle w:val="280"/>
              <w:rPr>
                <w:rFonts w:hint="eastAsia"/>
                <w:color w:val="000000" w:themeColor="text1"/>
                <w14:textFill>
                  <w14:solidFill>
                    <w14:schemeClr w14:val="tx1"/>
                  </w14:solidFill>
                </w14:textFill>
              </w:rPr>
            </w:pPr>
          </w:p>
        </w:tc>
        <w:tc>
          <w:tcPr>
            <w:tcW w:w="840" w:type="dxa"/>
            <w:vAlign w:val="center"/>
          </w:tcPr>
          <w:p w14:paraId="3EF96E7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1643" w:type="pct"/>
            <w:vAlign w:val="center"/>
          </w:tcPr>
          <w:p w14:paraId="0210425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89°15'23.990"</w:t>
            </w:r>
          </w:p>
        </w:tc>
        <w:tc>
          <w:tcPr>
            <w:tcW w:w="1624" w:type="pct"/>
            <w:vAlign w:val="center"/>
          </w:tcPr>
          <w:p w14:paraId="44CE05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44°6'5.360"</w:t>
            </w:r>
          </w:p>
        </w:tc>
      </w:tr>
      <w:tr w14:paraId="12BD2A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09FD359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Z15</w:t>
            </w:r>
          </w:p>
        </w:tc>
        <w:tc>
          <w:tcPr>
            <w:tcW w:w="0" w:type="auto"/>
            <w:vMerge w:val="continue"/>
            <w:vAlign w:val="center"/>
          </w:tcPr>
          <w:p w14:paraId="51FCA436">
            <w:pPr>
              <w:pStyle w:val="280"/>
              <w:rPr>
                <w:rFonts w:hint="eastAsia"/>
                <w:color w:val="000000" w:themeColor="text1"/>
                <w14:textFill>
                  <w14:solidFill>
                    <w14:schemeClr w14:val="tx1"/>
                  </w14:solidFill>
                </w14:textFill>
              </w:rPr>
            </w:pPr>
          </w:p>
        </w:tc>
        <w:tc>
          <w:tcPr>
            <w:tcW w:w="840" w:type="dxa"/>
            <w:vAlign w:val="center"/>
          </w:tcPr>
          <w:p w14:paraId="64348F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1643" w:type="pct"/>
            <w:vAlign w:val="center"/>
          </w:tcPr>
          <w:p w14:paraId="4F7A797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89°15'23.160"</w:t>
            </w:r>
          </w:p>
        </w:tc>
        <w:tc>
          <w:tcPr>
            <w:tcW w:w="1624" w:type="pct"/>
            <w:vAlign w:val="center"/>
          </w:tcPr>
          <w:p w14:paraId="289261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44°6'5.660"</w:t>
            </w:r>
          </w:p>
        </w:tc>
      </w:tr>
      <w:tr w14:paraId="5FB4B4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7E1A97C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Z16</w:t>
            </w:r>
          </w:p>
        </w:tc>
        <w:tc>
          <w:tcPr>
            <w:tcW w:w="0" w:type="auto"/>
            <w:vMerge w:val="continue"/>
            <w:vAlign w:val="center"/>
          </w:tcPr>
          <w:p w14:paraId="5D3D3C81">
            <w:pPr>
              <w:pStyle w:val="280"/>
              <w:rPr>
                <w:rFonts w:hint="eastAsia"/>
                <w:color w:val="000000" w:themeColor="text1"/>
                <w14:textFill>
                  <w14:solidFill>
                    <w14:schemeClr w14:val="tx1"/>
                  </w14:solidFill>
                </w14:textFill>
              </w:rPr>
            </w:pPr>
          </w:p>
        </w:tc>
        <w:tc>
          <w:tcPr>
            <w:tcW w:w="840" w:type="dxa"/>
            <w:vAlign w:val="center"/>
          </w:tcPr>
          <w:p w14:paraId="1146F5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c>
          <w:tcPr>
            <w:tcW w:w="1643" w:type="pct"/>
            <w:vAlign w:val="center"/>
          </w:tcPr>
          <w:p w14:paraId="6A54A55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89°15'23.940"</w:t>
            </w:r>
          </w:p>
        </w:tc>
        <w:tc>
          <w:tcPr>
            <w:tcW w:w="1624" w:type="pct"/>
            <w:vAlign w:val="center"/>
          </w:tcPr>
          <w:p w14:paraId="4C57CF3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44°6'5.910"</w:t>
            </w:r>
          </w:p>
        </w:tc>
      </w:tr>
      <w:tr w14:paraId="1AB3C9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326F900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Z17</w:t>
            </w:r>
          </w:p>
        </w:tc>
        <w:tc>
          <w:tcPr>
            <w:tcW w:w="441" w:type="pct"/>
            <w:vMerge w:val="restart"/>
            <w:vAlign w:val="center"/>
          </w:tcPr>
          <w:p w14:paraId="7CF583A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14号计量站</w:t>
            </w:r>
          </w:p>
        </w:tc>
        <w:tc>
          <w:tcPr>
            <w:tcW w:w="840" w:type="dxa"/>
            <w:vAlign w:val="center"/>
          </w:tcPr>
          <w:p w14:paraId="71C7B9F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1643" w:type="pct"/>
            <w:vAlign w:val="center"/>
          </w:tcPr>
          <w:p w14:paraId="16350F2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89°17'30.240"</w:t>
            </w:r>
          </w:p>
        </w:tc>
        <w:tc>
          <w:tcPr>
            <w:tcW w:w="1624" w:type="pct"/>
            <w:vAlign w:val="center"/>
          </w:tcPr>
          <w:p w14:paraId="0C93BC8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44°6'20.340"</w:t>
            </w:r>
          </w:p>
        </w:tc>
      </w:tr>
      <w:tr w14:paraId="01D647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7E55745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Z18</w:t>
            </w:r>
          </w:p>
        </w:tc>
        <w:tc>
          <w:tcPr>
            <w:tcW w:w="0" w:type="auto"/>
            <w:vMerge w:val="continue"/>
            <w:vAlign w:val="center"/>
          </w:tcPr>
          <w:p w14:paraId="2F5DFEA2">
            <w:pPr>
              <w:pStyle w:val="280"/>
              <w:rPr>
                <w:rFonts w:hint="eastAsia"/>
                <w:color w:val="000000" w:themeColor="text1"/>
                <w14:textFill>
                  <w14:solidFill>
                    <w14:schemeClr w14:val="tx1"/>
                  </w14:solidFill>
                </w14:textFill>
              </w:rPr>
            </w:pPr>
          </w:p>
        </w:tc>
        <w:tc>
          <w:tcPr>
            <w:tcW w:w="840" w:type="dxa"/>
            <w:vAlign w:val="center"/>
          </w:tcPr>
          <w:p w14:paraId="43FE679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1643" w:type="pct"/>
            <w:vAlign w:val="center"/>
          </w:tcPr>
          <w:p w14:paraId="11D8E4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89°17'29.120"</w:t>
            </w:r>
          </w:p>
        </w:tc>
        <w:tc>
          <w:tcPr>
            <w:tcW w:w="1624" w:type="pct"/>
            <w:vAlign w:val="center"/>
          </w:tcPr>
          <w:p w14:paraId="48BFD1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44°6'20.110"</w:t>
            </w:r>
          </w:p>
        </w:tc>
      </w:tr>
      <w:tr w14:paraId="687C55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148174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Z19</w:t>
            </w:r>
          </w:p>
        </w:tc>
        <w:tc>
          <w:tcPr>
            <w:tcW w:w="0" w:type="auto"/>
            <w:vMerge w:val="continue"/>
            <w:vAlign w:val="center"/>
          </w:tcPr>
          <w:p w14:paraId="456425BF">
            <w:pPr>
              <w:pStyle w:val="280"/>
              <w:rPr>
                <w:rFonts w:hint="eastAsia"/>
                <w:color w:val="000000" w:themeColor="text1"/>
                <w14:textFill>
                  <w14:solidFill>
                    <w14:schemeClr w14:val="tx1"/>
                  </w14:solidFill>
                </w14:textFill>
              </w:rPr>
            </w:pPr>
          </w:p>
        </w:tc>
        <w:tc>
          <w:tcPr>
            <w:tcW w:w="840" w:type="dxa"/>
            <w:vAlign w:val="center"/>
          </w:tcPr>
          <w:p w14:paraId="2E08F8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1643" w:type="pct"/>
            <w:vAlign w:val="center"/>
          </w:tcPr>
          <w:p w14:paraId="292DCC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89°17'27.930"</w:t>
            </w:r>
          </w:p>
        </w:tc>
        <w:tc>
          <w:tcPr>
            <w:tcW w:w="1624" w:type="pct"/>
            <w:vAlign w:val="center"/>
          </w:tcPr>
          <w:p w14:paraId="5D0373B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44°6'20.370"</w:t>
            </w:r>
          </w:p>
        </w:tc>
      </w:tr>
      <w:tr w14:paraId="12CF18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5" w:type="pct"/>
            <w:vAlign w:val="center"/>
          </w:tcPr>
          <w:p w14:paraId="04D7DEC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Z20</w:t>
            </w:r>
          </w:p>
        </w:tc>
        <w:tc>
          <w:tcPr>
            <w:tcW w:w="0" w:type="auto"/>
            <w:vMerge w:val="continue"/>
            <w:vAlign w:val="center"/>
          </w:tcPr>
          <w:p w14:paraId="688ACA04">
            <w:pPr>
              <w:pStyle w:val="280"/>
              <w:rPr>
                <w:rFonts w:hint="eastAsia"/>
                <w:color w:val="000000" w:themeColor="text1"/>
                <w14:textFill>
                  <w14:solidFill>
                    <w14:schemeClr w14:val="tx1"/>
                  </w14:solidFill>
                </w14:textFill>
              </w:rPr>
            </w:pPr>
          </w:p>
        </w:tc>
        <w:tc>
          <w:tcPr>
            <w:tcW w:w="505" w:type="pct"/>
            <w:vAlign w:val="center"/>
          </w:tcPr>
          <w:p w14:paraId="2F74E5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c>
          <w:tcPr>
            <w:tcW w:w="1643" w:type="pct"/>
            <w:vAlign w:val="center"/>
          </w:tcPr>
          <w:p w14:paraId="3285F4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89°17'29.100"</w:t>
            </w:r>
          </w:p>
        </w:tc>
        <w:tc>
          <w:tcPr>
            <w:tcW w:w="1624" w:type="pct"/>
            <w:vAlign w:val="center"/>
          </w:tcPr>
          <w:p w14:paraId="5806AAB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44°6'20.640"</w:t>
            </w:r>
          </w:p>
        </w:tc>
      </w:tr>
    </w:tbl>
    <w:p w14:paraId="2DF920C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（2）监测单位及监测时间</w:t>
      </w:r>
    </w:p>
    <w:p w14:paraId="496BA4B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监测时间：</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6年02月06日～2026年02月08日。</w:t>
      </w:r>
    </w:p>
    <w:p w14:paraId="419A2D29">
      <w:pPr>
        <w:pStyle w:val="12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监测单位：新疆壹诺环保科技有限公司。</w:t>
      </w:r>
    </w:p>
    <w:p w14:paraId="52C3585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（3）评价标准</w:t>
      </w:r>
    </w:p>
    <w:p w14:paraId="2B2097F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执行《声环境质量标准》（GB3096-2008）</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类区标准限值。</w:t>
      </w:r>
    </w:p>
    <w:p w14:paraId="1C718A9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（4）评价方法</w:t>
      </w:r>
    </w:p>
    <w:p w14:paraId="4ADF53E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监测值与</w:t>
      </w:r>
      <w:r>
        <w:rPr>
          <w:color w:val="000000" w:themeColor="text1"/>
          <w14:textFill>
            <w14:solidFill>
              <w14:schemeClr w14:val="tx1"/>
            </w14:solidFill>
          </w14:textFill>
        </w:rPr>
        <w:t>标准值</w:t>
      </w:r>
      <w:r>
        <w:rPr>
          <w:rFonts w:hint="eastAsia"/>
          <w:color w:val="000000" w:themeColor="text1"/>
          <w14:textFill>
            <w14:solidFill>
              <w14:schemeClr w14:val="tx1"/>
            </w14:solidFill>
          </w14:textFill>
        </w:rPr>
        <w:t>直接</w:t>
      </w:r>
      <w:r>
        <w:rPr>
          <w:color w:val="000000" w:themeColor="text1"/>
          <w14:textFill>
            <w14:solidFill>
              <w14:schemeClr w14:val="tx1"/>
            </w14:solidFill>
          </w14:textFill>
        </w:rPr>
        <w:t>比对</w:t>
      </w:r>
      <w:r>
        <w:rPr>
          <w:rFonts w:hint="eastAsia"/>
          <w:color w:val="000000" w:themeColor="text1"/>
          <w14:textFill>
            <w14:solidFill>
              <w14:schemeClr w14:val="tx1"/>
            </w14:solidFill>
          </w14:textFill>
        </w:rPr>
        <w:t>，说明噪声源及是否超标</w:t>
      </w:r>
      <w:r>
        <w:rPr>
          <w:color w:val="000000" w:themeColor="text1"/>
          <w14:textFill>
            <w14:solidFill>
              <w14:schemeClr w14:val="tx1"/>
            </w14:solidFill>
          </w14:textFill>
        </w:rPr>
        <w:t>。</w:t>
      </w:r>
    </w:p>
    <w:p w14:paraId="74A24E2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（5）评价</w:t>
      </w:r>
      <w:r>
        <w:rPr>
          <w:color w:val="000000" w:themeColor="text1"/>
          <w14:textFill>
            <w14:solidFill>
              <w14:schemeClr w14:val="tx1"/>
            </w14:solidFill>
          </w14:textFill>
        </w:rPr>
        <w:t>结果</w:t>
      </w:r>
    </w:p>
    <w:p w14:paraId="119C554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声环境现状监测结果见表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-9。</w:t>
      </w:r>
    </w:p>
    <w:p w14:paraId="35815AFE">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 xml:space="preserve">-9  声环境现状监测结果 </w:t>
      </w:r>
    </w:p>
    <w:tbl>
      <w:tblPr>
        <w:tblStyle w:val="410"/>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78"/>
        <w:gridCol w:w="1300"/>
        <w:gridCol w:w="1116"/>
        <w:gridCol w:w="1493"/>
        <w:gridCol w:w="1116"/>
        <w:gridCol w:w="1116"/>
        <w:gridCol w:w="1411"/>
      </w:tblGrid>
      <w:tr w14:paraId="7D8631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vMerge w:val="restart"/>
            <w:vAlign w:val="center"/>
          </w:tcPr>
          <w:p w14:paraId="3E8C8AF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监测点</w:t>
            </w:r>
          </w:p>
        </w:tc>
        <w:tc>
          <w:tcPr>
            <w:tcW w:w="2239" w:type="pct"/>
            <w:gridSpan w:val="3"/>
          </w:tcPr>
          <w:p w14:paraId="30BB93D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昼间[dB（A）]</w:t>
            </w:r>
          </w:p>
        </w:tc>
        <w:tc>
          <w:tcPr>
            <w:tcW w:w="2086" w:type="pct"/>
            <w:gridSpan w:val="3"/>
          </w:tcPr>
          <w:p w14:paraId="2722CFA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夜间[dB（A）]</w:t>
            </w:r>
          </w:p>
        </w:tc>
      </w:tr>
      <w:tr w14:paraId="2DC51D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vMerge w:val="continue"/>
          </w:tcPr>
          <w:p w14:paraId="202EC5E0">
            <w:pPr>
              <w:pStyle w:val="174"/>
              <w:rPr>
                <w:rFonts w:hint="eastAsia" w:ascii="宋体"/>
                <w:color w:val="000000" w:themeColor="text1"/>
                <w14:textFill>
                  <w14:solidFill>
                    <w14:schemeClr w14:val="tx1"/>
                  </w14:solidFill>
                </w14:textFill>
              </w:rPr>
            </w:pPr>
          </w:p>
        </w:tc>
        <w:tc>
          <w:tcPr>
            <w:tcW w:w="745" w:type="pct"/>
          </w:tcPr>
          <w:p w14:paraId="3D69EE6D">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监测值</w:t>
            </w:r>
          </w:p>
        </w:tc>
        <w:tc>
          <w:tcPr>
            <w:tcW w:w="639" w:type="pct"/>
          </w:tcPr>
          <w:p w14:paraId="23ECB37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标准值</w:t>
            </w:r>
          </w:p>
        </w:tc>
        <w:tc>
          <w:tcPr>
            <w:tcW w:w="855" w:type="pct"/>
          </w:tcPr>
          <w:p w14:paraId="4AAD132D">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达标情况</w:t>
            </w:r>
          </w:p>
        </w:tc>
        <w:tc>
          <w:tcPr>
            <w:tcW w:w="639" w:type="pct"/>
          </w:tcPr>
          <w:p w14:paraId="6CC57B5D">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监测值</w:t>
            </w:r>
          </w:p>
        </w:tc>
        <w:tc>
          <w:tcPr>
            <w:tcW w:w="639" w:type="pct"/>
          </w:tcPr>
          <w:p w14:paraId="6F1A8CB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标准值</w:t>
            </w:r>
          </w:p>
        </w:tc>
        <w:tc>
          <w:tcPr>
            <w:tcW w:w="808" w:type="pct"/>
          </w:tcPr>
          <w:p w14:paraId="6894C13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达标情况</w:t>
            </w:r>
          </w:p>
        </w:tc>
      </w:tr>
      <w:tr w14:paraId="1C5EC7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7DFBD6D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Z1</w:t>
            </w:r>
          </w:p>
        </w:tc>
        <w:tc>
          <w:tcPr>
            <w:tcW w:w="745" w:type="pct"/>
          </w:tcPr>
          <w:p w14:paraId="416D5A4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52</w:t>
            </w:r>
          </w:p>
        </w:tc>
        <w:tc>
          <w:tcPr>
            <w:tcW w:w="639" w:type="pct"/>
          </w:tcPr>
          <w:p w14:paraId="1B2E53B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5B4DF369">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587FE6D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48</w:t>
            </w:r>
          </w:p>
        </w:tc>
        <w:tc>
          <w:tcPr>
            <w:tcW w:w="639" w:type="pct"/>
          </w:tcPr>
          <w:p w14:paraId="3DC8F02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60B1B44D">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4BD02B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7B10292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Z2</w:t>
            </w:r>
          </w:p>
        </w:tc>
        <w:tc>
          <w:tcPr>
            <w:tcW w:w="745" w:type="pct"/>
          </w:tcPr>
          <w:p w14:paraId="360719F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52</w:t>
            </w:r>
          </w:p>
        </w:tc>
        <w:tc>
          <w:tcPr>
            <w:tcW w:w="639" w:type="pct"/>
          </w:tcPr>
          <w:p w14:paraId="497B7165">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1FB9FBA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3CF8B001">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47</w:t>
            </w:r>
          </w:p>
        </w:tc>
        <w:tc>
          <w:tcPr>
            <w:tcW w:w="639" w:type="pct"/>
          </w:tcPr>
          <w:p w14:paraId="2B84EAE2">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2533B5B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51CD7C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0C204E39">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Z3</w:t>
            </w:r>
          </w:p>
        </w:tc>
        <w:tc>
          <w:tcPr>
            <w:tcW w:w="745" w:type="pct"/>
          </w:tcPr>
          <w:p w14:paraId="4E6599F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52</w:t>
            </w:r>
          </w:p>
        </w:tc>
        <w:tc>
          <w:tcPr>
            <w:tcW w:w="639" w:type="pct"/>
          </w:tcPr>
          <w:p w14:paraId="2ACFF6CA">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073B725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0E9EF822">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46</w:t>
            </w:r>
          </w:p>
        </w:tc>
        <w:tc>
          <w:tcPr>
            <w:tcW w:w="639" w:type="pct"/>
          </w:tcPr>
          <w:p w14:paraId="03A1F97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77ECC84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34E3A4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5336D97D">
            <w:pPr>
              <w:pStyle w:val="174"/>
              <w:rPr>
                <w:rFonts w:hint="eastAsia" w:ascii="宋体"/>
                <w:b/>
                <w:color w:val="000000" w:themeColor="text1"/>
                <w14:textFill>
                  <w14:solidFill>
                    <w14:schemeClr w14:val="tx1"/>
                  </w14:solidFill>
                </w14:textFill>
              </w:rPr>
            </w:pPr>
            <w:r>
              <w:rPr>
                <w:rFonts w:hint="eastAsia" w:ascii="宋体"/>
                <w:color w:val="000000" w:themeColor="text1"/>
                <w14:textFill>
                  <w14:solidFill>
                    <w14:schemeClr w14:val="tx1"/>
                  </w14:solidFill>
                </w14:textFill>
              </w:rPr>
              <w:t>Z4</w:t>
            </w:r>
          </w:p>
        </w:tc>
        <w:tc>
          <w:tcPr>
            <w:tcW w:w="745" w:type="pct"/>
          </w:tcPr>
          <w:p w14:paraId="7A427C27">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54</w:t>
            </w:r>
          </w:p>
        </w:tc>
        <w:tc>
          <w:tcPr>
            <w:tcW w:w="639" w:type="pct"/>
          </w:tcPr>
          <w:p w14:paraId="63A1EC0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55E81511">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437D0F2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46</w:t>
            </w:r>
          </w:p>
        </w:tc>
        <w:tc>
          <w:tcPr>
            <w:tcW w:w="639" w:type="pct"/>
          </w:tcPr>
          <w:p w14:paraId="2FBC4808">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65241918">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3AC0C2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1C355830">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Z5</w:t>
            </w:r>
          </w:p>
        </w:tc>
        <w:tc>
          <w:tcPr>
            <w:tcW w:w="745" w:type="pct"/>
          </w:tcPr>
          <w:p w14:paraId="4584E08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53</w:t>
            </w:r>
          </w:p>
        </w:tc>
        <w:tc>
          <w:tcPr>
            <w:tcW w:w="639" w:type="pct"/>
          </w:tcPr>
          <w:p w14:paraId="15A5C87A">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14089D5B">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298965E8">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48</w:t>
            </w:r>
          </w:p>
        </w:tc>
        <w:tc>
          <w:tcPr>
            <w:tcW w:w="639" w:type="pct"/>
          </w:tcPr>
          <w:p w14:paraId="1717317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6FD0DD25">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4A4451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0FF2EEFD">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Z6</w:t>
            </w:r>
          </w:p>
        </w:tc>
        <w:tc>
          <w:tcPr>
            <w:tcW w:w="745" w:type="pct"/>
          </w:tcPr>
          <w:p w14:paraId="75C719C0">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52</w:t>
            </w:r>
          </w:p>
        </w:tc>
        <w:tc>
          <w:tcPr>
            <w:tcW w:w="639" w:type="pct"/>
          </w:tcPr>
          <w:p w14:paraId="7233E3A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4BB1056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612875B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46</w:t>
            </w:r>
          </w:p>
        </w:tc>
        <w:tc>
          <w:tcPr>
            <w:tcW w:w="639" w:type="pct"/>
          </w:tcPr>
          <w:p w14:paraId="6838C3A5">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64B68CC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76FBD8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39FBD644">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Z7</w:t>
            </w:r>
          </w:p>
        </w:tc>
        <w:tc>
          <w:tcPr>
            <w:tcW w:w="745" w:type="pct"/>
          </w:tcPr>
          <w:p w14:paraId="0D57CD91">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51</w:t>
            </w:r>
          </w:p>
        </w:tc>
        <w:tc>
          <w:tcPr>
            <w:tcW w:w="639" w:type="pct"/>
          </w:tcPr>
          <w:p w14:paraId="7C75E580">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51F257A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591ABBE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48</w:t>
            </w:r>
          </w:p>
        </w:tc>
        <w:tc>
          <w:tcPr>
            <w:tcW w:w="639" w:type="pct"/>
          </w:tcPr>
          <w:p w14:paraId="71A752E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3B24346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163C59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36A3A787">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Z8</w:t>
            </w:r>
          </w:p>
        </w:tc>
        <w:tc>
          <w:tcPr>
            <w:tcW w:w="745" w:type="pct"/>
          </w:tcPr>
          <w:p w14:paraId="3F5EBA30">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52</w:t>
            </w:r>
          </w:p>
        </w:tc>
        <w:tc>
          <w:tcPr>
            <w:tcW w:w="639" w:type="pct"/>
          </w:tcPr>
          <w:p w14:paraId="30199C9A">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61999FA1">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5D8DBB9A">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46</w:t>
            </w:r>
          </w:p>
        </w:tc>
        <w:tc>
          <w:tcPr>
            <w:tcW w:w="639" w:type="pct"/>
          </w:tcPr>
          <w:p w14:paraId="2162F42A">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6C3DB457">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3DBECB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244552DE">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Z9</w:t>
            </w:r>
          </w:p>
        </w:tc>
        <w:tc>
          <w:tcPr>
            <w:tcW w:w="745" w:type="pct"/>
          </w:tcPr>
          <w:p w14:paraId="1288C8C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51</w:t>
            </w:r>
          </w:p>
        </w:tc>
        <w:tc>
          <w:tcPr>
            <w:tcW w:w="639" w:type="pct"/>
          </w:tcPr>
          <w:p w14:paraId="248BEBCA">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26E16845">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3069E84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46</w:t>
            </w:r>
          </w:p>
        </w:tc>
        <w:tc>
          <w:tcPr>
            <w:tcW w:w="639" w:type="pct"/>
          </w:tcPr>
          <w:p w14:paraId="6A008AA9">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31D46F4E">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3C7B20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5B831830">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Z10</w:t>
            </w:r>
          </w:p>
        </w:tc>
        <w:tc>
          <w:tcPr>
            <w:tcW w:w="745" w:type="pct"/>
          </w:tcPr>
          <w:p w14:paraId="4F43BE8E">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50</w:t>
            </w:r>
          </w:p>
        </w:tc>
        <w:tc>
          <w:tcPr>
            <w:tcW w:w="639" w:type="pct"/>
          </w:tcPr>
          <w:p w14:paraId="74F2349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0AD93B8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4ACCC75D">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46</w:t>
            </w:r>
          </w:p>
        </w:tc>
        <w:tc>
          <w:tcPr>
            <w:tcW w:w="639" w:type="pct"/>
          </w:tcPr>
          <w:p w14:paraId="2D090C29">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4F243E69">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39CA85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5AA83BD0">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Z11</w:t>
            </w:r>
          </w:p>
        </w:tc>
        <w:tc>
          <w:tcPr>
            <w:tcW w:w="745" w:type="pct"/>
          </w:tcPr>
          <w:p w14:paraId="030B74A1">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52</w:t>
            </w:r>
          </w:p>
        </w:tc>
        <w:tc>
          <w:tcPr>
            <w:tcW w:w="639" w:type="pct"/>
          </w:tcPr>
          <w:p w14:paraId="698604B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556F3A6B">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2721013A">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47</w:t>
            </w:r>
          </w:p>
        </w:tc>
        <w:tc>
          <w:tcPr>
            <w:tcW w:w="639" w:type="pct"/>
          </w:tcPr>
          <w:p w14:paraId="3838C631">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7518218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1441CC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295DCFF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Z12</w:t>
            </w:r>
          </w:p>
        </w:tc>
        <w:tc>
          <w:tcPr>
            <w:tcW w:w="745" w:type="pct"/>
          </w:tcPr>
          <w:p w14:paraId="0F00AEB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53</w:t>
            </w:r>
          </w:p>
        </w:tc>
        <w:tc>
          <w:tcPr>
            <w:tcW w:w="639" w:type="pct"/>
          </w:tcPr>
          <w:p w14:paraId="283C91B5">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36AE88B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60BEFA7D">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48</w:t>
            </w:r>
          </w:p>
        </w:tc>
        <w:tc>
          <w:tcPr>
            <w:tcW w:w="639" w:type="pct"/>
          </w:tcPr>
          <w:p w14:paraId="199C87D8">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25143BAB">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7E0BA1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3B51880E">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w:t>
            </w:r>
            <w:r>
              <w:rPr>
                <w:rFonts w:hint="eastAsia" w:ascii="宋体"/>
                <w:color w:val="000000" w:themeColor="text1"/>
                <w14:textFill>
                  <w14:solidFill>
                    <w14:schemeClr w14:val="tx1"/>
                  </w14:solidFill>
                </w14:textFill>
              </w:rPr>
              <w:t>13</w:t>
            </w:r>
          </w:p>
        </w:tc>
        <w:tc>
          <w:tcPr>
            <w:tcW w:w="745" w:type="pct"/>
          </w:tcPr>
          <w:p w14:paraId="41DD4F7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51</w:t>
            </w:r>
          </w:p>
        </w:tc>
        <w:tc>
          <w:tcPr>
            <w:tcW w:w="639" w:type="pct"/>
          </w:tcPr>
          <w:p w14:paraId="623E3B8E">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087FA0B0">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23443B35">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47</w:t>
            </w:r>
          </w:p>
        </w:tc>
        <w:tc>
          <w:tcPr>
            <w:tcW w:w="639" w:type="pct"/>
          </w:tcPr>
          <w:p w14:paraId="0BA02DB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1B0731BB">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15BC48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trPr>
        <w:tc>
          <w:tcPr>
            <w:tcW w:w="675" w:type="pct"/>
          </w:tcPr>
          <w:p w14:paraId="1F496C9D">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w:t>
            </w:r>
            <w:r>
              <w:rPr>
                <w:rFonts w:hint="eastAsia" w:ascii="宋体"/>
                <w:color w:val="000000" w:themeColor="text1"/>
                <w14:textFill>
                  <w14:solidFill>
                    <w14:schemeClr w14:val="tx1"/>
                  </w14:solidFill>
                </w14:textFill>
              </w:rPr>
              <w:t>14</w:t>
            </w:r>
          </w:p>
        </w:tc>
        <w:tc>
          <w:tcPr>
            <w:tcW w:w="745" w:type="pct"/>
          </w:tcPr>
          <w:p w14:paraId="5ED8947B">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53</w:t>
            </w:r>
          </w:p>
        </w:tc>
        <w:tc>
          <w:tcPr>
            <w:tcW w:w="639" w:type="pct"/>
          </w:tcPr>
          <w:p w14:paraId="35C51D88">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660AC4FE">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4634354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48</w:t>
            </w:r>
          </w:p>
        </w:tc>
        <w:tc>
          <w:tcPr>
            <w:tcW w:w="639" w:type="pct"/>
          </w:tcPr>
          <w:p w14:paraId="5BEC483E">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129C6ADD">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0DA498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73428464">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w:t>
            </w:r>
            <w:r>
              <w:rPr>
                <w:rFonts w:hint="eastAsia" w:ascii="宋体"/>
                <w:color w:val="000000" w:themeColor="text1"/>
                <w14:textFill>
                  <w14:solidFill>
                    <w14:schemeClr w14:val="tx1"/>
                  </w14:solidFill>
                </w14:textFill>
              </w:rPr>
              <w:t>15</w:t>
            </w:r>
          </w:p>
        </w:tc>
        <w:tc>
          <w:tcPr>
            <w:tcW w:w="745" w:type="pct"/>
          </w:tcPr>
          <w:p w14:paraId="59DDE3F1">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51</w:t>
            </w:r>
          </w:p>
        </w:tc>
        <w:tc>
          <w:tcPr>
            <w:tcW w:w="639" w:type="pct"/>
          </w:tcPr>
          <w:p w14:paraId="307E78E2">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7EF031E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5FB6F615">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46</w:t>
            </w:r>
          </w:p>
        </w:tc>
        <w:tc>
          <w:tcPr>
            <w:tcW w:w="639" w:type="pct"/>
          </w:tcPr>
          <w:p w14:paraId="090B6005">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146F51D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20835D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7E7675D6">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w:t>
            </w:r>
            <w:r>
              <w:rPr>
                <w:rFonts w:hint="eastAsia" w:ascii="宋体"/>
                <w:color w:val="000000" w:themeColor="text1"/>
                <w14:textFill>
                  <w14:solidFill>
                    <w14:schemeClr w14:val="tx1"/>
                  </w14:solidFill>
                </w14:textFill>
              </w:rPr>
              <w:t>16</w:t>
            </w:r>
          </w:p>
        </w:tc>
        <w:tc>
          <w:tcPr>
            <w:tcW w:w="745" w:type="pct"/>
          </w:tcPr>
          <w:p w14:paraId="21938037">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52</w:t>
            </w:r>
          </w:p>
        </w:tc>
        <w:tc>
          <w:tcPr>
            <w:tcW w:w="639" w:type="pct"/>
          </w:tcPr>
          <w:p w14:paraId="32AA7FFE">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51FD0E1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7412418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47</w:t>
            </w:r>
          </w:p>
        </w:tc>
        <w:tc>
          <w:tcPr>
            <w:tcW w:w="639" w:type="pct"/>
          </w:tcPr>
          <w:p w14:paraId="7B68A238">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782437F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201CB1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6AB97E5C">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w:t>
            </w:r>
            <w:r>
              <w:rPr>
                <w:rFonts w:hint="eastAsia" w:ascii="宋体"/>
                <w:color w:val="000000" w:themeColor="text1"/>
                <w14:textFill>
                  <w14:solidFill>
                    <w14:schemeClr w14:val="tx1"/>
                  </w14:solidFill>
                </w14:textFill>
              </w:rPr>
              <w:t>17</w:t>
            </w:r>
          </w:p>
        </w:tc>
        <w:tc>
          <w:tcPr>
            <w:tcW w:w="745" w:type="pct"/>
          </w:tcPr>
          <w:p w14:paraId="69318C40">
            <w:pPr>
              <w:pStyle w:val="174"/>
              <w:rPr>
                <w:rFonts w:hint="eastAsia" w:ascii="宋体"/>
                <w:color w:val="000000" w:themeColor="text1"/>
                <w:lang w:bidi="ar"/>
                <w14:textFill>
                  <w14:solidFill>
                    <w14:schemeClr w14:val="tx1"/>
                  </w14:solidFill>
                </w14:textFill>
              </w:rPr>
            </w:pPr>
            <w:r>
              <w:rPr>
                <w:rFonts w:hint="eastAsia" w:ascii="宋体"/>
                <w:color w:val="000000" w:themeColor="text1"/>
                <w:lang w:bidi="ar"/>
                <w14:textFill>
                  <w14:solidFill>
                    <w14:schemeClr w14:val="tx1"/>
                  </w14:solidFill>
                </w14:textFill>
              </w:rPr>
              <w:t>51</w:t>
            </w:r>
          </w:p>
        </w:tc>
        <w:tc>
          <w:tcPr>
            <w:tcW w:w="639" w:type="pct"/>
          </w:tcPr>
          <w:p w14:paraId="2CDE649E">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6AC6D46B">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68CFF099">
            <w:pPr>
              <w:pStyle w:val="174"/>
              <w:rPr>
                <w:rFonts w:hint="eastAsia" w:ascii="宋体"/>
                <w:color w:val="000000" w:themeColor="text1"/>
                <w:lang w:bidi="ar"/>
                <w14:textFill>
                  <w14:solidFill>
                    <w14:schemeClr w14:val="tx1"/>
                  </w14:solidFill>
                </w14:textFill>
              </w:rPr>
            </w:pPr>
            <w:r>
              <w:rPr>
                <w:rFonts w:hint="eastAsia" w:ascii="宋体"/>
                <w:color w:val="000000" w:themeColor="text1"/>
                <w:lang w:bidi="ar"/>
                <w14:textFill>
                  <w14:solidFill>
                    <w14:schemeClr w14:val="tx1"/>
                  </w14:solidFill>
                </w14:textFill>
              </w:rPr>
              <w:t>46</w:t>
            </w:r>
          </w:p>
        </w:tc>
        <w:tc>
          <w:tcPr>
            <w:tcW w:w="639" w:type="pct"/>
          </w:tcPr>
          <w:p w14:paraId="0C4E14CC">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2A808936">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1DC793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07DE4033">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w:t>
            </w:r>
            <w:r>
              <w:rPr>
                <w:rFonts w:hint="eastAsia" w:ascii="宋体"/>
                <w:color w:val="000000" w:themeColor="text1"/>
                <w14:textFill>
                  <w14:solidFill>
                    <w14:schemeClr w14:val="tx1"/>
                  </w14:solidFill>
                </w14:textFill>
              </w:rPr>
              <w:t>18</w:t>
            </w:r>
          </w:p>
        </w:tc>
        <w:tc>
          <w:tcPr>
            <w:tcW w:w="745" w:type="pct"/>
          </w:tcPr>
          <w:p w14:paraId="74518A83">
            <w:pPr>
              <w:pStyle w:val="174"/>
              <w:rPr>
                <w:rFonts w:hint="eastAsia" w:ascii="宋体"/>
                <w:color w:val="000000" w:themeColor="text1"/>
                <w:lang w:bidi="ar"/>
                <w14:textFill>
                  <w14:solidFill>
                    <w14:schemeClr w14:val="tx1"/>
                  </w14:solidFill>
                </w14:textFill>
              </w:rPr>
            </w:pPr>
            <w:r>
              <w:rPr>
                <w:rFonts w:hint="eastAsia" w:ascii="宋体"/>
                <w:color w:val="000000" w:themeColor="text1"/>
                <w:lang w:bidi="ar"/>
                <w14:textFill>
                  <w14:solidFill>
                    <w14:schemeClr w14:val="tx1"/>
                  </w14:solidFill>
                </w14:textFill>
              </w:rPr>
              <w:t>50</w:t>
            </w:r>
          </w:p>
        </w:tc>
        <w:tc>
          <w:tcPr>
            <w:tcW w:w="639" w:type="pct"/>
          </w:tcPr>
          <w:p w14:paraId="773BC750">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4B5A2E7D">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5DB656F0">
            <w:pPr>
              <w:pStyle w:val="174"/>
              <w:rPr>
                <w:rFonts w:hint="eastAsia" w:ascii="宋体"/>
                <w:color w:val="000000" w:themeColor="text1"/>
                <w:lang w:bidi="ar"/>
                <w14:textFill>
                  <w14:solidFill>
                    <w14:schemeClr w14:val="tx1"/>
                  </w14:solidFill>
                </w14:textFill>
              </w:rPr>
            </w:pPr>
            <w:r>
              <w:rPr>
                <w:rFonts w:hint="eastAsia" w:ascii="宋体"/>
                <w:color w:val="000000" w:themeColor="text1"/>
                <w:lang w:bidi="ar"/>
                <w14:textFill>
                  <w14:solidFill>
                    <w14:schemeClr w14:val="tx1"/>
                  </w14:solidFill>
                </w14:textFill>
              </w:rPr>
              <w:t>47</w:t>
            </w:r>
          </w:p>
        </w:tc>
        <w:tc>
          <w:tcPr>
            <w:tcW w:w="639" w:type="pct"/>
          </w:tcPr>
          <w:p w14:paraId="373213B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172C6912">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11FD1D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0C71BB84">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w:t>
            </w:r>
            <w:r>
              <w:rPr>
                <w:rFonts w:hint="eastAsia" w:ascii="宋体"/>
                <w:color w:val="000000" w:themeColor="text1"/>
                <w14:textFill>
                  <w14:solidFill>
                    <w14:schemeClr w14:val="tx1"/>
                  </w14:solidFill>
                </w14:textFill>
              </w:rPr>
              <w:t>19</w:t>
            </w:r>
          </w:p>
        </w:tc>
        <w:tc>
          <w:tcPr>
            <w:tcW w:w="745" w:type="pct"/>
          </w:tcPr>
          <w:p w14:paraId="023364AA">
            <w:pPr>
              <w:pStyle w:val="174"/>
              <w:rPr>
                <w:rFonts w:hint="eastAsia" w:ascii="宋体"/>
                <w:color w:val="000000" w:themeColor="text1"/>
                <w:lang w:bidi="ar"/>
                <w14:textFill>
                  <w14:solidFill>
                    <w14:schemeClr w14:val="tx1"/>
                  </w14:solidFill>
                </w14:textFill>
              </w:rPr>
            </w:pPr>
            <w:r>
              <w:rPr>
                <w:rFonts w:hint="eastAsia" w:ascii="宋体"/>
                <w:color w:val="000000" w:themeColor="text1"/>
                <w:lang w:bidi="ar"/>
                <w14:textFill>
                  <w14:solidFill>
                    <w14:schemeClr w14:val="tx1"/>
                  </w14:solidFill>
                </w14:textFill>
              </w:rPr>
              <w:t>52</w:t>
            </w:r>
          </w:p>
        </w:tc>
        <w:tc>
          <w:tcPr>
            <w:tcW w:w="639" w:type="pct"/>
          </w:tcPr>
          <w:p w14:paraId="08A97998">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68AA79A9">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6F0A3720">
            <w:pPr>
              <w:pStyle w:val="174"/>
              <w:rPr>
                <w:rFonts w:hint="eastAsia" w:ascii="宋体"/>
                <w:color w:val="000000" w:themeColor="text1"/>
                <w:lang w:bidi="ar"/>
                <w14:textFill>
                  <w14:solidFill>
                    <w14:schemeClr w14:val="tx1"/>
                  </w14:solidFill>
                </w14:textFill>
              </w:rPr>
            </w:pPr>
            <w:r>
              <w:rPr>
                <w:rFonts w:hint="eastAsia" w:ascii="宋体"/>
                <w:color w:val="000000" w:themeColor="text1"/>
                <w:lang w:bidi="ar"/>
                <w14:textFill>
                  <w14:solidFill>
                    <w14:schemeClr w14:val="tx1"/>
                  </w14:solidFill>
                </w14:textFill>
              </w:rPr>
              <w:t>46</w:t>
            </w:r>
          </w:p>
        </w:tc>
        <w:tc>
          <w:tcPr>
            <w:tcW w:w="639" w:type="pct"/>
          </w:tcPr>
          <w:p w14:paraId="75F1C95F">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57C7405D">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r w14:paraId="477398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pct"/>
          </w:tcPr>
          <w:p w14:paraId="3663AE66">
            <w:pPr>
              <w:pStyle w:val="174"/>
              <w:rPr>
                <w:rFonts w:hint="eastAsia" w:ascii="宋体"/>
                <w:color w:val="000000" w:themeColor="text1"/>
                <w14:textFill>
                  <w14:solidFill>
                    <w14:schemeClr w14:val="tx1"/>
                  </w14:solidFill>
                </w14:textFill>
              </w:rPr>
            </w:pPr>
            <w:r>
              <w:rPr>
                <w:rFonts w:ascii="宋体"/>
                <w:color w:val="000000" w:themeColor="text1"/>
                <w14:textFill>
                  <w14:solidFill>
                    <w14:schemeClr w14:val="tx1"/>
                  </w14:solidFill>
                </w14:textFill>
              </w:rPr>
              <w:t>Z</w:t>
            </w:r>
            <w:r>
              <w:rPr>
                <w:rFonts w:hint="eastAsia" w:ascii="宋体"/>
                <w:color w:val="000000" w:themeColor="text1"/>
                <w14:textFill>
                  <w14:solidFill>
                    <w14:schemeClr w14:val="tx1"/>
                  </w14:solidFill>
                </w14:textFill>
              </w:rPr>
              <w:t>20</w:t>
            </w:r>
          </w:p>
        </w:tc>
        <w:tc>
          <w:tcPr>
            <w:tcW w:w="745" w:type="pct"/>
          </w:tcPr>
          <w:p w14:paraId="2926426B">
            <w:pPr>
              <w:pStyle w:val="174"/>
              <w:rPr>
                <w:rFonts w:hint="eastAsia" w:ascii="宋体"/>
                <w:color w:val="000000" w:themeColor="text1"/>
                <w:lang w:bidi="ar"/>
                <w14:textFill>
                  <w14:solidFill>
                    <w14:schemeClr w14:val="tx1"/>
                  </w14:solidFill>
                </w14:textFill>
              </w:rPr>
            </w:pPr>
            <w:r>
              <w:rPr>
                <w:rFonts w:hint="eastAsia" w:ascii="宋体"/>
                <w:color w:val="000000" w:themeColor="text1"/>
                <w:lang w:bidi="ar"/>
                <w14:textFill>
                  <w14:solidFill>
                    <w14:schemeClr w14:val="tx1"/>
                  </w14:solidFill>
                </w14:textFill>
              </w:rPr>
              <w:t>52</w:t>
            </w:r>
          </w:p>
        </w:tc>
        <w:tc>
          <w:tcPr>
            <w:tcW w:w="639" w:type="pct"/>
          </w:tcPr>
          <w:p w14:paraId="3BCEC1A9">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6</w:t>
            </w:r>
            <w:r>
              <w:rPr>
                <w:rFonts w:ascii="宋体"/>
                <w:color w:val="000000" w:themeColor="text1"/>
                <w14:textFill>
                  <w14:solidFill>
                    <w14:schemeClr w14:val="tx1"/>
                  </w14:solidFill>
                </w14:textFill>
              </w:rPr>
              <w:t>0</w:t>
            </w:r>
          </w:p>
        </w:tc>
        <w:tc>
          <w:tcPr>
            <w:tcW w:w="855" w:type="pct"/>
          </w:tcPr>
          <w:p w14:paraId="05E8527B">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c>
          <w:tcPr>
            <w:tcW w:w="639" w:type="pct"/>
          </w:tcPr>
          <w:p w14:paraId="3CB0E33E">
            <w:pPr>
              <w:pStyle w:val="174"/>
              <w:rPr>
                <w:rFonts w:hint="eastAsia" w:ascii="宋体"/>
                <w:color w:val="000000" w:themeColor="text1"/>
                <w:lang w:bidi="ar"/>
                <w14:textFill>
                  <w14:solidFill>
                    <w14:schemeClr w14:val="tx1"/>
                  </w14:solidFill>
                </w14:textFill>
              </w:rPr>
            </w:pPr>
            <w:r>
              <w:rPr>
                <w:rFonts w:hint="eastAsia" w:ascii="宋体"/>
                <w:color w:val="000000" w:themeColor="text1"/>
                <w:lang w:bidi="ar"/>
                <w14:textFill>
                  <w14:solidFill>
                    <w14:schemeClr w14:val="tx1"/>
                  </w14:solidFill>
                </w14:textFill>
              </w:rPr>
              <w:t>47</w:t>
            </w:r>
          </w:p>
        </w:tc>
        <w:tc>
          <w:tcPr>
            <w:tcW w:w="639" w:type="pct"/>
          </w:tcPr>
          <w:p w14:paraId="690AA1F4">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5</w:t>
            </w:r>
            <w:r>
              <w:rPr>
                <w:rFonts w:ascii="宋体"/>
                <w:color w:val="000000" w:themeColor="text1"/>
                <w14:textFill>
                  <w14:solidFill>
                    <w14:schemeClr w14:val="tx1"/>
                  </w14:solidFill>
                </w14:textFill>
              </w:rPr>
              <w:t>0</w:t>
            </w:r>
          </w:p>
        </w:tc>
        <w:tc>
          <w:tcPr>
            <w:tcW w:w="808" w:type="pct"/>
          </w:tcPr>
          <w:p w14:paraId="57F40513">
            <w:pPr>
              <w:pStyle w:val="174"/>
              <w:rPr>
                <w:rFonts w:hint="eastAsia" w:asci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达标</w:t>
            </w:r>
          </w:p>
        </w:tc>
      </w:tr>
    </w:tbl>
    <w:p w14:paraId="38A57E4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-9可知，各监测点昼、夜噪声值均满足《声环境质量标准》（GB3096-2008）</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类标准要求。</w:t>
      </w:r>
    </w:p>
    <w:p w14:paraId="3FE99918">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土壤环境质量现状调查与评价</w:t>
      </w:r>
    </w:p>
    <w:p w14:paraId="7FA315DE">
      <w:pPr>
        <w:pStyle w:val="120"/>
        <w:rPr>
          <w:rFonts w:hint="default" w:eastAsia="宋体"/>
          <w:color w:val="000000" w:themeColor="text1"/>
          <w:lang w:val="en-US" w:eastAsia="zh-CN"/>
          <w14:textFill>
            <w14:solidFill>
              <w14:schemeClr w14:val="tx1"/>
            </w14:solidFill>
          </w14:textFill>
        </w:rPr>
      </w:pPr>
      <w:bookmarkStart w:id="382" w:name="_Hlk160379778"/>
      <w:bookmarkStart w:id="383" w:name="_Hlk92209650"/>
      <w:r>
        <w:rPr>
          <w:rFonts w:hint="eastAsia"/>
          <w:color w:val="000000" w:themeColor="text1"/>
          <w14:textFill>
            <w14:solidFill>
              <w14:schemeClr w14:val="tx1"/>
            </w14:solidFill>
          </w14:textFill>
        </w:rPr>
        <w:t>根据国家土壤信息服务平台数据，项目区土壤类型为草甸土和盐土，土壤类型见图</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本次采用现场实测的方法来评价项目区的土壤环境质量现状。</w:t>
      </w:r>
    </w:p>
    <w:p w14:paraId="1EA41058">
      <w:pPr>
        <w:pStyle w:val="12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监测点位</w:t>
      </w:r>
    </w:p>
    <w:p w14:paraId="1713CFFF">
      <w:pPr>
        <w:pStyle w:val="120"/>
        <w:rPr>
          <w:rFonts w:hint="eastAsia" w:ascii="黑体" w:hAnsi="黑体" w:eastAsia="黑体" w:cs="黑体"/>
          <w:color w:val="000000" w:themeColor="text1"/>
          <w:sz w:val="21"/>
          <w:szCs w:val="21"/>
          <w14:textFill>
            <w14:solidFill>
              <w14:schemeClr w14:val="tx1"/>
            </w14:solidFill>
          </w14:textFill>
        </w:rPr>
      </w:pPr>
      <w:bookmarkStart w:id="384" w:name="_Hlk92222817"/>
      <w:r>
        <w:rPr>
          <w:rFonts w:hint="eastAsia"/>
          <w:color w:val="000000" w:themeColor="text1"/>
          <w14:textFill>
            <w14:solidFill>
              <w14:schemeClr w14:val="tx1"/>
            </w14:solidFill>
          </w14:textFill>
        </w:rPr>
        <w:t>根据《环境影响评价技术导则  土壤环境（试行）》（HJ964-02018）和《环境影响评价技术导则 陆地石油天然气开发建设项目》（HJ349-2023）判定，</w:t>
      </w:r>
      <w:bookmarkEnd w:id="384"/>
      <w:r>
        <w:rPr>
          <w:rFonts w:hint="eastAsia"/>
          <w:color w:val="000000" w:themeColor="text1"/>
          <w14:textFill>
            <w14:solidFill>
              <w14:schemeClr w14:val="tx1"/>
            </w14:solidFill>
          </w14:textFill>
        </w:rPr>
        <w:t>土壤污染影响型评价等级为一级评价，土壤生态影响型评价等级为一级评价，根据导则要求，土壤污染影响型应在占地范围内布设5个柱状样、2个表层样，占地范围外布设4个表层样；土壤生态影响型应在占地范围内布设5个表层样，占地范围外布设6个；综合考虑，占地范围内布设5个柱状样、5个表层样，占地范围外布设6个表层样，共计16个监测点，监测点坐标见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-10和图4.3-4。</w:t>
      </w:r>
    </w:p>
    <w:p w14:paraId="6E1F1CCF">
      <w:pPr>
        <w:pStyle w:val="112"/>
        <w:spacing w:line="240" w:lineRule="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372735" cy="4079240"/>
            <wp:effectExtent l="0" t="0" r="18415" b="16510"/>
            <wp:docPr id="84" name="图片 84" descr="5b8f50bb7ce880a219ed0337511294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5b8f50bb7ce880a219ed0337511294c9"/>
                    <pic:cNvPicPr>
                      <a:picLocks noChangeAspect="1"/>
                    </pic:cNvPicPr>
                  </pic:nvPicPr>
                  <pic:blipFill>
                    <a:blip r:embed="rId71"/>
                    <a:stretch>
                      <a:fillRect/>
                    </a:stretch>
                  </pic:blipFill>
                  <pic:spPr>
                    <a:xfrm>
                      <a:off x="0" y="0"/>
                      <a:ext cx="5372735" cy="4079240"/>
                    </a:xfrm>
                    <a:prstGeom prst="rect">
                      <a:avLst/>
                    </a:prstGeom>
                  </pic:spPr>
                </pic:pic>
              </a:graphicData>
            </a:graphic>
          </wp:inline>
        </w:drawing>
      </w:r>
    </w:p>
    <w:p w14:paraId="3AA133BA">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图4</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土壤类型示意图</w:t>
      </w:r>
    </w:p>
    <w:bookmarkEnd w:id="382"/>
    <w:p w14:paraId="554A2A3B">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-10  实测土壤监测点位</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9"/>
        <w:gridCol w:w="816"/>
        <w:gridCol w:w="1910"/>
        <w:gridCol w:w="2059"/>
        <w:gridCol w:w="1042"/>
        <w:gridCol w:w="1874"/>
      </w:tblGrid>
      <w:tr w14:paraId="14875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2" w:type="pct"/>
            <w:gridSpan w:val="2"/>
            <w:vMerge w:val="restart"/>
            <w:tcBorders>
              <w:top w:val="single" w:color="auto" w:sz="12" w:space="0"/>
              <w:left w:val="nil"/>
              <w:bottom w:val="single" w:color="auto" w:sz="4" w:space="0"/>
              <w:right w:val="single" w:color="auto" w:sz="4" w:space="0"/>
            </w:tcBorders>
            <w:vAlign w:val="center"/>
          </w:tcPr>
          <w:p w14:paraId="1942F4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编号</w:t>
            </w:r>
          </w:p>
        </w:tc>
        <w:tc>
          <w:tcPr>
            <w:tcW w:w="2275" w:type="pct"/>
            <w:gridSpan w:val="2"/>
            <w:tcBorders>
              <w:top w:val="single" w:color="auto" w:sz="12" w:space="0"/>
              <w:left w:val="single" w:color="auto" w:sz="4" w:space="0"/>
              <w:bottom w:val="single" w:color="auto" w:sz="4" w:space="0"/>
              <w:right w:val="single" w:color="auto" w:sz="4" w:space="0"/>
            </w:tcBorders>
            <w:vAlign w:val="center"/>
          </w:tcPr>
          <w:p w14:paraId="389B34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坐标</w:t>
            </w:r>
          </w:p>
        </w:tc>
        <w:tc>
          <w:tcPr>
            <w:tcW w:w="597" w:type="pct"/>
            <w:vMerge w:val="restart"/>
            <w:tcBorders>
              <w:top w:val="single" w:color="auto" w:sz="12" w:space="0"/>
              <w:left w:val="single" w:color="auto" w:sz="4" w:space="0"/>
              <w:bottom w:val="single" w:color="auto" w:sz="4" w:space="0"/>
              <w:right w:val="single" w:color="auto" w:sz="4" w:space="0"/>
            </w:tcBorders>
            <w:vAlign w:val="center"/>
          </w:tcPr>
          <w:p w14:paraId="3540C9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性质</w:t>
            </w:r>
          </w:p>
        </w:tc>
        <w:tc>
          <w:tcPr>
            <w:tcW w:w="1074" w:type="pct"/>
            <w:vMerge w:val="restart"/>
            <w:tcBorders>
              <w:top w:val="single" w:color="auto" w:sz="12" w:space="0"/>
              <w:left w:val="single" w:color="auto" w:sz="4" w:space="0"/>
              <w:bottom w:val="single" w:color="auto" w:sz="4" w:space="0"/>
              <w:right w:val="nil"/>
            </w:tcBorders>
            <w:vAlign w:val="center"/>
          </w:tcPr>
          <w:p w14:paraId="11841E3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采样要求</w:t>
            </w:r>
          </w:p>
        </w:tc>
      </w:tr>
      <w:tr w14:paraId="5F0FC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gridSpan w:val="2"/>
            <w:vMerge w:val="continue"/>
            <w:tcBorders>
              <w:top w:val="single" w:color="auto" w:sz="12" w:space="0"/>
              <w:left w:val="nil"/>
              <w:bottom w:val="single" w:color="auto" w:sz="4" w:space="0"/>
              <w:right w:val="single" w:color="auto" w:sz="4" w:space="0"/>
            </w:tcBorders>
            <w:vAlign w:val="center"/>
          </w:tcPr>
          <w:p w14:paraId="26F774C8">
            <w:pPr>
              <w:pStyle w:val="280"/>
              <w:rPr>
                <w:rFonts w:hint="eastAsia"/>
                <w:color w:val="000000" w:themeColor="text1"/>
                <w14:textFill>
                  <w14:solidFill>
                    <w14:schemeClr w14:val="tx1"/>
                  </w14:solidFill>
                </w14:textFill>
              </w:rPr>
            </w:pPr>
          </w:p>
        </w:tc>
        <w:tc>
          <w:tcPr>
            <w:tcW w:w="1095" w:type="pct"/>
            <w:tcBorders>
              <w:top w:val="single" w:color="auto" w:sz="4" w:space="0"/>
              <w:left w:val="single" w:color="auto" w:sz="4" w:space="0"/>
              <w:bottom w:val="single" w:color="auto" w:sz="4" w:space="0"/>
              <w:right w:val="single" w:color="auto" w:sz="4" w:space="0"/>
            </w:tcBorders>
            <w:vAlign w:val="center"/>
          </w:tcPr>
          <w:p w14:paraId="7E47EBC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p>
        </w:tc>
        <w:tc>
          <w:tcPr>
            <w:tcW w:w="1180" w:type="pct"/>
            <w:tcBorders>
              <w:top w:val="single" w:color="auto" w:sz="4" w:space="0"/>
              <w:left w:val="single" w:color="auto" w:sz="4" w:space="0"/>
              <w:bottom w:val="single" w:color="auto" w:sz="4" w:space="0"/>
              <w:right w:val="single" w:color="auto" w:sz="4" w:space="0"/>
            </w:tcBorders>
            <w:vAlign w:val="center"/>
          </w:tcPr>
          <w:p w14:paraId="282D2A4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w:t>
            </w:r>
          </w:p>
        </w:tc>
        <w:tc>
          <w:tcPr>
            <w:tcW w:w="0" w:type="auto"/>
            <w:vMerge w:val="continue"/>
            <w:tcBorders>
              <w:top w:val="single" w:color="auto" w:sz="12" w:space="0"/>
              <w:left w:val="single" w:color="auto" w:sz="4" w:space="0"/>
              <w:bottom w:val="single" w:color="auto" w:sz="4" w:space="0"/>
              <w:right w:val="single" w:color="auto" w:sz="4" w:space="0"/>
            </w:tcBorders>
            <w:vAlign w:val="center"/>
          </w:tcPr>
          <w:p w14:paraId="67BCB34C">
            <w:pPr>
              <w:pStyle w:val="280"/>
              <w:rPr>
                <w:rFonts w:hint="eastAsia"/>
                <w:color w:val="000000" w:themeColor="text1"/>
                <w14:textFill>
                  <w14:solidFill>
                    <w14:schemeClr w14:val="tx1"/>
                  </w14:solidFill>
                </w14:textFill>
              </w:rPr>
            </w:pPr>
          </w:p>
        </w:tc>
        <w:tc>
          <w:tcPr>
            <w:tcW w:w="0" w:type="auto"/>
            <w:vMerge w:val="continue"/>
            <w:tcBorders>
              <w:top w:val="single" w:color="auto" w:sz="12" w:space="0"/>
              <w:left w:val="single" w:color="auto" w:sz="4" w:space="0"/>
              <w:bottom w:val="single" w:color="auto" w:sz="4" w:space="0"/>
              <w:right w:val="nil"/>
            </w:tcBorders>
            <w:vAlign w:val="center"/>
          </w:tcPr>
          <w:p w14:paraId="4D3756F5">
            <w:pPr>
              <w:pStyle w:val="280"/>
              <w:rPr>
                <w:rFonts w:hint="eastAsia"/>
                <w:color w:val="000000" w:themeColor="text1"/>
                <w14:textFill>
                  <w14:solidFill>
                    <w14:schemeClr w14:val="tx1"/>
                  </w14:solidFill>
                </w14:textFill>
              </w:rPr>
            </w:pPr>
          </w:p>
        </w:tc>
      </w:tr>
      <w:tr w14:paraId="1F3C6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pct"/>
            <w:vMerge w:val="restart"/>
            <w:tcBorders>
              <w:top w:val="single" w:color="auto" w:sz="4" w:space="0"/>
              <w:left w:val="nil"/>
              <w:bottom w:val="single" w:color="auto" w:sz="4" w:space="0"/>
              <w:right w:val="single" w:color="auto" w:sz="4" w:space="0"/>
            </w:tcBorders>
            <w:vAlign w:val="center"/>
          </w:tcPr>
          <w:p w14:paraId="7A7F5D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占地范围内</w:t>
            </w:r>
          </w:p>
        </w:tc>
        <w:tc>
          <w:tcPr>
            <w:tcW w:w="468" w:type="pct"/>
            <w:tcBorders>
              <w:top w:val="single" w:color="auto" w:sz="4" w:space="0"/>
              <w:left w:val="single" w:color="auto" w:sz="4" w:space="0"/>
              <w:bottom w:val="single" w:color="auto" w:sz="4" w:space="0"/>
              <w:right w:val="single" w:color="auto" w:sz="4" w:space="0"/>
            </w:tcBorders>
            <w:vAlign w:val="center"/>
          </w:tcPr>
          <w:p w14:paraId="0325CBE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w:t>
            </w:r>
          </w:p>
        </w:tc>
        <w:tc>
          <w:tcPr>
            <w:tcW w:w="1095" w:type="pct"/>
            <w:tcBorders>
              <w:top w:val="single" w:color="auto" w:sz="4" w:space="0"/>
              <w:left w:val="single" w:color="auto" w:sz="4" w:space="0"/>
              <w:bottom w:val="single" w:color="auto" w:sz="4" w:space="0"/>
              <w:right w:val="single" w:color="auto" w:sz="4" w:space="0"/>
            </w:tcBorders>
            <w:vAlign w:val="center"/>
          </w:tcPr>
          <w:p w14:paraId="5C0D41C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6'49.270"</w:t>
            </w:r>
          </w:p>
        </w:tc>
        <w:tc>
          <w:tcPr>
            <w:tcW w:w="1180" w:type="pct"/>
            <w:tcBorders>
              <w:top w:val="single" w:color="auto" w:sz="4" w:space="0"/>
              <w:left w:val="single" w:color="auto" w:sz="4" w:space="0"/>
              <w:bottom w:val="single" w:color="auto" w:sz="4" w:space="0"/>
              <w:right w:val="single" w:color="auto" w:sz="4" w:space="0"/>
            </w:tcBorders>
            <w:vAlign w:val="center"/>
          </w:tcPr>
          <w:p w14:paraId="03A2353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89°16'12.130"</w:t>
            </w:r>
          </w:p>
        </w:tc>
        <w:tc>
          <w:tcPr>
            <w:tcW w:w="597" w:type="pct"/>
            <w:vMerge w:val="restart"/>
            <w:tcBorders>
              <w:top w:val="single" w:color="auto" w:sz="4" w:space="0"/>
              <w:left w:val="single" w:color="auto" w:sz="4" w:space="0"/>
              <w:bottom w:val="single" w:color="auto" w:sz="4" w:space="0"/>
              <w:right w:val="single" w:color="auto" w:sz="4" w:space="0"/>
            </w:tcBorders>
            <w:vAlign w:val="center"/>
          </w:tcPr>
          <w:p w14:paraId="00E10E8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柱状样</w:t>
            </w:r>
          </w:p>
        </w:tc>
        <w:tc>
          <w:tcPr>
            <w:tcW w:w="1074" w:type="pct"/>
            <w:vMerge w:val="restart"/>
            <w:tcBorders>
              <w:top w:val="single" w:color="auto" w:sz="4" w:space="0"/>
              <w:left w:val="single" w:color="auto" w:sz="4" w:space="0"/>
              <w:bottom w:val="single" w:color="auto" w:sz="4" w:space="0"/>
              <w:right w:val="nil"/>
            </w:tcBorders>
            <w:vAlign w:val="center"/>
          </w:tcPr>
          <w:p w14:paraId="54F6E858">
            <w:pPr>
              <w:pStyle w:val="280"/>
              <w:rPr>
                <w:rFonts w:hint="eastAsia"/>
                <w:color w:val="000000" w:themeColor="text1"/>
                <w14:textFill>
                  <w14:solidFill>
                    <w14:schemeClr w14:val="tx1"/>
                  </w14:solidFill>
                </w14:textFill>
              </w:rPr>
            </w:pPr>
            <w:bookmarkStart w:id="385" w:name="OLE_LINK1"/>
            <w:r>
              <w:rPr>
                <w:rFonts w:hint="eastAsia"/>
                <w:color w:val="000000" w:themeColor="text1"/>
                <w14:textFill>
                  <w14:solidFill>
                    <w14:schemeClr w14:val="tx1"/>
                  </w14:solidFill>
                </w14:textFill>
              </w:rPr>
              <w:t>0</w:t>
            </w:r>
            <w:bookmarkEnd w:id="385"/>
            <w:r>
              <w:rPr>
                <w:rFonts w:hint="eastAsia"/>
                <w:color w:val="000000" w:themeColor="text1"/>
                <w14:textFill>
                  <w14:solidFill>
                    <w14:schemeClr w14:val="tx1"/>
                  </w14:solidFill>
                </w14:textFill>
              </w:rPr>
              <w:t>～0.5m，0.5～1.5m、1.5～3m分别取样</w:t>
            </w:r>
          </w:p>
        </w:tc>
      </w:tr>
      <w:tr w14:paraId="4407F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6AECCEDF">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19C93A2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S2</w:t>
            </w:r>
          </w:p>
        </w:tc>
        <w:tc>
          <w:tcPr>
            <w:tcW w:w="1095" w:type="pct"/>
            <w:tcBorders>
              <w:top w:val="single" w:color="auto" w:sz="4" w:space="0"/>
              <w:left w:val="single" w:color="auto" w:sz="4" w:space="0"/>
              <w:bottom w:val="single" w:color="auto" w:sz="4" w:space="0"/>
              <w:right w:val="single" w:color="auto" w:sz="4" w:space="0"/>
            </w:tcBorders>
            <w:vAlign w:val="center"/>
          </w:tcPr>
          <w:p w14:paraId="57C978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6'56.910"</w:t>
            </w:r>
          </w:p>
        </w:tc>
        <w:tc>
          <w:tcPr>
            <w:tcW w:w="1180" w:type="pct"/>
            <w:tcBorders>
              <w:top w:val="single" w:color="auto" w:sz="4" w:space="0"/>
              <w:left w:val="single" w:color="auto" w:sz="4" w:space="0"/>
              <w:bottom w:val="single" w:color="auto" w:sz="4" w:space="0"/>
              <w:right w:val="single" w:color="auto" w:sz="4" w:space="0"/>
            </w:tcBorders>
            <w:vAlign w:val="center"/>
          </w:tcPr>
          <w:p w14:paraId="672F5A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89°16'41.130"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EA47082">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257CE91F">
            <w:pPr>
              <w:pStyle w:val="280"/>
              <w:rPr>
                <w:rFonts w:hint="eastAsia"/>
                <w:color w:val="000000" w:themeColor="text1"/>
                <w14:textFill>
                  <w14:solidFill>
                    <w14:schemeClr w14:val="tx1"/>
                  </w14:solidFill>
                </w14:textFill>
              </w:rPr>
            </w:pPr>
          </w:p>
        </w:tc>
      </w:tr>
      <w:tr w14:paraId="4503A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01D1CB02">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6865C1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S3</w:t>
            </w:r>
          </w:p>
        </w:tc>
        <w:tc>
          <w:tcPr>
            <w:tcW w:w="1095" w:type="pct"/>
            <w:tcBorders>
              <w:top w:val="single" w:color="auto" w:sz="4" w:space="0"/>
              <w:left w:val="single" w:color="auto" w:sz="4" w:space="0"/>
              <w:bottom w:val="single" w:color="auto" w:sz="4" w:space="0"/>
              <w:right w:val="single" w:color="auto" w:sz="4" w:space="0"/>
            </w:tcBorders>
            <w:vAlign w:val="center"/>
          </w:tcPr>
          <w:p w14:paraId="22B57B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6'16.450"</w:t>
            </w:r>
          </w:p>
        </w:tc>
        <w:tc>
          <w:tcPr>
            <w:tcW w:w="1180" w:type="pct"/>
            <w:tcBorders>
              <w:top w:val="single" w:color="auto" w:sz="4" w:space="0"/>
              <w:left w:val="single" w:color="auto" w:sz="4" w:space="0"/>
              <w:bottom w:val="single" w:color="auto" w:sz="4" w:space="0"/>
              <w:right w:val="single" w:color="auto" w:sz="4" w:space="0"/>
            </w:tcBorders>
            <w:vAlign w:val="center"/>
          </w:tcPr>
          <w:p w14:paraId="2760BCA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89°17'36.470"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531D597">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23DBDEEB">
            <w:pPr>
              <w:pStyle w:val="280"/>
              <w:rPr>
                <w:rFonts w:hint="eastAsia"/>
                <w:color w:val="000000" w:themeColor="text1"/>
                <w14:textFill>
                  <w14:solidFill>
                    <w14:schemeClr w14:val="tx1"/>
                  </w14:solidFill>
                </w14:textFill>
              </w:rPr>
            </w:pPr>
          </w:p>
        </w:tc>
      </w:tr>
      <w:tr w14:paraId="71712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38483EEE">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46A30EC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S4</w:t>
            </w:r>
          </w:p>
        </w:tc>
        <w:tc>
          <w:tcPr>
            <w:tcW w:w="1095" w:type="pct"/>
            <w:tcBorders>
              <w:top w:val="single" w:color="auto" w:sz="4" w:space="0"/>
              <w:left w:val="single" w:color="auto" w:sz="4" w:space="0"/>
              <w:bottom w:val="single" w:color="auto" w:sz="4" w:space="0"/>
              <w:right w:val="single" w:color="auto" w:sz="4" w:space="0"/>
            </w:tcBorders>
            <w:vAlign w:val="center"/>
          </w:tcPr>
          <w:p w14:paraId="787B75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6'4.640"</w:t>
            </w:r>
          </w:p>
        </w:tc>
        <w:tc>
          <w:tcPr>
            <w:tcW w:w="1180" w:type="pct"/>
            <w:tcBorders>
              <w:top w:val="single" w:color="auto" w:sz="4" w:space="0"/>
              <w:left w:val="single" w:color="auto" w:sz="4" w:space="0"/>
              <w:bottom w:val="single" w:color="auto" w:sz="4" w:space="0"/>
              <w:right w:val="single" w:color="auto" w:sz="4" w:space="0"/>
            </w:tcBorders>
            <w:vAlign w:val="center"/>
          </w:tcPr>
          <w:p w14:paraId="33664DC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89°15'37.740"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6C26358">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1A6A0C93">
            <w:pPr>
              <w:pStyle w:val="280"/>
              <w:rPr>
                <w:rFonts w:hint="eastAsia"/>
                <w:color w:val="000000" w:themeColor="text1"/>
                <w14:textFill>
                  <w14:solidFill>
                    <w14:schemeClr w14:val="tx1"/>
                  </w14:solidFill>
                </w14:textFill>
              </w:rPr>
            </w:pPr>
          </w:p>
        </w:tc>
      </w:tr>
      <w:tr w14:paraId="56206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1C47F33D">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0F4B27A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S5</w:t>
            </w:r>
          </w:p>
        </w:tc>
        <w:tc>
          <w:tcPr>
            <w:tcW w:w="1095" w:type="pct"/>
            <w:tcBorders>
              <w:top w:val="single" w:color="auto" w:sz="4" w:space="0"/>
              <w:left w:val="single" w:color="auto" w:sz="4" w:space="0"/>
              <w:bottom w:val="single" w:color="auto" w:sz="4" w:space="0"/>
              <w:right w:val="single" w:color="auto" w:sz="4" w:space="0"/>
            </w:tcBorders>
            <w:vAlign w:val="center"/>
          </w:tcPr>
          <w:p w14:paraId="513C155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5'23.210"</w:t>
            </w:r>
          </w:p>
        </w:tc>
        <w:tc>
          <w:tcPr>
            <w:tcW w:w="1180" w:type="pct"/>
            <w:tcBorders>
              <w:top w:val="single" w:color="auto" w:sz="4" w:space="0"/>
              <w:left w:val="single" w:color="auto" w:sz="4" w:space="0"/>
              <w:bottom w:val="single" w:color="auto" w:sz="4" w:space="0"/>
              <w:right w:val="single" w:color="auto" w:sz="4" w:space="0"/>
            </w:tcBorders>
            <w:vAlign w:val="center"/>
          </w:tcPr>
          <w:p w14:paraId="090C94B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89°17'47.820"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2B2C51E">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5F40DB0D">
            <w:pPr>
              <w:pStyle w:val="280"/>
              <w:rPr>
                <w:rFonts w:hint="eastAsia"/>
                <w:color w:val="000000" w:themeColor="text1"/>
                <w14:textFill>
                  <w14:solidFill>
                    <w14:schemeClr w14:val="tx1"/>
                  </w14:solidFill>
                </w14:textFill>
              </w:rPr>
            </w:pPr>
          </w:p>
        </w:tc>
      </w:tr>
      <w:tr w14:paraId="19AA4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337688B3">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65670C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S6</w:t>
            </w:r>
          </w:p>
        </w:tc>
        <w:tc>
          <w:tcPr>
            <w:tcW w:w="1095" w:type="pct"/>
            <w:tcBorders>
              <w:top w:val="single" w:color="auto" w:sz="4" w:space="0"/>
              <w:left w:val="single" w:color="auto" w:sz="4" w:space="0"/>
              <w:bottom w:val="single" w:color="auto" w:sz="4" w:space="0"/>
              <w:right w:val="single" w:color="auto" w:sz="4" w:space="0"/>
            </w:tcBorders>
            <w:vAlign w:val="center"/>
          </w:tcPr>
          <w:p w14:paraId="3D5948A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6'49.010"</w:t>
            </w:r>
          </w:p>
        </w:tc>
        <w:tc>
          <w:tcPr>
            <w:tcW w:w="1180" w:type="pct"/>
            <w:tcBorders>
              <w:top w:val="single" w:color="auto" w:sz="4" w:space="0"/>
              <w:left w:val="single" w:color="auto" w:sz="4" w:space="0"/>
              <w:bottom w:val="single" w:color="auto" w:sz="4" w:space="0"/>
              <w:right w:val="single" w:color="auto" w:sz="4" w:space="0"/>
            </w:tcBorders>
            <w:vAlign w:val="center"/>
          </w:tcPr>
          <w:p w14:paraId="2545EB5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89°16'12.510"</w:t>
            </w:r>
          </w:p>
        </w:tc>
        <w:tc>
          <w:tcPr>
            <w:tcW w:w="597" w:type="pct"/>
            <w:vMerge w:val="restart"/>
            <w:tcBorders>
              <w:top w:val="single" w:color="auto" w:sz="4" w:space="0"/>
              <w:left w:val="single" w:color="auto" w:sz="4" w:space="0"/>
              <w:bottom w:val="single" w:color="auto" w:sz="4" w:space="0"/>
              <w:right w:val="single" w:color="auto" w:sz="4" w:space="0"/>
            </w:tcBorders>
            <w:vAlign w:val="center"/>
          </w:tcPr>
          <w:p w14:paraId="06614D6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表层样</w:t>
            </w:r>
          </w:p>
        </w:tc>
        <w:tc>
          <w:tcPr>
            <w:tcW w:w="1074" w:type="pct"/>
            <w:vMerge w:val="restart"/>
            <w:tcBorders>
              <w:top w:val="single" w:color="auto" w:sz="4" w:space="0"/>
              <w:left w:val="single" w:color="auto" w:sz="4" w:space="0"/>
              <w:bottom w:val="single" w:color="auto" w:sz="4" w:space="0"/>
              <w:right w:val="nil"/>
            </w:tcBorders>
            <w:vAlign w:val="center"/>
          </w:tcPr>
          <w:p w14:paraId="5DE447F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0～0.2m处取样</w:t>
            </w:r>
          </w:p>
        </w:tc>
      </w:tr>
      <w:tr w14:paraId="2C5C9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352F20C8">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6C096B2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S7</w:t>
            </w:r>
          </w:p>
        </w:tc>
        <w:tc>
          <w:tcPr>
            <w:tcW w:w="1095" w:type="pct"/>
            <w:tcBorders>
              <w:top w:val="single" w:color="auto" w:sz="4" w:space="0"/>
              <w:left w:val="single" w:color="auto" w:sz="4" w:space="0"/>
              <w:bottom w:val="single" w:color="auto" w:sz="4" w:space="0"/>
              <w:right w:val="single" w:color="auto" w:sz="4" w:space="0"/>
            </w:tcBorders>
            <w:vAlign w:val="center"/>
          </w:tcPr>
          <w:p w14:paraId="4060907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6'49.130"</w:t>
            </w:r>
          </w:p>
        </w:tc>
        <w:tc>
          <w:tcPr>
            <w:tcW w:w="1180" w:type="pct"/>
            <w:tcBorders>
              <w:top w:val="single" w:color="auto" w:sz="4" w:space="0"/>
              <w:left w:val="single" w:color="auto" w:sz="4" w:space="0"/>
              <w:bottom w:val="single" w:color="auto" w:sz="4" w:space="0"/>
              <w:right w:val="single" w:color="auto" w:sz="4" w:space="0"/>
            </w:tcBorders>
            <w:vAlign w:val="center"/>
          </w:tcPr>
          <w:p w14:paraId="5393AC4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89°16'12.330"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345FC35">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0EE96F39">
            <w:pPr>
              <w:pStyle w:val="280"/>
              <w:rPr>
                <w:rFonts w:hint="eastAsia"/>
                <w:color w:val="000000" w:themeColor="text1"/>
                <w14:textFill>
                  <w14:solidFill>
                    <w14:schemeClr w14:val="tx1"/>
                  </w14:solidFill>
                </w14:textFill>
              </w:rPr>
            </w:pPr>
          </w:p>
        </w:tc>
      </w:tr>
      <w:tr w14:paraId="1505D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77CFD782">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7B8B905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S8</w:t>
            </w:r>
          </w:p>
        </w:tc>
        <w:tc>
          <w:tcPr>
            <w:tcW w:w="1095" w:type="pct"/>
            <w:tcBorders>
              <w:top w:val="single" w:color="auto" w:sz="4" w:space="0"/>
              <w:left w:val="single" w:color="auto" w:sz="4" w:space="0"/>
              <w:bottom w:val="single" w:color="auto" w:sz="4" w:space="0"/>
              <w:right w:val="single" w:color="auto" w:sz="4" w:space="0"/>
            </w:tcBorders>
            <w:vAlign w:val="center"/>
          </w:tcPr>
          <w:p w14:paraId="342DF64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5'23.700"</w:t>
            </w:r>
          </w:p>
        </w:tc>
        <w:tc>
          <w:tcPr>
            <w:tcW w:w="1180" w:type="pct"/>
            <w:tcBorders>
              <w:top w:val="single" w:color="auto" w:sz="4" w:space="0"/>
              <w:left w:val="single" w:color="auto" w:sz="4" w:space="0"/>
              <w:bottom w:val="single" w:color="auto" w:sz="4" w:space="0"/>
              <w:right w:val="single" w:color="auto" w:sz="4" w:space="0"/>
            </w:tcBorders>
            <w:vAlign w:val="center"/>
          </w:tcPr>
          <w:p w14:paraId="624D1D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89°17'47.790"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3816EFA">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578B45E9">
            <w:pPr>
              <w:pStyle w:val="280"/>
              <w:rPr>
                <w:rFonts w:hint="eastAsia"/>
                <w:color w:val="000000" w:themeColor="text1"/>
                <w14:textFill>
                  <w14:solidFill>
                    <w14:schemeClr w14:val="tx1"/>
                  </w14:solidFill>
                </w14:textFill>
              </w:rPr>
            </w:pPr>
          </w:p>
        </w:tc>
      </w:tr>
      <w:tr w14:paraId="1460D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1BB0A9A9">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636982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S9</w:t>
            </w:r>
          </w:p>
        </w:tc>
        <w:tc>
          <w:tcPr>
            <w:tcW w:w="1095" w:type="pct"/>
            <w:tcBorders>
              <w:top w:val="single" w:color="auto" w:sz="4" w:space="0"/>
              <w:left w:val="single" w:color="auto" w:sz="4" w:space="0"/>
              <w:bottom w:val="single" w:color="auto" w:sz="4" w:space="0"/>
              <w:right w:val="single" w:color="auto" w:sz="4" w:space="0"/>
            </w:tcBorders>
            <w:vAlign w:val="center"/>
          </w:tcPr>
          <w:p w14:paraId="61CE93F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6'56.920"</w:t>
            </w:r>
          </w:p>
        </w:tc>
        <w:tc>
          <w:tcPr>
            <w:tcW w:w="1180" w:type="pct"/>
            <w:tcBorders>
              <w:top w:val="single" w:color="auto" w:sz="4" w:space="0"/>
              <w:left w:val="single" w:color="auto" w:sz="4" w:space="0"/>
              <w:bottom w:val="single" w:color="auto" w:sz="4" w:space="0"/>
              <w:right w:val="single" w:color="auto" w:sz="4" w:space="0"/>
            </w:tcBorders>
            <w:vAlign w:val="center"/>
          </w:tcPr>
          <w:p w14:paraId="4D0FDE6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89°16'40.730"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4D3BD34">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7A0E5F09">
            <w:pPr>
              <w:pStyle w:val="280"/>
              <w:rPr>
                <w:rFonts w:hint="eastAsia"/>
                <w:color w:val="000000" w:themeColor="text1"/>
                <w14:textFill>
                  <w14:solidFill>
                    <w14:schemeClr w14:val="tx1"/>
                  </w14:solidFill>
                </w14:textFill>
              </w:rPr>
            </w:pPr>
          </w:p>
        </w:tc>
      </w:tr>
      <w:tr w14:paraId="7AA9E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6186F041">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10BBEAB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S10</w:t>
            </w:r>
          </w:p>
        </w:tc>
        <w:tc>
          <w:tcPr>
            <w:tcW w:w="1095" w:type="pct"/>
            <w:tcBorders>
              <w:top w:val="single" w:color="auto" w:sz="4" w:space="0"/>
              <w:left w:val="single" w:color="auto" w:sz="4" w:space="0"/>
              <w:bottom w:val="single" w:color="auto" w:sz="4" w:space="0"/>
              <w:right w:val="single" w:color="auto" w:sz="4" w:space="0"/>
            </w:tcBorders>
            <w:vAlign w:val="center"/>
          </w:tcPr>
          <w:p w14:paraId="142961E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6'16.120"</w:t>
            </w:r>
          </w:p>
        </w:tc>
        <w:tc>
          <w:tcPr>
            <w:tcW w:w="1180" w:type="pct"/>
            <w:tcBorders>
              <w:top w:val="single" w:color="auto" w:sz="4" w:space="0"/>
              <w:left w:val="single" w:color="auto" w:sz="4" w:space="0"/>
              <w:bottom w:val="single" w:color="auto" w:sz="4" w:space="0"/>
              <w:right w:val="single" w:color="auto" w:sz="4" w:space="0"/>
            </w:tcBorders>
            <w:vAlign w:val="center"/>
          </w:tcPr>
          <w:p w14:paraId="129D9D7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89°17'36.120"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3AE505E">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114E0F33">
            <w:pPr>
              <w:pStyle w:val="280"/>
              <w:rPr>
                <w:rFonts w:hint="eastAsia"/>
                <w:color w:val="000000" w:themeColor="text1"/>
                <w14:textFill>
                  <w14:solidFill>
                    <w14:schemeClr w14:val="tx1"/>
                  </w14:solidFill>
                </w14:textFill>
              </w:rPr>
            </w:pPr>
          </w:p>
        </w:tc>
      </w:tr>
      <w:tr w14:paraId="13B57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pct"/>
            <w:vMerge w:val="restart"/>
            <w:tcBorders>
              <w:top w:val="single" w:color="auto" w:sz="4" w:space="0"/>
              <w:left w:val="nil"/>
              <w:bottom w:val="single" w:color="auto" w:sz="4" w:space="0"/>
              <w:right w:val="single" w:color="auto" w:sz="4" w:space="0"/>
            </w:tcBorders>
            <w:vAlign w:val="center"/>
          </w:tcPr>
          <w:p w14:paraId="62A94B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占地范围外</w:t>
            </w:r>
          </w:p>
        </w:tc>
        <w:tc>
          <w:tcPr>
            <w:tcW w:w="468" w:type="pct"/>
            <w:tcBorders>
              <w:top w:val="single" w:color="auto" w:sz="4" w:space="0"/>
              <w:left w:val="single" w:color="auto" w:sz="4" w:space="0"/>
              <w:bottom w:val="single" w:color="auto" w:sz="4" w:space="0"/>
              <w:right w:val="single" w:color="auto" w:sz="4" w:space="0"/>
            </w:tcBorders>
            <w:vAlign w:val="center"/>
          </w:tcPr>
          <w:p w14:paraId="13BB7CB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S11</w:t>
            </w:r>
          </w:p>
        </w:tc>
        <w:tc>
          <w:tcPr>
            <w:tcW w:w="1095" w:type="pct"/>
            <w:tcBorders>
              <w:top w:val="single" w:color="auto" w:sz="4" w:space="0"/>
              <w:left w:val="single" w:color="auto" w:sz="4" w:space="0"/>
              <w:bottom w:val="single" w:color="auto" w:sz="4" w:space="0"/>
              <w:right w:val="single" w:color="auto" w:sz="4" w:space="0"/>
            </w:tcBorders>
            <w:vAlign w:val="center"/>
          </w:tcPr>
          <w:p w14:paraId="1AABDF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6'56.260"</w:t>
            </w:r>
          </w:p>
        </w:tc>
        <w:tc>
          <w:tcPr>
            <w:tcW w:w="1180" w:type="pct"/>
            <w:tcBorders>
              <w:top w:val="single" w:color="auto" w:sz="4" w:space="0"/>
              <w:left w:val="single" w:color="auto" w:sz="4" w:space="0"/>
              <w:bottom w:val="single" w:color="auto" w:sz="4" w:space="0"/>
              <w:right w:val="single" w:color="auto" w:sz="4" w:space="0"/>
            </w:tcBorders>
            <w:vAlign w:val="center"/>
          </w:tcPr>
          <w:p w14:paraId="4E9CCC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89°16'12.040"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053F74E">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60435F8C">
            <w:pPr>
              <w:pStyle w:val="280"/>
              <w:rPr>
                <w:rFonts w:hint="eastAsia"/>
                <w:color w:val="000000" w:themeColor="text1"/>
                <w14:textFill>
                  <w14:solidFill>
                    <w14:schemeClr w14:val="tx1"/>
                  </w14:solidFill>
                </w14:textFill>
              </w:rPr>
            </w:pPr>
          </w:p>
        </w:tc>
      </w:tr>
      <w:tr w14:paraId="0527E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331F8F97">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5CD46E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S12</w:t>
            </w:r>
          </w:p>
        </w:tc>
        <w:tc>
          <w:tcPr>
            <w:tcW w:w="1095" w:type="pct"/>
            <w:tcBorders>
              <w:top w:val="single" w:color="auto" w:sz="4" w:space="0"/>
              <w:left w:val="single" w:color="auto" w:sz="4" w:space="0"/>
              <w:bottom w:val="single" w:color="auto" w:sz="4" w:space="0"/>
              <w:right w:val="single" w:color="auto" w:sz="4" w:space="0"/>
            </w:tcBorders>
            <w:vAlign w:val="center"/>
          </w:tcPr>
          <w:p w14:paraId="5CA9558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6'5.540"</w:t>
            </w:r>
          </w:p>
        </w:tc>
        <w:tc>
          <w:tcPr>
            <w:tcW w:w="1180" w:type="pct"/>
            <w:tcBorders>
              <w:top w:val="single" w:color="auto" w:sz="4" w:space="0"/>
              <w:left w:val="single" w:color="auto" w:sz="4" w:space="0"/>
              <w:bottom w:val="single" w:color="auto" w:sz="4" w:space="0"/>
              <w:right w:val="single" w:color="auto" w:sz="4" w:space="0"/>
            </w:tcBorders>
            <w:vAlign w:val="center"/>
          </w:tcPr>
          <w:p w14:paraId="6742E2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89°15'23.920"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BE8D2EB">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7DF0422E">
            <w:pPr>
              <w:pStyle w:val="280"/>
              <w:rPr>
                <w:rFonts w:hint="eastAsia"/>
                <w:color w:val="000000" w:themeColor="text1"/>
                <w14:textFill>
                  <w14:solidFill>
                    <w14:schemeClr w14:val="tx1"/>
                  </w14:solidFill>
                </w14:textFill>
              </w:rPr>
            </w:pPr>
          </w:p>
        </w:tc>
      </w:tr>
      <w:tr w14:paraId="69083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664EE0CA">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7B128F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S13</w:t>
            </w:r>
          </w:p>
        </w:tc>
        <w:tc>
          <w:tcPr>
            <w:tcW w:w="1095" w:type="pct"/>
            <w:tcBorders>
              <w:top w:val="single" w:color="auto" w:sz="4" w:space="0"/>
              <w:left w:val="single" w:color="auto" w:sz="4" w:space="0"/>
              <w:bottom w:val="single" w:color="auto" w:sz="4" w:space="0"/>
              <w:right w:val="single" w:color="auto" w:sz="4" w:space="0"/>
            </w:tcBorders>
            <w:vAlign w:val="center"/>
          </w:tcPr>
          <w:p w14:paraId="122882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6'14.630"</w:t>
            </w:r>
          </w:p>
        </w:tc>
        <w:tc>
          <w:tcPr>
            <w:tcW w:w="1180" w:type="pct"/>
            <w:tcBorders>
              <w:top w:val="single" w:color="auto" w:sz="4" w:space="0"/>
              <w:left w:val="single" w:color="auto" w:sz="4" w:space="0"/>
              <w:bottom w:val="single" w:color="auto" w:sz="4" w:space="0"/>
              <w:right w:val="single" w:color="auto" w:sz="4" w:space="0"/>
            </w:tcBorders>
            <w:vAlign w:val="center"/>
          </w:tcPr>
          <w:p w14:paraId="3724C3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89°17'44.420"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865FCCE">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1BA0206A">
            <w:pPr>
              <w:pStyle w:val="280"/>
              <w:rPr>
                <w:rFonts w:hint="eastAsia"/>
                <w:color w:val="000000" w:themeColor="text1"/>
                <w14:textFill>
                  <w14:solidFill>
                    <w14:schemeClr w14:val="tx1"/>
                  </w14:solidFill>
                </w14:textFill>
              </w:rPr>
            </w:pPr>
          </w:p>
        </w:tc>
      </w:tr>
      <w:tr w14:paraId="4B4A7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7A50FE9F">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104518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S14</w:t>
            </w:r>
          </w:p>
        </w:tc>
        <w:tc>
          <w:tcPr>
            <w:tcW w:w="1095" w:type="pct"/>
            <w:tcBorders>
              <w:top w:val="single" w:color="auto" w:sz="4" w:space="0"/>
              <w:left w:val="single" w:color="auto" w:sz="4" w:space="0"/>
              <w:bottom w:val="single" w:color="auto" w:sz="4" w:space="0"/>
              <w:right w:val="single" w:color="auto" w:sz="4" w:space="0"/>
            </w:tcBorders>
            <w:vAlign w:val="center"/>
          </w:tcPr>
          <w:p w14:paraId="45D6CC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6'53.120"</w:t>
            </w:r>
          </w:p>
        </w:tc>
        <w:tc>
          <w:tcPr>
            <w:tcW w:w="1180" w:type="pct"/>
            <w:tcBorders>
              <w:top w:val="single" w:color="auto" w:sz="4" w:space="0"/>
              <w:left w:val="single" w:color="auto" w:sz="4" w:space="0"/>
              <w:bottom w:val="single" w:color="auto" w:sz="4" w:space="0"/>
              <w:right w:val="single" w:color="auto" w:sz="4" w:space="0"/>
            </w:tcBorders>
            <w:vAlign w:val="center"/>
          </w:tcPr>
          <w:p w14:paraId="5C6A167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89°16'50.200"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CEC0261">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352443D1">
            <w:pPr>
              <w:pStyle w:val="280"/>
              <w:rPr>
                <w:rFonts w:hint="eastAsia"/>
                <w:color w:val="000000" w:themeColor="text1"/>
                <w14:textFill>
                  <w14:solidFill>
                    <w14:schemeClr w14:val="tx1"/>
                  </w14:solidFill>
                </w14:textFill>
              </w:rPr>
            </w:pPr>
          </w:p>
        </w:tc>
      </w:tr>
      <w:tr w14:paraId="5EEB0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4" w:space="0"/>
              <w:right w:val="single" w:color="auto" w:sz="4" w:space="0"/>
            </w:tcBorders>
            <w:vAlign w:val="center"/>
          </w:tcPr>
          <w:p w14:paraId="02C6FF0E">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4" w:space="0"/>
              <w:right w:val="single" w:color="auto" w:sz="4" w:space="0"/>
            </w:tcBorders>
            <w:vAlign w:val="center"/>
          </w:tcPr>
          <w:p w14:paraId="273365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S15</w:t>
            </w:r>
          </w:p>
        </w:tc>
        <w:tc>
          <w:tcPr>
            <w:tcW w:w="1095" w:type="pct"/>
            <w:tcBorders>
              <w:top w:val="single" w:color="auto" w:sz="4" w:space="0"/>
              <w:left w:val="single" w:color="auto" w:sz="4" w:space="0"/>
              <w:bottom w:val="single" w:color="auto" w:sz="4" w:space="0"/>
              <w:right w:val="single" w:color="auto" w:sz="4" w:space="0"/>
            </w:tcBorders>
            <w:vAlign w:val="center"/>
          </w:tcPr>
          <w:p w14:paraId="79D609C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6'15.650"</w:t>
            </w:r>
          </w:p>
        </w:tc>
        <w:tc>
          <w:tcPr>
            <w:tcW w:w="1180" w:type="pct"/>
            <w:tcBorders>
              <w:top w:val="single" w:color="auto" w:sz="4" w:space="0"/>
              <w:left w:val="single" w:color="auto" w:sz="4" w:space="0"/>
              <w:bottom w:val="single" w:color="auto" w:sz="4" w:space="0"/>
              <w:right w:val="single" w:color="auto" w:sz="4" w:space="0"/>
            </w:tcBorders>
            <w:vAlign w:val="center"/>
          </w:tcPr>
          <w:p w14:paraId="2342C6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89°17'37.640"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3B8A780">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nil"/>
            </w:tcBorders>
            <w:vAlign w:val="center"/>
          </w:tcPr>
          <w:p w14:paraId="6DFEB177">
            <w:pPr>
              <w:pStyle w:val="280"/>
              <w:rPr>
                <w:rFonts w:hint="eastAsia"/>
                <w:color w:val="000000" w:themeColor="text1"/>
                <w14:textFill>
                  <w14:solidFill>
                    <w14:schemeClr w14:val="tx1"/>
                  </w14:solidFill>
                </w14:textFill>
              </w:rPr>
            </w:pPr>
          </w:p>
        </w:tc>
      </w:tr>
      <w:tr w14:paraId="5B591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nil"/>
              <w:bottom w:val="single" w:color="auto" w:sz="12" w:space="0"/>
              <w:right w:val="single" w:color="auto" w:sz="4" w:space="0"/>
            </w:tcBorders>
            <w:vAlign w:val="center"/>
          </w:tcPr>
          <w:p w14:paraId="793F3FFD">
            <w:pPr>
              <w:pStyle w:val="280"/>
              <w:rPr>
                <w:rFonts w:hint="eastAsia"/>
                <w:color w:val="000000" w:themeColor="text1"/>
                <w14:textFill>
                  <w14:solidFill>
                    <w14:schemeClr w14:val="tx1"/>
                  </w14:solidFill>
                </w14:textFill>
              </w:rPr>
            </w:pPr>
          </w:p>
        </w:tc>
        <w:tc>
          <w:tcPr>
            <w:tcW w:w="468" w:type="pct"/>
            <w:tcBorders>
              <w:top w:val="single" w:color="auto" w:sz="4" w:space="0"/>
              <w:left w:val="single" w:color="auto" w:sz="4" w:space="0"/>
              <w:bottom w:val="single" w:color="auto" w:sz="12" w:space="0"/>
              <w:right w:val="single" w:color="auto" w:sz="4" w:space="0"/>
            </w:tcBorders>
            <w:vAlign w:val="center"/>
          </w:tcPr>
          <w:p w14:paraId="0A86BF1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S16</w:t>
            </w:r>
          </w:p>
        </w:tc>
        <w:tc>
          <w:tcPr>
            <w:tcW w:w="1095" w:type="pct"/>
            <w:tcBorders>
              <w:top w:val="single" w:color="auto" w:sz="4" w:space="0"/>
              <w:left w:val="single" w:color="auto" w:sz="4" w:space="0"/>
              <w:bottom w:val="single" w:color="auto" w:sz="12" w:space="0"/>
              <w:right w:val="single" w:color="auto" w:sz="4" w:space="0"/>
            </w:tcBorders>
            <w:vAlign w:val="center"/>
          </w:tcPr>
          <w:p w14:paraId="6E5E1B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 6'5.510"</w:t>
            </w:r>
          </w:p>
        </w:tc>
        <w:tc>
          <w:tcPr>
            <w:tcW w:w="1180" w:type="pct"/>
            <w:tcBorders>
              <w:top w:val="single" w:color="auto" w:sz="4" w:space="0"/>
              <w:left w:val="single" w:color="auto" w:sz="4" w:space="0"/>
              <w:bottom w:val="single" w:color="auto" w:sz="12" w:space="0"/>
              <w:right w:val="single" w:color="auto" w:sz="4" w:space="0"/>
            </w:tcBorders>
            <w:vAlign w:val="center"/>
          </w:tcPr>
          <w:p w14:paraId="2B4DA81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89°15'29.050"</w:t>
            </w: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5D364F66">
            <w:pPr>
              <w:pStyle w:val="280"/>
              <w:rPr>
                <w:rFonts w:hint="eastAsia"/>
                <w:color w:val="000000" w:themeColor="text1"/>
                <w14:textFill>
                  <w14:solidFill>
                    <w14:schemeClr w14:val="tx1"/>
                  </w14:solidFill>
                </w14:textFill>
              </w:rPr>
            </w:pPr>
          </w:p>
        </w:tc>
        <w:tc>
          <w:tcPr>
            <w:tcW w:w="0" w:type="auto"/>
            <w:vMerge w:val="continue"/>
            <w:tcBorders>
              <w:top w:val="single" w:color="auto" w:sz="4" w:space="0"/>
              <w:left w:val="single" w:color="auto" w:sz="4" w:space="0"/>
              <w:bottom w:val="single" w:color="auto" w:sz="12" w:space="0"/>
              <w:right w:val="nil"/>
            </w:tcBorders>
            <w:vAlign w:val="center"/>
          </w:tcPr>
          <w:p w14:paraId="0790DC1E">
            <w:pPr>
              <w:pStyle w:val="280"/>
              <w:rPr>
                <w:rFonts w:hint="eastAsia"/>
                <w:color w:val="000000" w:themeColor="text1"/>
                <w14:textFill>
                  <w14:solidFill>
                    <w14:schemeClr w14:val="tx1"/>
                  </w14:solidFill>
                </w14:textFill>
              </w:rPr>
            </w:pPr>
          </w:p>
        </w:tc>
      </w:tr>
      <w:bookmarkEnd w:id="383"/>
    </w:tbl>
    <w:p w14:paraId="0425E39B">
      <w:pPr>
        <w:pStyle w:val="120"/>
        <w:rPr>
          <w:rFonts w:hint="eastAsia"/>
          <w:color w:val="000000" w:themeColor="text1"/>
          <w14:textFill>
            <w14:solidFill>
              <w14:schemeClr w14:val="tx1"/>
            </w14:solidFill>
          </w14:textFill>
        </w:rPr>
      </w:pPr>
      <w:bookmarkStart w:id="386" w:name="_Hlk172999555"/>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监测因子</w:t>
      </w:r>
    </w:p>
    <w:p w14:paraId="3C9951E7">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7、S10监测因子为：pH、砷、镉、六价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土壤盐分含量，共计48项。</w:t>
      </w:r>
    </w:p>
    <w:p w14:paraId="60E7E548">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S11、S12、S13、S14、S15和S16监测因子：pH、镉、汞、砷、铅、总铬、铜、镍、锌、石油烃、六价铬和土壤盐分含量。</w:t>
      </w:r>
    </w:p>
    <w:p w14:paraId="3B53D73E">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其余监测因子：pH、砷、镉、六价铬、铜、铅、汞、镍、石油烃和土壤盐分含量。</w:t>
      </w:r>
    </w:p>
    <w:bookmarkEnd w:id="386"/>
    <w:p w14:paraId="1A75486E">
      <w:pPr>
        <w:pStyle w:val="193"/>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理化性质调查</w:t>
      </w:r>
    </w:p>
    <w:p w14:paraId="206874D0">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S7和S10理化性质调查</w:t>
      </w:r>
      <w:r>
        <w:rPr>
          <w:color w:val="000000" w:themeColor="text1"/>
          <w14:textFill>
            <w14:solidFill>
              <w14:schemeClr w14:val="tx1"/>
            </w14:solidFill>
          </w14:textFill>
        </w:rPr>
        <w:t>包括土壤颜色、</w:t>
      </w:r>
      <w:r>
        <w:rPr>
          <w:rFonts w:hint="eastAsia"/>
          <w:color w:val="000000" w:themeColor="text1"/>
          <w14:textFill>
            <w14:solidFill>
              <w14:schemeClr w14:val="tx1"/>
            </w14:solidFill>
          </w14:textFill>
        </w:rPr>
        <w:t>土壤</w:t>
      </w:r>
      <w:r>
        <w:rPr>
          <w:color w:val="000000" w:themeColor="text1"/>
          <w14:textFill>
            <w14:solidFill>
              <w14:schemeClr w14:val="tx1"/>
            </w14:solidFill>
          </w14:textFill>
        </w:rPr>
        <w:t>结构、土壤质地、</w:t>
      </w:r>
      <w:r>
        <w:rPr>
          <w:rFonts w:hint="eastAsia"/>
          <w:color w:val="000000" w:themeColor="text1"/>
          <w14:textFill>
            <w14:solidFill>
              <w14:schemeClr w14:val="tx1"/>
            </w14:solidFill>
          </w14:textFill>
        </w:rPr>
        <w:t>砂砾含量、</w:t>
      </w:r>
      <w:r>
        <w:rPr>
          <w:color w:val="000000" w:themeColor="text1"/>
          <w14:textFill>
            <w14:solidFill>
              <w14:schemeClr w14:val="tx1"/>
            </w14:solidFill>
          </w14:textFill>
        </w:rPr>
        <w:t>阳离子交换量、氧化还原电位、饱和导水率、土壤容重、孔隙度。</w:t>
      </w:r>
    </w:p>
    <w:p w14:paraId="625602A9">
      <w:pPr>
        <w:pStyle w:val="12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监测单位及监测时间</w:t>
      </w:r>
    </w:p>
    <w:p w14:paraId="18B108F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采样时间：2026年02月07日～2026年02月08日。</w:t>
      </w:r>
    </w:p>
    <w:p w14:paraId="5AB14045">
      <w:pPr>
        <w:pStyle w:val="12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监测单位：新疆壹诺环保科技有限公司。</w:t>
      </w:r>
    </w:p>
    <w:p w14:paraId="5CFB89C8">
      <w:pPr>
        <w:pStyle w:val="12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5</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评价标准</w:t>
      </w:r>
    </w:p>
    <w:p w14:paraId="38E19B05">
      <w:pPr>
        <w:pStyle w:val="120"/>
        <w:rPr>
          <w:rFonts w:hint="eastAsia"/>
          <w:color w:val="000000" w:themeColor="text1"/>
          <w14:textFill>
            <w14:solidFill>
              <w14:schemeClr w14:val="tx1"/>
            </w14:solidFill>
          </w14:textFill>
        </w:rPr>
      </w:pPr>
      <w:bookmarkStart w:id="387" w:name="_Hlk171273041"/>
      <w:r>
        <w:rPr>
          <w:rFonts w:hint="eastAsia"/>
          <w:color w:val="000000" w:themeColor="text1"/>
          <w14:textFill>
            <w14:solidFill>
              <w14:schemeClr w14:val="tx1"/>
            </w14:solidFill>
          </w14:textFill>
        </w:rPr>
        <w:t>占地范围内土壤各监测因子和占地范围外石油烃执行</w:t>
      </w:r>
      <w:bookmarkStart w:id="388" w:name="OLE_LINK36"/>
      <w:r>
        <w:rPr>
          <w:rFonts w:hint="eastAsia"/>
          <w:color w:val="000000" w:themeColor="text1"/>
          <w14:textFill>
            <w14:solidFill>
              <w14:schemeClr w14:val="tx1"/>
            </w14:solidFill>
          </w14:textFill>
        </w:rPr>
        <w:t>《土壤环境质量  建设用地土壤污染风险管控标准（试行）》（GB36600-2018）中第二类用地筛选值要求</w:t>
      </w:r>
      <w:bookmarkEnd w:id="388"/>
      <w:r>
        <w:rPr>
          <w:rFonts w:hint="eastAsia"/>
          <w:color w:val="000000" w:themeColor="text1"/>
          <w14:textFill>
            <w14:solidFill>
              <w14:schemeClr w14:val="tx1"/>
            </w14:solidFill>
          </w14:textFill>
        </w:rPr>
        <w:t>，占地范围外其余监测因子执行《土壤环境质量 农用地土壤污染风险管控标准（试行）》（GB15618-2018）。</w:t>
      </w:r>
    </w:p>
    <w:bookmarkEnd w:id="387"/>
    <w:p w14:paraId="4204CEB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⑥评价方法</w:t>
      </w:r>
    </w:p>
    <w:p w14:paraId="4D7BB373">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采用单因子</w:t>
      </w:r>
      <w:r>
        <w:rPr>
          <w:rFonts w:hint="eastAsia"/>
          <w:color w:val="000000" w:themeColor="text1"/>
          <w14:textFill>
            <w14:solidFill>
              <w14:schemeClr w14:val="tx1"/>
            </w14:solidFill>
          </w14:textFill>
        </w:rPr>
        <w:t>标准</w:t>
      </w:r>
      <w:r>
        <w:rPr>
          <w:color w:val="000000" w:themeColor="text1"/>
          <w14:textFill>
            <w14:solidFill>
              <w14:schemeClr w14:val="tx1"/>
            </w14:solidFill>
          </w14:textFill>
        </w:rPr>
        <w:t>指数法</w:t>
      </w:r>
      <w:r>
        <w:rPr>
          <w:rFonts w:hint="eastAsia"/>
          <w:color w:val="000000" w:themeColor="text1"/>
          <w14:textFill>
            <w14:solidFill>
              <w14:schemeClr w14:val="tx1"/>
            </w14:solidFill>
          </w14:textFill>
        </w:rPr>
        <w:t>，计算公式为：</w:t>
      </w:r>
    </w:p>
    <w:p w14:paraId="1DA0229D">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object>
          <v:shape id="_x0000_i1030" o:spt="75" type="#_x0000_t75" style="height:21.5pt;width:62.35pt;" o:ole="t" filled="f" coordsize="21600,21600">
            <v:path/>
            <v:fill on="f" focussize="0,0"/>
            <v:stroke/>
            <v:imagedata r:id="rId73" o:title=""/>
            <o:lock v:ext="edit" aspectratio="t"/>
            <w10:wrap type="none"/>
            <w10:anchorlock/>
          </v:shape>
          <o:OLEObject Type="Embed" ProgID="Equation.DSMT4" ShapeID="_x0000_i1030" DrawAspect="Content" ObjectID="_1468075730" r:id="rId72">
            <o:LockedField>false</o:LockedField>
          </o:OLEObject>
        </w:object>
      </w:r>
    </w:p>
    <w:p w14:paraId="235CA0B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rFonts w:hint="eastAsia"/>
          <w:color w:val="000000" w:themeColor="text1"/>
          <w:lang w:val="fr-FR"/>
          <w14:textFill>
            <w14:solidFill>
              <w14:schemeClr w14:val="tx1"/>
            </w14:solidFill>
          </w14:textFill>
        </w:rPr>
        <w:t>：</w:t>
      </w:r>
      <w:r>
        <w:rPr>
          <w:color w:val="000000" w:themeColor="text1"/>
          <w14:textFill>
            <w14:solidFill>
              <w14:schemeClr w14:val="tx1"/>
            </w14:solidFill>
          </w14:textFill>
        </w:rPr>
        <w:drawing>
          <wp:inline distT="0" distB="0" distL="0" distR="0">
            <wp:extent cx="229870" cy="252730"/>
            <wp:effectExtent l="0" t="0" r="0" b="0"/>
            <wp:docPr id="2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29870" cy="252730"/>
                    </a:xfrm>
                    <a:prstGeom prst="rect">
                      <a:avLst/>
                    </a:prstGeom>
                    <a:noFill/>
                    <a:ln>
                      <a:noFill/>
                    </a:ln>
                  </pic:spPr>
                </pic:pic>
              </a:graphicData>
            </a:graphic>
          </wp:inline>
        </w:drawing>
      </w:r>
      <w:r>
        <w:rPr>
          <w:rFonts w:hint="eastAsia"/>
          <w:color w:val="000000" w:themeColor="text1"/>
          <w14:textFill>
            <w14:solidFill>
              <w14:schemeClr w14:val="tx1"/>
            </w14:solidFill>
          </w14:textFill>
        </w:rPr>
        <w:t>—单项土壤参数i在j点的标准指数；</w:t>
      </w:r>
    </w:p>
    <w:p w14:paraId="338EC22F">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52730" cy="252730"/>
            <wp:effectExtent l="0" t="0" r="0" b="0"/>
            <wp:docPr id="3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52730" cy="252730"/>
                    </a:xfrm>
                    <a:prstGeom prst="rect">
                      <a:avLst/>
                    </a:prstGeom>
                    <a:noFill/>
                    <a:ln>
                      <a:noFill/>
                    </a:ln>
                  </pic:spPr>
                </pic:pic>
              </a:graphicData>
            </a:graphic>
          </wp:inline>
        </w:drawing>
      </w:r>
      <w:r>
        <w:rPr>
          <w:rFonts w:hint="eastAsia"/>
          <w:color w:val="000000" w:themeColor="text1"/>
          <w14:textFill>
            <w14:solidFill>
              <w14:schemeClr w14:val="tx1"/>
            </w14:solidFill>
          </w14:textFill>
        </w:rPr>
        <w:t>—土壤参数i在j点的监测浓度，mg/</w:t>
      </w:r>
      <w:r>
        <w:rPr>
          <w:color w:val="000000" w:themeColor="text1"/>
          <w14:textFill>
            <w14:solidFill>
              <w14:schemeClr w14:val="tx1"/>
            </w14:solidFill>
          </w14:textFill>
        </w:rPr>
        <w:t>L</w:t>
      </w:r>
      <w:r>
        <w:rPr>
          <w:rFonts w:hint="eastAsia"/>
          <w:color w:val="000000" w:themeColor="text1"/>
          <w14:textFill>
            <w14:solidFill>
              <w14:schemeClr w14:val="tx1"/>
            </w14:solidFill>
          </w14:textFill>
        </w:rPr>
        <w:t>；</w:t>
      </w:r>
    </w:p>
    <w:p w14:paraId="06BC4AE9">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3360" cy="229870"/>
            <wp:effectExtent l="0" t="0" r="0" b="0"/>
            <wp:docPr id="3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13360" cy="229870"/>
                    </a:xfrm>
                    <a:prstGeom prst="rect">
                      <a:avLst/>
                    </a:prstGeom>
                    <a:noFill/>
                    <a:ln>
                      <a:noFill/>
                    </a:ln>
                  </pic:spPr>
                </pic:pic>
              </a:graphicData>
            </a:graphic>
          </wp:inline>
        </w:drawing>
      </w:r>
      <w:r>
        <w:rPr>
          <w:rFonts w:hint="eastAsia"/>
          <w:color w:val="000000" w:themeColor="text1"/>
          <w14:textFill>
            <w14:solidFill>
              <w14:schemeClr w14:val="tx1"/>
            </w14:solidFill>
          </w14:textFill>
        </w:rPr>
        <w:t>—土壤参数i的土壤环境</w:t>
      </w:r>
      <w:r>
        <w:rPr>
          <w:color w:val="000000" w:themeColor="text1"/>
          <w14:textFill>
            <w14:solidFill>
              <w14:schemeClr w14:val="tx1"/>
            </w14:solidFill>
          </w14:textFill>
        </w:rPr>
        <w:t>质量标准</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L</w:t>
      </w:r>
      <w:r>
        <w:rPr>
          <w:rFonts w:hint="eastAsia"/>
          <w:color w:val="000000" w:themeColor="text1"/>
          <w14:textFill>
            <w14:solidFill>
              <w14:schemeClr w14:val="tx1"/>
            </w14:solidFill>
          </w14:textFill>
        </w:rPr>
        <w:t>。</w:t>
      </w:r>
    </w:p>
    <w:p w14:paraId="00928B3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⑦评价结果</w:t>
      </w:r>
    </w:p>
    <w:p w14:paraId="10F363C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土壤监测及评价结果见表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-11、表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2和表4.3-13，理化性质调查见表4</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4。</w:t>
      </w:r>
    </w:p>
    <w:p w14:paraId="64484008">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挥发性半挥发性监测因子监测结果及评价结果一览表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32"/>
        <w:gridCol w:w="1695"/>
        <w:gridCol w:w="1276"/>
        <w:gridCol w:w="1179"/>
        <w:gridCol w:w="946"/>
        <w:gridCol w:w="711"/>
        <w:gridCol w:w="1138"/>
        <w:gridCol w:w="705"/>
        <w:gridCol w:w="648"/>
      </w:tblGrid>
      <w:tr w14:paraId="2DC40C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47" w:type="pct"/>
            <w:vMerge w:val="restart"/>
            <w:vAlign w:val="center"/>
          </w:tcPr>
          <w:p w14:paraId="42CD5D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971" w:type="pct"/>
            <w:vMerge w:val="restart"/>
            <w:vAlign w:val="center"/>
          </w:tcPr>
          <w:p w14:paraId="5B911FB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731" w:type="pct"/>
            <w:vMerge w:val="restart"/>
            <w:vAlign w:val="center"/>
          </w:tcPr>
          <w:p w14:paraId="697B122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标准限值（mg/kg）</w:t>
            </w:r>
          </w:p>
        </w:tc>
        <w:tc>
          <w:tcPr>
            <w:tcW w:w="1624" w:type="pct"/>
            <w:gridSpan w:val="3"/>
            <w:vAlign w:val="center"/>
          </w:tcPr>
          <w:p w14:paraId="3173B4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S7</w:t>
            </w:r>
          </w:p>
        </w:tc>
        <w:tc>
          <w:tcPr>
            <w:tcW w:w="1427" w:type="pct"/>
            <w:gridSpan w:val="3"/>
            <w:vAlign w:val="center"/>
          </w:tcPr>
          <w:p w14:paraId="3ED9349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S10</w:t>
            </w:r>
          </w:p>
        </w:tc>
      </w:tr>
      <w:tr w14:paraId="1AFF8B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47" w:type="pct"/>
            <w:vMerge w:val="continue"/>
            <w:vAlign w:val="center"/>
          </w:tcPr>
          <w:p w14:paraId="551E986E">
            <w:pPr>
              <w:pStyle w:val="210"/>
              <w:rPr>
                <w:rFonts w:hint="eastAsia"/>
                <w:color w:val="000000" w:themeColor="text1"/>
                <w14:textFill>
                  <w14:solidFill>
                    <w14:schemeClr w14:val="tx1"/>
                  </w14:solidFill>
                </w14:textFill>
              </w:rPr>
            </w:pPr>
          </w:p>
        </w:tc>
        <w:tc>
          <w:tcPr>
            <w:tcW w:w="971" w:type="pct"/>
            <w:vMerge w:val="continue"/>
            <w:vAlign w:val="center"/>
          </w:tcPr>
          <w:p w14:paraId="11CA8915">
            <w:pPr>
              <w:pStyle w:val="210"/>
              <w:rPr>
                <w:rFonts w:hint="eastAsia"/>
                <w:color w:val="000000" w:themeColor="text1"/>
                <w14:textFill>
                  <w14:solidFill>
                    <w14:schemeClr w14:val="tx1"/>
                  </w14:solidFill>
                </w14:textFill>
              </w:rPr>
            </w:pPr>
          </w:p>
        </w:tc>
        <w:tc>
          <w:tcPr>
            <w:tcW w:w="731" w:type="pct"/>
            <w:vMerge w:val="continue"/>
            <w:vAlign w:val="center"/>
          </w:tcPr>
          <w:p w14:paraId="21F9AB4B">
            <w:pPr>
              <w:pStyle w:val="210"/>
              <w:rPr>
                <w:rFonts w:hint="eastAsia"/>
                <w:color w:val="000000" w:themeColor="text1"/>
                <w14:textFill>
                  <w14:solidFill>
                    <w14:schemeClr w14:val="tx1"/>
                  </w14:solidFill>
                </w14:textFill>
              </w:rPr>
            </w:pPr>
          </w:p>
        </w:tc>
        <w:tc>
          <w:tcPr>
            <w:tcW w:w="675" w:type="pct"/>
            <w:vAlign w:val="center"/>
          </w:tcPr>
          <w:p w14:paraId="022D2C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监测值（mg/kg）</w:t>
            </w:r>
          </w:p>
        </w:tc>
        <w:tc>
          <w:tcPr>
            <w:tcW w:w="542" w:type="pct"/>
            <w:vAlign w:val="center"/>
          </w:tcPr>
          <w:p w14:paraId="1A196B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407" w:type="pct"/>
            <w:vAlign w:val="center"/>
          </w:tcPr>
          <w:p w14:paraId="5C4A8DD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652" w:type="pct"/>
            <w:vAlign w:val="center"/>
          </w:tcPr>
          <w:p w14:paraId="332F67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监测值（mg/kg）</w:t>
            </w:r>
          </w:p>
        </w:tc>
        <w:tc>
          <w:tcPr>
            <w:tcW w:w="404" w:type="pct"/>
            <w:vAlign w:val="center"/>
          </w:tcPr>
          <w:p w14:paraId="3CA99F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371" w:type="pct"/>
            <w:vAlign w:val="center"/>
          </w:tcPr>
          <w:p w14:paraId="526580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0AF0F6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58913E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971" w:type="pct"/>
            <w:vAlign w:val="center"/>
          </w:tcPr>
          <w:p w14:paraId="57085F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四氯化碳</w:t>
            </w:r>
          </w:p>
        </w:tc>
        <w:tc>
          <w:tcPr>
            <w:tcW w:w="731" w:type="pct"/>
            <w:vAlign w:val="center"/>
          </w:tcPr>
          <w:p w14:paraId="7750656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675" w:type="pct"/>
            <w:vAlign w:val="center"/>
          </w:tcPr>
          <w:p w14:paraId="624F457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542" w:type="pct"/>
            <w:vAlign w:val="center"/>
          </w:tcPr>
          <w:p w14:paraId="162985E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5201EEC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F32A45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404" w:type="pct"/>
            <w:vAlign w:val="center"/>
          </w:tcPr>
          <w:p w14:paraId="44D8234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32CD598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49F0E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593401C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971" w:type="pct"/>
            <w:vAlign w:val="center"/>
          </w:tcPr>
          <w:p w14:paraId="3B34C1E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氯仿</w:t>
            </w:r>
          </w:p>
        </w:tc>
        <w:tc>
          <w:tcPr>
            <w:tcW w:w="731" w:type="pct"/>
            <w:vAlign w:val="center"/>
          </w:tcPr>
          <w:p w14:paraId="71FE8A0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0.9</w:t>
            </w:r>
          </w:p>
        </w:tc>
        <w:tc>
          <w:tcPr>
            <w:tcW w:w="675" w:type="pct"/>
            <w:vAlign w:val="center"/>
          </w:tcPr>
          <w:p w14:paraId="4D01748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.1L</w:t>
            </w:r>
          </w:p>
        </w:tc>
        <w:tc>
          <w:tcPr>
            <w:tcW w:w="542" w:type="pct"/>
            <w:vAlign w:val="center"/>
          </w:tcPr>
          <w:p w14:paraId="4BE108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1313214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5FF0A9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.1L</w:t>
            </w:r>
          </w:p>
        </w:tc>
        <w:tc>
          <w:tcPr>
            <w:tcW w:w="404" w:type="pct"/>
            <w:vAlign w:val="center"/>
          </w:tcPr>
          <w:p w14:paraId="2E995A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4C21B8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707D5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250AE2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971" w:type="pct"/>
            <w:vAlign w:val="center"/>
          </w:tcPr>
          <w:p w14:paraId="2D9F04C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氯甲烷</w:t>
            </w:r>
          </w:p>
        </w:tc>
        <w:tc>
          <w:tcPr>
            <w:tcW w:w="731" w:type="pct"/>
            <w:vAlign w:val="center"/>
          </w:tcPr>
          <w:p w14:paraId="4887822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37</w:t>
            </w:r>
          </w:p>
        </w:tc>
        <w:tc>
          <w:tcPr>
            <w:tcW w:w="675" w:type="pct"/>
            <w:vAlign w:val="center"/>
          </w:tcPr>
          <w:p w14:paraId="119860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.0L</w:t>
            </w:r>
          </w:p>
        </w:tc>
        <w:tc>
          <w:tcPr>
            <w:tcW w:w="542" w:type="pct"/>
            <w:vAlign w:val="center"/>
          </w:tcPr>
          <w:p w14:paraId="1DC8EA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3FDB357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579F9F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.0L</w:t>
            </w:r>
          </w:p>
        </w:tc>
        <w:tc>
          <w:tcPr>
            <w:tcW w:w="404" w:type="pct"/>
            <w:vAlign w:val="center"/>
          </w:tcPr>
          <w:p w14:paraId="21A786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32D0959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87589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529AC95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971" w:type="pct"/>
            <w:vAlign w:val="center"/>
          </w:tcPr>
          <w:p w14:paraId="172BF31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1,1-二氯乙烷</w:t>
            </w:r>
          </w:p>
        </w:tc>
        <w:tc>
          <w:tcPr>
            <w:tcW w:w="731" w:type="pct"/>
            <w:vAlign w:val="center"/>
          </w:tcPr>
          <w:p w14:paraId="0C1A82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675" w:type="pct"/>
            <w:vAlign w:val="center"/>
          </w:tcPr>
          <w:p w14:paraId="701959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1781D77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6B3414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47F3E67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72DC2B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036F860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8619D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0037D76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971" w:type="pct"/>
            <w:vAlign w:val="center"/>
          </w:tcPr>
          <w:p w14:paraId="794E7F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1,2-二氯乙烷</w:t>
            </w:r>
          </w:p>
        </w:tc>
        <w:tc>
          <w:tcPr>
            <w:tcW w:w="731" w:type="pct"/>
            <w:vAlign w:val="center"/>
          </w:tcPr>
          <w:p w14:paraId="536FD5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75" w:type="pct"/>
            <w:vAlign w:val="center"/>
          </w:tcPr>
          <w:p w14:paraId="0450277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542" w:type="pct"/>
            <w:vAlign w:val="center"/>
          </w:tcPr>
          <w:p w14:paraId="12059C0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7C3E7B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04092D2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404" w:type="pct"/>
            <w:vAlign w:val="center"/>
          </w:tcPr>
          <w:p w14:paraId="6F15A13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2BD6540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24408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33F6641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971" w:type="pct"/>
            <w:vAlign w:val="center"/>
          </w:tcPr>
          <w:p w14:paraId="0E6A08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1,1-二氯乙烯</w:t>
            </w:r>
          </w:p>
        </w:tc>
        <w:tc>
          <w:tcPr>
            <w:tcW w:w="731" w:type="pct"/>
            <w:vAlign w:val="center"/>
          </w:tcPr>
          <w:p w14:paraId="14C536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66</w:t>
            </w:r>
          </w:p>
        </w:tc>
        <w:tc>
          <w:tcPr>
            <w:tcW w:w="675" w:type="pct"/>
            <w:vAlign w:val="center"/>
          </w:tcPr>
          <w:p w14:paraId="6CC3901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1.0L</w:t>
            </w:r>
          </w:p>
        </w:tc>
        <w:tc>
          <w:tcPr>
            <w:tcW w:w="542" w:type="pct"/>
            <w:vAlign w:val="center"/>
          </w:tcPr>
          <w:p w14:paraId="257B70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0BA9669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7CD22EF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1.0L</w:t>
            </w:r>
          </w:p>
        </w:tc>
        <w:tc>
          <w:tcPr>
            <w:tcW w:w="404" w:type="pct"/>
            <w:vAlign w:val="center"/>
          </w:tcPr>
          <w:p w14:paraId="2660675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5B6A26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A2B3F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5715BF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971" w:type="pct"/>
            <w:vAlign w:val="center"/>
          </w:tcPr>
          <w:p w14:paraId="78687B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顺-1,2-二氯乙烯</w:t>
            </w:r>
          </w:p>
        </w:tc>
        <w:tc>
          <w:tcPr>
            <w:tcW w:w="731" w:type="pct"/>
            <w:vAlign w:val="center"/>
          </w:tcPr>
          <w:p w14:paraId="5B526F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596</w:t>
            </w:r>
          </w:p>
        </w:tc>
        <w:tc>
          <w:tcPr>
            <w:tcW w:w="675" w:type="pct"/>
            <w:vAlign w:val="center"/>
          </w:tcPr>
          <w:p w14:paraId="0495795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542" w:type="pct"/>
            <w:vAlign w:val="center"/>
          </w:tcPr>
          <w:p w14:paraId="755D6D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1C493D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40C3088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404" w:type="pct"/>
            <w:vAlign w:val="center"/>
          </w:tcPr>
          <w:p w14:paraId="152BC9D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4BE9FA1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75DCA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182796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971" w:type="pct"/>
            <w:vAlign w:val="center"/>
          </w:tcPr>
          <w:p w14:paraId="41C89B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反-1,2-二氯乙烯</w:t>
            </w:r>
          </w:p>
        </w:tc>
        <w:tc>
          <w:tcPr>
            <w:tcW w:w="731" w:type="pct"/>
            <w:vAlign w:val="center"/>
          </w:tcPr>
          <w:p w14:paraId="47FED7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54</w:t>
            </w:r>
          </w:p>
        </w:tc>
        <w:tc>
          <w:tcPr>
            <w:tcW w:w="675" w:type="pct"/>
            <w:vAlign w:val="center"/>
          </w:tcPr>
          <w:p w14:paraId="169840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.4L</w:t>
            </w:r>
          </w:p>
        </w:tc>
        <w:tc>
          <w:tcPr>
            <w:tcW w:w="542" w:type="pct"/>
            <w:vAlign w:val="center"/>
          </w:tcPr>
          <w:p w14:paraId="69F91AA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147F8F9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7CB5874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.4L</w:t>
            </w:r>
          </w:p>
        </w:tc>
        <w:tc>
          <w:tcPr>
            <w:tcW w:w="404" w:type="pct"/>
            <w:vAlign w:val="center"/>
          </w:tcPr>
          <w:p w14:paraId="5B13715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13EF88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85172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141E07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971" w:type="pct"/>
            <w:vAlign w:val="center"/>
          </w:tcPr>
          <w:p w14:paraId="5F1A65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二氯甲烷</w:t>
            </w:r>
          </w:p>
        </w:tc>
        <w:tc>
          <w:tcPr>
            <w:tcW w:w="731" w:type="pct"/>
            <w:vAlign w:val="center"/>
          </w:tcPr>
          <w:p w14:paraId="12A9231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616</w:t>
            </w:r>
          </w:p>
        </w:tc>
        <w:tc>
          <w:tcPr>
            <w:tcW w:w="675" w:type="pct"/>
            <w:vAlign w:val="center"/>
          </w:tcPr>
          <w:p w14:paraId="7DB3900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.5L</w:t>
            </w:r>
          </w:p>
        </w:tc>
        <w:tc>
          <w:tcPr>
            <w:tcW w:w="542" w:type="pct"/>
            <w:vAlign w:val="center"/>
          </w:tcPr>
          <w:p w14:paraId="6CA94D9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3613374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1A3BB3D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.5L</w:t>
            </w:r>
          </w:p>
        </w:tc>
        <w:tc>
          <w:tcPr>
            <w:tcW w:w="404" w:type="pct"/>
            <w:vAlign w:val="center"/>
          </w:tcPr>
          <w:p w14:paraId="7F7044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10F2A93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E87E6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779DA1D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971" w:type="pct"/>
            <w:vAlign w:val="center"/>
          </w:tcPr>
          <w:p w14:paraId="7556B4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1,2-二氯丙烷</w:t>
            </w:r>
          </w:p>
        </w:tc>
        <w:tc>
          <w:tcPr>
            <w:tcW w:w="731" w:type="pct"/>
            <w:vAlign w:val="center"/>
          </w:tcPr>
          <w:p w14:paraId="1A59AA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75" w:type="pct"/>
            <w:vAlign w:val="center"/>
          </w:tcPr>
          <w:p w14:paraId="7CF7F7F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.1L</w:t>
            </w:r>
          </w:p>
        </w:tc>
        <w:tc>
          <w:tcPr>
            <w:tcW w:w="542" w:type="pct"/>
            <w:vAlign w:val="center"/>
          </w:tcPr>
          <w:p w14:paraId="4FEFA5E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37BB6D9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C685D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.1L</w:t>
            </w:r>
          </w:p>
        </w:tc>
        <w:tc>
          <w:tcPr>
            <w:tcW w:w="404" w:type="pct"/>
            <w:vAlign w:val="center"/>
          </w:tcPr>
          <w:p w14:paraId="3ADD85B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5F5EAF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210DE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4E975A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971" w:type="pct"/>
            <w:vAlign w:val="center"/>
          </w:tcPr>
          <w:p w14:paraId="1F6CDD7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1,1,1,2-四氯乙烷</w:t>
            </w:r>
          </w:p>
        </w:tc>
        <w:tc>
          <w:tcPr>
            <w:tcW w:w="731" w:type="pct"/>
            <w:vAlign w:val="center"/>
          </w:tcPr>
          <w:p w14:paraId="2E786D1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675" w:type="pct"/>
            <w:vAlign w:val="center"/>
          </w:tcPr>
          <w:p w14:paraId="5CFD6C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012951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2934FB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70AD7D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4AC411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5EE8BF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E4073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7C368AB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971" w:type="pct"/>
            <w:vAlign w:val="center"/>
          </w:tcPr>
          <w:p w14:paraId="53751B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1,1,2,2-四氯乙烷</w:t>
            </w:r>
          </w:p>
        </w:tc>
        <w:tc>
          <w:tcPr>
            <w:tcW w:w="731" w:type="pct"/>
            <w:vAlign w:val="center"/>
          </w:tcPr>
          <w:p w14:paraId="4E9A8F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6.8</w:t>
            </w:r>
          </w:p>
        </w:tc>
        <w:tc>
          <w:tcPr>
            <w:tcW w:w="675" w:type="pct"/>
            <w:vAlign w:val="center"/>
          </w:tcPr>
          <w:p w14:paraId="1A6D847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768088C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3C0CEEB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572E14C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1DE008A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36B80F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A9B83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19A7EE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971" w:type="pct"/>
            <w:vAlign w:val="center"/>
          </w:tcPr>
          <w:p w14:paraId="5A78221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四氯乙烯</w:t>
            </w:r>
          </w:p>
        </w:tc>
        <w:tc>
          <w:tcPr>
            <w:tcW w:w="731" w:type="pct"/>
            <w:vAlign w:val="center"/>
          </w:tcPr>
          <w:p w14:paraId="4DC1B2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53</w:t>
            </w:r>
          </w:p>
        </w:tc>
        <w:tc>
          <w:tcPr>
            <w:tcW w:w="675" w:type="pct"/>
            <w:vAlign w:val="center"/>
          </w:tcPr>
          <w:p w14:paraId="1AF88E1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.4L</w:t>
            </w:r>
          </w:p>
        </w:tc>
        <w:tc>
          <w:tcPr>
            <w:tcW w:w="542" w:type="pct"/>
            <w:vAlign w:val="center"/>
          </w:tcPr>
          <w:p w14:paraId="4C6F40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62F901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05C2F4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.4L</w:t>
            </w:r>
          </w:p>
        </w:tc>
        <w:tc>
          <w:tcPr>
            <w:tcW w:w="404" w:type="pct"/>
            <w:vAlign w:val="center"/>
          </w:tcPr>
          <w:p w14:paraId="2333BFC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13518D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D0D0E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7B1A70E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971" w:type="pct"/>
            <w:vAlign w:val="center"/>
          </w:tcPr>
          <w:p w14:paraId="40696B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1,1,1-三氯乙烷</w:t>
            </w:r>
          </w:p>
        </w:tc>
        <w:tc>
          <w:tcPr>
            <w:tcW w:w="731" w:type="pct"/>
            <w:vAlign w:val="center"/>
          </w:tcPr>
          <w:p w14:paraId="275DB3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840</w:t>
            </w:r>
          </w:p>
        </w:tc>
        <w:tc>
          <w:tcPr>
            <w:tcW w:w="675" w:type="pct"/>
            <w:vAlign w:val="center"/>
          </w:tcPr>
          <w:p w14:paraId="50B7024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542" w:type="pct"/>
            <w:vAlign w:val="center"/>
          </w:tcPr>
          <w:p w14:paraId="17E026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0D20B80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3B4005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404" w:type="pct"/>
            <w:vAlign w:val="center"/>
          </w:tcPr>
          <w:p w14:paraId="2212C6F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4567E0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A0EB6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38E9828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971" w:type="pct"/>
            <w:vAlign w:val="center"/>
          </w:tcPr>
          <w:p w14:paraId="71421D0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1,1,2-三氯乙烷</w:t>
            </w:r>
          </w:p>
        </w:tc>
        <w:tc>
          <w:tcPr>
            <w:tcW w:w="731" w:type="pct"/>
            <w:vAlign w:val="center"/>
          </w:tcPr>
          <w:p w14:paraId="105FC20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675" w:type="pct"/>
            <w:vAlign w:val="center"/>
          </w:tcPr>
          <w:p w14:paraId="44A23F9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1F6F13B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03536D3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329140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09531C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547CFD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8B78F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0189023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971" w:type="pct"/>
            <w:vAlign w:val="center"/>
          </w:tcPr>
          <w:p w14:paraId="0027B77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三氯乙烯</w:t>
            </w:r>
          </w:p>
        </w:tc>
        <w:tc>
          <w:tcPr>
            <w:tcW w:w="731" w:type="pct"/>
            <w:vAlign w:val="center"/>
          </w:tcPr>
          <w:p w14:paraId="0EB68A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675" w:type="pct"/>
            <w:vAlign w:val="center"/>
          </w:tcPr>
          <w:p w14:paraId="0BEF2B2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7156CA3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2998540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53DD80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738CA3B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7572306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6D9FE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7506F2E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971" w:type="pct"/>
            <w:vAlign w:val="center"/>
          </w:tcPr>
          <w:p w14:paraId="26A0CC9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1,2,3-三氯丙烷</w:t>
            </w:r>
          </w:p>
        </w:tc>
        <w:tc>
          <w:tcPr>
            <w:tcW w:w="731" w:type="pct"/>
            <w:vAlign w:val="center"/>
          </w:tcPr>
          <w:p w14:paraId="01D502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675" w:type="pct"/>
            <w:vAlign w:val="center"/>
          </w:tcPr>
          <w:p w14:paraId="63D2FBE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3015F0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54BF43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488A0B2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72DBBD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72F25C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63391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03FB36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w:t>
            </w:r>
          </w:p>
        </w:tc>
        <w:tc>
          <w:tcPr>
            <w:tcW w:w="971" w:type="pct"/>
            <w:vAlign w:val="center"/>
          </w:tcPr>
          <w:p w14:paraId="575B9D7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氯乙烯</w:t>
            </w:r>
          </w:p>
        </w:tc>
        <w:tc>
          <w:tcPr>
            <w:tcW w:w="731" w:type="pct"/>
            <w:vAlign w:val="center"/>
          </w:tcPr>
          <w:p w14:paraId="70B4D4F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0.43</w:t>
            </w:r>
          </w:p>
        </w:tc>
        <w:tc>
          <w:tcPr>
            <w:tcW w:w="675" w:type="pct"/>
            <w:vAlign w:val="center"/>
          </w:tcPr>
          <w:p w14:paraId="645BEA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.0L</w:t>
            </w:r>
          </w:p>
        </w:tc>
        <w:tc>
          <w:tcPr>
            <w:tcW w:w="542" w:type="pct"/>
            <w:vAlign w:val="center"/>
          </w:tcPr>
          <w:p w14:paraId="353806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4169D23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13B28FD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.0L</w:t>
            </w:r>
          </w:p>
        </w:tc>
        <w:tc>
          <w:tcPr>
            <w:tcW w:w="404" w:type="pct"/>
            <w:vAlign w:val="center"/>
          </w:tcPr>
          <w:p w14:paraId="444477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11AB5DA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75470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335635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w:t>
            </w:r>
          </w:p>
        </w:tc>
        <w:tc>
          <w:tcPr>
            <w:tcW w:w="971" w:type="pct"/>
            <w:vAlign w:val="center"/>
          </w:tcPr>
          <w:p w14:paraId="0D5735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w:t>
            </w:r>
          </w:p>
        </w:tc>
        <w:tc>
          <w:tcPr>
            <w:tcW w:w="731" w:type="pct"/>
            <w:vAlign w:val="center"/>
          </w:tcPr>
          <w:p w14:paraId="659AF4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75" w:type="pct"/>
            <w:vAlign w:val="center"/>
          </w:tcPr>
          <w:p w14:paraId="04A12A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.9L</w:t>
            </w:r>
          </w:p>
        </w:tc>
        <w:tc>
          <w:tcPr>
            <w:tcW w:w="542" w:type="pct"/>
            <w:vAlign w:val="center"/>
          </w:tcPr>
          <w:p w14:paraId="35E0F19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11A00B7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43E57C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.9L</w:t>
            </w:r>
          </w:p>
        </w:tc>
        <w:tc>
          <w:tcPr>
            <w:tcW w:w="404" w:type="pct"/>
            <w:vAlign w:val="center"/>
          </w:tcPr>
          <w:p w14:paraId="55EBB5A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4EA4E79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BDC1D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6D7F15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971" w:type="pct"/>
            <w:vAlign w:val="center"/>
          </w:tcPr>
          <w:p w14:paraId="3F70E0B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氯苯</w:t>
            </w:r>
          </w:p>
        </w:tc>
        <w:tc>
          <w:tcPr>
            <w:tcW w:w="731" w:type="pct"/>
            <w:vAlign w:val="center"/>
          </w:tcPr>
          <w:p w14:paraId="686A11E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270</w:t>
            </w:r>
          </w:p>
        </w:tc>
        <w:tc>
          <w:tcPr>
            <w:tcW w:w="675" w:type="pct"/>
            <w:vAlign w:val="center"/>
          </w:tcPr>
          <w:p w14:paraId="483E2FC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14BAA8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57D56E6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31F82B8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18AA74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5E46C4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9CD7F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266C93A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w:t>
            </w:r>
          </w:p>
        </w:tc>
        <w:tc>
          <w:tcPr>
            <w:tcW w:w="971" w:type="pct"/>
            <w:vAlign w:val="center"/>
          </w:tcPr>
          <w:p w14:paraId="2E6A356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1,2-二氯苯</w:t>
            </w:r>
          </w:p>
        </w:tc>
        <w:tc>
          <w:tcPr>
            <w:tcW w:w="731" w:type="pct"/>
            <w:vAlign w:val="center"/>
          </w:tcPr>
          <w:p w14:paraId="3B8F9D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560</w:t>
            </w:r>
          </w:p>
        </w:tc>
        <w:tc>
          <w:tcPr>
            <w:tcW w:w="675" w:type="pct"/>
            <w:vAlign w:val="center"/>
          </w:tcPr>
          <w:p w14:paraId="0F91F6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.5L</w:t>
            </w:r>
          </w:p>
        </w:tc>
        <w:tc>
          <w:tcPr>
            <w:tcW w:w="542" w:type="pct"/>
            <w:vAlign w:val="center"/>
          </w:tcPr>
          <w:p w14:paraId="6DB5E4E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761C126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DFA6C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.5L</w:t>
            </w:r>
          </w:p>
        </w:tc>
        <w:tc>
          <w:tcPr>
            <w:tcW w:w="404" w:type="pct"/>
            <w:vAlign w:val="center"/>
          </w:tcPr>
          <w:p w14:paraId="7B1F8E2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049D839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0F535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4BAA274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971" w:type="pct"/>
            <w:vAlign w:val="center"/>
          </w:tcPr>
          <w:p w14:paraId="59B1189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1,4二氯苯</w:t>
            </w:r>
          </w:p>
        </w:tc>
        <w:tc>
          <w:tcPr>
            <w:tcW w:w="731" w:type="pct"/>
            <w:vAlign w:val="center"/>
          </w:tcPr>
          <w:p w14:paraId="7A0A59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675" w:type="pct"/>
            <w:vAlign w:val="center"/>
          </w:tcPr>
          <w:p w14:paraId="7A088C3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.5L</w:t>
            </w:r>
          </w:p>
        </w:tc>
        <w:tc>
          <w:tcPr>
            <w:tcW w:w="542" w:type="pct"/>
            <w:vAlign w:val="center"/>
          </w:tcPr>
          <w:p w14:paraId="34F7F1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26EA15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7D4F02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.5L</w:t>
            </w:r>
          </w:p>
        </w:tc>
        <w:tc>
          <w:tcPr>
            <w:tcW w:w="404" w:type="pct"/>
            <w:vAlign w:val="center"/>
          </w:tcPr>
          <w:p w14:paraId="5B22314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49C9E22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AB8EA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3A001EF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971" w:type="pct"/>
            <w:vAlign w:val="center"/>
          </w:tcPr>
          <w:p w14:paraId="31B1BA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乙苯</w:t>
            </w:r>
          </w:p>
        </w:tc>
        <w:tc>
          <w:tcPr>
            <w:tcW w:w="731" w:type="pct"/>
            <w:vAlign w:val="center"/>
          </w:tcPr>
          <w:p w14:paraId="0A567F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675" w:type="pct"/>
            <w:vAlign w:val="center"/>
          </w:tcPr>
          <w:p w14:paraId="335579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712EAA6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264B1D3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AAC6F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3444BEC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4C58837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5FFB2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231036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971" w:type="pct"/>
            <w:vAlign w:val="center"/>
          </w:tcPr>
          <w:p w14:paraId="3FF79C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苯乙烯</w:t>
            </w:r>
          </w:p>
        </w:tc>
        <w:tc>
          <w:tcPr>
            <w:tcW w:w="731" w:type="pct"/>
            <w:vAlign w:val="center"/>
          </w:tcPr>
          <w:p w14:paraId="1949D7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1290</w:t>
            </w:r>
          </w:p>
        </w:tc>
        <w:tc>
          <w:tcPr>
            <w:tcW w:w="675" w:type="pct"/>
            <w:vAlign w:val="center"/>
          </w:tcPr>
          <w:p w14:paraId="40D578F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.1L</w:t>
            </w:r>
          </w:p>
        </w:tc>
        <w:tc>
          <w:tcPr>
            <w:tcW w:w="542" w:type="pct"/>
            <w:vAlign w:val="center"/>
          </w:tcPr>
          <w:p w14:paraId="588E8D5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6FD06A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99AC5D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.1L</w:t>
            </w:r>
          </w:p>
        </w:tc>
        <w:tc>
          <w:tcPr>
            <w:tcW w:w="404" w:type="pct"/>
            <w:vAlign w:val="center"/>
          </w:tcPr>
          <w:p w14:paraId="31A4E7E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1E60789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CFB27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6D67B4D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971" w:type="pct"/>
            <w:vAlign w:val="center"/>
          </w:tcPr>
          <w:p w14:paraId="3E92AF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甲苯</w:t>
            </w:r>
          </w:p>
        </w:tc>
        <w:tc>
          <w:tcPr>
            <w:tcW w:w="731" w:type="pct"/>
            <w:vAlign w:val="center"/>
          </w:tcPr>
          <w:p w14:paraId="1C6CF90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1200</w:t>
            </w:r>
          </w:p>
        </w:tc>
        <w:tc>
          <w:tcPr>
            <w:tcW w:w="675" w:type="pct"/>
            <w:vAlign w:val="center"/>
          </w:tcPr>
          <w:p w14:paraId="1B9AFFD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542" w:type="pct"/>
            <w:vAlign w:val="center"/>
          </w:tcPr>
          <w:p w14:paraId="2456146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155994D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8AF41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.3L</w:t>
            </w:r>
          </w:p>
        </w:tc>
        <w:tc>
          <w:tcPr>
            <w:tcW w:w="404" w:type="pct"/>
            <w:vAlign w:val="center"/>
          </w:tcPr>
          <w:p w14:paraId="6673F6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09CA32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69F6C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3A3498A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971" w:type="pct"/>
            <w:vAlign w:val="center"/>
          </w:tcPr>
          <w:p w14:paraId="0ED1434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间二甲苯+对二甲苯</w:t>
            </w:r>
          </w:p>
        </w:tc>
        <w:tc>
          <w:tcPr>
            <w:tcW w:w="731" w:type="pct"/>
            <w:vAlign w:val="center"/>
          </w:tcPr>
          <w:p w14:paraId="0D0F5B0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570</w:t>
            </w:r>
          </w:p>
        </w:tc>
        <w:tc>
          <w:tcPr>
            <w:tcW w:w="675" w:type="pct"/>
            <w:vAlign w:val="center"/>
          </w:tcPr>
          <w:p w14:paraId="2124F4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21C529E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23E5FE8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496258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5CFAA5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169E01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63B4B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6D1B8F9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971" w:type="pct"/>
            <w:vAlign w:val="center"/>
          </w:tcPr>
          <w:p w14:paraId="556144A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邻二甲苯</w:t>
            </w:r>
          </w:p>
        </w:tc>
        <w:tc>
          <w:tcPr>
            <w:tcW w:w="731" w:type="pct"/>
            <w:vAlign w:val="center"/>
          </w:tcPr>
          <w:p w14:paraId="0F9404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640</w:t>
            </w:r>
          </w:p>
        </w:tc>
        <w:tc>
          <w:tcPr>
            <w:tcW w:w="675" w:type="pct"/>
            <w:vAlign w:val="center"/>
          </w:tcPr>
          <w:p w14:paraId="3C75CFF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542" w:type="pct"/>
            <w:vAlign w:val="center"/>
          </w:tcPr>
          <w:p w14:paraId="0EB745D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27FE20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5B380D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.2L</w:t>
            </w:r>
          </w:p>
        </w:tc>
        <w:tc>
          <w:tcPr>
            <w:tcW w:w="404" w:type="pct"/>
            <w:vAlign w:val="center"/>
          </w:tcPr>
          <w:p w14:paraId="1065D9C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2E600F6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759D4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1BC6248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971" w:type="pct"/>
            <w:vAlign w:val="center"/>
          </w:tcPr>
          <w:p w14:paraId="1B74BD7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硝基苯</w:t>
            </w:r>
          </w:p>
        </w:tc>
        <w:tc>
          <w:tcPr>
            <w:tcW w:w="731" w:type="pct"/>
            <w:vAlign w:val="center"/>
          </w:tcPr>
          <w:p w14:paraId="6895575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76</w:t>
            </w:r>
          </w:p>
        </w:tc>
        <w:tc>
          <w:tcPr>
            <w:tcW w:w="675" w:type="pct"/>
            <w:vAlign w:val="center"/>
          </w:tcPr>
          <w:p w14:paraId="4443BD8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.09L</w:t>
            </w:r>
          </w:p>
        </w:tc>
        <w:tc>
          <w:tcPr>
            <w:tcW w:w="542" w:type="pct"/>
            <w:vAlign w:val="center"/>
          </w:tcPr>
          <w:p w14:paraId="75C9DA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5BC0E1E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11A809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.09L</w:t>
            </w:r>
          </w:p>
        </w:tc>
        <w:tc>
          <w:tcPr>
            <w:tcW w:w="404" w:type="pct"/>
            <w:vAlign w:val="center"/>
          </w:tcPr>
          <w:p w14:paraId="768ED8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610E94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EB0D4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1C2BEC6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w:t>
            </w:r>
          </w:p>
        </w:tc>
        <w:tc>
          <w:tcPr>
            <w:tcW w:w="971" w:type="pct"/>
            <w:vAlign w:val="center"/>
          </w:tcPr>
          <w:p w14:paraId="5C17F8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苯胺</w:t>
            </w:r>
          </w:p>
        </w:tc>
        <w:tc>
          <w:tcPr>
            <w:tcW w:w="731" w:type="pct"/>
            <w:vAlign w:val="center"/>
          </w:tcPr>
          <w:p w14:paraId="1EA1D6A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260</w:t>
            </w:r>
          </w:p>
        </w:tc>
        <w:tc>
          <w:tcPr>
            <w:tcW w:w="675" w:type="pct"/>
            <w:vAlign w:val="center"/>
          </w:tcPr>
          <w:p w14:paraId="41B547F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L</w:t>
            </w:r>
          </w:p>
        </w:tc>
        <w:tc>
          <w:tcPr>
            <w:tcW w:w="542" w:type="pct"/>
            <w:vAlign w:val="center"/>
          </w:tcPr>
          <w:p w14:paraId="6297CE5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74D49F9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1BFC8EC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w:t>
            </w:r>
            <w:r>
              <w:rPr>
                <w:color w:val="000000" w:themeColor="text1"/>
                <w14:textFill>
                  <w14:solidFill>
                    <w14:schemeClr w14:val="tx1"/>
                  </w14:solidFill>
                </w14:textFill>
              </w:rPr>
              <w:t>L</w:t>
            </w:r>
          </w:p>
        </w:tc>
        <w:tc>
          <w:tcPr>
            <w:tcW w:w="404" w:type="pct"/>
            <w:vAlign w:val="center"/>
          </w:tcPr>
          <w:p w14:paraId="42FF01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4BEF197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76A07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50C5DC8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971" w:type="pct"/>
            <w:vAlign w:val="center"/>
          </w:tcPr>
          <w:p w14:paraId="51AA4D9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2-氯酚</w:t>
            </w:r>
          </w:p>
        </w:tc>
        <w:tc>
          <w:tcPr>
            <w:tcW w:w="731" w:type="pct"/>
            <w:vAlign w:val="center"/>
          </w:tcPr>
          <w:p w14:paraId="0D702B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2256</w:t>
            </w:r>
          </w:p>
        </w:tc>
        <w:tc>
          <w:tcPr>
            <w:tcW w:w="675" w:type="pct"/>
            <w:vAlign w:val="center"/>
          </w:tcPr>
          <w:p w14:paraId="233BA85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L</w:t>
            </w:r>
          </w:p>
        </w:tc>
        <w:tc>
          <w:tcPr>
            <w:tcW w:w="542" w:type="pct"/>
            <w:vAlign w:val="center"/>
          </w:tcPr>
          <w:p w14:paraId="42B69F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73176F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650C5E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L</w:t>
            </w:r>
          </w:p>
        </w:tc>
        <w:tc>
          <w:tcPr>
            <w:tcW w:w="404" w:type="pct"/>
            <w:vAlign w:val="center"/>
          </w:tcPr>
          <w:p w14:paraId="268F5C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64E16EF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0A6B4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79A77A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w:t>
            </w:r>
          </w:p>
        </w:tc>
        <w:tc>
          <w:tcPr>
            <w:tcW w:w="971" w:type="pct"/>
            <w:vAlign w:val="center"/>
          </w:tcPr>
          <w:p w14:paraId="2909E29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苯并[a]蒽</w:t>
            </w:r>
          </w:p>
        </w:tc>
        <w:tc>
          <w:tcPr>
            <w:tcW w:w="731" w:type="pct"/>
            <w:vAlign w:val="center"/>
          </w:tcPr>
          <w:p w14:paraId="7B4564C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675" w:type="pct"/>
            <w:vAlign w:val="center"/>
          </w:tcPr>
          <w:p w14:paraId="30384EE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542" w:type="pct"/>
            <w:vAlign w:val="center"/>
          </w:tcPr>
          <w:p w14:paraId="7B3702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085E3C6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23FE5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404" w:type="pct"/>
            <w:vAlign w:val="center"/>
          </w:tcPr>
          <w:p w14:paraId="084CA96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000C3DA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51287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4658CB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w:t>
            </w:r>
          </w:p>
        </w:tc>
        <w:tc>
          <w:tcPr>
            <w:tcW w:w="971" w:type="pct"/>
            <w:vAlign w:val="center"/>
          </w:tcPr>
          <w:p w14:paraId="5780E4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苯并[a]芘</w:t>
            </w:r>
          </w:p>
        </w:tc>
        <w:tc>
          <w:tcPr>
            <w:tcW w:w="731" w:type="pct"/>
            <w:vAlign w:val="center"/>
          </w:tcPr>
          <w:p w14:paraId="06D261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675" w:type="pct"/>
            <w:vAlign w:val="center"/>
          </w:tcPr>
          <w:p w14:paraId="4FE6AD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542" w:type="pct"/>
            <w:vAlign w:val="center"/>
          </w:tcPr>
          <w:p w14:paraId="5F88A9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18D8AA2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4B04F8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404" w:type="pct"/>
            <w:vAlign w:val="center"/>
          </w:tcPr>
          <w:p w14:paraId="18CBBD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5B227C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9FB95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42D76B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971" w:type="pct"/>
            <w:vAlign w:val="center"/>
          </w:tcPr>
          <w:p w14:paraId="5D4633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苯并[b]荧蒽</w:t>
            </w:r>
          </w:p>
        </w:tc>
        <w:tc>
          <w:tcPr>
            <w:tcW w:w="731" w:type="pct"/>
            <w:vAlign w:val="center"/>
          </w:tcPr>
          <w:p w14:paraId="6944CE4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675" w:type="pct"/>
            <w:vAlign w:val="center"/>
          </w:tcPr>
          <w:p w14:paraId="0FAAF0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.2L</w:t>
            </w:r>
          </w:p>
        </w:tc>
        <w:tc>
          <w:tcPr>
            <w:tcW w:w="542" w:type="pct"/>
            <w:vAlign w:val="center"/>
          </w:tcPr>
          <w:p w14:paraId="2BCEF1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3D0950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964358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.2L</w:t>
            </w:r>
          </w:p>
        </w:tc>
        <w:tc>
          <w:tcPr>
            <w:tcW w:w="404" w:type="pct"/>
            <w:vAlign w:val="center"/>
          </w:tcPr>
          <w:p w14:paraId="04670D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0070947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6E075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43B1C8F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971" w:type="pct"/>
            <w:vAlign w:val="center"/>
          </w:tcPr>
          <w:p w14:paraId="16782E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苯并[k]荧蒽</w:t>
            </w:r>
          </w:p>
        </w:tc>
        <w:tc>
          <w:tcPr>
            <w:tcW w:w="731" w:type="pct"/>
            <w:vAlign w:val="center"/>
          </w:tcPr>
          <w:p w14:paraId="1B9560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151</w:t>
            </w:r>
          </w:p>
        </w:tc>
        <w:tc>
          <w:tcPr>
            <w:tcW w:w="675" w:type="pct"/>
            <w:vAlign w:val="center"/>
          </w:tcPr>
          <w:p w14:paraId="4CA2B84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542" w:type="pct"/>
            <w:vAlign w:val="center"/>
          </w:tcPr>
          <w:p w14:paraId="198470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08CCABE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EEA66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404" w:type="pct"/>
            <w:vAlign w:val="center"/>
          </w:tcPr>
          <w:p w14:paraId="716A0F5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0CDB5F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0C8BE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7C19FB9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971" w:type="pct"/>
            <w:vAlign w:val="center"/>
          </w:tcPr>
          <w:p w14:paraId="0BD5A3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䓛</w:t>
            </w:r>
          </w:p>
        </w:tc>
        <w:tc>
          <w:tcPr>
            <w:tcW w:w="731" w:type="pct"/>
            <w:vAlign w:val="center"/>
          </w:tcPr>
          <w:p w14:paraId="1DF02E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1293</w:t>
            </w:r>
          </w:p>
        </w:tc>
        <w:tc>
          <w:tcPr>
            <w:tcW w:w="675" w:type="pct"/>
            <w:vAlign w:val="center"/>
          </w:tcPr>
          <w:p w14:paraId="2222287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542" w:type="pct"/>
            <w:vAlign w:val="center"/>
          </w:tcPr>
          <w:p w14:paraId="137755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6411CA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19A42FD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404" w:type="pct"/>
            <w:vAlign w:val="center"/>
          </w:tcPr>
          <w:p w14:paraId="4ACBF0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0CE463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CA693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204F476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971" w:type="pct"/>
            <w:vAlign w:val="center"/>
          </w:tcPr>
          <w:p w14:paraId="1C7324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二苯并[a,h]蒽</w:t>
            </w:r>
          </w:p>
        </w:tc>
        <w:tc>
          <w:tcPr>
            <w:tcW w:w="731" w:type="pct"/>
            <w:vAlign w:val="center"/>
          </w:tcPr>
          <w:p w14:paraId="08583D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675" w:type="pct"/>
            <w:vAlign w:val="center"/>
          </w:tcPr>
          <w:p w14:paraId="3C2B988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542" w:type="pct"/>
            <w:vAlign w:val="center"/>
          </w:tcPr>
          <w:p w14:paraId="6F876DB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398853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3DE9F06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404" w:type="pct"/>
            <w:vAlign w:val="center"/>
          </w:tcPr>
          <w:p w14:paraId="52B984D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32297CD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D352D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1D6BEDF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37</w:t>
            </w:r>
          </w:p>
        </w:tc>
        <w:tc>
          <w:tcPr>
            <w:tcW w:w="971" w:type="pct"/>
            <w:vAlign w:val="center"/>
          </w:tcPr>
          <w:p w14:paraId="5095165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茚并[1,2,3-cd]芘</w:t>
            </w:r>
          </w:p>
        </w:tc>
        <w:tc>
          <w:tcPr>
            <w:tcW w:w="731" w:type="pct"/>
            <w:vAlign w:val="center"/>
          </w:tcPr>
          <w:p w14:paraId="0286D9E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675" w:type="pct"/>
            <w:vAlign w:val="center"/>
          </w:tcPr>
          <w:p w14:paraId="0A6151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542" w:type="pct"/>
            <w:vAlign w:val="center"/>
          </w:tcPr>
          <w:p w14:paraId="5272F2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1ECB25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72645EC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.1L</w:t>
            </w:r>
          </w:p>
        </w:tc>
        <w:tc>
          <w:tcPr>
            <w:tcW w:w="404" w:type="pct"/>
            <w:vAlign w:val="center"/>
          </w:tcPr>
          <w:p w14:paraId="0F95193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65F6194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DC4C6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 w:type="pct"/>
            <w:vAlign w:val="center"/>
          </w:tcPr>
          <w:p w14:paraId="6C2B36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971" w:type="pct"/>
            <w:vAlign w:val="center"/>
          </w:tcPr>
          <w:p w14:paraId="50DDEB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萘</w:t>
            </w:r>
          </w:p>
        </w:tc>
        <w:tc>
          <w:tcPr>
            <w:tcW w:w="731" w:type="pct"/>
            <w:vAlign w:val="center"/>
          </w:tcPr>
          <w:p w14:paraId="6CA57CB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675" w:type="pct"/>
            <w:vAlign w:val="center"/>
          </w:tcPr>
          <w:p w14:paraId="23AD80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.09L</w:t>
            </w:r>
          </w:p>
        </w:tc>
        <w:tc>
          <w:tcPr>
            <w:tcW w:w="542" w:type="pct"/>
            <w:vAlign w:val="center"/>
          </w:tcPr>
          <w:p w14:paraId="5219F05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7" w:type="pct"/>
            <w:vAlign w:val="center"/>
          </w:tcPr>
          <w:p w14:paraId="482739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52" w:type="pct"/>
            <w:vAlign w:val="center"/>
          </w:tcPr>
          <w:p w14:paraId="23DCF23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.09L</w:t>
            </w:r>
          </w:p>
        </w:tc>
        <w:tc>
          <w:tcPr>
            <w:tcW w:w="404" w:type="pct"/>
            <w:vAlign w:val="center"/>
          </w:tcPr>
          <w:p w14:paraId="6E45540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1" w:type="pct"/>
            <w:vAlign w:val="center"/>
          </w:tcPr>
          <w:p w14:paraId="74B4F9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610EE315">
      <w:pPr>
        <w:ind w:firstLine="197" w:firstLineChars="94"/>
        <w:jc w:val="center"/>
        <w:rPr>
          <w:rFonts w:hint="eastAsia" w:ascii="黑体" w:hAnsi="黑体" w:eastAsia="黑体"/>
          <w:bCs/>
          <w:color w:val="000000" w:themeColor="text1"/>
          <w:szCs w:val="21"/>
          <w14:textFill>
            <w14:solidFill>
              <w14:schemeClr w14:val="tx1"/>
            </w14:solidFill>
          </w14:textFill>
        </w:rPr>
      </w:pPr>
    </w:p>
    <w:p w14:paraId="132A76B2">
      <w:pPr>
        <w:ind w:firstLine="197" w:firstLineChars="94"/>
        <w:jc w:val="center"/>
        <w:rPr>
          <w:rFonts w:hint="eastAsia" w:ascii="黑体" w:hAnsi="黑体" w:eastAsia="黑体"/>
          <w:bCs/>
          <w:color w:val="000000" w:themeColor="text1"/>
          <w:szCs w:val="21"/>
          <w14:textFill>
            <w14:solidFill>
              <w14:schemeClr w14:val="tx1"/>
            </w14:solidFill>
          </w14:textFill>
        </w:rPr>
      </w:pPr>
    </w:p>
    <w:p w14:paraId="5F184AE0">
      <w:pPr>
        <w:ind w:firstLine="197" w:firstLineChars="94"/>
        <w:jc w:val="center"/>
        <w:rPr>
          <w:rFonts w:hint="eastAsia" w:ascii="黑体" w:hAnsi="黑体" w:eastAsia="黑体"/>
          <w:bCs/>
          <w:color w:val="000000" w:themeColor="text1"/>
          <w:szCs w:val="21"/>
          <w14:textFill>
            <w14:solidFill>
              <w14:schemeClr w14:val="tx1"/>
            </w14:solidFill>
          </w14:textFill>
        </w:rPr>
        <w:sectPr>
          <w:pgSz w:w="11906" w:h="16838"/>
          <w:pgMar w:top="1418" w:right="1588" w:bottom="1418" w:left="1588" w:header="1020" w:footer="1020" w:gutter="0"/>
          <w:cols w:space="720" w:num="1"/>
          <w:docGrid w:type="lines" w:linePitch="312" w:charSpace="0"/>
        </w:sectPr>
      </w:pPr>
    </w:p>
    <w:p w14:paraId="41FD66C4">
      <w:pPr>
        <w:ind w:firstLine="197" w:firstLineChars="94"/>
        <w:jc w:val="center"/>
        <w:rPr>
          <w:rFonts w:hint="eastAsia" w:ascii="黑体" w:hAnsi="黑体" w:eastAsia="黑体"/>
          <w:bCs/>
          <w:color w:val="000000" w:themeColor="text1"/>
          <w:szCs w:val="21"/>
          <w14:textFill>
            <w14:solidFill>
              <w14:schemeClr w14:val="tx1"/>
            </w14:solidFill>
          </w14:textFill>
        </w:rPr>
      </w:pPr>
      <w:bookmarkStart w:id="389" w:name="_Hlk173437065"/>
      <w:r>
        <w:rPr>
          <w:rFonts w:hint="eastAsia" w:ascii="黑体" w:hAnsi="黑体" w:eastAsia="黑体"/>
          <w:bCs/>
          <w:color w:val="000000" w:themeColor="text1"/>
          <w:szCs w:val="21"/>
          <w14:textFill>
            <w14:solidFill>
              <w14:schemeClr w14:val="tx1"/>
            </w14:solidFill>
          </w14:textFill>
        </w:rPr>
        <w:t>表</w:t>
      </w:r>
      <w:r>
        <w:rPr>
          <w:rFonts w:ascii="黑体" w:hAnsi="黑体" w:eastAsia="黑体"/>
          <w:bCs/>
          <w:color w:val="000000" w:themeColor="text1"/>
          <w:szCs w:val="21"/>
          <w14:textFill>
            <w14:solidFill>
              <w14:schemeClr w14:val="tx1"/>
            </w14:solidFill>
          </w14:textFill>
        </w:rPr>
        <w:t>4.3</w:t>
      </w:r>
      <w:r>
        <w:rPr>
          <w:rFonts w:hint="eastAsia" w:ascii="黑体" w:hAnsi="黑体" w:eastAsia="黑体"/>
          <w:bCs/>
          <w:color w:val="000000" w:themeColor="text1"/>
          <w:szCs w:val="21"/>
          <w14:textFill>
            <w14:solidFill>
              <w14:schemeClr w14:val="tx1"/>
            </w14:solidFill>
          </w14:textFill>
        </w:rPr>
        <w:t>-</w:t>
      </w:r>
      <w:r>
        <w:rPr>
          <w:rFonts w:ascii="黑体" w:hAnsi="黑体" w:eastAsia="黑体"/>
          <w:bCs/>
          <w:color w:val="000000" w:themeColor="text1"/>
          <w:szCs w:val="21"/>
          <w14:textFill>
            <w14:solidFill>
              <w14:schemeClr w14:val="tx1"/>
            </w14:solidFill>
          </w14:textFill>
        </w:rPr>
        <w:t>1</w:t>
      </w:r>
      <w:r>
        <w:rPr>
          <w:rFonts w:hint="eastAsia" w:ascii="黑体" w:hAnsi="黑体" w:eastAsia="黑体"/>
          <w:bCs/>
          <w:color w:val="000000" w:themeColor="text1"/>
          <w:szCs w:val="21"/>
          <w14:textFill>
            <w14:solidFill>
              <w14:schemeClr w14:val="tx1"/>
            </w14:solidFill>
          </w14:textFill>
        </w:rPr>
        <w:t>2</w:t>
      </w:r>
      <w:r>
        <w:rPr>
          <w:rFonts w:ascii="黑体" w:hAnsi="黑体" w:eastAsia="黑体"/>
          <w:bCs/>
          <w:color w:val="000000" w:themeColor="text1"/>
          <w:szCs w:val="21"/>
          <w14:textFill>
            <w14:solidFill>
              <w14:schemeClr w14:val="tx1"/>
            </w14:solidFill>
          </w14:textFill>
        </w:rPr>
        <w:t xml:space="preserve">  监测结果及评价结果一览表</w:t>
      </w:r>
    </w:p>
    <w:tbl>
      <w:tblPr>
        <w:tblStyle w:val="51"/>
        <w:tblW w:w="498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5"/>
        <w:gridCol w:w="1568"/>
        <w:gridCol w:w="1274"/>
        <w:gridCol w:w="849"/>
        <w:gridCol w:w="847"/>
        <w:gridCol w:w="1132"/>
        <w:gridCol w:w="1221"/>
        <w:gridCol w:w="1051"/>
        <w:gridCol w:w="1232"/>
        <w:gridCol w:w="1031"/>
        <w:gridCol w:w="956"/>
        <w:gridCol w:w="1146"/>
        <w:gridCol w:w="1087"/>
        <w:gridCol w:w="22"/>
      </w:tblGrid>
      <w:tr w14:paraId="1C5BD5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 w:type="pct"/>
            <w:vMerge w:val="restart"/>
            <w:vAlign w:val="center"/>
          </w:tcPr>
          <w:p w14:paraId="315C3C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561" w:type="pct"/>
            <w:vMerge w:val="restart"/>
            <w:vAlign w:val="center"/>
          </w:tcPr>
          <w:p w14:paraId="3A8BD4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456" w:type="pct"/>
            <w:vMerge w:val="restart"/>
            <w:vAlign w:val="center"/>
          </w:tcPr>
          <w:p w14:paraId="216E8A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标准限值（mg/kg）</w:t>
            </w:r>
          </w:p>
        </w:tc>
        <w:tc>
          <w:tcPr>
            <w:tcW w:w="304" w:type="pct"/>
            <w:vMerge w:val="restart"/>
            <w:vAlign w:val="center"/>
          </w:tcPr>
          <w:p w14:paraId="28D05A6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监测值单位</w:t>
            </w:r>
          </w:p>
        </w:tc>
        <w:tc>
          <w:tcPr>
            <w:tcW w:w="1145" w:type="pct"/>
            <w:gridSpan w:val="3"/>
            <w:vAlign w:val="center"/>
          </w:tcPr>
          <w:p w14:paraId="5C29F4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0m～0.5m</w:t>
            </w:r>
          </w:p>
        </w:tc>
        <w:tc>
          <w:tcPr>
            <w:tcW w:w="1186" w:type="pct"/>
            <w:gridSpan w:val="3"/>
            <w:vAlign w:val="center"/>
          </w:tcPr>
          <w:p w14:paraId="5083374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0.5m～1.5m</w:t>
            </w:r>
          </w:p>
        </w:tc>
        <w:tc>
          <w:tcPr>
            <w:tcW w:w="1145" w:type="pct"/>
            <w:gridSpan w:val="4"/>
            <w:vAlign w:val="center"/>
          </w:tcPr>
          <w:p w14:paraId="54ECD2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1.5m～3m</w:t>
            </w:r>
          </w:p>
        </w:tc>
      </w:tr>
      <w:tr w14:paraId="7CA5F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Merge w:val="continue"/>
            <w:vAlign w:val="center"/>
          </w:tcPr>
          <w:p w14:paraId="0A0A0EA6">
            <w:pPr>
              <w:pStyle w:val="210"/>
              <w:rPr>
                <w:rFonts w:hint="eastAsia"/>
                <w:color w:val="000000" w:themeColor="text1"/>
                <w14:textFill>
                  <w14:solidFill>
                    <w14:schemeClr w14:val="tx1"/>
                  </w14:solidFill>
                </w14:textFill>
              </w:rPr>
            </w:pPr>
          </w:p>
        </w:tc>
        <w:tc>
          <w:tcPr>
            <w:tcW w:w="561" w:type="pct"/>
            <w:vMerge w:val="continue"/>
            <w:vAlign w:val="center"/>
          </w:tcPr>
          <w:p w14:paraId="3EE0BA7D">
            <w:pPr>
              <w:pStyle w:val="210"/>
              <w:rPr>
                <w:rFonts w:hint="eastAsia"/>
                <w:color w:val="000000" w:themeColor="text1"/>
                <w14:textFill>
                  <w14:solidFill>
                    <w14:schemeClr w14:val="tx1"/>
                  </w14:solidFill>
                </w14:textFill>
              </w:rPr>
            </w:pPr>
          </w:p>
        </w:tc>
        <w:tc>
          <w:tcPr>
            <w:tcW w:w="456" w:type="pct"/>
            <w:vMerge w:val="continue"/>
            <w:vAlign w:val="center"/>
          </w:tcPr>
          <w:p w14:paraId="4E5F327D">
            <w:pPr>
              <w:pStyle w:val="210"/>
              <w:rPr>
                <w:rFonts w:hint="eastAsia"/>
                <w:color w:val="000000" w:themeColor="text1"/>
                <w14:textFill>
                  <w14:solidFill>
                    <w14:schemeClr w14:val="tx1"/>
                  </w14:solidFill>
                </w14:textFill>
              </w:rPr>
            </w:pPr>
          </w:p>
        </w:tc>
        <w:tc>
          <w:tcPr>
            <w:tcW w:w="304" w:type="pct"/>
            <w:vMerge w:val="continue"/>
            <w:vAlign w:val="center"/>
          </w:tcPr>
          <w:p w14:paraId="3520C086">
            <w:pPr>
              <w:pStyle w:val="210"/>
              <w:rPr>
                <w:rFonts w:hint="eastAsia"/>
                <w:color w:val="000000" w:themeColor="text1"/>
                <w14:textFill>
                  <w14:solidFill>
                    <w14:schemeClr w14:val="tx1"/>
                  </w14:solidFill>
                </w14:textFill>
              </w:rPr>
            </w:pPr>
          </w:p>
        </w:tc>
        <w:tc>
          <w:tcPr>
            <w:tcW w:w="303" w:type="pct"/>
            <w:vAlign w:val="center"/>
          </w:tcPr>
          <w:p w14:paraId="4486A9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05" w:type="pct"/>
            <w:vAlign w:val="center"/>
          </w:tcPr>
          <w:p w14:paraId="7D29FE4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435" w:type="pct"/>
            <w:vAlign w:val="center"/>
          </w:tcPr>
          <w:p w14:paraId="4F0C4B4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376" w:type="pct"/>
            <w:vAlign w:val="center"/>
          </w:tcPr>
          <w:p w14:paraId="25B17F4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41" w:type="pct"/>
            <w:vAlign w:val="center"/>
          </w:tcPr>
          <w:p w14:paraId="256D548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368" w:type="pct"/>
            <w:vAlign w:val="center"/>
          </w:tcPr>
          <w:p w14:paraId="75A0816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p w14:paraId="6E50E20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情况</w:t>
            </w:r>
          </w:p>
        </w:tc>
        <w:tc>
          <w:tcPr>
            <w:tcW w:w="342" w:type="pct"/>
            <w:vAlign w:val="center"/>
          </w:tcPr>
          <w:p w14:paraId="2FFB698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10" w:type="pct"/>
            <w:vAlign w:val="center"/>
          </w:tcPr>
          <w:p w14:paraId="5B0D25C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389" w:type="pct"/>
            <w:vAlign w:val="center"/>
          </w:tcPr>
          <w:p w14:paraId="226E4DA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3FB1D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4"/>
            <w:vAlign w:val="center"/>
          </w:tcPr>
          <w:p w14:paraId="06532B5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w:t>
            </w:r>
          </w:p>
        </w:tc>
      </w:tr>
      <w:tr w14:paraId="4A7FD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254A40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61" w:type="pct"/>
            <w:vAlign w:val="center"/>
          </w:tcPr>
          <w:p w14:paraId="2CA1358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56" w:type="pct"/>
            <w:vAlign w:val="center"/>
          </w:tcPr>
          <w:p w14:paraId="3F9014E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157DA7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3" w:type="pct"/>
            <w:vAlign w:val="center"/>
          </w:tcPr>
          <w:p w14:paraId="1081309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8.12</w:t>
            </w:r>
          </w:p>
        </w:tc>
        <w:tc>
          <w:tcPr>
            <w:tcW w:w="405" w:type="pct"/>
            <w:vAlign w:val="center"/>
          </w:tcPr>
          <w:p w14:paraId="47330D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0CA7C9C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1BF49FC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8.21</w:t>
            </w:r>
          </w:p>
        </w:tc>
        <w:tc>
          <w:tcPr>
            <w:tcW w:w="441" w:type="pct"/>
            <w:vAlign w:val="center"/>
          </w:tcPr>
          <w:p w14:paraId="12A1550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5247C3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2634923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8.13</w:t>
            </w:r>
          </w:p>
        </w:tc>
        <w:tc>
          <w:tcPr>
            <w:tcW w:w="410" w:type="pct"/>
            <w:vAlign w:val="center"/>
          </w:tcPr>
          <w:p w14:paraId="49DA6BD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5B68473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0F08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24777D0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61" w:type="pct"/>
            <w:vAlign w:val="center"/>
          </w:tcPr>
          <w:p w14:paraId="170499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56" w:type="pct"/>
            <w:vAlign w:val="center"/>
          </w:tcPr>
          <w:p w14:paraId="2689B3F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304" w:type="pct"/>
            <w:vAlign w:val="center"/>
          </w:tcPr>
          <w:p w14:paraId="0BCA8E5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74C421A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7.68</w:t>
            </w:r>
          </w:p>
        </w:tc>
        <w:tc>
          <w:tcPr>
            <w:tcW w:w="405" w:type="pct"/>
            <w:vAlign w:val="center"/>
          </w:tcPr>
          <w:p w14:paraId="234C19C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0.1280 </w:t>
            </w:r>
          </w:p>
        </w:tc>
        <w:tc>
          <w:tcPr>
            <w:tcW w:w="435" w:type="pct"/>
            <w:vAlign w:val="center"/>
          </w:tcPr>
          <w:p w14:paraId="3984ADF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3213E1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7.76</w:t>
            </w:r>
          </w:p>
        </w:tc>
        <w:tc>
          <w:tcPr>
            <w:tcW w:w="441" w:type="pct"/>
            <w:vAlign w:val="center"/>
          </w:tcPr>
          <w:p w14:paraId="3FCE6C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0.1293 </w:t>
            </w:r>
          </w:p>
        </w:tc>
        <w:tc>
          <w:tcPr>
            <w:tcW w:w="368" w:type="pct"/>
            <w:vAlign w:val="center"/>
          </w:tcPr>
          <w:p w14:paraId="6D1428B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396A768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6.77</w:t>
            </w:r>
          </w:p>
        </w:tc>
        <w:tc>
          <w:tcPr>
            <w:tcW w:w="410" w:type="pct"/>
            <w:vAlign w:val="center"/>
          </w:tcPr>
          <w:p w14:paraId="445109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0.1128 </w:t>
            </w:r>
          </w:p>
        </w:tc>
        <w:tc>
          <w:tcPr>
            <w:tcW w:w="389" w:type="pct"/>
            <w:vAlign w:val="center"/>
          </w:tcPr>
          <w:p w14:paraId="73D72D4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CE57E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47BC11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61" w:type="pct"/>
            <w:vAlign w:val="center"/>
          </w:tcPr>
          <w:p w14:paraId="14F697D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56" w:type="pct"/>
            <w:vAlign w:val="center"/>
          </w:tcPr>
          <w:p w14:paraId="532AC60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04" w:type="pct"/>
            <w:vAlign w:val="center"/>
          </w:tcPr>
          <w:p w14:paraId="2AFBCE9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9322F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0.037</w:t>
            </w:r>
          </w:p>
        </w:tc>
        <w:tc>
          <w:tcPr>
            <w:tcW w:w="405" w:type="pct"/>
            <w:vAlign w:val="center"/>
          </w:tcPr>
          <w:p w14:paraId="354ACE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0.0010 </w:t>
            </w:r>
          </w:p>
        </w:tc>
        <w:tc>
          <w:tcPr>
            <w:tcW w:w="435" w:type="pct"/>
            <w:vAlign w:val="center"/>
          </w:tcPr>
          <w:p w14:paraId="11D6D1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793F59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0.037</w:t>
            </w:r>
          </w:p>
        </w:tc>
        <w:tc>
          <w:tcPr>
            <w:tcW w:w="441" w:type="pct"/>
            <w:vAlign w:val="center"/>
          </w:tcPr>
          <w:p w14:paraId="0E516BF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0.0010 </w:t>
            </w:r>
          </w:p>
        </w:tc>
        <w:tc>
          <w:tcPr>
            <w:tcW w:w="368" w:type="pct"/>
            <w:vAlign w:val="center"/>
          </w:tcPr>
          <w:p w14:paraId="64A699F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666EB4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0.053</w:t>
            </w:r>
          </w:p>
        </w:tc>
        <w:tc>
          <w:tcPr>
            <w:tcW w:w="410" w:type="pct"/>
            <w:vAlign w:val="center"/>
          </w:tcPr>
          <w:p w14:paraId="400551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0.0014 </w:t>
            </w:r>
          </w:p>
        </w:tc>
        <w:tc>
          <w:tcPr>
            <w:tcW w:w="389" w:type="pct"/>
            <w:vAlign w:val="center"/>
          </w:tcPr>
          <w:p w14:paraId="271508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712E4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3B4338F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61" w:type="pct"/>
            <w:vAlign w:val="center"/>
          </w:tcPr>
          <w:p w14:paraId="1CEE3B8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56" w:type="pct"/>
            <w:vAlign w:val="center"/>
          </w:tcPr>
          <w:p w14:paraId="7A6E2F9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304" w:type="pct"/>
            <w:vAlign w:val="center"/>
          </w:tcPr>
          <w:p w14:paraId="7024784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2269C6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05" w:type="pct"/>
            <w:vAlign w:val="center"/>
          </w:tcPr>
          <w:p w14:paraId="5E4ACAD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0.0338 </w:t>
            </w:r>
          </w:p>
        </w:tc>
        <w:tc>
          <w:tcPr>
            <w:tcW w:w="435" w:type="pct"/>
            <w:vAlign w:val="center"/>
          </w:tcPr>
          <w:p w14:paraId="7654BFD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C50B9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41" w:type="pct"/>
            <w:vAlign w:val="center"/>
          </w:tcPr>
          <w:p w14:paraId="2FEC433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0.0325 </w:t>
            </w:r>
          </w:p>
        </w:tc>
        <w:tc>
          <w:tcPr>
            <w:tcW w:w="368" w:type="pct"/>
            <w:vAlign w:val="center"/>
          </w:tcPr>
          <w:p w14:paraId="15DACC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05E7F7F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410" w:type="pct"/>
            <w:vAlign w:val="center"/>
          </w:tcPr>
          <w:p w14:paraId="2F2014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0.0375 </w:t>
            </w:r>
          </w:p>
        </w:tc>
        <w:tc>
          <w:tcPr>
            <w:tcW w:w="389" w:type="pct"/>
            <w:vAlign w:val="center"/>
          </w:tcPr>
          <w:p w14:paraId="7CBE2E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0EFE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ACBF1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61" w:type="pct"/>
            <w:vAlign w:val="center"/>
          </w:tcPr>
          <w:p w14:paraId="1CEE2C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56" w:type="pct"/>
            <w:vAlign w:val="center"/>
          </w:tcPr>
          <w:p w14:paraId="781E7BE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304" w:type="pct"/>
            <w:vAlign w:val="center"/>
          </w:tcPr>
          <w:p w14:paraId="4483DE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1FF8EB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w:t>
            </w:r>
          </w:p>
        </w:tc>
        <w:tc>
          <w:tcPr>
            <w:tcW w:w="405" w:type="pct"/>
            <w:vAlign w:val="center"/>
          </w:tcPr>
          <w:p w14:paraId="1411E07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0.0046 </w:t>
            </w:r>
          </w:p>
        </w:tc>
        <w:tc>
          <w:tcPr>
            <w:tcW w:w="435" w:type="pct"/>
            <w:vAlign w:val="center"/>
          </w:tcPr>
          <w:p w14:paraId="0CDDDA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3605D8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0.29</w:t>
            </w:r>
          </w:p>
        </w:tc>
        <w:tc>
          <w:tcPr>
            <w:tcW w:w="441" w:type="pct"/>
            <w:vAlign w:val="center"/>
          </w:tcPr>
          <w:p w14:paraId="19589F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0.0045 </w:t>
            </w:r>
          </w:p>
        </w:tc>
        <w:tc>
          <w:tcPr>
            <w:tcW w:w="368" w:type="pct"/>
            <w:vAlign w:val="center"/>
          </w:tcPr>
          <w:p w14:paraId="77F39C7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57C5BC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0.34</w:t>
            </w:r>
          </w:p>
        </w:tc>
        <w:tc>
          <w:tcPr>
            <w:tcW w:w="410" w:type="pct"/>
            <w:vAlign w:val="center"/>
          </w:tcPr>
          <w:p w14:paraId="57D865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0.0052 </w:t>
            </w:r>
          </w:p>
        </w:tc>
        <w:tc>
          <w:tcPr>
            <w:tcW w:w="389" w:type="pct"/>
            <w:vAlign w:val="center"/>
          </w:tcPr>
          <w:p w14:paraId="23AF237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11F40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5FBF5F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61" w:type="pct"/>
            <w:vAlign w:val="center"/>
          </w:tcPr>
          <w:p w14:paraId="4BAEC8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456" w:type="pct"/>
            <w:vAlign w:val="center"/>
          </w:tcPr>
          <w:p w14:paraId="0B4308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04" w:type="pct"/>
            <w:vAlign w:val="center"/>
          </w:tcPr>
          <w:p w14:paraId="25B448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05DAFD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05" w:type="pct"/>
            <w:vAlign w:val="center"/>
          </w:tcPr>
          <w:p w14:paraId="7530AB5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672A24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6CE45F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41" w:type="pct"/>
            <w:vAlign w:val="center"/>
          </w:tcPr>
          <w:p w14:paraId="425FAA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6B19847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4CFCA36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10" w:type="pct"/>
            <w:vAlign w:val="center"/>
          </w:tcPr>
          <w:p w14:paraId="131560C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362EEBF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4B6A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66FEB7B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61" w:type="pct"/>
            <w:vAlign w:val="center"/>
          </w:tcPr>
          <w:p w14:paraId="54DB3B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56" w:type="pct"/>
            <w:vAlign w:val="center"/>
          </w:tcPr>
          <w:p w14:paraId="798A656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18000</w:t>
            </w:r>
          </w:p>
        </w:tc>
        <w:tc>
          <w:tcPr>
            <w:tcW w:w="304" w:type="pct"/>
            <w:vAlign w:val="center"/>
          </w:tcPr>
          <w:p w14:paraId="4D60ED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A905D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405" w:type="pct"/>
            <w:vAlign w:val="center"/>
          </w:tcPr>
          <w:p w14:paraId="2F53FA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0.0016 </w:t>
            </w:r>
          </w:p>
        </w:tc>
        <w:tc>
          <w:tcPr>
            <w:tcW w:w="435" w:type="pct"/>
            <w:vAlign w:val="center"/>
          </w:tcPr>
          <w:p w14:paraId="43C6171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171D58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41" w:type="pct"/>
            <w:vAlign w:val="center"/>
          </w:tcPr>
          <w:p w14:paraId="2719910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0.0015 </w:t>
            </w:r>
          </w:p>
        </w:tc>
        <w:tc>
          <w:tcPr>
            <w:tcW w:w="368" w:type="pct"/>
            <w:vAlign w:val="center"/>
          </w:tcPr>
          <w:p w14:paraId="1ADCC1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2209B1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410" w:type="pct"/>
            <w:vAlign w:val="center"/>
          </w:tcPr>
          <w:p w14:paraId="68F482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0.0016 </w:t>
            </w:r>
          </w:p>
        </w:tc>
        <w:tc>
          <w:tcPr>
            <w:tcW w:w="389" w:type="pct"/>
            <w:vAlign w:val="center"/>
          </w:tcPr>
          <w:p w14:paraId="073C05C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71DC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ED8E3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61" w:type="pct"/>
            <w:vAlign w:val="center"/>
          </w:tcPr>
          <w:p w14:paraId="31921D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56" w:type="pct"/>
            <w:vAlign w:val="center"/>
          </w:tcPr>
          <w:p w14:paraId="4D738A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304" w:type="pct"/>
            <w:vAlign w:val="center"/>
          </w:tcPr>
          <w:p w14:paraId="649038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BC606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405" w:type="pct"/>
            <w:vAlign w:val="center"/>
          </w:tcPr>
          <w:p w14:paraId="46FDFF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0.0467 </w:t>
            </w:r>
          </w:p>
        </w:tc>
        <w:tc>
          <w:tcPr>
            <w:tcW w:w="435" w:type="pct"/>
            <w:vAlign w:val="center"/>
          </w:tcPr>
          <w:p w14:paraId="194DB4C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51C001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441" w:type="pct"/>
            <w:vAlign w:val="center"/>
          </w:tcPr>
          <w:p w14:paraId="2E3B6F9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0.0467 </w:t>
            </w:r>
          </w:p>
        </w:tc>
        <w:tc>
          <w:tcPr>
            <w:tcW w:w="368" w:type="pct"/>
            <w:vAlign w:val="center"/>
          </w:tcPr>
          <w:p w14:paraId="393568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50F98C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410" w:type="pct"/>
            <w:vAlign w:val="center"/>
          </w:tcPr>
          <w:p w14:paraId="107D73A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0.0489 </w:t>
            </w:r>
          </w:p>
        </w:tc>
        <w:tc>
          <w:tcPr>
            <w:tcW w:w="389" w:type="pct"/>
            <w:vAlign w:val="center"/>
          </w:tcPr>
          <w:p w14:paraId="37C9E3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1D14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2CF7526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61" w:type="pct"/>
            <w:vAlign w:val="center"/>
          </w:tcPr>
          <w:p w14:paraId="27213D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w:t>
            </w:r>
          </w:p>
        </w:tc>
        <w:tc>
          <w:tcPr>
            <w:tcW w:w="456" w:type="pct"/>
            <w:vAlign w:val="center"/>
          </w:tcPr>
          <w:p w14:paraId="415033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304" w:type="pct"/>
            <w:vAlign w:val="center"/>
          </w:tcPr>
          <w:p w14:paraId="3CC3C17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3CE26F4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405" w:type="pct"/>
            <w:vAlign w:val="center"/>
          </w:tcPr>
          <w:p w14:paraId="55D3468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0.0049 </w:t>
            </w:r>
          </w:p>
        </w:tc>
        <w:tc>
          <w:tcPr>
            <w:tcW w:w="435" w:type="pct"/>
            <w:vAlign w:val="center"/>
          </w:tcPr>
          <w:p w14:paraId="2545F6D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081CA1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441" w:type="pct"/>
            <w:vAlign w:val="center"/>
          </w:tcPr>
          <w:p w14:paraId="4D6F791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0.0038 </w:t>
            </w:r>
          </w:p>
        </w:tc>
        <w:tc>
          <w:tcPr>
            <w:tcW w:w="368" w:type="pct"/>
            <w:vAlign w:val="center"/>
          </w:tcPr>
          <w:p w14:paraId="488453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79366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10" w:type="pct"/>
            <w:vAlign w:val="center"/>
          </w:tcPr>
          <w:p w14:paraId="0CCCAB6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0.0058 </w:t>
            </w:r>
          </w:p>
        </w:tc>
        <w:tc>
          <w:tcPr>
            <w:tcW w:w="389" w:type="pct"/>
            <w:vAlign w:val="center"/>
          </w:tcPr>
          <w:p w14:paraId="22D85F6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027A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3580539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1" w:type="pct"/>
            <w:vAlign w:val="center"/>
          </w:tcPr>
          <w:p w14:paraId="1713DCF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土壤盐分含量</w:t>
            </w:r>
          </w:p>
        </w:tc>
        <w:tc>
          <w:tcPr>
            <w:tcW w:w="456" w:type="pct"/>
            <w:vAlign w:val="center"/>
          </w:tcPr>
          <w:p w14:paraId="7010B50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4BFE1B2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g/kg</w:t>
            </w:r>
          </w:p>
        </w:tc>
        <w:tc>
          <w:tcPr>
            <w:tcW w:w="303" w:type="pct"/>
            <w:vAlign w:val="center"/>
          </w:tcPr>
          <w:p w14:paraId="6E64447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20.8</w:t>
            </w:r>
          </w:p>
        </w:tc>
        <w:tc>
          <w:tcPr>
            <w:tcW w:w="405" w:type="pct"/>
            <w:vAlign w:val="center"/>
          </w:tcPr>
          <w:p w14:paraId="17A363E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723C19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06BBEC8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28.2</w:t>
            </w:r>
          </w:p>
        </w:tc>
        <w:tc>
          <w:tcPr>
            <w:tcW w:w="441" w:type="pct"/>
            <w:vAlign w:val="center"/>
          </w:tcPr>
          <w:p w14:paraId="726E81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145C0F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2ACF47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15.6</w:t>
            </w:r>
          </w:p>
        </w:tc>
        <w:tc>
          <w:tcPr>
            <w:tcW w:w="410" w:type="pct"/>
            <w:vAlign w:val="center"/>
          </w:tcPr>
          <w:p w14:paraId="6CEF7CA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3A8E4C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27FB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4"/>
            <w:vAlign w:val="center"/>
          </w:tcPr>
          <w:p w14:paraId="0B98083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S2</w:t>
            </w:r>
          </w:p>
        </w:tc>
      </w:tr>
      <w:tr w14:paraId="3D1D9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58E0F5F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61" w:type="pct"/>
            <w:vAlign w:val="center"/>
          </w:tcPr>
          <w:p w14:paraId="4947DD9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56" w:type="pct"/>
            <w:vAlign w:val="center"/>
          </w:tcPr>
          <w:p w14:paraId="650BD44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11DC528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3" w:type="pct"/>
            <w:vAlign w:val="center"/>
          </w:tcPr>
          <w:p w14:paraId="4C570C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8.28</w:t>
            </w:r>
          </w:p>
        </w:tc>
        <w:tc>
          <w:tcPr>
            <w:tcW w:w="405" w:type="pct"/>
            <w:vAlign w:val="center"/>
          </w:tcPr>
          <w:p w14:paraId="429926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085CC91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6A9AD2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8.13</w:t>
            </w:r>
          </w:p>
        </w:tc>
        <w:tc>
          <w:tcPr>
            <w:tcW w:w="441" w:type="pct"/>
            <w:vAlign w:val="center"/>
          </w:tcPr>
          <w:p w14:paraId="5092972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22BCFF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47AA0B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8.08</w:t>
            </w:r>
          </w:p>
        </w:tc>
        <w:tc>
          <w:tcPr>
            <w:tcW w:w="410" w:type="pct"/>
            <w:vAlign w:val="center"/>
          </w:tcPr>
          <w:p w14:paraId="61809F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1E79AE3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F39D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32600E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61" w:type="pct"/>
            <w:vAlign w:val="center"/>
          </w:tcPr>
          <w:p w14:paraId="2A11CA2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56" w:type="pct"/>
            <w:vAlign w:val="center"/>
          </w:tcPr>
          <w:p w14:paraId="078467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304" w:type="pct"/>
            <w:vAlign w:val="center"/>
          </w:tcPr>
          <w:p w14:paraId="7D872B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5AEF60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7.37</w:t>
            </w:r>
          </w:p>
        </w:tc>
        <w:tc>
          <w:tcPr>
            <w:tcW w:w="405" w:type="pct"/>
            <w:vAlign w:val="center"/>
          </w:tcPr>
          <w:p w14:paraId="64214D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0.1228 </w:t>
            </w:r>
          </w:p>
        </w:tc>
        <w:tc>
          <w:tcPr>
            <w:tcW w:w="435" w:type="pct"/>
            <w:vAlign w:val="center"/>
          </w:tcPr>
          <w:p w14:paraId="6C96A6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6A7593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5.37</w:t>
            </w:r>
          </w:p>
        </w:tc>
        <w:tc>
          <w:tcPr>
            <w:tcW w:w="441" w:type="pct"/>
            <w:vAlign w:val="center"/>
          </w:tcPr>
          <w:p w14:paraId="3B9A79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0.0895 </w:t>
            </w:r>
          </w:p>
        </w:tc>
        <w:tc>
          <w:tcPr>
            <w:tcW w:w="368" w:type="pct"/>
            <w:vAlign w:val="center"/>
          </w:tcPr>
          <w:p w14:paraId="3025076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798F6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11.7</w:t>
            </w:r>
          </w:p>
        </w:tc>
        <w:tc>
          <w:tcPr>
            <w:tcW w:w="410" w:type="pct"/>
            <w:vAlign w:val="center"/>
          </w:tcPr>
          <w:p w14:paraId="623FB7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0.1950 </w:t>
            </w:r>
          </w:p>
        </w:tc>
        <w:tc>
          <w:tcPr>
            <w:tcW w:w="389" w:type="pct"/>
            <w:vAlign w:val="center"/>
          </w:tcPr>
          <w:p w14:paraId="418039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B293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95A4F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61" w:type="pct"/>
            <w:vAlign w:val="center"/>
          </w:tcPr>
          <w:p w14:paraId="38B55E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56" w:type="pct"/>
            <w:vAlign w:val="center"/>
          </w:tcPr>
          <w:p w14:paraId="210079F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04" w:type="pct"/>
            <w:vAlign w:val="center"/>
          </w:tcPr>
          <w:p w14:paraId="2A54A6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C71CF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0.055</w:t>
            </w:r>
          </w:p>
        </w:tc>
        <w:tc>
          <w:tcPr>
            <w:tcW w:w="405" w:type="pct"/>
            <w:vAlign w:val="center"/>
          </w:tcPr>
          <w:p w14:paraId="053BF2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0.0014 </w:t>
            </w:r>
          </w:p>
        </w:tc>
        <w:tc>
          <w:tcPr>
            <w:tcW w:w="435" w:type="pct"/>
            <w:vAlign w:val="center"/>
          </w:tcPr>
          <w:p w14:paraId="67E484A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4C2113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0.044</w:t>
            </w:r>
          </w:p>
        </w:tc>
        <w:tc>
          <w:tcPr>
            <w:tcW w:w="441" w:type="pct"/>
            <w:vAlign w:val="center"/>
          </w:tcPr>
          <w:p w14:paraId="641AA82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0.0012 </w:t>
            </w:r>
          </w:p>
        </w:tc>
        <w:tc>
          <w:tcPr>
            <w:tcW w:w="368" w:type="pct"/>
            <w:vAlign w:val="center"/>
          </w:tcPr>
          <w:p w14:paraId="6DB16C6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4A97B66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0.025</w:t>
            </w:r>
          </w:p>
        </w:tc>
        <w:tc>
          <w:tcPr>
            <w:tcW w:w="410" w:type="pct"/>
            <w:vAlign w:val="center"/>
          </w:tcPr>
          <w:p w14:paraId="393C8B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0.0007 </w:t>
            </w:r>
          </w:p>
        </w:tc>
        <w:tc>
          <w:tcPr>
            <w:tcW w:w="389" w:type="pct"/>
            <w:vAlign w:val="center"/>
          </w:tcPr>
          <w:p w14:paraId="62CE9B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377A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679C7E3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61" w:type="pct"/>
            <w:vAlign w:val="center"/>
          </w:tcPr>
          <w:p w14:paraId="79A1E12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56" w:type="pct"/>
            <w:vAlign w:val="center"/>
          </w:tcPr>
          <w:p w14:paraId="5247C70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304" w:type="pct"/>
            <w:vAlign w:val="center"/>
          </w:tcPr>
          <w:p w14:paraId="26ABF9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2E92F4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05" w:type="pct"/>
            <w:vAlign w:val="center"/>
          </w:tcPr>
          <w:p w14:paraId="56C2E8A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0.0325 </w:t>
            </w:r>
          </w:p>
        </w:tc>
        <w:tc>
          <w:tcPr>
            <w:tcW w:w="435" w:type="pct"/>
            <w:vAlign w:val="center"/>
          </w:tcPr>
          <w:p w14:paraId="0E64E0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EFDF7A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w:t>
            </w:r>
          </w:p>
        </w:tc>
        <w:tc>
          <w:tcPr>
            <w:tcW w:w="441" w:type="pct"/>
            <w:vAlign w:val="center"/>
          </w:tcPr>
          <w:p w14:paraId="0012FA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0.0363 </w:t>
            </w:r>
          </w:p>
        </w:tc>
        <w:tc>
          <w:tcPr>
            <w:tcW w:w="368" w:type="pct"/>
            <w:vAlign w:val="center"/>
          </w:tcPr>
          <w:p w14:paraId="732A178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30D55AF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w:t>
            </w:r>
          </w:p>
        </w:tc>
        <w:tc>
          <w:tcPr>
            <w:tcW w:w="410" w:type="pct"/>
            <w:vAlign w:val="center"/>
          </w:tcPr>
          <w:p w14:paraId="041014A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0.0238 </w:t>
            </w:r>
          </w:p>
        </w:tc>
        <w:tc>
          <w:tcPr>
            <w:tcW w:w="389" w:type="pct"/>
            <w:vAlign w:val="center"/>
          </w:tcPr>
          <w:p w14:paraId="77F4C0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91FC0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216781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61" w:type="pct"/>
            <w:vAlign w:val="center"/>
          </w:tcPr>
          <w:p w14:paraId="1AE542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56" w:type="pct"/>
            <w:vAlign w:val="center"/>
          </w:tcPr>
          <w:p w14:paraId="6825AA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304" w:type="pct"/>
            <w:vAlign w:val="center"/>
          </w:tcPr>
          <w:p w14:paraId="081A100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6AE5812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0.29</w:t>
            </w:r>
          </w:p>
        </w:tc>
        <w:tc>
          <w:tcPr>
            <w:tcW w:w="405" w:type="pct"/>
            <w:vAlign w:val="center"/>
          </w:tcPr>
          <w:p w14:paraId="0199BB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0.0045 </w:t>
            </w:r>
          </w:p>
        </w:tc>
        <w:tc>
          <w:tcPr>
            <w:tcW w:w="435" w:type="pct"/>
            <w:vAlign w:val="center"/>
          </w:tcPr>
          <w:p w14:paraId="01AB6B7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845EB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w:t>
            </w:r>
          </w:p>
        </w:tc>
        <w:tc>
          <w:tcPr>
            <w:tcW w:w="441" w:type="pct"/>
            <w:vAlign w:val="center"/>
          </w:tcPr>
          <w:p w14:paraId="1D6A5E3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0.0046 </w:t>
            </w:r>
          </w:p>
        </w:tc>
        <w:tc>
          <w:tcPr>
            <w:tcW w:w="368" w:type="pct"/>
            <w:vAlign w:val="center"/>
          </w:tcPr>
          <w:p w14:paraId="14AD5B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599490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0.19</w:t>
            </w:r>
          </w:p>
        </w:tc>
        <w:tc>
          <w:tcPr>
            <w:tcW w:w="410" w:type="pct"/>
            <w:vAlign w:val="center"/>
          </w:tcPr>
          <w:p w14:paraId="3367E4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0.0029 </w:t>
            </w:r>
          </w:p>
        </w:tc>
        <w:tc>
          <w:tcPr>
            <w:tcW w:w="389" w:type="pct"/>
            <w:vAlign w:val="center"/>
          </w:tcPr>
          <w:p w14:paraId="33BEC88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5AF10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23375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61" w:type="pct"/>
            <w:vAlign w:val="center"/>
          </w:tcPr>
          <w:p w14:paraId="5B1E36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456" w:type="pct"/>
            <w:vAlign w:val="center"/>
          </w:tcPr>
          <w:p w14:paraId="3122C6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04" w:type="pct"/>
            <w:vAlign w:val="center"/>
          </w:tcPr>
          <w:p w14:paraId="1E28306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6D561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05" w:type="pct"/>
            <w:vAlign w:val="center"/>
          </w:tcPr>
          <w:p w14:paraId="430522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370389F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1DCFEC0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41" w:type="pct"/>
            <w:vAlign w:val="center"/>
          </w:tcPr>
          <w:p w14:paraId="4C9F47C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15905D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5E6D4A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10" w:type="pct"/>
            <w:vAlign w:val="center"/>
          </w:tcPr>
          <w:p w14:paraId="21D067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530D061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EC55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80F18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61" w:type="pct"/>
            <w:vAlign w:val="center"/>
          </w:tcPr>
          <w:p w14:paraId="163386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56" w:type="pct"/>
            <w:vAlign w:val="center"/>
          </w:tcPr>
          <w:p w14:paraId="51C4AFD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18000</w:t>
            </w:r>
          </w:p>
        </w:tc>
        <w:tc>
          <w:tcPr>
            <w:tcW w:w="304" w:type="pct"/>
            <w:vAlign w:val="center"/>
          </w:tcPr>
          <w:p w14:paraId="019B9BC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9B33F9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405" w:type="pct"/>
            <w:vAlign w:val="center"/>
          </w:tcPr>
          <w:p w14:paraId="7C9B3C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0.0016 </w:t>
            </w:r>
          </w:p>
        </w:tc>
        <w:tc>
          <w:tcPr>
            <w:tcW w:w="435" w:type="pct"/>
            <w:vAlign w:val="center"/>
          </w:tcPr>
          <w:p w14:paraId="6A758BB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3A7D540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441" w:type="pct"/>
            <w:vAlign w:val="center"/>
          </w:tcPr>
          <w:p w14:paraId="750D700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0.0016 </w:t>
            </w:r>
          </w:p>
        </w:tc>
        <w:tc>
          <w:tcPr>
            <w:tcW w:w="368" w:type="pct"/>
            <w:vAlign w:val="center"/>
          </w:tcPr>
          <w:p w14:paraId="1F8E999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3CA673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10" w:type="pct"/>
            <w:vAlign w:val="center"/>
          </w:tcPr>
          <w:p w14:paraId="58B13E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0.0015 </w:t>
            </w:r>
          </w:p>
        </w:tc>
        <w:tc>
          <w:tcPr>
            <w:tcW w:w="389" w:type="pct"/>
            <w:vAlign w:val="center"/>
          </w:tcPr>
          <w:p w14:paraId="22BB194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DF30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73312E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61" w:type="pct"/>
            <w:vAlign w:val="center"/>
          </w:tcPr>
          <w:p w14:paraId="40DC11A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56" w:type="pct"/>
            <w:vAlign w:val="center"/>
          </w:tcPr>
          <w:p w14:paraId="559E4EF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304" w:type="pct"/>
            <w:vAlign w:val="center"/>
          </w:tcPr>
          <w:p w14:paraId="354954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5949A66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405" w:type="pct"/>
            <w:vAlign w:val="center"/>
          </w:tcPr>
          <w:p w14:paraId="7980E05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0.0489 </w:t>
            </w:r>
          </w:p>
        </w:tc>
        <w:tc>
          <w:tcPr>
            <w:tcW w:w="435" w:type="pct"/>
            <w:vAlign w:val="center"/>
          </w:tcPr>
          <w:p w14:paraId="602BEC5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10165AA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441" w:type="pct"/>
            <w:vAlign w:val="center"/>
          </w:tcPr>
          <w:p w14:paraId="44A0E0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0.0489 </w:t>
            </w:r>
          </w:p>
        </w:tc>
        <w:tc>
          <w:tcPr>
            <w:tcW w:w="368" w:type="pct"/>
            <w:vAlign w:val="center"/>
          </w:tcPr>
          <w:p w14:paraId="6ADD2FC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427DCE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410" w:type="pct"/>
            <w:vAlign w:val="center"/>
          </w:tcPr>
          <w:p w14:paraId="6F6F0C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0.0478 </w:t>
            </w:r>
          </w:p>
        </w:tc>
        <w:tc>
          <w:tcPr>
            <w:tcW w:w="389" w:type="pct"/>
            <w:vAlign w:val="center"/>
          </w:tcPr>
          <w:p w14:paraId="12331D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99C97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7E67B87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61" w:type="pct"/>
            <w:vAlign w:val="center"/>
          </w:tcPr>
          <w:p w14:paraId="6C1DB33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w:t>
            </w:r>
          </w:p>
        </w:tc>
        <w:tc>
          <w:tcPr>
            <w:tcW w:w="456" w:type="pct"/>
            <w:vAlign w:val="center"/>
          </w:tcPr>
          <w:p w14:paraId="4A71C93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304" w:type="pct"/>
            <w:vAlign w:val="center"/>
          </w:tcPr>
          <w:p w14:paraId="0A40C9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729044F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405" w:type="pct"/>
            <w:vAlign w:val="center"/>
          </w:tcPr>
          <w:p w14:paraId="23B3BC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0.0049</w:t>
            </w:r>
          </w:p>
        </w:tc>
        <w:tc>
          <w:tcPr>
            <w:tcW w:w="435" w:type="pct"/>
            <w:vAlign w:val="center"/>
          </w:tcPr>
          <w:p w14:paraId="415A5B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275BD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441" w:type="pct"/>
            <w:vAlign w:val="center"/>
          </w:tcPr>
          <w:p w14:paraId="3A0336C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0.0051</w:t>
            </w:r>
          </w:p>
        </w:tc>
        <w:tc>
          <w:tcPr>
            <w:tcW w:w="368" w:type="pct"/>
            <w:vAlign w:val="center"/>
          </w:tcPr>
          <w:p w14:paraId="28599E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1141B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410" w:type="pct"/>
            <w:vAlign w:val="center"/>
          </w:tcPr>
          <w:p w14:paraId="4B5E8B0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0.0033 </w:t>
            </w:r>
          </w:p>
        </w:tc>
        <w:tc>
          <w:tcPr>
            <w:tcW w:w="389" w:type="pct"/>
            <w:vAlign w:val="center"/>
          </w:tcPr>
          <w:p w14:paraId="050771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856B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575D88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1" w:type="pct"/>
            <w:vAlign w:val="center"/>
          </w:tcPr>
          <w:p w14:paraId="3A4E52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土壤盐分含量</w:t>
            </w:r>
          </w:p>
        </w:tc>
        <w:tc>
          <w:tcPr>
            <w:tcW w:w="456" w:type="pct"/>
            <w:vAlign w:val="center"/>
          </w:tcPr>
          <w:p w14:paraId="69C7F6F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375B57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g/kg</w:t>
            </w:r>
          </w:p>
        </w:tc>
        <w:tc>
          <w:tcPr>
            <w:tcW w:w="303" w:type="pct"/>
            <w:vAlign w:val="center"/>
          </w:tcPr>
          <w:p w14:paraId="462C183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19.8</w:t>
            </w:r>
          </w:p>
        </w:tc>
        <w:tc>
          <w:tcPr>
            <w:tcW w:w="405" w:type="pct"/>
            <w:vAlign w:val="center"/>
          </w:tcPr>
          <w:p w14:paraId="24A9B8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1E1E44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0A46F28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24.7</w:t>
            </w:r>
          </w:p>
        </w:tc>
        <w:tc>
          <w:tcPr>
            <w:tcW w:w="441" w:type="pct"/>
            <w:vAlign w:val="center"/>
          </w:tcPr>
          <w:p w14:paraId="5ED38C0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74B0821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327CD05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8.9</w:t>
            </w:r>
          </w:p>
        </w:tc>
        <w:tc>
          <w:tcPr>
            <w:tcW w:w="410" w:type="pct"/>
            <w:vAlign w:val="center"/>
          </w:tcPr>
          <w:p w14:paraId="795104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34172E4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EE44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4"/>
            <w:vAlign w:val="center"/>
          </w:tcPr>
          <w:p w14:paraId="30F1FF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S3</w:t>
            </w:r>
          </w:p>
        </w:tc>
      </w:tr>
      <w:tr w14:paraId="46C08E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2674EE5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61" w:type="pct"/>
            <w:vAlign w:val="center"/>
          </w:tcPr>
          <w:p w14:paraId="6EE75C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56" w:type="pct"/>
            <w:vAlign w:val="center"/>
          </w:tcPr>
          <w:p w14:paraId="3CD9B06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065256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3" w:type="pct"/>
            <w:vAlign w:val="center"/>
          </w:tcPr>
          <w:p w14:paraId="1FC4FE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8.44</w:t>
            </w:r>
          </w:p>
        </w:tc>
        <w:tc>
          <w:tcPr>
            <w:tcW w:w="405" w:type="pct"/>
            <w:vAlign w:val="center"/>
          </w:tcPr>
          <w:p w14:paraId="636BB3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35DCAD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6DEDDB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7.98</w:t>
            </w:r>
          </w:p>
        </w:tc>
        <w:tc>
          <w:tcPr>
            <w:tcW w:w="441" w:type="pct"/>
            <w:vAlign w:val="center"/>
          </w:tcPr>
          <w:p w14:paraId="59009F3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07E88B6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7F38850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8.02</w:t>
            </w:r>
          </w:p>
        </w:tc>
        <w:tc>
          <w:tcPr>
            <w:tcW w:w="410" w:type="pct"/>
            <w:vAlign w:val="center"/>
          </w:tcPr>
          <w:p w14:paraId="3654F1A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73C77AD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5CA6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6436227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61" w:type="pct"/>
            <w:vAlign w:val="center"/>
          </w:tcPr>
          <w:p w14:paraId="0BD5B3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56" w:type="pct"/>
            <w:vAlign w:val="center"/>
          </w:tcPr>
          <w:p w14:paraId="2049C3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304" w:type="pct"/>
            <w:vAlign w:val="center"/>
          </w:tcPr>
          <w:p w14:paraId="48DE53B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43DF57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7.54</w:t>
            </w:r>
          </w:p>
        </w:tc>
        <w:tc>
          <w:tcPr>
            <w:tcW w:w="405" w:type="pct"/>
            <w:vAlign w:val="center"/>
          </w:tcPr>
          <w:p w14:paraId="27FD836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0.1257 </w:t>
            </w:r>
          </w:p>
        </w:tc>
        <w:tc>
          <w:tcPr>
            <w:tcW w:w="435" w:type="pct"/>
            <w:vAlign w:val="center"/>
          </w:tcPr>
          <w:p w14:paraId="43A61B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66E29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8.52</w:t>
            </w:r>
          </w:p>
        </w:tc>
        <w:tc>
          <w:tcPr>
            <w:tcW w:w="441" w:type="pct"/>
            <w:vAlign w:val="center"/>
          </w:tcPr>
          <w:p w14:paraId="5B457E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0.1420 </w:t>
            </w:r>
          </w:p>
        </w:tc>
        <w:tc>
          <w:tcPr>
            <w:tcW w:w="368" w:type="pct"/>
            <w:vAlign w:val="center"/>
          </w:tcPr>
          <w:p w14:paraId="1409379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40A75E1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8.32</w:t>
            </w:r>
          </w:p>
        </w:tc>
        <w:tc>
          <w:tcPr>
            <w:tcW w:w="410" w:type="pct"/>
            <w:vAlign w:val="center"/>
          </w:tcPr>
          <w:p w14:paraId="6FD2AE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0.1387 </w:t>
            </w:r>
          </w:p>
        </w:tc>
        <w:tc>
          <w:tcPr>
            <w:tcW w:w="389" w:type="pct"/>
            <w:vAlign w:val="center"/>
          </w:tcPr>
          <w:p w14:paraId="007078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1F8D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71C98D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61" w:type="pct"/>
            <w:vAlign w:val="center"/>
          </w:tcPr>
          <w:p w14:paraId="5C46D00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56" w:type="pct"/>
            <w:vAlign w:val="center"/>
          </w:tcPr>
          <w:p w14:paraId="23A6821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04" w:type="pct"/>
            <w:vAlign w:val="center"/>
          </w:tcPr>
          <w:p w14:paraId="45DA84E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6B28664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0.038</w:t>
            </w:r>
          </w:p>
        </w:tc>
        <w:tc>
          <w:tcPr>
            <w:tcW w:w="405" w:type="pct"/>
            <w:vAlign w:val="center"/>
          </w:tcPr>
          <w:p w14:paraId="07E7C6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0.0010 </w:t>
            </w:r>
          </w:p>
        </w:tc>
        <w:tc>
          <w:tcPr>
            <w:tcW w:w="435" w:type="pct"/>
            <w:vAlign w:val="center"/>
          </w:tcPr>
          <w:p w14:paraId="61B6CBC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3CB482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0.044</w:t>
            </w:r>
          </w:p>
        </w:tc>
        <w:tc>
          <w:tcPr>
            <w:tcW w:w="441" w:type="pct"/>
            <w:vAlign w:val="center"/>
          </w:tcPr>
          <w:p w14:paraId="7408404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0.0012 </w:t>
            </w:r>
          </w:p>
        </w:tc>
        <w:tc>
          <w:tcPr>
            <w:tcW w:w="368" w:type="pct"/>
            <w:vAlign w:val="center"/>
          </w:tcPr>
          <w:p w14:paraId="7B9710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6D5293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0.041</w:t>
            </w:r>
          </w:p>
        </w:tc>
        <w:tc>
          <w:tcPr>
            <w:tcW w:w="410" w:type="pct"/>
            <w:vAlign w:val="center"/>
          </w:tcPr>
          <w:p w14:paraId="13E374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0.0011 </w:t>
            </w:r>
          </w:p>
        </w:tc>
        <w:tc>
          <w:tcPr>
            <w:tcW w:w="389" w:type="pct"/>
            <w:vAlign w:val="center"/>
          </w:tcPr>
          <w:p w14:paraId="18034EF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DF5D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52A8F61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61" w:type="pct"/>
            <w:vAlign w:val="center"/>
          </w:tcPr>
          <w:p w14:paraId="36F4BE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56" w:type="pct"/>
            <w:vAlign w:val="center"/>
          </w:tcPr>
          <w:p w14:paraId="664488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304" w:type="pct"/>
            <w:vAlign w:val="center"/>
          </w:tcPr>
          <w:p w14:paraId="6E2E09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7739F14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405" w:type="pct"/>
            <w:vAlign w:val="center"/>
          </w:tcPr>
          <w:p w14:paraId="04EA36D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0.0288 </w:t>
            </w:r>
          </w:p>
        </w:tc>
        <w:tc>
          <w:tcPr>
            <w:tcW w:w="435" w:type="pct"/>
            <w:vAlign w:val="center"/>
          </w:tcPr>
          <w:p w14:paraId="2846AE4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3A996B6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441" w:type="pct"/>
            <w:vAlign w:val="center"/>
          </w:tcPr>
          <w:p w14:paraId="2ABB42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0.0300 </w:t>
            </w:r>
          </w:p>
        </w:tc>
        <w:tc>
          <w:tcPr>
            <w:tcW w:w="368" w:type="pct"/>
            <w:vAlign w:val="center"/>
          </w:tcPr>
          <w:p w14:paraId="6CEAD6D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0841CF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410" w:type="pct"/>
            <w:vAlign w:val="center"/>
          </w:tcPr>
          <w:p w14:paraId="5FB4D0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0.0275 </w:t>
            </w:r>
          </w:p>
        </w:tc>
        <w:tc>
          <w:tcPr>
            <w:tcW w:w="389" w:type="pct"/>
            <w:vAlign w:val="center"/>
          </w:tcPr>
          <w:p w14:paraId="36A3335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34765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4B662C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61" w:type="pct"/>
            <w:vAlign w:val="center"/>
          </w:tcPr>
          <w:p w14:paraId="29BD32C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56" w:type="pct"/>
            <w:vAlign w:val="center"/>
          </w:tcPr>
          <w:p w14:paraId="5A50C7D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304" w:type="pct"/>
            <w:vAlign w:val="center"/>
          </w:tcPr>
          <w:p w14:paraId="68105A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566CCBF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0.19</w:t>
            </w:r>
          </w:p>
        </w:tc>
        <w:tc>
          <w:tcPr>
            <w:tcW w:w="405" w:type="pct"/>
            <w:vAlign w:val="center"/>
          </w:tcPr>
          <w:p w14:paraId="26D8EE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0.0029 </w:t>
            </w:r>
          </w:p>
        </w:tc>
        <w:tc>
          <w:tcPr>
            <w:tcW w:w="435" w:type="pct"/>
            <w:vAlign w:val="center"/>
          </w:tcPr>
          <w:p w14:paraId="6B514A7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8A376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0.22</w:t>
            </w:r>
          </w:p>
        </w:tc>
        <w:tc>
          <w:tcPr>
            <w:tcW w:w="441" w:type="pct"/>
            <w:vAlign w:val="center"/>
          </w:tcPr>
          <w:p w14:paraId="221724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0.0034 </w:t>
            </w:r>
          </w:p>
        </w:tc>
        <w:tc>
          <w:tcPr>
            <w:tcW w:w="368" w:type="pct"/>
            <w:vAlign w:val="center"/>
          </w:tcPr>
          <w:p w14:paraId="6CE0A66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015DB8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0.18</w:t>
            </w:r>
          </w:p>
        </w:tc>
        <w:tc>
          <w:tcPr>
            <w:tcW w:w="410" w:type="pct"/>
            <w:vAlign w:val="center"/>
          </w:tcPr>
          <w:p w14:paraId="038C5CC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0.0028 </w:t>
            </w:r>
          </w:p>
        </w:tc>
        <w:tc>
          <w:tcPr>
            <w:tcW w:w="389" w:type="pct"/>
            <w:vAlign w:val="center"/>
          </w:tcPr>
          <w:p w14:paraId="3ACF06D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5261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550120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61" w:type="pct"/>
            <w:vAlign w:val="center"/>
          </w:tcPr>
          <w:p w14:paraId="2748AE5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456" w:type="pct"/>
            <w:vAlign w:val="center"/>
          </w:tcPr>
          <w:p w14:paraId="2A54D8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04" w:type="pct"/>
            <w:vAlign w:val="center"/>
          </w:tcPr>
          <w:p w14:paraId="14130B7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39AA8D8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05" w:type="pct"/>
            <w:vAlign w:val="center"/>
          </w:tcPr>
          <w:p w14:paraId="5F040C3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39569A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A6135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41" w:type="pct"/>
            <w:vAlign w:val="center"/>
          </w:tcPr>
          <w:p w14:paraId="0E3EDF6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1D0CDAF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139153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10" w:type="pct"/>
            <w:vAlign w:val="center"/>
          </w:tcPr>
          <w:p w14:paraId="55EEBC0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42AF96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9077B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18CDB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61" w:type="pct"/>
            <w:vAlign w:val="center"/>
          </w:tcPr>
          <w:p w14:paraId="13D0312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56" w:type="pct"/>
            <w:vAlign w:val="center"/>
          </w:tcPr>
          <w:p w14:paraId="34FA791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18000</w:t>
            </w:r>
          </w:p>
        </w:tc>
        <w:tc>
          <w:tcPr>
            <w:tcW w:w="304" w:type="pct"/>
            <w:vAlign w:val="center"/>
          </w:tcPr>
          <w:p w14:paraId="0804371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24C34E3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405" w:type="pct"/>
            <w:vAlign w:val="center"/>
          </w:tcPr>
          <w:p w14:paraId="739D04D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0.0016 </w:t>
            </w:r>
          </w:p>
        </w:tc>
        <w:tc>
          <w:tcPr>
            <w:tcW w:w="435" w:type="pct"/>
            <w:vAlign w:val="center"/>
          </w:tcPr>
          <w:p w14:paraId="69CF6E4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5C77F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w:t>
            </w:r>
          </w:p>
        </w:tc>
        <w:tc>
          <w:tcPr>
            <w:tcW w:w="441" w:type="pct"/>
            <w:vAlign w:val="center"/>
          </w:tcPr>
          <w:p w14:paraId="617051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0.0016 </w:t>
            </w:r>
          </w:p>
        </w:tc>
        <w:tc>
          <w:tcPr>
            <w:tcW w:w="368" w:type="pct"/>
            <w:vAlign w:val="center"/>
          </w:tcPr>
          <w:p w14:paraId="2CEC464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7F51C27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10" w:type="pct"/>
            <w:vAlign w:val="center"/>
          </w:tcPr>
          <w:p w14:paraId="7E9DA4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0.0015 </w:t>
            </w:r>
          </w:p>
        </w:tc>
        <w:tc>
          <w:tcPr>
            <w:tcW w:w="389" w:type="pct"/>
            <w:vAlign w:val="center"/>
          </w:tcPr>
          <w:p w14:paraId="00C60DA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EADE7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3F081CA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61" w:type="pct"/>
            <w:vAlign w:val="center"/>
          </w:tcPr>
          <w:p w14:paraId="353F24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56" w:type="pct"/>
            <w:vAlign w:val="center"/>
          </w:tcPr>
          <w:p w14:paraId="526099A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304" w:type="pct"/>
            <w:vAlign w:val="center"/>
          </w:tcPr>
          <w:p w14:paraId="5EF47DC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648A25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405" w:type="pct"/>
            <w:vAlign w:val="center"/>
          </w:tcPr>
          <w:p w14:paraId="22D7AE5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0.0478 </w:t>
            </w:r>
          </w:p>
        </w:tc>
        <w:tc>
          <w:tcPr>
            <w:tcW w:w="435" w:type="pct"/>
            <w:vAlign w:val="center"/>
          </w:tcPr>
          <w:p w14:paraId="4747124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0C95C24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441" w:type="pct"/>
            <w:vAlign w:val="center"/>
          </w:tcPr>
          <w:p w14:paraId="684B01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0.0478 </w:t>
            </w:r>
          </w:p>
        </w:tc>
        <w:tc>
          <w:tcPr>
            <w:tcW w:w="368" w:type="pct"/>
            <w:vAlign w:val="center"/>
          </w:tcPr>
          <w:p w14:paraId="208082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7D235AD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410" w:type="pct"/>
            <w:vAlign w:val="center"/>
          </w:tcPr>
          <w:p w14:paraId="50615C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0.0467 </w:t>
            </w:r>
          </w:p>
        </w:tc>
        <w:tc>
          <w:tcPr>
            <w:tcW w:w="389" w:type="pct"/>
            <w:vAlign w:val="center"/>
          </w:tcPr>
          <w:p w14:paraId="4218061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085F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60993E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61" w:type="pct"/>
            <w:vAlign w:val="center"/>
          </w:tcPr>
          <w:p w14:paraId="720FEC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w:t>
            </w:r>
          </w:p>
        </w:tc>
        <w:tc>
          <w:tcPr>
            <w:tcW w:w="456" w:type="pct"/>
            <w:vAlign w:val="center"/>
          </w:tcPr>
          <w:p w14:paraId="67E191C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304" w:type="pct"/>
            <w:vAlign w:val="center"/>
          </w:tcPr>
          <w:p w14:paraId="53A1CA7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0E1354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405" w:type="pct"/>
            <w:vAlign w:val="center"/>
          </w:tcPr>
          <w:p w14:paraId="5AC512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0.0051 </w:t>
            </w:r>
          </w:p>
        </w:tc>
        <w:tc>
          <w:tcPr>
            <w:tcW w:w="435" w:type="pct"/>
            <w:vAlign w:val="center"/>
          </w:tcPr>
          <w:p w14:paraId="556D07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2B9FE5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441" w:type="pct"/>
            <w:vAlign w:val="center"/>
          </w:tcPr>
          <w:p w14:paraId="445F9F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0.0051 </w:t>
            </w:r>
          </w:p>
        </w:tc>
        <w:tc>
          <w:tcPr>
            <w:tcW w:w="368" w:type="pct"/>
            <w:vAlign w:val="center"/>
          </w:tcPr>
          <w:p w14:paraId="23837FC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06C8CC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410" w:type="pct"/>
            <w:vAlign w:val="center"/>
          </w:tcPr>
          <w:p w14:paraId="605F1B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0.0053 </w:t>
            </w:r>
          </w:p>
        </w:tc>
        <w:tc>
          <w:tcPr>
            <w:tcW w:w="389" w:type="pct"/>
            <w:vAlign w:val="center"/>
          </w:tcPr>
          <w:p w14:paraId="3BA33DC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2321A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2F16A86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1" w:type="pct"/>
            <w:vAlign w:val="center"/>
          </w:tcPr>
          <w:p w14:paraId="1348044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土壤盐分含量</w:t>
            </w:r>
          </w:p>
        </w:tc>
        <w:tc>
          <w:tcPr>
            <w:tcW w:w="456" w:type="pct"/>
            <w:vAlign w:val="center"/>
          </w:tcPr>
          <w:p w14:paraId="4CD8593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22E27C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g/kg</w:t>
            </w:r>
          </w:p>
        </w:tc>
        <w:tc>
          <w:tcPr>
            <w:tcW w:w="303" w:type="pct"/>
            <w:vAlign w:val="center"/>
          </w:tcPr>
          <w:p w14:paraId="65D4547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22.4</w:t>
            </w:r>
          </w:p>
        </w:tc>
        <w:tc>
          <w:tcPr>
            <w:tcW w:w="405" w:type="pct"/>
            <w:vAlign w:val="center"/>
          </w:tcPr>
          <w:p w14:paraId="1DB9AF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7786F4C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0F69BEB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17.6</w:t>
            </w:r>
          </w:p>
        </w:tc>
        <w:tc>
          <w:tcPr>
            <w:tcW w:w="441" w:type="pct"/>
            <w:vAlign w:val="center"/>
          </w:tcPr>
          <w:p w14:paraId="66C6BB3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7108F8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002131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25.6</w:t>
            </w:r>
          </w:p>
        </w:tc>
        <w:tc>
          <w:tcPr>
            <w:tcW w:w="410" w:type="pct"/>
            <w:vAlign w:val="center"/>
          </w:tcPr>
          <w:p w14:paraId="1472756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060D95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7401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4"/>
            <w:vAlign w:val="center"/>
          </w:tcPr>
          <w:p w14:paraId="6737804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S4</w:t>
            </w:r>
          </w:p>
        </w:tc>
      </w:tr>
      <w:tr w14:paraId="68FFB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5188868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61" w:type="pct"/>
            <w:vAlign w:val="center"/>
          </w:tcPr>
          <w:p w14:paraId="7D9E13F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56" w:type="pct"/>
            <w:vAlign w:val="center"/>
          </w:tcPr>
          <w:p w14:paraId="34705DD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55CCF8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3" w:type="pct"/>
            <w:vAlign w:val="center"/>
          </w:tcPr>
          <w:p w14:paraId="335395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7.93</w:t>
            </w:r>
          </w:p>
        </w:tc>
        <w:tc>
          <w:tcPr>
            <w:tcW w:w="405" w:type="pct"/>
            <w:vAlign w:val="center"/>
          </w:tcPr>
          <w:p w14:paraId="28979C7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5B5A210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2BB0D7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8.06</w:t>
            </w:r>
          </w:p>
        </w:tc>
        <w:tc>
          <w:tcPr>
            <w:tcW w:w="441" w:type="pct"/>
            <w:vAlign w:val="center"/>
          </w:tcPr>
          <w:p w14:paraId="3A45C6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21E645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1A10E7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8.1</w:t>
            </w:r>
          </w:p>
        </w:tc>
        <w:tc>
          <w:tcPr>
            <w:tcW w:w="410" w:type="pct"/>
            <w:vAlign w:val="center"/>
          </w:tcPr>
          <w:p w14:paraId="158AF02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0E2CD54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216A8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34BB8D6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61" w:type="pct"/>
            <w:vAlign w:val="center"/>
          </w:tcPr>
          <w:p w14:paraId="1A2D78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56" w:type="pct"/>
            <w:vAlign w:val="center"/>
          </w:tcPr>
          <w:p w14:paraId="5D6247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304" w:type="pct"/>
            <w:vAlign w:val="center"/>
          </w:tcPr>
          <w:p w14:paraId="1E5C46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54F8EF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8.28</w:t>
            </w:r>
          </w:p>
        </w:tc>
        <w:tc>
          <w:tcPr>
            <w:tcW w:w="405" w:type="pct"/>
            <w:vAlign w:val="center"/>
          </w:tcPr>
          <w:p w14:paraId="6D1A9EE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0.1380 </w:t>
            </w:r>
          </w:p>
        </w:tc>
        <w:tc>
          <w:tcPr>
            <w:tcW w:w="435" w:type="pct"/>
            <w:vAlign w:val="center"/>
          </w:tcPr>
          <w:p w14:paraId="314E41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2295B7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8.28</w:t>
            </w:r>
          </w:p>
        </w:tc>
        <w:tc>
          <w:tcPr>
            <w:tcW w:w="441" w:type="pct"/>
            <w:vAlign w:val="center"/>
          </w:tcPr>
          <w:p w14:paraId="27A68E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0.1380 </w:t>
            </w:r>
          </w:p>
        </w:tc>
        <w:tc>
          <w:tcPr>
            <w:tcW w:w="368" w:type="pct"/>
            <w:vAlign w:val="center"/>
          </w:tcPr>
          <w:p w14:paraId="3BAF7C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564B96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8.38</w:t>
            </w:r>
          </w:p>
        </w:tc>
        <w:tc>
          <w:tcPr>
            <w:tcW w:w="410" w:type="pct"/>
            <w:vAlign w:val="center"/>
          </w:tcPr>
          <w:p w14:paraId="2CDF70C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0.1397 </w:t>
            </w:r>
          </w:p>
        </w:tc>
        <w:tc>
          <w:tcPr>
            <w:tcW w:w="389" w:type="pct"/>
            <w:vAlign w:val="center"/>
          </w:tcPr>
          <w:p w14:paraId="12F6D3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E96B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5A42159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61" w:type="pct"/>
            <w:vAlign w:val="center"/>
          </w:tcPr>
          <w:p w14:paraId="34440A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56" w:type="pct"/>
            <w:vAlign w:val="center"/>
          </w:tcPr>
          <w:p w14:paraId="3161B08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04" w:type="pct"/>
            <w:vAlign w:val="center"/>
          </w:tcPr>
          <w:p w14:paraId="0BBE08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45DDD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0.071</w:t>
            </w:r>
          </w:p>
        </w:tc>
        <w:tc>
          <w:tcPr>
            <w:tcW w:w="405" w:type="pct"/>
            <w:vAlign w:val="center"/>
          </w:tcPr>
          <w:p w14:paraId="6FFFEAD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0.0019 </w:t>
            </w:r>
          </w:p>
        </w:tc>
        <w:tc>
          <w:tcPr>
            <w:tcW w:w="435" w:type="pct"/>
            <w:vAlign w:val="center"/>
          </w:tcPr>
          <w:p w14:paraId="47E18E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331749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441" w:type="pct"/>
            <w:vAlign w:val="center"/>
          </w:tcPr>
          <w:p w14:paraId="1F77434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0.0013 </w:t>
            </w:r>
          </w:p>
        </w:tc>
        <w:tc>
          <w:tcPr>
            <w:tcW w:w="368" w:type="pct"/>
            <w:vAlign w:val="center"/>
          </w:tcPr>
          <w:p w14:paraId="3D5D7D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46B0B88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0.034</w:t>
            </w:r>
          </w:p>
        </w:tc>
        <w:tc>
          <w:tcPr>
            <w:tcW w:w="410" w:type="pct"/>
            <w:vAlign w:val="center"/>
          </w:tcPr>
          <w:p w14:paraId="04A3173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0.0009 </w:t>
            </w:r>
          </w:p>
        </w:tc>
        <w:tc>
          <w:tcPr>
            <w:tcW w:w="389" w:type="pct"/>
            <w:vAlign w:val="center"/>
          </w:tcPr>
          <w:p w14:paraId="7FBD5C9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E6FB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689E9C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61" w:type="pct"/>
            <w:vAlign w:val="center"/>
          </w:tcPr>
          <w:p w14:paraId="43DB28B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56" w:type="pct"/>
            <w:vAlign w:val="center"/>
          </w:tcPr>
          <w:p w14:paraId="49B542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304" w:type="pct"/>
            <w:vAlign w:val="center"/>
          </w:tcPr>
          <w:p w14:paraId="49D6620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07AB8A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w:t>
            </w:r>
          </w:p>
        </w:tc>
        <w:tc>
          <w:tcPr>
            <w:tcW w:w="405" w:type="pct"/>
            <w:vAlign w:val="center"/>
          </w:tcPr>
          <w:p w14:paraId="3F099A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0.0263 </w:t>
            </w:r>
          </w:p>
        </w:tc>
        <w:tc>
          <w:tcPr>
            <w:tcW w:w="435" w:type="pct"/>
            <w:vAlign w:val="center"/>
          </w:tcPr>
          <w:p w14:paraId="6E67F3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4EE10F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41" w:type="pct"/>
            <w:vAlign w:val="center"/>
          </w:tcPr>
          <w:p w14:paraId="5C0CAF1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0.0325 </w:t>
            </w:r>
          </w:p>
        </w:tc>
        <w:tc>
          <w:tcPr>
            <w:tcW w:w="368" w:type="pct"/>
            <w:vAlign w:val="center"/>
          </w:tcPr>
          <w:p w14:paraId="6DA6C2E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318FE9D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410" w:type="pct"/>
            <w:vAlign w:val="center"/>
          </w:tcPr>
          <w:p w14:paraId="7909BE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0.0300 </w:t>
            </w:r>
          </w:p>
        </w:tc>
        <w:tc>
          <w:tcPr>
            <w:tcW w:w="389" w:type="pct"/>
            <w:vAlign w:val="center"/>
          </w:tcPr>
          <w:p w14:paraId="05EE9FA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7193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F10DF2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61" w:type="pct"/>
            <w:vAlign w:val="center"/>
          </w:tcPr>
          <w:p w14:paraId="154E60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56" w:type="pct"/>
            <w:vAlign w:val="center"/>
          </w:tcPr>
          <w:p w14:paraId="7AE7F6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304" w:type="pct"/>
            <w:vAlign w:val="center"/>
          </w:tcPr>
          <w:p w14:paraId="2FF106A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C9805D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405" w:type="pct"/>
            <w:vAlign w:val="center"/>
          </w:tcPr>
          <w:p w14:paraId="7F25ABA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0.0031 </w:t>
            </w:r>
          </w:p>
        </w:tc>
        <w:tc>
          <w:tcPr>
            <w:tcW w:w="435" w:type="pct"/>
            <w:vAlign w:val="center"/>
          </w:tcPr>
          <w:p w14:paraId="6337F51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74C3880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0.23</w:t>
            </w:r>
          </w:p>
        </w:tc>
        <w:tc>
          <w:tcPr>
            <w:tcW w:w="441" w:type="pct"/>
            <w:vAlign w:val="center"/>
          </w:tcPr>
          <w:p w14:paraId="0C46E9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0.0035 </w:t>
            </w:r>
          </w:p>
        </w:tc>
        <w:tc>
          <w:tcPr>
            <w:tcW w:w="368" w:type="pct"/>
            <w:vAlign w:val="center"/>
          </w:tcPr>
          <w:p w14:paraId="17752BB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051A419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0.21</w:t>
            </w:r>
          </w:p>
        </w:tc>
        <w:tc>
          <w:tcPr>
            <w:tcW w:w="410" w:type="pct"/>
            <w:vAlign w:val="center"/>
          </w:tcPr>
          <w:p w14:paraId="5B53870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0.0032 </w:t>
            </w:r>
          </w:p>
        </w:tc>
        <w:tc>
          <w:tcPr>
            <w:tcW w:w="389" w:type="pct"/>
            <w:vAlign w:val="center"/>
          </w:tcPr>
          <w:p w14:paraId="2E7059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AC850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DFF4F6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61" w:type="pct"/>
            <w:vAlign w:val="center"/>
          </w:tcPr>
          <w:p w14:paraId="16956B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456" w:type="pct"/>
            <w:vAlign w:val="center"/>
          </w:tcPr>
          <w:p w14:paraId="7D43FBC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04" w:type="pct"/>
            <w:vAlign w:val="center"/>
          </w:tcPr>
          <w:p w14:paraId="341E5E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C0ED0D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05" w:type="pct"/>
            <w:vAlign w:val="center"/>
          </w:tcPr>
          <w:p w14:paraId="2F6DA2D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1C0BEAF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1040F0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41" w:type="pct"/>
            <w:vAlign w:val="center"/>
          </w:tcPr>
          <w:p w14:paraId="264AB2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1ABE4FD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209B19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10" w:type="pct"/>
            <w:vAlign w:val="center"/>
          </w:tcPr>
          <w:p w14:paraId="18EFAA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3D7E211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C8E0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61B2691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61" w:type="pct"/>
            <w:vAlign w:val="center"/>
          </w:tcPr>
          <w:p w14:paraId="1475932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56" w:type="pct"/>
            <w:vAlign w:val="center"/>
          </w:tcPr>
          <w:p w14:paraId="7D9C3C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18000</w:t>
            </w:r>
          </w:p>
        </w:tc>
        <w:tc>
          <w:tcPr>
            <w:tcW w:w="304" w:type="pct"/>
            <w:vAlign w:val="center"/>
          </w:tcPr>
          <w:p w14:paraId="6DB7BD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3CDE38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05" w:type="pct"/>
            <w:vAlign w:val="center"/>
          </w:tcPr>
          <w:p w14:paraId="343ADC0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0.0015 </w:t>
            </w:r>
          </w:p>
        </w:tc>
        <w:tc>
          <w:tcPr>
            <w:tcW w:w="435" w:type="pct"/>
            <w:vAlign w:val="center"/>
          </w:tcPr>
          <w:p w14:paraId="5116C8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7209B6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441" w:type="pct"/>
            <w:vAlign w:val="center"/>
          </w:tcPr>
          <w:p w14:paraId="79B570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0.0016 </w:t>
            </w:r>
          </w:p>
        </w:tc>
        <w:tc>
          <w:tcPr>
            <w:tcW w:w="368" w:type="pct"/>
            <w:vAlign w:val="center"/>
          </w:tcPr>
          <w:p w14:paraId="40A1C7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95F68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410" w:type="pct"/>
            <w:vAlign w:val="center"/>
          </w:tcPr>
          <w:p w14:paraId="7C41FB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0.0017 </w:t>
            </w:r>
          </w:p>
        </w:tc>
        <w:tc>
          <w:tcPr>
            <w:tcW w:w="389" w:type="pct"/>
            <w:vAlign w:val="center"/>
          </w:tcPr>
          <w:p w14:paraId="0A47B8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4A10B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6EED239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61" w:type="pct"/>
            <w:vAlign w:val="center"/>
          </w:tcPr>
          <w:p w14:paraId="1A7C06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56" w:type="pct"/>
            <w:vAlign w:val="center"/>
          </w:tcPr>
          <w:p w14:paraId="23065CA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304" w:type="pct"/>
            <w:vAlign w:val="center"/>
          </w:tcPr>
          <w:p w14:paraId="461CED6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5ECD2D0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41</w:t>
            </w:r>
          </w:p>
        </w:tc>
        <w:tc>
          <w:tcPr>
            <w:tcW w:w="405" w:type="pct"/>
            <w:vAlign w:val="center"/>
          </w:tcPr>
          <w:p w14:paraId="0044B1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0.0456 </w:t>
            </w:r>
          </w:p>
        </w:tc>
        <w:tc>
          <w:tcPr>
            <w:tcW w:w="435" w:type="pct"/>
            <w:vAlign w:val="center"/>
          </w:tcPr>
          <w:p w14:paraId="6661B8D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DFC7B9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441" w:type="pct"/>
            <w:vAlign w:val="center"/>
          </w:tcPr>
          <w:p w14:paraId="6A1DA77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0.0500 </w:t>
            </w:r>
          </w:p>
        </w:tc>
        <w:tc>
          <w:tcPr>
            <w:tcW w:w="368" w:type="pct"/>
            <w:vAlign w:val="center"/>
          </w:tcPr>
          <w:p w14:paraId="0EAE84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580ECDA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410" w:type="pct"/>
            <w:vAlign w:val="center"/>
          </w:tcPr>
          <w:p w14:paraId="4AF49B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0.0489 </w:t>
            </w:r>
          </w:p>
        </w:tc>
        <w:tc>
          <w:tcPr>
            <w:tcW w:w="389" w:type="pct"/>
            <w:vAlign w:val="center"/>
          </w:tcPr>
          <w:p w14:paraId="2504CF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377FC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713F2E2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61" w:type="pct"/>
            <w:vAlign w:val="center"/>
          </w:tcPr>
          <w:p w14:paraId="1FDB8AA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w:t>
            </w:r>
          </w:p>
        </w:tc>
        <w:tc>
          <w:tcPr>
            <w:tcW w:w="456" w:type="pct"/>
            <w:vAlign w:val="center"/>
          </w:tcPr>
          <w:p w14:paraId="446310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304" w:type="pct"/>
            <w:vAlign w:val="center"/>
          </w:tcPr>
          <w:p w14:paraId="278BEE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3E38E9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405" w:type="pct"/>
            <w:vAlign w:val="center"/>
          </w:tcPr>
          <w:p w14:paraId="2873FF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0.0056 </w:t>
            </w:r>
          </w:p>
        </w:tc>
        <w:tc>
          <w:tcPr>
            <w:tcW w:w="435" w:type="pct"/>
            <w:vAlign w:val="center"/>
          </w:tcPr>
          <w:p w14:paraId="050D2F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65EAED6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41" w:type="pct"/>
            <w:vAlign w:val="center"/>
          </w:tcPr>
          <w:p w14:paraId="00A204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0.0058 </w:t>
            </w:r>
          </w:p>
        </w:tc>
        <w:tc>
          <w:tcPr>
            <w:tcW w:w="368" w:type="pct"/>
            <w:vAlign w:val="center"/>
          </w:tcPr>
          <w:p w14:paraId="629731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5D4B615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410" w:type="pct"/>
            <w:vAlign w:val="center"/>
          </w:tcPr>
          <w:p w14:paraId="2FE324E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0.0044 </w:t>
            </w:r>
          </w:p>
        </w:tc>
        <w:tc>
          <w:tcPr>
            <w:tcW w:w="389" w:type="pct"/>
            <w:vAlign w:val="center"/>
          </w:tcPr>
          <w:p w14:paraId="380B458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8BA9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4D17EE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1" w:type="pct"/>
            <w:vAlign w:val="center"/>
          </w:tcPr>
          <w:p w14:paraId="2A2AF86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土壤盐分含量</w:t>
            </w:r>
          </w:p>
        </w:tc>
        <w:tc>
          <w:tcPr>
            <w:tcW w:w="456" w:type="pct"/>
            <w:vAlign w:val="center"/>
          </w:tcPr>
          <w:p w14:paraId="4D882D5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7C3FEC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g/kg</w:t>
            </w:r>
          </w:p>
        </w:tc>
        <w:tc>
          <w:tcPr>
            <w:tcW w:w="303" w:type="pct"/>
            <w:vAlign w:val="center"/>
          </w:tcPr>
          <w:p w14:paraId="3B57FD7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22.1</w:t>
            </w:r>
          </w:p>
        </w:tc>
        <w:tc>
          <w:tcPr>
            <w:tcW w:w="405" w:type="pct"/>
            <w:vAlign w:val="center"/>
          </w:tcPr>
          <w:p w14:paraId="39A395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53A640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2C1358F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14.2</w:t>
            </w:r>
          </w:p>
        </w:tc>
        <w:tc>
          <w:tcPr>
            <w:tcW w:w="441" w:type="pct"/>
            <w:vAlign w:val="center"/>
          </w:tcPr>
          <w:p w14:paraId="7D47FC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4DB46A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1D578D1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12.9</w:t>
            </w:r>
          </w:p>
        </w:tc>
        <w:tc>
          <w:tcPr>
            <w:tcW w:w="410" w:type="pct"/>
            <w:vAlign w:val="center"/>
          </w:tcPr>
          <w:p w14:paraId="42CD5C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5B5B4D8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7F37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4"/>
            <w:vAlign w:val="center"/>
          </w:tcPr>
          <w:p w14:paraId="09485B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S5</w:t>
            </w:r>
          </w:p>
        </w:tc>
      </w:tr>
      <w:tr w14:paraId="73CAFF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35854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61" w:type="pct"/>
            <w:vAlign w:val="center"/>
          </w:tcPr>
          <w:p w14:paraId="3EB5A59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56" w:type="pct"/>
            <w:vAlign w:val="center"/>
          </w:tcPr>
          <w:p w14:paraId="599DD6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1743DE7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3" w:type="pct"/>
            <w:vAlign w:val="center"/>
          </w:tcPr>
          <w:p w14:paraId="21B936F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8.05</w:t>
            </w:r>
          </w:p>
        </w:tc>
        <w:tc>
          <w:tcPr>
            <w:tcW w:w="405" w:type="pct"/>
            <w:vAlign w:val="center"/>
          </w:tcPr>
          <w:p w14:paraId="597F92F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0E365F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56F8CEC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7.88</w:t>
            </w:r>
          </w:p>
        </w:tc>
        <w:tc>
          <w:tcPr>
            <w:tcW w:w="441" w:type="pct"/>
            <w:vAlign w:val="center"/>
          </w:tcPr>
          <w:p w14:paraId="2221F9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0C7015E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4304294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7.98</w:t>
            </w:r>
          </w:p>
        </w:tc>
        <w:tc>
          <w:tcPr>
            <w:tcW w:w="410" w:type="pct"/>
            <w:vAlign w:val="center"/>
          </w:tcPr>
          <w:p w14:paraId="11B0B97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43C83CA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4C1E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4DB2D3C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61" w:type="pct"/>
            <w:vAlign w:val="center"/>
          </w:tcPr>
          <w:p w14:paraId="60730F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56" w:type="pct"/>
            <w:vAlign w:val="center"/>
          </w:tcPr>
          <w:p w14:paraId="392E056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304" w:type="pct"/>
            <w:vAlign w:val="center"/>
          </w:tcPr>
          <w:p w14:paraId="3592A6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561C74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7.89</w:t>
            </w:r>
          </w:p>
        </w:tc>
        <w:tc>
          <w:tcPr>
            <w:tcW w:w="405" w:type="pct"/>
            <w:vAlign w:val="center"/>
          </w:tcPr>
          <w:p w14:paraId="1CB8B35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0.1315 </w:t>
            </w:r>
          </w:p>
        </w:tc>
        <w:tc>
          <w:tcPr>
            <w:tcW w:w="435" w:type="pct"/>
            <w:vAlign w:val="center"/>
          </w:tcPr>
          <w:p w14:paraId="74C5ABA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E583B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8.65</w:t>
            </w:r>
          </w:p>
        </w:tc>
        <w:tc>
          <w:tcPr>
            <w:tcW w:w="441" w:type="pct"/>
            <w:vAlign w:val="center"/>
          </w:tcPr>
          <w:p w14:paraId="79F18E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0.1442 </w:t>
            </w:r>
          </w:p>
        </w:tc>
        <w:tc>
          <w:tcPr>
            <w:tcW w:w="368" w:type="pct"/>
            <w:vAlign w:val="center"/>
          </w:tcPr>
          <w:p w14:paraId="42F3BA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B4BAA4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8.41</w:t>
            </w:r>
          </w:p>
        </w:tc>
        <w:tc>
          <w:tcPr>
            <w:tcW w:w="410" w:type="pct"/>
            <w:vAlign w:val="center"/>
          </w:tcPr>
          <w:p w14:paraId="40D110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0.1402 </w:t>
            </w:r>
          </w:p>
        </w:tc>
        <w:tc>
          <w:tcPr>
            <w:tcW w:w="389" w:type="pct"/>
            <w:vAlign w:val="center"/>
          </w:tcPr>
          <w:p w14:paraId="2F7133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42AC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3E482EE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61" w:type="pct"/>
            <w:vAlign w:val="center"/>
          </w:tcPr>
          <w:p w14:paraId="723B19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56" w:type="pct"/>
            <w:vAlign w:val="center"/>
          </w:tcPr>
          <w:p w14:paraId="60483A3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04" w:type="pct"/>
            <w:vAlign w:val="center"/>
          </w:tcPr>
          <w:p w14:paraId="4DEECD9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5D52D44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0.037</w:t>
            </w:r>
          </w:p>
        </w:tc>
        <w:tc>
          <w:tcPr>
            <w:tcW w:w="405" w:type="pct"/>
            <w:vAlign w:val="center"/>
          </w:tcPr>
          <w:p w14:paraId="4DA5A1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0.0010 </w:t>
            </w:r>
          </w:p>
        </w:tc>
        <w:tc>
          <w:tcPr>
            <w:tcW w:w="435" w:type="pct"/>
            <w:vAlign w:val="center"/>
          </w:tcPr>
          <w:p w14:paraId="663AF7F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7F46FD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0.038</w:t>
            </w:r>
          </w:p>
        </w:tc>
        <w:tc>
          <w:tcPr>
            <w:tcW w:w="441" w:type="pct"/>
            <w:vAlign w:val="center"/>
          </w:tcPr>
          <w:p w14:paraId="618235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0.0010 </w:t>
            </w:r>
          </w:p>
        </w:tc>
        <w:tc>
          <w:tcPr>
            <w:tcW w:w="368" w:type="pct"/>
            <w:vAlign w:val="center"/>
          </w:tcPr>
          <w:p w14:paraId="5B5A8F6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3C3C038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0.029</w:t>
            </w:r>
          </w:p>
        </w:tc>
        <w:tc>
          <w:tcPr>
            <w:tcW w:w="410" w:type="pct"/>
            <w:vAlign w:val="center"/>
          </w:tcPr>
          <w:p w14:paraId="6560838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0.0008 </w:t>
            </w:r>
          </w:p>
        </w:tc>
        <w:tc>
          <w:tcPr>
            <w:tcW w:w="389" w:type="pct"/>
            <w:vAlign w:val="center"/>
          </w:tcPr>
          <w:p w14:paraId="42A3777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21D06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496334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61" w:type="pct"/>
            <w:vAlign w:val="center"/>
          </w:tcPr>
          <w:p w14:paraId="7DD85D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56" w:type="pct"/>
            <w:vAlign w:val="center"/>
          </w:tcPr>
          <w:p w14:paraId="709855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304" w:type="pct"/>
            <w:vAlign w:val="center"/>
          </w:tcPr>
          <w:p w14:paraId="1F1F260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902D5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405" w:type="pct"/>
            <w:vAlign w:val="center"/>
          </w:tcPr>
          <w:p w14:paraId="4CB42C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0.0300 </w:t>
            </w:r>
          </w:p>
        </w:tc>
        <w:tc>
          <w:tcPr>
            <w:tcW w:w="435" w:type="pct"/>
            <w:vAlign w:val="center"/>
          </w:tcPr>
          <w:p w14:paraId="372AE0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02E5E9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441" w:type="pct"/>
            <w:vAlign w:val="center"/>
          </w:tcPr>
          <w:p w14:paraId="494BCD9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0.0313 </w:t>
            </w:r>
          </w:p>
        </w:tc>
        <w:tc>
          <w:tcPr>
            <w:tcW w:w="368" w:type="pct"/>
            <w:vAlign w:val="center"/>
          </w:tcPr>
          <w:p w14:paraId="7C1ADEF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2DE7A0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10" w:type="pct"/>
            <w:vAlign w:val="center"/>
          </w:tcPr>
          <w:p w14:paraId="29F832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0.0325 </w:t>
            </w:r>
          </w:p>
        </w:tc>
        <w:tc>
          <w:tcPr>
            <w:tcW w:w="389" w:type="pct"/>
            <w:vAlign w:val="center"/>
          </w:tcPr>
          <w:p w14:paraId="31AB42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EF478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7E7E29F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61" w:type="pct"/>
            <w:vAlign w:val="center"/>
          </w:tcPr>
          <w:p w14:paraId="491DC61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56" w:type="pct"/>
            <w:vAlign w:val="center"/>
          </w:tcPr>
          <w:p w14:paraId="16466C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304" w:type="pct"/>
            <w:vAlign w:val="center"/>
          </w:tcPr>
          <w:p w14:paraId="26C8D0A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0F8C0B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0.23</w:t>
            </w:r>
          </w:p>
        </w:tc>
        <w:tc>
          <w:tcPr>
            <w:tcW w:w="405" w:type="pct"/>
            <w:vAlign w:val="center"/>
          </w:tcPr>
          <w:p w14:paraId="62066C4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0.0035 </w:t>
            </w:r>
          </w:p>
        </w:tc>
        <w:tc>
          <w:tcPr>
            <w:tcW w:w="435" w:type="pct"/>
            <w:vAlign w:val="center"/>
          </w:tcPr>
          <w:p w14:paraId="2B75797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4C10DE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0.25</w:t>
            </w:r>
          </w:p>
        </w:tc>
        <w:tc>
          <w:tcPr>
            <w:tcW w:w="441" w:type="pct"/>
            <w:vAlign w:val="center"/>
          </w:tcPr>
          <w:p w14:paraId="0D3F9B6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0.0038 </w:t>
            </w:r>
          </w:p>
        </w:tc>
        <w:tc>
          <w:tcPr>
            <w:tcW w:w="368" w:type="pct"/>
            <w:vAlign w:val="center"/>
          </w:tcPr>
          <w:p w14:paraId="5C38BC1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0795A99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0.26</w:t>
            </w:r>
          </w:p>
        </w:tc>
        <w:tc>
          <w:tcPr>
            <w:tcW w:w="410" w:type="pct"/>
            <w:vAlign w:val="center"/>
          </w:tcPr>
          <w:p w14:paraId="13988F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0.0040 </w:t>
            </w:r>
          </w:p>
        </w:tc>
        <w:tc>
          <w:tcPr>
            <w:tcW w:w="389" w:type="pct"/>
            <w:vAlign w:val="center"/>
          </w:tcPr>
          <w:p w14:paraId="5ED651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E7B7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63BE86F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61" w:type="pct"/>
            <w:vAlign w:val="center"/>
          </w:tcPr>
          <w:p w14:paraId="1F4D40E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456" w:type="pct"/>
            <w:vAlign w:val="center"/>
          </w:tcPr>
          <w:p w14:paraId="71BF78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04" w:type="pct"/>
            <w:vAlign w:val="center"/>
          </w:tcPr>
          <w:p w14:paraId="5987EB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E72303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05" w:type="pct"/>
            <w:vAlign w:val="center"/>
          </w:tcPr>
          <w:p w14:paraId="0DB0C7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51EB46A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A020F7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41" w:type="pct"/>
            <w:vAlign w:val="center"/>
          </w:tcPr>
          <w:p w14:paraId="4C192FA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7D464C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0D00D99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10" w:type="pct"/>
            <w:vAlign w:val="center"/>
          </w:tcPr>
          <w:p w14:paraId="74A92F9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19932EE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AC1B0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222DB7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61" w:type="pct"/>
            <w:vAlign w:val="center"/>
          </w:tcPr>
          <w:p w14:paraId="4EEC935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56" w:type="pct"/>
            <w:vAlign w:val="center"/>
          </w:tcPr>
          <w:p w14:paraId="64DE01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18000</w:t>
            </w:r>
          </w:p>
        </w:tc>
        <w:tc>
          <w:tcPr>
            <w:tcW w:w="304" w:type="pct"/>
            <w:vAlign w:val="center"/>
          </w:tcPr>
          <w:p w14:paraId="33F1EC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631981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405" w:type="pct"/>
            <w:vAlign w:val="center"/>
          </w:tcPr>
          <w:p w14:paraId="6478BF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0.0016 </w:t>
            </w:r>
          </w:p>
        </w:tc>
        <w:tc>
          <w:tcPr>
            <w:tcW w:w="435" w:type="pct"/>
            <w:vAlign w:val="center"/>
          </w:tcPr>
          <w:p w14:paraId="075AE4F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50E9AC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41" w:type="pct"/>
            <w:vAlign w:val="center"/>
          </w:tcPr>
          <w:p w14:paraId="5C5527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0.0015 </w:t>
            </w:r>
          </w:p>
        </w:tc>
        <w:tc>
          <w:tcPr>
            <w:tcW w:w="368" w:type="pct"/>
            <w:vAlign w:val="center"/>
          </w:tcPr>
          <w:p w14:paraId="49C703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72E785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10" w:type="pct"/>
            <w:vAlign w:val="center"/>
          </w:tcPr>
          <w:p w14:paraId="370544B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0.0014 </w:t>
            </w:r>
          </w:p>
        </w:tc>
        <w:tc>
          <w:tcPr>
            <w:tcW w:w="389" w:type="pct"/>
            <w:vAlign w:val="center"/>
          </w:tcPr>
          <w:p w14:paraId="602A1D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C187D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399DD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61" w:type="pct"/>
            <w:vAlign w:val="center"/>
          </w:tcPr>
          <w:p w14:paraId="40D90E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56" w:type="pct"/>
            <w:vAlign w:val="center"/>
          </w:tcPr>
          <w:p w14:paraId="621DBF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304" w:type="pct"/>
            <w:vAlign w:val="center"/>
          </w:tcPr>
          <w:p w14:paraId="2A5446C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7E2B63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405" w:type="pct"/>
            <w:vAlign w:val="center"/>
          </w:tcPr>
          <w:p w14:paraId="6187D7D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0.0467 </w:t>
            </w:r>
          </w:p>
        </w:tc>
        <w:tc>
          <w:tcPr>
            <w:tcW w:w="435" w:type="pct"/>
            <w:vAlign w:val="center"/>
          </w:tcPr>
          <w:p w14:paraId="337012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6D853F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441" w:type="pct"/>
            <w:vAlign w:val="center"/>
          </w:tcPr>
          <w:p w14:paraId="2BD2E7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0.0478 </w:t>
            </w:r>
          </w:p>
        </w:tc>
        <w:tc>
          <w:tcPr>
            <w:tcW w:w="368" w:type="pct"/>
            <w:vAlign w:val="center"/>
          </w:tcPr>
          <w:p w14:paraId="5502E50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6B191C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410" w:type="pct"/>
            <w:vAlign w:val="center"/>
          </w:tcPr>
          <w:p w14:paraId="3D5DB3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0.0467 </w:t>
            </w:r>
          </w:p>
        </w:tc>
        <w:tc>
          <w:tcPr>
            <w:tcW w:w="389" w:type="pct"/>
            <w:vAlign w:val="center"/>
          </w:tcPr>
          <w:p w14:paraId="4ECA25C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226CA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295EC9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61" w:type="pct"/>
            <w:vAlign w:val="center"/>
          </w:tcPr>
          <w:p w14:paraId="1CA1DF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w:t>
            </w:r>
          </w:p>
        </w:tc>
        <w:tc>
          <w:tcPr>
            <w:tcW w:w="456" w:type="pct"/>
            <w:vAlign w:val="center"/>
          </w:tcPr>
          <w:p w14:paraId="0915923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304" w:type="pct"/>
            <w:vAlign w:val="center"/>
          </w:tcPr>
          <w:p w14:paraId="1B97815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E4A421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05" w:type="pct"/>
            <w:vAlign w:val="center"/>
          </w:tcPr>
          <w:p w14:paraId="21D5875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0.0058 </w:t>
            </w:r>
          </w:p>
        </w:tc>
        <w:tc>
          <w:tcPr>
            <w:tcW w:w="435" w:type="pct"/>
            <w:vAlign w:val="center"/>
          </w:tcPr>
          <w:p w14:paraId="17B6673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BA30C9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w:t>
            </w:r>
          </w:p>
        </w:tc>
        <w:tc>
          <w:tcPr>
            <w:tcW w:w="441" w:type="pct"/>
            <w:vAlign w:val="center"/>
          </w:tcPr>
          <w:p w14:paraId="4927B6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0.0042 </w:t>
            </w:r>
          </w:p>
        </w:tc>
        <w:tc>
          <w:tcPr>
            <w:tcW w:w="368" w:type="pct"/>
            <w:vAlign w:val="center"/>
          </w:tcPr>
          <w:p w14:paraId="1382FA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22D7FE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410" w:type="pct"/>
            <w:vAlign w:val="center"/>
          </w:tcPr>
          <w:p w14:paraId="534EB9B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0.0056 </w:t>
            </w:r>
          </w:p>
        </w:tc>
        <w:tc>
          <w:tcPr>
            <w:tcW w:w="389" w:type="pct"/>
            <w:vAlign w:val="center"/>
          </w:tcPr>
          <w:p w14:paraId="0E37EA5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4B3BA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753EEC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1" w:type="pct"/>
            <w:vAlign w:val="center"/>
          </w:tcPr>
          <w:p w14:paraId="09F900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土壤盐分含量</w:t>
            </w:r>
          </w:p>
        </w:tc>
        <w:tc>
          <w:tcPr>
            <w:tcW w:w="456" w:type="pct"/>
            <w:vAlign w:val="center"/>
          </w:tcPr>
          <w:p w14:paraId="309CC3A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090A6B0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g/kg</w:t>
            </w:r>
          </w:p>
        </w:tc>
        <w:tc>
          <w:tcPr>
            <w:tcW w:w="303" w:type="pct"/>
            <w:vAlign w:val="center"/>
          </w:tcPr>
          <w:p w14:paraId="6FB7EBF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19.9</w:t>
            </w:r>
          </w:p>
        </w:tc>
        <w:tc>
          <w:tcPr>
            <w:tcW w:w="405" w:type="pct"/>
            <w:vAlign w:val="center"/>
          </w:tcPr>
          <w:p w14:paraId="7DE3499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138A821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43AE7A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17.4</w:t>
            </w:r>
          </w:p>
        </w:tc>
        <w:tc>
          <w:tcPr>
            <w:tcW w:w="441" w:type="pct"/>
            <w:vAlign w:val="center"/>
          </w:tcPr>
          <w:p w14:paraId="179158C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3E06A0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1F39FEC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11.2</w:t>
            </w:r>
          </w:p>
        </w:tc>
        <w:tc>
          <w:tcPr>
            <w:tcW w:w="410" w:type="pct"/>
            <w:vAlign w:val="center"/>
          </w:tcPr>
          <w:p w14:paraId="0EF034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302CE0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63FB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 w:type="pct"/>
            <w:vAlign w:val="center"/>
          </w:tcPr>
          <w:p w14:paraId="3DF4FB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61" w:type="pct"/>
            <w:vAlign w:val="center"/>
          </w:tcPr>
          <w:p w14:paraId="7A53179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6" w:type="pct"/>
            <w:vAlign w:val="center"/>
          </w:tcPr>
          <w:p w14:paraId="60BD37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55F4D77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45" w:type="pct"/>
            <w:gridSpan w:val="3"/>
            <w:vAlign w:val="center"/>
          </w:tcPr>
          <w:p w14:paraId="2CFBCF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S6(0m～0.2m)</w:t>
            </w:r>
          </w:p>
        </w:tc>
        <w:tc>
          <w:tcPr>
            <w:tcW w:w="1186" w:type="pct"/>
            <w:gridSpan w:val="3"/>
            <w:vAlign w:val="center"/>
          </w:tcPr>
          <w:p w14:paraId="534E43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S7(0m～0.2m)</w:t>
            </w:r>
          </w:p>
        </w:tc>
        <w:tc>
          <w:tcPr>
            <w:tcW w:w="1145" w:type="pct"/>
            <w:gridSpan w:val="4"/>
            <w:vAlign w:val="center"/>
          </w:tcPr>
          <w:p w14:paraId="7C76D7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S8(0m～0.2m)</w:t>
            </w:r>
          </w:p>
        </w:tc>
      </w:tr>
      <w:tr w14:paraId="634F04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47615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61" w:type="pct"/>
            <w:vAlign w:val="center"/>
          </w:tcPr>
          <w:p w14:paraId="4116766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56" w:type="pct"/>
            <w:vAlign w:val="center"/>
          </w:tcPr>
          <w:p w14:paraId="15C8085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35F56FD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3" w:type="pct"/>
            <w:vAlign w:val="center"/>
          </w:tcPr>
          <w:p w14:paraId="23D04A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8.09</w:t>
            </w:r>
          </w:p>
        </w:tc>
        <w:tc>
          <w:tcPr>
            <w:tcW w:w="405" w:type="pct"/>
            <w:vAlign w:val="center"/>
          </w:tcPr>
          <w:p w14:paraId="08C0F7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6DE3A1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50BF0C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8.57</w:t>
            </w:r>
          </w:p>
        </w:tc>
        <w:tc>
          <w:tcPr>
            <w:tcW w:w="441" w:type="pct"/>
            <w:vAlign w:val="center"/>
          </w:tcPr>
          <w:p w14:paraId="4C496E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381B39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076B76F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7.81</w:t>
            </w:r>
          </w:p>
        </w:tc>
        <w:tc>
          <w:tcPr>
            <w:tcW w:w="410" w:type="pct"/>
            <w:vAlign w:val="center"/>
          </w:tcPr>
          <w:p w14:paraId="40BEA7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6D369D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C53F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697EBB1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61" w:type="pct"/>
            <w:vAlign w:val="center"/>
          </w:tcPr>
          <w:p w14:paraId="3DDB699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56" w:type="pct"/>
            <w:vAlign w:val="center"/>
          </w:tcPr>
          <w:p w14:paraId="256FC89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304" w:type="pct"/>
            <w:vAlign w:val="center"/>
          </w:tcPr>
          <w:p w14:paraId="4C6E00F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33272C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9.24</w:t>
            </w:r>
          </w:p>
        </w:tc>
        <w:tc>
          <w:tcPr>
            <w:tcW w:w="405" w:type="pct"/>
            <w:vAlign w:val="center"/>
          </w:tcPr>
          <w:p w14:paraId="00E0AD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0.1540 </w:t>
            </w:r>
          </w:p>
        </w:tc>
        <w:tc>
          <w:tcPr>
            <w:tcW w:w="435" w:type="pct"/>
            <w:vAlign w:val="center"/>
          </w:tcPr>
          <w:p w14:paraId="466A78F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7DB000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9.98</w:t>
            </w:r>
          </w:p>
        </w:tc>
        <w:tc>
          <w:tcPr>
            <w:tcW w:w="441" w:type="pct"/>
            <w:vAlign w:val="center"/>
          </w:tcPr>
          <w:p w14:paraId="640130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0.1663 </w:t>
            </w:r>
          </w:p>
        </w:tc>
        <w:tc>
          <w:tcPr>
            <w:tcW w:w="368" w:type="pct"/>
            <w:vAlign w:val="center"/>
          </w:tcPr>
          <w:p w14:paraId="1C9D42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580F27A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7.08</w:t>
            </w:r>
          </w:p>
        </w:tc>
        <w:tc>
          <w:tcPr>
            <w:tcW w:w="410" w:type="pct"/>
            <w:vAlign w:val="center"/>
          </w:tcPr>
          <w:p w14:paraId="5870813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0.1180 </w:t>
            </w:r>
          </w:p>
        </w:tc>
        <w:tc>
          <w:tcPr>
            <w:tcW w:w="389" w:type="pct"/>
            <w:vAlign w:val="center"/>
          </w:tcPr>
          <w:p w14:paraId="6F18FA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B7DF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2D3BAE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61" w:type="pct"/>
            <w:vAlign w:val="center"/>
          </w:tcPr>
          <w:p w14:paraId="65B1DE8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56" w:type="pct"/>
            <w:vAlign w:val="center"/>
          </w:tcPr>
          <w:p w14:paraId="73B308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04" w:type="pct"/>
            <w:vAlign w:val="center"/>
          </w:tcPr>
          <w:p w14:paraId="366B7B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545B246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w:t>
            </w:r>
          </w:p>
        </w:tc>
        <w:tc>
          <w:tcPr>
            <w:tcW w:w="405" w:type="pct"/>
            <w:vAlign w:val="center"/>
          </w:tcPr>
          <w:p w14:paraId="478FE54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0.0011 </w:t>
            </w:r>
          </w:p>
        </w:tc>
        <w:tc>
          <w:tcPr>
            <w:tcW w:w="435" w:type="pct"/>
            <w:vAlign w:val="center"/>
          </w:tcPr>
          <w:p w14:paraId="765C6D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2E944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0.055</w:t>
            </w:r>
          </w:p>
        </w:tc>
        <w:tc>
          <w:tcPr>
            <w:tcW w:w="441" w:type="pct"/>
            <w:vAlign w:val="center"/>
          </w:tcPr>
          <w:p w14:paraId="59FF094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0.0014 </w:t>
            </w:r>
          </w:p>
        </w:tc>
        <w:tc>
          <w:tcPr>
            <w:tcW w:w="368" w:type="pct"/>
            <w:vAlign w:val="center"/>
          </w:tcPr>
          <w:p w14:paraId="281319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7FD255E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0.027</w:t>
            </w:r>
          </w:p>
        </w:tc>
        <w:tc>
          <w:tcPr>
            <w:tcW w:w="410" w:type="pct"/>
            <w:vAlign w:val="center"/>
          </w:tcPr>
          <w:p w14:paraId="43360C6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0.0007 </w:t>
            </w:r>
          </w:p>
        </w:tc>
        <w:tc>
          <w:tcPr>
            <w:tcW w:w="389" w:type="pct"/>
            <w:vAlign w:val="center"/>
          </w:tcPr>
          <w:p w14:paraId="0B86BF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35CB1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3AB748C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61" w:type="pct"/>
            <w:vAlign w:val="center"/>
          </w:tcPr>
          <w:p w14:paraId="246F8E1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56" w:type="pct"/>
            <w:vAlign w:val="center"/>
          </w:tcPr>
          <w:p w14:paraId="66AA46F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304" w:type="pct"/>
            <w:vAlign w:val="center"/>
          </w:tcPr>
          <w:p w14:paraId="2D7075C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E6402A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405" w:type="pct"/>
            <w:vAlign w:val="center"/>
          </w:tcPr>
          <w:p w14:paraId="6DC792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0.0200 </w:t>
            </w:r>
          </w:p>
        </w:tc>
        <w:tc>
          <w:tcPr>
            <w:tcW w:w="435" w:type="pct"/>
            <w:vAlign w:val="center"/>
          </w:tcPr>
          <w:p w14:paraId="1C49F2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BFA8F3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41" w:type="pct"/>
            <w:vAlign w:val="center"/>
          </w:tcPr>
          <w:p w14:paraId="36555EF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0.0338 </w:t>
            </w:r>
          </w:p>
        </w:tc>
        <w:tc>
          <w:tcPr>
            <w:tcW w:w="368" w:type="pct"/>
            <w:vAlign w:val="center"/>
          </w:tcPr>
          <w:p w14:paraId="0428FAB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332798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410" w:type="pct"/>
            <w:vAlign w:val="center"/>
          </w:tcPr>
          <w:p w14:paraId="112455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0.0300 </w:t>
            </w:r>
          </w:p>
        </w:tc>
        <w:tc>
          <w:tcPr>
            <w:tcW w:w="389" w:type="pct"/>
            <w:vAlign w:val="center"/>
          </w:tcPr>
          <w:p w14:paraId="39ED658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05F0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760CA43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61" w:type="pct"/>
            <w:vAlign w:val="center"/>
          </w:tcPr>
          <w:p w14:paraId="5E046F4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56" w:type="pct"/>
            <w:vAlign w:val="center"/>
          </w:tcPr>
          <w:p w14:paraId="6B2DD18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304" w:type="pct"/>
            <w:vAlign w:val="center"/>
          </w:tcPr>
          <w:p w14:paraId="57CC26F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DFFEC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0.26</w:t>
            </w:r>
          </w:p>
        </w:tc>
        <w:tc>
          <w:tcPr>
            <w:tcW w:w="405" w:type="pct"/>
            <w:vAlign w:val="center"/>
          </w:tcPr>
          <w:p w14:paraId="6E3060F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0.0040 </w:t>
            </w:r>
          </w:p>
        </w:tc>
        <w:tc>
          <w:tcPr>
            <w:tcW w:w="435" w:type="pct"/>
            <w:vAlign w:val="center"/>
          </w:tcPr>
          <w:p w14:paraId="5103BD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177CD65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0.32</w:t>
            </w:r>
          </w:p>
        </w:tc>
        <w:tc>
          <w:tcPr>
            <w:tcW w:w="441" w:type="pct"/>
            <w:vAlign w:val="center"/>
          </w:tcPr>
          <w:p w14:paraId="2B37988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0.0049 </w:t>
            </w:r>
          </w:p>
        </w:tc>
        <w:tc>
          <w:tcPr>
            <w:tcW w:w="368" w:type="pct"/>
            <w:vAlign w:val="center"/>
          </w:tcPr>
          <w:p w14:paraId="0EE3537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4206406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0.36</w:t>
            </w:r>
          </w:p>
        </w:tc>
        <w:tc>
          <w:tcPr>
            <w:tcW w:w="410" w:type="pct"/>
            <w:vAlign w:val="center"/>
          </w:tcPr>
          <w:p w14:paraId="04E12AB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0.0055 </w:t>
            </w:r>
          </w:p>
        </w:tc>
        <w:tc>
          <w:tcPr>
            <w:tcW w:w="389" w:type="pct"/>
            <w:vAlign w:val="center"/>
          </w:tcPr>
          <w:p w14:paraId="4D2FDD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23A36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9031A0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61" w:type="pct"/>
            <w:vAlign w:val="center"/>
          </w:tcPr>
          <w:p w14:paraId="270937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456" w:type="pct"/>
            <w:vAlign w:val="center"/>
          </w:tcPr>
          <w:p w14:paraId="27B2AB2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04" w:type="pct"/>
            <w:vAlign w:val="center"/>
          </w:tcPr>
          <w:p w14:paraId="0C5DCCC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58558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05" w:type="pct"/>
            <w:vAlign w:val="center"/>
          </w:tcPr>
          <w:p w14:paraId="67AEF2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3D8989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607D772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41" w:type="pct"/>
            <w:vAlign w:val="center"/>
          </w:tcPr>
          <w:p w14:paraId="4851117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691918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02CA8E3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10" w:type="pct"/>
            <w:vAlign w:val="center"/>
          </w:tcPr>
          <w:p w14:paraId="2FBDFF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26FB500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0E10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5E41D0F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61" w:type="pct"/>
            <w:vAlign w:val="center"/>
          </w:tcPr>
          <w:p w14:paraId="1DFA2E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56" w:type="pct"/>
            <w:vAlign w:val="center"/>
          </w:tcPr>
          <w:p w14:paraId="21D8D87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18000</w:t>
            </w:r>
          </w:p>
        </w:tc>
        <w:tc>
          <w:tcPr>
            <w:tcW w:w="304" w:type="pct"/>
            <w:vAlign w:val="center"/>
          </w:tcPr>
          <w:p w14:paraId="16F5807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634DF4E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405" w:type="pct"/>
            <w:vAlign w:val="center"/>
          </w:tcPr>
          <w:p w14:paraId="40B9FB9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0.0014 </w:t>
            </w:r>
          </w:p>
        </w:tc>
        <w:tc>
          <w:tcPr>
            <w:tcW w:w="435" w:type="pct"/>
            <w:vAlign w:val="center"/>
          </w:tcPr>
          <w:p w14:paraId="39F4D0D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7FFD19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441" w:type="pct"/>
            <w:vAlign w:val="center"/>
          </w:tcPr>
          <w:p w14:paraId="2BCC24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0.0018 </w:t>
            </w:r>
          </w:p>
        </w:tc>
        <w:tc>
          <w:tcPr>
            <w:tcW w:w="368" w:type="pct"/>
            <w:vAlign w:val="center"/>
          </w:tcPr>
          <w:p w14:paraId="518FF1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A2AA9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410" w:type="pct"/>
            <w:vAlign w:val="center"/>
          </w:tcPr>
          <w:p w14:paraId="71A2D5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0.0019 </w:t>
            </w:r>
          </w:p>
        </w:tc>
        <w:tc>
          <w:tcPr>
            <w:tcW w:w="389" w:type="pct"/>
            <w:vAlign w:val="center"/>
          </w:tcPr>
          <w:p w14:paraId="0EE34BD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CFCF3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3D3255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61" w:type="pct"/>
            <w:vAlign w:val="center"/>
          </w:tcPr>
          <w:p w14:paraId="264D18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56" w:type="pct"/>
            <w:vAlign w:val="center"/>
          </w:tcPr>
          <w:p w14:paraId="76C157F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304" w:type="pct"/>
            <w:vAlign w:val="center"/>
          </w:tcPr>
          <w:p w14:paraId="725991B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7137658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405" w:type="pct"/>
            <w:vAlign w:val="center"/>
          </w:tcPr>
          <w:p w14:paraId="753FD73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0.0422 </w:t>
            </w:r>
          </w:p>
        </w:tc>
        <w:tc>
          <w:tcPr>
            <w:tcW w:w="435" w:type="pct"/>
            <w:vAlign w:val="center"/>
          </w:tcPr>
          <w:p w14:paraId="2D3069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353B966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441" w:type="pct"/>
            <w:vAlign w:val="center"/>
          </w:tcPr>
          <w:p w14:paraId="4A05D67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0.0478 </w:t>
            </w:r>
          </w:p>
        </w:tc>
        <w:tc>
          <w:tcPr>
            <w:tcW w:w="368" w:type="pct"/>
            <w:vAlign w:val="center"/>
          </w:tcPr>
          <w:p w14:paraId="5D01866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E8DB1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410" w:type="pct"/>
            <w:vAlign w:val="center"/>
          </w:tcPr>
          <w:p w14:paraId="3CDF49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0.0478 </w:t>
            </w:r>
          </w:p>
        </w:tc>
        <w:tc>
          <w:tcPr>
            <w:tcW w:w="389" w:type="pct"/>
            <w:vAlign w:val="center"/>
          </w:tcPr>
          <w:p w14:paraId="5D02517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89C4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4F077D0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61" w:type="pct"/>
            <w:vAlign w:val="center"/>
          </w:tcPr>
          <w:p w14:paraId="6D55033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w:t>
            </w:r>
          </w:p>
        </w:tc>
        <w:tc>
          <w:tcPr>
            <w:tcW w:w="456" w:type="pct"/>
            <w:vAlign w:val="center"/>
          </w:tcPr>
          <w:p w14:paraId="7168FD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304" w:type="pct"/>
            <w:vAlign w:val="center"/>
          </w:tcPr>
          <w:p w14:paraId="63E0F4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812FEF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w:t>
            </w:r>
          </w:p>
        </w:tc>
        <w:tc>
          <w:tcPr>
            <w:tcW w:w="405" w:type="pct"/>
            <w:vAlign w:val="center"/>
          </w:tcPr>
          <w:p w14:paraId="1BCC54F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0.0064 </w:t>
            </w:r>
          </w:p>
        </w:tc>
        <w:tc>
          <w:tcPr>
            <w:tcW w:w="435" w:type="pct"/>
            <w:vAlign w:val="center"/>
          </w:tcPr>
          <w:p w14:paraId="08E3B47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28FDA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441" w:type="pct"/>
            <w:vAlign w:val="center"/>
          </w:tcPr>
          <w:p w14:paraId="03BC731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0.0049 </w:t>
            </w:r>
          </w:p>
        </w:tc>
        <w:tc>
          <w:tcPr>
            <w:tcW w:w="368" w:type="pct"/>
            <w:vAlign w:val="center"/>
          </w:tcPr>
          <w:p w14:paraId="6F977F0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21F256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410" w:type="pct"/>
            <w:vAlign w:val="center"/>
          </w:tcPr>
          <w:p w14:paraId="68EDC75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0.0038 </w:t>
            </w:r>
          </w:p>
        </w:tc>
        <w:tc>
          <w:tcPr>
            <w:tcW w:w="389" w:type="pct"/>
            <w:vAlign w:val="center"/>
          </w:tcPr>
          <w:p w14:paraId="05062A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839B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7ECC107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1" w:type="pct"/>
            <w:vAlign w:val="center"/>
          </w:tcPr>
          <w:p w14:paraId="75A06E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土壤盐分含量</w:t>
            </w:r>
          </w:p>
        </w:tc>
        <w:tc>
          <w:tcPr>
            <w:tcW w:w="456" w:type="pct"/>
            <w:vAlign w:val="center"/>
          </w:tcPr>
          <w:p w14:paraId="26AE04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7CF000A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g/kg</w:t>
            </w:r>
          </w:p>
        </w:tc>
        <w:tc>
          <w:tcPr>
            <w:tcW w:w="303" w:type="pct"/>
            <w:vAlign w:val="center"/>
          </w:tcPr>
          <w:p w14:paraId="1E5642E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28.8</w:t>
            </w:r>
          </w:p>
        </w:tc>
        <w:tc>
          <w:tcPr>
            <w:tcW w:w="405" w:type="pct"/>
            <w:vAlign w:val="center"/>
          </w:tcPr>
          <w:p w14:paraId="6E50E31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3024E7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12CD888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441" w:type="pct"/>
            <w:vAlign w:val="center"/>
          </w:tcPr>
          <w:p w14:paraId="71FB42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4F22414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702FC03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14.5</w:t>
            </w:r>
          </w:p>
        </w:tc>
        <w:tc>
          <w:tcPr>
            <w:tcW w:w="410" w:type="pct"/>
            <w:vAlign w:val="center"/>
          </w:tcPr>
          <w:p w14:paraId="72EE2C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3636327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D5AF7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 w:type="pct"/>
            <w:vAlign w:val="center"/>
          </w:tcPr>
          <w:p w14:paraId="384658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61" w:type="pct"/>
            <w:vAlign w:val="center"/>
          </w:tcPr>
          <w:p w14:paraId="7DB696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6" w:type="pct"/>
            <w:vAlign w:val="center"/>
          </w:tcPr>
          <w:p w14:paraId="60A9679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5DF9021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45" w:type="pct"/>
            <w:gridSpan w:val="3"/>
            <w:vAlign w:val="center"/>
          </w:tcPr>
          <w:p w14:paraId="34D344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S9(0m～0.2m)</w:t>
            </w:r>
          </w:p>
        </w:tc>
        <w:tc>
          <w:tcPr>
            <w:tcW w:w="1186" w:type="pct"/>
            <w:gridSpan w:val="3"/>
            <w:vAlign w:val="center"/>
          </w:tcPr>
          <w:p w14:paraId="27F478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S10(0m～0.2m)</w:t>
            </w:r>
          </w:p>
        </w:tc>
        <w:tc>
          <w:tcPr>
            <w:tcW w:w="1145" w:type="pct"/>
            <w:gridSpan w:val="4"/>
            <w:vAlign w:val="center"/>
          </w:tcPr>
          <w:p w14:paraId="68C309C7">
            <w:pPr>
              <w:pStyle w:val="210"/>
              <w:rPr>
                <w:rFonts w:hint="eastAsia"/>
                <w:color w:val="000000" w:themeColor="text1"/>
                <w14:textFill>
                  <w14:solidFill>
                    <w14:schemeClr w14:val="tx1"/>
                  </w14:solidFill>
                </w14:textFill>
              </w:rPr>
            </w:pPr>
          </w:p>
        </w:tc>
      </w:tr>
      <w:tr w14:paraId="39010F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45DE6BA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61" w:type="pct"/>
            <w:vAlign w:val="center"/>
          </w:tcPr>
          <w:p w14:paraId="00D460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56" w:type="pct"/>
            <w:vAlign w:val="center"/>
          </w:tcPr>
          <w:p w14:paraId="6E9813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5B21E1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3" w:type="pct"/>
            <w:vAlign w:val="center"/>
          </w:tcPr>
          <w:p w14:paraId="3DE534D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8.54</w:t>
            </w:r>
          </w:p>
        </w:tc>
        <w:tc>
          <w:tcPr>
            <w:tcW w:w="405" w:type="pct"/>
            <w:vAlign w:val="center"/>
          </w:tcPr>
          <w:p w14:paraId="1D29CE1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67D5017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71A6A8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8.72</w:t>
            </w:r>
          </w:p>
        </w:tc>
        <w:tc>
          <w:tcPr>
            <w:tcW w:w="441" w:type="pct"/>
            <w:vAlign w:val="center"/>
          </w:tcPr>
          <w:p w14:paraId="2198F2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039492E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75D43EFE">
            <w:pPr>
              <w:pStyle w:val="210"/>
              <w:rPr>
                <w:rFonts w:hint="eastAsia"/>
                <w:color w:val="000000" w:themeColor="text1"/>
                <w14:textFill>
                  <w14:solidFill>
                    <w14:schemeClr w14:val="tx1"/>
                  </w14:solidFill>
                </w14:textFill>
              </w:rPr>
            </w:pPr>
          </w:p>
        </w:tc>
        <w:tc>
          <w:tcPr>
            <w:tcW w:w="410" w:type="pct"/>
            <w:vAlign w:val="center"/>
          </w:tcPr>
          <w:p w14:paraId="6A819460">
            <w:pPr>
              <w:pStyle w:val="210"/>
              <w:rPr>
                <w:rFonts w:hint="eastAsia"/>
                <w:color w:val="000000" w:themeColor="text1"/>
                <w14:textFill>
                  <w14:solidFill>
                    <w14:schemeClr w14:val="tx1"/>
                  </w14:solidFill>
                </w14:textFill>
              </w:rPr>
            </w:pPr>
          </w:p>
        </w:tc>
        <w:tc>
          <w:tcPr>
            <w:tcW w:w="389" w:type="pct"/>
            <w:vAlign w:val="center"/>
          </w:tcPr>
          <w:p w14:paraId="08261BB1">
            <w:pPr>
              <w:pStyle w:val="210"/>
              <w:rPr>
                <w:rFonts w:hint="eastAsia"/>
                <w:color w:val="000000" w:themeColor="text1"/>
                <w14:textFill>
                  <w14:solidFill>
                    <w14:schemeClr w14:val="tx1"/>
                  </w14:solidFill>
                </w14:textFill>
              </w:rPr>
            </w:pPr>
          </w:p>
        </w:tc>
      </w:tr>
      <w:tr w14:paraId="6AC4B4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78C0203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61" w:type="pct"/>
            <w:vAlign w:val="center"/>
          </w:tcPr>
          <w:p w14:paraId="7DA0002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56" w:type="pct"/>
            <w:vAlign w:val="center"/>
          </w:tcPr>
          <w:p w14:paraId="7E3361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304" w:type="pct"/>
            <w:vAlign w:val="center"/>
          </w:tcPr>
          <w:p w14:paraId="144118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2061E1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8.63</w:t>
            </w:r>
          </w:p>
        </w:tc>
        <w:tc>
          <w:tcPr>
            <w:tcW w:w="405" w:type="pct"/>
            <w:vAlign w:val="center"/>
          </w:tcPr>
          <w:p w14:paraId="661B2B7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0.1438 </w:t>
            </w:r>
          </w:p>
        </w:tc>
        <w:tc>
          <w:tcPr>
            <w:tcW w:w="435" w:type="pct"/>
            <w:vAlign w:val="center"/>
          </w:tcPr>
          <w:p w14:paraId="3B6080D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003B08C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8.25</w:t>
            </w:r>
          </w:p>
        </w:tc>
        <w:tc>
          <w:tcPr>
            <w:tcW w:w="441" w:type="pct"/>
            <w:vAlign w:val="center"/>
          </w:tcPr>
          <w:p w14:paraId="73CB8F6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0.1375 </w:t>
            </w:r>
          </w:p>
        </w:tc>
        <w:tc>
          <w:tcPr>
            <w:tcW w:w="368" w:type="pct"/>
            <w:vAlign w:val="center"/>
          </w:tcPr>
          <w:p w14:paraId="6348701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6D009072">
            <w:pPr>
              <w:pStyle w:val="210"/>
              <w:rPr>
                <w:rFonts w:hint="eastAsia"/>
                <w:color w:val="000000" w:themeColor="text1"/>
                <w14:textFill>
                  <w14:solidFill>
                    <w14:schemeClr w14:val="tx1"/>
                  </w14:solidFill>
                </w14:textFill>
              </w:rPr>
            </w:pPr>
          </w:p>
        </w:tc>
        <w:tc>
          <w:tcPr>
            <w:tcW w:w="410" w:type="pct"/>
            <w:vAlign w:val="center"/>
          </w:tcPr>
          <w:p w14:paraId="49B255CE">
            <w:pPr>
              <w:pStyle w:val="210"/>
              <w:rPr>
                <w:rFonts w:hint="eastAsia"/>
                <w:color w:val="000000" w:themeColor="text1"/>
                <w14:textFill>
                  <w14:solidFill>
                    <w14:schemeClr w14:val="tx1"/>
                  </w14:solidFill>
                </w14:textFill>
              </w:rPr>
            </w:pPr>
          </w:p>
        </w:tc>
        <w:tc>
          <w:tcPr>
            <w:tcW w:w="389" w:type="pct"/>
            <w:vAlign w:val="center"/>
          </w:tcPr>
          <w:p w14:paraId="5992AB5B">
            <w:pPr>
              <w:pStyle w:val="210"/>
              <w:rPr>
                <w:rFonts w:hint="eastAsia"/>
                <w:color w:val="000000" w:themeColor="text1"/>
                <w14:textFill>
                  <w14:solidFill>
                    <w14:schemeClr w14:val="tx1"/>
                  </w14:solidFill>
                </w14:textFill>
              </w:rPr>
            </w:pPr>
          </w:p>
        </w:tc>
      </w:tr>
      <w:tr w14:paraId="26360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17608C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61" w:type="pct"/>
            <w:vAlign w:val="center"/>
          </w:tcPr>
          <w:p w14:paraId="6E0A53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56" w:type="pct"/>
            <w:vAlign w:val="center"/>
          </w:tcPr>
          <w:p w14:paraId="1D41CAE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04" w:type="pct"/>
            <w:vAlign w:val="center"/>
          </w:tcPr>
          <w:p w14:paraId="00115DF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354F0EC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0.059</w:t>
            </w:r>
          </w:p>
        </w:tc>
        <w:tc>
          <w:tcPr>
            <w:tcW w:w="405" w:type="pct"/>
            <w:vAlign w:val="center"/>
          </w:tcPr>
          <w:p w14:paraId="34F76C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0.0016 </w:t>
            </w:r>
          </w:p>
        </w:tc>
        <w:tc>
          <w:tcPr>
            <w:tcW w:w="435" w:type="pct"/>
            <w:vAlign w:val="center"/>
          </w:tcPr>
          <w:p w14:paraId="13168B0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62E17E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0.077</w:t>
            </w:r>
          </w:p>
        </w:tc>
        <w:tc>
          <w:tcPr>
            <w:tcW w:w="441" w:type="pct"/>
            <w:vAlign w:val="center"/>
          </w:tcPr>
          <w:p w14:paraId="7FD08C4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0.0020 </w:t>
            </w:r>
          </w:p>
        </w:tc>
        <w:tc>
          <w:tcPr>
            <w:tcW w:w="368" w:type="pct"/>
            <w:vAlign w:val="center"/>
          </w:tcPr>
          <w:p w14:paraId="7EA1F1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25CB2096">
            <w:pPr>
              <w:pStyle w:val="210"/>
              <w:rPr>
                <w:rFonts w:hint="eastAsia"/>
                <w:color w:val="000000" w:themeColor="text1"/>
                <w14:textFill>
                  <w14:solidFill>
                    <w14:schemeClr w14:val="tx1"/>
                  </w14:solidFill>
                </w14:textFill>
              </w:rPr>
            </w:pPr>
          </w:p>
        </w:tc>
        <w:tc>
          <w:tcPr>
            <w:tcW w:w="410" w:type="pct"/>
            <w:vAlign w:val="center"/>
          </w:tcPr>
          <w:p w14:paraId="7CADEE55">
            <w:pPr>
              <w:pStyle w:val="210"/>
              <w:rPr>
                <w:rFonts w:hint="eastAsia"/>
                <w:color w:val="000000" w:themeColor="text1"/>
                <w14:textFill>
                  <w14:solidFill>
                    <w14:schemeClr w14:val="tx1"/>
                  </w14:solidFill>
                </w14:textFill>
              </w:rPr>
            </w:pPr>
          </w:p>
        </w:tc>
        <w:tc>
          <w:tcPr>
            <w:tcW w:w="389" w:type="pct"/>
            <w:vAlign w:val="center"/>
          </w:tcPr>
          <w:p w14:paraId="379D3CE6">
            <w:pPr>
              <w:pStyle w:val="210"/>
              <w:rPr>
                <w:rFonts w:hint="eastAsia"/>
                <w:color w:val="000000" w:themeColor="text1"/>
                <w14:textFill>
                  <w14:solidFill>
                    <w14:schemeClr w14:val="tx1"/>
                  </w14:solidFill>
                </w14:textFill>
              </w:rPr>
            </w:pPr>
          </w:p>
        </w:tc>
      </w:tr>
      <w:tr w14:paraId="113DBA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2B118C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61" w:type="pct"/>
            <w:vAlign w:val="center"/>
          </w:tcPr>
          <w:p w14:paraId="5F10815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56" w:type="pct"/>
            <w:vAlign w:val="center"/>
          </w:tcPr>
          <w:p w14:paraId="173F4B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304" w:type="pct"/>
            <w:vAlign w:val="center"/>
          </w:tcPr>
          <w:p w14:paraId="7243AD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297467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05" w:type="pct"/>
            <w:vAlign w:val="center"/>
          </w:tcPr>
          <w:p w14:paraId="71B8D2D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0.0325 </w:t>
            </w:r>
          </w:p>
        </w:tc>
        <w:tc>
          <w:tcPr>
            <w:tcW w:w="435" w:type="pct"/>
            <w:vAlign w:val="center"/>
          </w:tcPr>
          <w:p w14:paraId="5A7E9C1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637DBF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41" w:type="pct"/>
            <w:vAlign w:val="center"/>
          </w:tcPr>
          <w:p w14:paraId="67FEDE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0.0338 </w:t>
            </w:r>
          </w:p>
        </w:tc>
        <w:tc>
          <w:tcPr>
            <w:tcW w:w="368" w:type="pct"/>
            <w:vAlign w:val="center"/>
          </w:tcPr>
          <w:p w14:paraId="37B1C9C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3A958CFD">
            <w:pPr>
              <w:pStyle w:val="210"/>
              <w:rPr>
                <w:rFonts w:hint="eastAsia"/>
                <w:color w:val="000000" w:themeColor="text1"/>
                <w14:textFill>
                  <w14:solidFill>
                    <w14:schemeClr w14:val="tx1"/>
                  </w14:solidFill>
                </w14:textFill>
              </w:rPr>
            </w:pPr>
          </w:p>
        </w:tc>
        <w:tc>
          <w:tcPr>
            <w:tcW w:w="410" w:type="pct"/>
            <w:vAlign w:val="center"/>
          </w:tcPr>
          <w:p w14:paraId="164E8F45">
            <w:pPr>
              <w:pStyle w:val="210"/>
              <w:rPr>
                <w:rFonts w:hint="eastAsia"/>
                <w:color w:val="000000" w:themeColor="text1"/>
                <w14:textFill>
                  <w14:solidFill>
                    <w14:schemeClr w14:val="tx1"/>
                  </w14:solidFill>
                </w14:textFill>
              </w:rPr>
            </w:pPr>
          </w:p>
        </w:tc>
        <w:tc>
          <w:tcPr>
            <w:tcW w:w="389" w:type="pct"/>
            <w:vAlign w:val="center"/>
          </w:tcPr>
          <w:p w14:paraId="5EDAF6DF">
            <w:pPr>
              <w:pStyle w:val="210"/>
              <w:rPr>
                <w:rFonts w:hint="eastAsia"/>
                <w:color w:val="000000" w:themeColor="text1"/>
                <w14:textFill>
                  <w14:solidFill>
                    <w14:schemeClr w14:val="tx1"/>
                  </w14:solidFill>
                </w14:textFill>
              </w:rPr>
            </w:pPr>
          </w:p>
        </w:tc>
      </w:tr>
      <w:tr w14:paraId="389D5C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82F6D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61" w:type="pct"/>
            <w:vAlign w:val="center"/>
          </w:tcPr>
          <w:p w14:paraId="1E91E5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56" w:type="pct"/>
            <w:vAlign w:val="center"/>
          </w:tcPr>
          <w:p w14:paraId="5E155A5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304" w:type="pct"/>
            <w:vAlign w:val="center"/>
          </w:tcPr>
          <w:p w14:paraId="7437800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036ED1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0.38</w:t>
            </w:r>
          </w:p>
        </w:tc>
        <w:tc>
          <w:tcPr>
            <w:tcW w:w="405" w:type="pct"/>
            <w:vAlign w:val="center"/>
          </w:tcPr>
          <w:p w14:paraId="2631C0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0.0058 </w:t>
            </w:r>
          </w:p>
        </w:tc>
        <w:tc>
          <w:tcPr>
            <w:tcW w:w="435" w:type="pct"/>
            <w:vAlign w:val="center"/>
          </w:tcPr>
          <w:p w14:paraId="5DB89CD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0E6593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0.36</w:t>
            </w:r>
          </w:p>
        </w:tc>
        <w:tc>
          <w:tcPr>
            <w:tcW w:w="441" w:type="pct"/>
            <w:vAlign w:val="center"/>
          </w:tcPr>
          <w:p w14:paraId="69CE484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0.0055 </w:t>
            </w:r>
          </w:p>
        </w:tc>
        <w:tc>
          <w:tcPr>
            <w:tcW w:w="368" w:type="pct"/>
            <w:vAlign w:val="center"/>
          </w:tcPr>
          <w:p w14:paraId="29B8943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291A6DC0">
            <w:pPr>
              <w:pStyle w:val="210"/>
              <w:rPr>
                <w:rFonts w:hint="eastAsia"/>
                <w:color w:val="000000" w:themeColor="text1"/>
                <w14:textFill>
                  <w14:solidFill>
                    <w14:schemeClr w14:val="tx1"/>
                  </w14:solidFill>
                </w14:textFill>
              </w:rPr>
            </w:pPr>
          </w:p>
        </w:tc>
        <w:tc>
          <w:tcPr>
            <w:tcW w:w="410" w:type="pct"/>
            <w:vAlign w:val="center"/>
          </w:tcPr>
          <w:p w14:paraId="75F136F0">
            <w:pPr>
              <w:pStyle w:val="210"/>
              <w:rPr>
                <w:rFonts w:hint="eastAsia"/>
                <w:color w:val="000000" w:themeColor="text1"/>
                <w14:textFill>
                  <w14:solidFill>
                    <w14:schemeClr w14:val="tx1"/>
                  </w14:solidFill>
                </w14:textFill>
              </w:rPr>
            </w:pPr>
          </w:p>
        </w:tc>
        <w:tc>
          <w:tcPr>
            <w:tcW w:w="389" w:type="pct"/>
            <w:vAlign w:val="center"/>
          </w:tcPr>
          <w:p w14:paraId="41D58D5F">
            <w:pPr>
              <w:pStyle w:val="210"/>
              <w:rPr>
                <w:rFonts w:hint="eastAsia"/>
                <w:color w:val="000000" w:themeColor="text1"/>
                <w14:textFill>
                  <w14:solidFill>
                    <w14:schemeClr w14:val="tx1"/>
                  </w14:solidFill>
                </w14:textFill>
              </w:rPr>
            </w:pPr>
          </w:p>
        </w:tc>
      </w:tr>
      <w:tr w14:paraId="77C8A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7FF6A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61" w:type="pct"/>
            <w:vAlign w:val="center"/>
          </w:tcPr>
          <w:p w14:paraId="6C95C0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六价铬</w:t>
            </w:r>
          </w:p>
        </w:tc>
        <w:tc>
          <w:tcPr>
            <w:tcW w:w="456" w:type="pct"/>
            <w:vAlign w:val="center"/>
          </w:tcPr>
          <w:p w14:paraId="48147C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04" w:type="pct"/>
            <w:vAlign w:val="center"/>
          </w:tcPr>
          <w:p w14:paraId="5506BB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7E578E7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05" w:type="pct"/>
            <w:vAlign w:val="center"/>
          </w:tcPr>
          <w:p w14:paraId="000203D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685A0C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618C0F8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0.5L</w:t>
            </w:r>
          </w:p>
        </w:tc>
        <w:tc>
          <w:tcPr>
            <w:tcW w:w="441" w:type="pct"/>
            <w:vAlign w:val="center"/>
          </w:tcPr>
          <w:p w14:paraId="553BC0F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7065F2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1206E39D">
            <w:pPr>
              <w:pStyle w:val="210"/>
              <w:rPr>
                <w:rFonts w:hint="eastAsia"/>
                <w:color w:val="000000" w:themeColor="text1"/>
                <w14:textFill>
                  <w14:solidFill>
                    <w14:schemeClr w14:val="tx1"/>
                  </w14:solidFill>
                </w14:textFill>
              </w:rPr>
            </w:pPr>
          </w:p>
        </w:tc>
        <w:tc>
          <w:tcPr>
            <w:tcW w:w="410" w:type="pct"/>
            <w:vAlign w:val="center"/>
          </w:tcPr>
          <w:p w14:paraId="2D56A8D2">
            <w:pPr>
              <w:pStyle w:val="210"/>
              <w:rPr>
                <w:rFonts w:hint="eastAsia"/>
                <w:color w:val="000000" w:themeColor="text1"/>
                <w14:textFill>
                  <w14:solidFill>
                    <w14:schemeClr w14:val="tx1"/>
                  </w14:solidFill>
                </w14:textFill>
              </w:rPr>
            </w:pPr>
          </w:p>
        </w:tc>
        <w:tc>
          <w:tcPr>
            <w:tcW w:w="389" w:type="pct"/>
            <w:vAlign w:val="center"/>
          </w:tcPr>
          <w:p w14:paraId="70974F43">
            <w:pPr>
              <w:pStyle w:val="210"/>
              <w:rPr>
                <w:rFonts w:hint="eastAsia"/>
                <w:color w:val="000000" w:themeColor="text1"/>
                <w14:textFill>
                  <w14:solidFill>
                    <w14:schemeClr w14:val="tx1"/>
                  </w14:solidFill>
                </w14:textFill>
              </w:rPr>
            </w:pPr>
          </w:p>
        </w:tc>
      </w:tr>
      <w:tr w14:paraId="4CA38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67F1B3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61" w:type="pct"/>
            <w:vAlign w:val="center"/>
          </w:tcPr>
          <w:p w14:paraId="3E8838C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56" w:type="pct"/>
            <w:vAlign w:val="center"/>
          </w:tcPr>
          <w:p w14:paraId="0AF777E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18000</w:t>
            </w:r>
          </w:p>
        </w:tc>
        <w:tc>
          <w:tcPr>
            <w:tcW w:w="304" w:type="pct"/>
            <w:vAlign w:val="center"/>
          </w:tcPr>
          <w:p w14:paraId="52BF76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626F6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05" w:type="pct"/>
            <w:vAlign w:val="center"/>
          </w:tcPr>
          <w:p w14:paraId="6FD0E98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0.0015 </w:t>
            </w:r>
          </w:p>
        </w:tc>
        <w:tc>
          <w:tcPr>
            <w:tcW w:w="435" w:type="pct"/>
            <w:vAlign w:val="center"/>
          </w:tcPr>
          <w:p w14:paraId="3C9C25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D598A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441" w:type="pct"/>
            <w:vAlign w:val="center"/>
          </w:tcPr>
          <w:p w14:paraId="7F33BE3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0.0019 </w:t>
            </w:r>
          </w:p>
        </w:tc>
        <w:tc>
          <w:tcPr>
            <w:tcW w:w="368" w:type="pct"/>
            <w:vAlign w:val="center"/>
          </w:tcPr>
          <w:p w14:paraId="7F14A0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5559EB87">
            <w:pPr>
              <w:pStyle w:val="210"/>
              <w:rPr>
                <w:rFonts w:hint="eastAsia"/>
                <w:color w:val="000000" w:themeColor="text1"/>
                <w14:textFill>
                  <w14:solidFill>
                    <w14:schemeClr w14:val="tx1"/>
                  </w14:solidFill>
                </w14:textFill>
              </w:rPr>
            </w:pPr>
          </w:p>
        </w:tc>
        <w:tc>
          <w:tcPr>
            <w:tcW w:w="410" w:type="pct"/>
            <w:vAlign w:val="center"/>
          </w:tcPr>
          <w:p w14:paraId="75AD73BB">
            <w:pPr>
              <w:pStyle w:val="210"/>
              <w:rPr>
                <w:rFonts w:hint="eastAsia"/>
                <w:color w:val="000000" w:themeColor="text1"/>
                <w14:textFill>
                  <w14:solidFill>
                    <w14:schemeClr w14:val="tx1"/>
                  </w14:solidFill>
                </w14:textFill>
              </w:rPr>
            </w:pPr>
          </w:p>
        </w:tc>
        <w:tc>
          <w:tcPr>
            <w:tcW w:w="389" w:type="pct"/>
            <w:vAlign w:val="center"/>
          </w:tcPr>
          <w:p w14:paraId="1A3DB709">
            <w:pPr>
              <w:pStyle w:val="210"/>
              <w:rPr>
                <w:rFonts w:hint="eastAsia"/>
                <w:color w:val="000000" w:themeColor="text1"/>
                <w14:textFill>
                  <w14:solidFill>
                    <w14:schemeClr w14:val="tx1"/>
                  </w14:solidFill>
                </w14:textFill>
              </w:rPr>
            </w:pPr>
          </w:p>
        </w:tc>
      </w:tr>
      <w:tr w14:paraId="3C1BB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39C66E9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61" w:type="pct"/>
            <w:vAlign w:val="center"/>
          </w:tcPr>
          <w:p w14:paraId="0C8E29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56" w:type="pct"/>
            <w:vAlign w:val="center"/>
          </w:tcPr>
          <w:p w14:paraId="44D9AF6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304" w:type="pct"/>
            <w:vAlign w:val="center"/>
          </w:tcPr>
          <w:p w14:paraId="6E2B790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4CE13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39</w:t>
            </w:r>
          </w:p>
        </w:tc>
        <w:tc>
          <w:tcPr>
            <w:tcW w:w="405" w:type="pct"/>
            <w:vAlign w:val="center"/>
          </w:tcPr>
          <w:p w14:paraId="40BF8A1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0.0433 </w:t>
            </w:r>
          </w:p>
        </w:tc>
        <w:tc>
          <w:tcPr>
            <w:tcW w:w="435" w:type="pct"/>
            <w:vAlign w:val="center"/>
          </w:tcPr>
          <w:p w14:paraId="0F2240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301D7A4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441" w:type="pct"/>
            <w:vAlign w:val="center"/>
          </w:tcPr>
          <w:p w14:paraId="75E9B6C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0.0478 </w:t>
            </w:r>
          </w:p>
        </w:tc>
        <w:tc>
          <w:tcPr>
            <w:tcW w:w="368" w:type="pct"/>
            <w:vAlign w:val="center"/>
          </w:tcPr>
          <w:p w14:paraId="22161C8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45523DD7">
            <w:pPr>
              <w:pStyle w:val="210"/>
              <w:rPr>
                <w:rFonts w:hint="eastAsia"/>
                <w:color w:val="000000" w:themeColor="text1"/>
                <w14:textFill>
                  <w14:solidFill>
                    <w14:schemeClr w14:val="tx1"/>
                  </w14:solidFill>
                </w14:textFill>
              </w:rPr>
            </w:pPr>
          </w:p>
        </w:tc>
        <w:tc>
          <w:tcPr>
            <w:tcW w:w="410" w:type="pct"/>
            <w:vAlign w:val="center"/>
          </w:tcPr>
          <w:p w14:paraId="7F1B3B2A">
            <w:pPr>
              <w:pStyle w:val="210"/>
              <w:rPr>
                <w:rFonts w:hint="eastAsia"/>
                <w:color w:val="000000" w:themeColor="text1"/>
                <w14:textFill>
                  <w14:solidFill>
                    <w14:schemeClr w14:val="tx1"/>
                  </w14:solidFill>
                </w14:textFill>
              </w:rPr>
            </w:pPr>
          </w:p>
        </w:tc>
        <w:tc>
          <w:tcPr>
            <w:tcW w:w="389" w:type="pct"/>
            <w:vAlign w:val="center"/>
          </w:tcPr>
          <w:p w14:paraId="52B9C732">
            <w:pPr>
              <w:pStyle w:val="210"/>
              <w:rPr>
                <w:rFonts w:hint="eastAsia"/>
                <w:color w:val="000000" w:themeColor="text1"/>
                <w14:textFill>
                  <w14:solidFill>
                    <w14:schemeClr w14:val="tx1"/>
                  </w14:solidFill>
                </w14:textFill>
              </w:rPr>
            </w:pPr>
          </w:p>
        </w:tc>
      </w:tr>
      <w:tr w14:paraId="7790BF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F2042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61" w:type="pct"/>
            <w:vAlign w:val="center"/>
          </w:tcPr>
          <w:p w14:paraId="63AFBC4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w:t>
            </w:r>
          </w:p>
        </w:tc>
        <w:tc>
          <w:tcPr>
            <w:tcW w:w="456" w:type="pct"/>
            <w:vAlign w:val="center"/>
          </w:tcPr>
          <w:p w14:paraId="67D657F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304" w:type="pct"/>
            <w:vAlign w:val="center"/>
          </w:tcPr>
          <w:p w14:paraId="24F981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2F1FAF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405" w:type="pct"/>
            <w:vAlign w:val="center"/>
          </w:tcPr>
          <w:p w14:paraId="683478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0.0051 </w:t>
            </w:r>
          </w:p>
        </w:tc>
        <w:tc>
          <w:tcPr>
            <w:tcW w:w="435" w:type="pct"/>
            <w:vAlign w:val="center"/>
          </w:tcPr>
          <w:p w14:paraId="3FF2DF3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63691E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441" w:type="pct"/>
            <w:vAlign w:val="center"/>
          </w:tcPr>
          <w:p w14:paraId="52D3AEC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0.0051 </w:t>
            </w:r>
          </w:p>
        </w:tc>
        <w:tc>
          <w:tcPr>
            <w:tcW w:w="368" w:type="pct"/>
            <w:vAlign w:val="center"/>
          </w:tcPr>
          <w:p w14:paraId="1DE401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42" w:type="pct"/>
            <w:vAlign w:val="center"/>
          </w:tcPr>
          <w:p w14:paraId="4F148800">
            <w:pPr>
              <w:pStyle w:val="210"/>
              <w:rPr>
                <w:rFonts w:hint="eastAsia"/>
                <w:color w:val="000000" w:themeColor="text1"/>
                <w14:textFill>
                  <w14:solidFill>
                    <w14:schemeClr w14:val="tx1"/>
                  </w14:solidFill>
                </w14:textFill>
              </w:rPr>
            </w:pPr>
          </w:p>
        </w:tc>
        <w:tc>
          <w:tcPr>
            <w:tcW w:w="410" w:type="pct"/>
            <w:vAlign w:val="center"/>
          </w:tcPr>
          <w:p w14:paraId="61B24B94">
            <w:pPr>
              <w:pStyle w:val="210"/>
              <w:rPr>
                <w:rFonts w:hint="eastAsia"/>
                <w:color w:val="000000" w:themeColor="text1"/>
                <w14:textFill>
                  <w14:solidFill>
                    <w14:schemeClr w14:val="tx1"/>
                  </w14:solidFill>
                </w14:textFill>
              </w:rPr>
            </w:pPr>
          </w:p>
        </w:tc>
        <w:tc>
          <w:tcPr>
            <w:tcW w:w="389" w:type="pct"/>
            <w:vAlign w:val="center"/>
          </w:tcPr>
          <w:p w14:paraId="100A55F8">
            <w:pPr>
              <w:pStyle w:val="210"/>
              <w:rPr>
                <w:rFonts w:hint="eastAsia"/>
                <w:color w:val="000000" w:themeColor="text1"/>
                <w14:textFill>
                  <w14:solidFill>
                    <w14:schemeClr w14:val="tx1"/>
                  </w14:solidFill>
                </w14:textFill>
              </w:rPr>
            </w:pPr>
          </w:p>
        </w:tc>
      </w:tr>
      <w:tr w14:paraId="4A176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340" w:hRule="atLeast"/>
        </w:trPr>
        <w:tc>
          <w:tcPr>
            <w:tcW w:w="199" w:type="pct"/>
            <w:vAlign w:val="center"/>
          </w:tcPr>
          <w:p w14:paraId="070E37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1" w:type="pct"/>
            <w:vAlign w:val="center"/>
          </w:tcPr>
          <w:p w14:paraId="4766EE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土壤盐分含量</w:t>
            </w:r>
          </w:p>
        </w:tc>
        <w:tc>
          <w:tcPr>
            <w:tcW w:w="456" w:type="pct"/>
            <w:vAlign w:val="center"/>
          </w:tcPr>
          <w:p w14:paraId="52D286A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71838E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g/kg</w:t>
            </w:r>
          </w:p>
        </w:tc>
        <w:tc>
          <w:tcPr>
            <w:tcW w:w="303" w:type="pct"/>
            <w:vAlign w:val="center"/>
          </w:tcPr>
          <w:p w14:paraId="5EEF5D7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22.7</w:t>
            </w:r>
          </w:p>
        </w:tc>
        <w:tc>
          <w:tcPr>
            <w:tcW w:w="405" w:type="pct"/>
            <w:vAlign w:val="center"/>
          </w:tcPr>
          <w:p w14:paraId="1FE0F5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14277E4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4A2414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6.6</w:t>
            </w:r>
          </w:p>
        </w:tc>
        <w:tc>
          <w:tcPr>
            <w:tcW w:w="441" w:type="pct"/>
            <w:vAlign w:val="center"/>
          </w:tcPr>
          <w:p w14:paraId="652501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68" w:type="pct"/>
            <w:vAlign w:val="center"/>
          </w:tcPr>
          <w:p w14:paraId="57B802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2" w:type="pct"/>
            <w:vAlign w:val="center"/>
          </w:tcPr>
          <w:p w14:paraId="49407D36">
            <w:pPr>
              <w:pStyle w:val="210"/>
              <w:rPr>
                <w:rFonts w:hint="eastAsia"/>
                <w:color w:val="000000" w:themeColor="text1"/>
                <w14:textFill>
                  <w14:solidFill>
                    <w14:schemeClr w14:val="tx1"/>
                  </w14:solidFill>
                </w14:textFill>
              </w:rPr>
            </w:pPr>
          </w:p>
        </w:tc>
        <w:tc>
          <w:tcPr>
            <w:tcW w:w="410" w:type="pct"/>
            <w:vAlign w:val="center"/>
          </w:tcPr>
          <w:p w14:paraId="4A105403">
            <w:pPr>
              <w:pStyle w:val="210"/>
              <w:rPr>
                <w:rFonts w:hint="eastAsia"/>
                <w:color w:val="000000" w:themeColor="text1"/>
                <w14:textFill>
                  <w14:solidFill>
                    <w14:schemeClr w14:val="tx1"/>
                  </w14:solidFill>
                </w14:textFill>
              </w:rPr>
            </w:pPr>
          </w:p>
        </w:tc>
        <w:tc>
          <w:tcPr>
            <w:tcW w:w="389" w:type="pct"/>
            <w:vAlign w:val="center"/>
          </w:tcPr>
          <w:p w14:paraId="6F73D74C">
            <w:pPr>
              <w:pStyle w:val="210"/>
              <w:rPr>
                <w:rFonts w:hint="eastAsia"/>
                <w:color w:val="000000" w:themeColor="text1"/>
                <w14:textFill>
                  <w14:solidFill>
                    <w14:schemeClr w14:val="tx1"/>
                  </w14:solidFill>
                </w14:textFill>
              </w:rPr>
            </w:pPr>
          </w:p>
        </w:tc>
      </w:tr>
    </w:tbl>
    <w:p w14:paraId="7DF67685">
      <w:pPr>
        <w:ind w:firstLine="197" w:firstLineChars="94"/>
        <w:jc w:val="center"/>
        <w:rPr>
          <w:rFonts w:hint="eastAsia" w:ascii="黑体" w:hAnsi="黑体" w:eastAsia="黑体"/>
          <w:bCs/>
          <w:color w:val="000000" w:themeColor="text1"/>
          <w:szCs w:val="21"/>
          <w14:textFill>
            <w14:solidFill>
              <w14:schemeClr w14:val="tx1"/>
            </w14:solidFill>
          </w14:textFill>
        </w:rPr>
      </w:pPr>
      <w:r>
        <w:rPr>
          <w:rFonts w:hint="eastAsia" w:ascii="黑体" w:hAnsi="黑体" w:eastAsia="黑体"/>
          <w:bCs/>
          <w:color w:val="000000" w:themeColor="text1"/>
          <w:szCs w:val="21"/>
          <w14:textFill>
            <w14:solidFill>
              <w14:schemeClr w14:val="tx1"/>
            </w14:solidFill>
          </w14:textFill>
        </w:rPr>
        <w:t>表4.3-13  占地范围外土壤监测及评价结果一览表</w:t>
      </w:r>
    </w:p>
    <w:tbl>
      <w:tblPr>
        <w:tblStyle w:val="51"/>
        <w:tblW w:w="498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7"/>
        <w:gridCol w:w="1571"/>
        <w:gridCol w:w="1275"/>
        <w:gridCol w:w="850"/>
        <w:gridCol w:w="848"/>
        <w:gridCol w:w="1133"/>
        <w:gridCol w:w="1222"/>
        <w:gridCol w:w="1052"/>
        <w:gridCol w:w="1232"/>
        <w:gridCol w:w="1132"/>
        <w:gridCol w:w="11"/>
        <w:gridCol w:w="841"/>
        <w:gridCol w:w="1146"/>
        <w:gridCol w:w="1087"/>
        <w:gridCol w:w="14"/>
      </w:tblGrid>
      <w:tr w14:paraId="0CBF1C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 w:type="pct"/>
            <w:vMerge w:val="restart"/>
            <w:vAlign w:val="center"/>
          </w:tcPr>
          <w:p w14:paraId="732DC15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562" w:type="pct"/>
            <w:vMerge w:val="restart"/>
            <w:vAlign w:val="center"/>
          </w:tcPr>
          <w:p w14:paraId="3D5F8F6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456" w:type="pct"/>
            <w:vMerge w:val="restart"/>
            <w:vAlign w:val="center"/>
          </w:tcPr>
          <w:p w14:paraId="160D70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标准限值（mg/kg）</w:t>
            </w:r>
          </w:p>
        </w:tc>
        <w:tc>
          <w:tcPr>
            <w:tcW w:w="304" w:type="pct"/>
            <w:vMerge w:val="restart"/>
            <w:vAlign w:val="center"/>
          </w:tcPr>
          <w:p w14:paraId="1C9E27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监测值单位</w:t>
            </w:r>
          </w:p>
        </w:tc>
        <w:tc>
          <w:tcPr>
            <w:tcW w:w="1145" w:type="pct"/>
            <w:gridSpan w:val="3"/>
            <w:vAlign w:val="center"/>
          </w:tcPr>
          <w:p w14:paraId="7A637A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S11(0m～0.2m)</w:t>
            </w:r>
          </w:p>
        </w:tc>
        <w:tc>
          <w:tcPr>
            <w:tcW w:w="1226" w:type="pct"/>
            <w:gridSpan w:val="4"/>
            <w:vAlign w:val="center"/>
          </w:tcPr>
          <w:p w14:paraId="5563060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S12(0m～0.2m)</w:t>
            </w:r>
          </w:p>
        </w:tc>
        <w:tc>
          <w:tcPr>
            <w:tcW w:w="1105" w:type="pct"/>
            <w:gridSpan w:val="4"/>
            <w:vAlign w:val="center"/>
          </w:tcPr>
          <w:p w14:paraId="52EA976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S13(0m～0.2m)</w:t>
            </w:r>
          </w:p>
        </w:tc>
      </w:tr>
      <w:tr w14:paraId="4A6AC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Merge w:val="continue"/>
            <w:vAlign w:val="center"/>
          </w:tcPr>
          <w:p w14:paraId="1AC7F632">
            <w:pPr>
              <w:pStyle w:val="210"/>
              <w:rPr>
                <w:rFonts w:hint="eastAsia"/>
                <w:color w:val="000000" w:themeColor="text1"/>
                <w14:textFill>
                  <w14:solidFill>
                    <w14:schemeClr w14:val="tx1"/>
                  </w14:solidFill>
                </w14:textFill>
              </w:rPr>
            </w:pPr>
          </w:p>
        </w:tc>
        <w:tc>
          <w:tcPr>
            <w:tcW w:w="562" w:type="pct"/>
            <w:vMerge w:val="continue"/>
            <w:vAlign w:val="center"/>
          </w:tcPr>
          <w:p w14:paraId="043C9F4E">
            <w:pPr>
              <w:pStyle w:val="210"/>
              <w:rPr>
                <w:rFonts w:hint="eastAsia"/>
                <w:color w:val="000000" w:themeColor="text1"/>
                <w14:textFill>
                  <w14:solidFill>
                    <w14:schemeClr w14:val="tx1"/>
                  </w14:solidFill>
                </w14:textFill>
              </w:rPr>
            </w:pPr>
          </w:p>
        </w:tc>
        <w:tc>
          <w:tcPr>
            <w:tcW w:w="456" w:type="pct"/>
            <w:vMerge w:val="continue"/>
            <w:vAlign w:val="center"/>
          </w:tcPr>
          <w:p w14:paraId="24B81D39">
            <w:pPr>
              <w:pStyle w:val="210"/>
              <w:rPr>
                <w:rFonts w:hint="eastAsia"/>
                <w:color w:val="000000" w:themeColor="text1"/>
                <w14:textFill>
                  <w14:solidFill>
                    <w14:schemeClr w14:val="tx1"/>
                  </w14:solidFill>
                </w14:textFill>
              </w:rPr>
            </w:pPr>
          </w:p>
        </w:tc>
        <w:tc>
          <w:tcPr>
            <w:tcW w:w="304" w:type="pct"/>
            <w:vMerge w:val="continue"/>
            <w:vAlign w:val="center"/>
          </w:tcPr>
          <w:p w14:paraId="4645DBCA">
            <w:pPr>
              <w:pStyle w:val="210"/>
              <w:rPr>
                <w:rFonts w:hint="eastAsia"/>
                <w:color w:val="000000" w:themeColor="text1"/>
                <w14:textFill>
                  <w14:solidFill>
                    <w14:schemeClr w14:val="tx1"/>
                  </w14:solidFill>
                </w14:textFill>
              </w:rPr>
            </w:pPr>
          </w:p>
        </w:tc>
        <w:tc>
          <w:tcPr>
            <w:tcW w:w="303" w:type="pct"/>
            <w:vAlign w:val="center"/>
          </w:tcPr>
          <w:p w14:paraId="010DA43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05" w:type="pct"/>
            <w:vAlign w:val="center"/>
          </w:tcPr>
          <w:p w14:paraId="036063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435" w:type="pct"/>
            <w:vAlign w:val="center"/>
          </w:tcPr>
          <w:p w14:paraId="23DDFF4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376" w:type="pct"/>
            <w:vAlign w:val="center"/>
          </w:tcPr>
          <w:p w14:paraId="16973B0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41" w:type="pct"/>
            <w:vAlign w:val="center"/>
          </w:tcPr>
          <w:p w14:paraId="42C0CC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405" w:type="pct"/>
            <w:vAlign w:val="center"/>
          </w:tcPr>
          <w:p w14:paraId="7982A3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305" w:type="pct"/>
            <w:gridSpan w:val="2"/>
            <w:vAlign w:val="center"/>
          </w:tcPr>
          <w:p w14:paraId="23D7E55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10" w:type="pct"/>
            <w:vAlign w:val="center"/>
          </w:tcPr>
          <w:p w14:paraId="2C85E2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389" w:type="pct"/>
            <w:vAlign w:val="center"/>
          </w:tcPr>
          <w:p w14:paraId="273F81F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4FC6A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7E68299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62" w:type="pct"/>
            <w:vAlign w:val="center"/>
          </w:tcPr>
          <w:p w14:paraId="7D0F85C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56" w:type="pct"/>
            <w:vAlign w:val="center"/>
          </w:tcPr>
          <w:p w14:paraId="578CF97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564C1F8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3" w:type="pct"/>
            <w:vAlign w:val="center"/>
          </w:tcPr>
          <w:p w14:paraId="416266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8.3</w:t>
            </w:r>
          </w:p>
        </w:tc>
        <w:tc>
          <w:tcPr>
            <w:tcW w:w="405" w:type="pct"/>
            <w:vAlign w:val="center"/>
          </w:tcPr>
          <w:p w14:paraId="76F752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091468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6EF759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8.29</w:t>
            </w:r>
          </w:p>
        </w:tc>
        <w:tc>
          <w:tcPr>
            <w:tcW w:w="441" w:type="pct"/>
            <w:vAlign w:val="center"/>
          </w:tcPr>
          <w:p w14:paraId="223AAB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5" w:type="pct"/>
            <w:vAlign w:val="center"/>
          </w:tcPr>
          <w:p w14:paraId="3FD934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5" w:type="pct"/>
            <w:gridSpan w:val="2"/>
            <w:vAlign w:val="center"/>
          </w:tcPr>
          <w:p w14:paraId="0AC05A9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8.43</w:t>
            </w:r>
          </w:p>
        </w:tc>
        <w:tc>
          <w:tcPr>
            <w:tcW w:w="410" w:type="pct"/>
            <w:vAlign w:val="center"/>
          </w:tcPr>
          <w:p w14:paraId="105EF90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2684CD5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919F3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13B0CA8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62" w:type="pct"/>
            <w:vAlign w:val="center"/>
          </w:tcPr>
          <w:p w14:paraId="005618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56" w:type="pct"/>
            <w:vAlign w:val="center"/>
          </w:tcPr>
          <w:p w14:paraId="0206EF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304" w:type="pct"/>
            <w:vAlign w:val="center"/>
          </w:tcPr>
          <w:p w14:paraId="5F300B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51334E1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9.51</w:t>
            </w:r>
          </w:p>
        </w:tc>
        <w:tc>
          <w:tcPr>
            <w:tcW w:w="405" w:type="pct"/>
            <w:vAlign w:val="center"/>
          </w:tcPr>
          <w:p w14:paraId="3848C6A4">
            <w:pPr>
              <w:pStyle w:val="210"/>
              <w:rPr>
                <w:rFonts w:hint="eastAsia"/>
                <w:color w:val="000000" w:themeColor="text1"/>
                <w14:textFill>
                  <w14:solidFill>
                    <w14:schemeClr w14:val="tx1"/>
                  </w14:solidFill>
                </w14:textFill>
              </w:rPr>
            </w:pPr>
          </w:p>
        </w:tc>
        <w:tc>
          <w:tcPr>
            <w:tcW w:w="435" w:type="pct"/>
            <w:vAlign w:val="center"/>
          </w:tcPr>
          <w:p w14:paraId="5AF9511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9A83B6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10.4</w:t>
            </w:r>
          </w:p>
        </w:tc>
        <w:tc>
          <w:tcPr>
            <w:tcW w:w="441" w:type="pct"/>
            <w:vAlign w:val="center"/>
          </w:tcPr>
          <w:p w14:paraId="35FB3DFA">
            <w:pPr>
              <w:pStyle w:val="210"/>
              <w:rPr>
                <w:rFonts w:hint="eastAsia"/>
                <w:color w:val="000000" w:themeColor="text1"/>
                <w14:textFill>
                  <w14:solidFill>
                    <w14:schemeClr w14:val="tx1"/>
                  </w14:solidFill>
                </w14:textFill>
              </w:rPr>
            </w:pPr>
          </w:p>
        </w:tc>
        <w:tc>
          <w:tcPr>
            <w:tcW w:w="405" w:type="pct"/>
            <w:vAlign w:val="center"/>
          </w:tcPr>
          <w:p w14:paraId="028560B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51DBE5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8.82</w:t>
            </w:r>
          </w:p>
        </w:tc>
        <w:tc>
          <w:tcPr>
            <w:tcW w:w="410" w:type="pct"/>
            <w:vAlign w:val="center"/>
          </w:tcPr>
          <w:p w14:paraId="7BF219F9">
            <w:pPr>
              <w:pStyle w:val="210"/>
              <w:rPr>
                <w:rFonts w:hint="eastAsia"/>
                <w:color w:val="000000" w:themeColor="text1"/>
                <w14:textFill>
                  <w14:solidFill>
                    <w14:schemeClr w14:val="tx1"/>
                  </w14:solidFill>
                </w14:textFill>
              </w:rPr>
            </w:pPr>
          </w:p>
        </w:tc>
        <w:tc>
          <w:tcPr>
            <w:tcW w:w="389" w:type="pct"/>
            <w:vAlign w:val="center"/>
          </w:tcPr>
          <w:p w14:paraId="11DB67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8F11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639566C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62" w:type="pct"/>
            <w:vAlign w:val="center"/>
          </w:tcPr>
          <w:p w14:paraId="759548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56" w:type="pct"/>
            <w:vAlign w:val="center"/>
          </w:tcPr>
          <w:p w14:paraId="7B0546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304" w:type="pct"/>
            <w:vAlign w:val="center"/>
          </w:tcPr>
          <w:p w14:paraId="1470E00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9500F3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0.076</w:t>
            </w:r>
          </w:p>
        </w:tc>
        <w:tc>
          <w:tcPr>
            <w:tcW w:w="405" w:type="pct"/>
            <w:vAlign w:val="center"/>
          </w:tcPr>
          <w:p w14:paraId="1F6394AF">
            <w:pPr>
              <w:pStyle w:val="210"/>
              <w:rPr>
                <w:rFonts w:hint="eastAsia"/>
                <w:color w:val="000000" w:themeColor="text1"/>
                <w14:textFill>
                  <w14:solidFill>
                    <w14:schemeClr w14:val="tx1"/>
                  </w14:solidFill>
                </w14:textFill>
              </w:rPr>
            </w:pPr>
          </w:p>
        </w:tc>
        <w:tc>
          <w:tcPr>
            <w:tcW w:w="435" w:type="pct"/>
            <w:vAlign w:val="center"/>
          </w:tcPr>
          <w:p w14:paraId="4A4BB4C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563CA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0.071</w:t>
            </w:r>
          </w:p>
        </w:tc>
        <w:tc>
          <w:tcPr>
            <w:tcW w:w="441" w:type="pct"/>
            <w:vAlign w:val="center"/>
          </w:tcPr>
          <w:p w14:paraId="706CD79D">
            <w:pPr>
              <w:pStyle w:val="210"/>
              <w:rPr>
                <w:rFonts w:hint="eastAsia"/>
                <w:color w:val="000000" w:themeColor="text1"/>
                <w14:textFill>
                  <w14:solidFill>
                    <w14:schemeClr w14:val="tx1"/>
                  </w14:solidFill>
                </w14:textFill>
              </w:rPr>
            </w:pPr>
          </w:p>
        </w:tc>
        <w:tc>
          <w:tcPr>
            <w:tcW w:w="405" w:type="pct"/>
            <w:vAlign w:val="center"/>
          </w:tcPr>
          <w:p w14:paraId="1A9882F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67E625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0.07</w:t>
            </w:r>
          </w:p>
        </w:tc>
        <w:tc>
          <w:tcPr>
            <w:tcW w:w="410" w:type="pct"/>
            <w:vAlign w:val="center"/>
          </w:tcPr>
          <w:p w14:paraId="03493B1B">
            <w:pPr>
              <w:pStyle w:val="210"/>
              <w:rPr>
                <w:rFonts w:hint="eastAsia"/>
                <w:color w:val="000000" w:themeColor="text1"/>
                <w14:textFill>
                  <w14:solidFill>
                    <w14:schemeClr w14:val="tx1"/>
                  </w14:solidFill>
                </w14:textFill>
              </w:rPr>
            </w:pPr>
          </w:p>
        </w:tc>
        <w:tc>
          <w:tcPr>
            <w:tcW w:w="389" w:type="pct"/>
            <w:vAlign w:val="center"/>
          </w:tcPr>
          <w:p w14:paraId="2B6D3E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BF3A4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74F3BD3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62" w:type="pct"/>
            <w:vAlign w:val="center"/>
          </w:tcPr>
          <w:p w14:paraId="45AF6DE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56" w:type="pct"/>
            <w:vAlign w:val="center"/>
          </w:tcPr>
          <w:p w14:paraId="76181F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170</w:t>
            </w:r>
          </w:p>
        </w:tc>
        <w:tc>
          <w:tcPr>
            <w:tcW w:w="304" w:type="pct"/>
            <w:vAlign w:val="center"/>
          </w:tcPr>
          <w:p w14:paraId="16755B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2F332DF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05" w:type="pct"/>
            <w:vAlign w:val="center"/>
          </w:tcPr>
          <w:p w14:paraId="5977E6BA">
            <w:pPr>
              <w:pStyle w:val="210"/>
              <w:rPr>
                <w:rFonts w:hint="eastAsia"/>
                <w:color w:val="000000" w:themeColor="text1"/>
                <w14:textFill>
                  <w14:solidFill>
                    <w14:schemeClr w14:val="tx1"/>
                  </w14:solidFill>
                </w14:textFill>
              </w:rPr>
            </w:pPr>
          </w:p>
        </w:tc>
        <w:tc>
          <w:tcPr>
            <w:tcW w:w="435" w:type="pct"/>
            <w:vAlign w:val="center"/>
          </w:tcPr>
          <w:p w14:paraId="67DB40A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614CA47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441" w:type="pct"/>
            <w:vAlign w:val="center"/>
          </w:tcPr>
          <w:p w14:paraId="544DE928">
            <w:pPr>
              <w:pStyle w:val="210"/>
              <w:rPr>
                <w:rFonts w:hint="eastAsia"/>
                <w:color w:val="000000" w:themeColor="text1"/>
                <w14:textFill>
                  <w14:solidFill>
                    <w14:schemeClr w14:val="tx1"/>
                  </w14:solidFill>
                </w14:textFill>
              </w:rPr>
            </w:pPr>
          </w:p>
        </w:tc>
        <w:tc>
          <w:tcPr>
            <w:tcW w:w="405" w:type="pct"/>
            <w:vAlign w:val="center"/>
          </w:tcPr>
          <w:p w14:paraId="4BF6766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4929233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w:t>
            </w:r>
          </w:p>
        </w:tc>
        <w:tc>
          <w:tcPr>
            <w:tcW w:w="410" w:type="pct"/>
            <w:vAlign w:val="center"/>
          </w:tcPr>
          <w:p w14:paraId="4A38A7A2">
            <w:pPr>
              <w:pStyle w:val="210"/>
              <w:rPr>
                <w:rFonts w:hint="eastAsia"/>
                <w:color w:val="000000" w:themeColor="text1"/>
                <w14:textFill>
                  <w14:solidFill>
                    <w14:schemeClr w14:val="tx1"/>
                  </w14:solidFill>
                </w14:textFill>
              </w:rPr>
            </w:pPr>
          </w:p>
        </w:tc>
        <w:tc>
          <w:tcPr>
            <w:tcW w:w="389" w:type="pct"/>
            <w:vAlign w:val="center"/>
          </w:tcPr>
          <w:p w14:paraId="7A83C3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146E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3D0B7B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62" w:type="pct"/>
            <w:vAlign w:val="center"/>
          </w:tcPr>
          <w:p w14:paraId="7C9967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56" w:type="pct"/>
            <w:vAlign w:val="center"/>
          </w:tcPr>
          <w:p w14:paraId="2433C9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304" w:type="pct"/>
            <w:vAlign w:val="center"/>
          </w:tcPr>
          <w:p w14:paraId="71B7EA7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37AA3A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0.36</w:t>
            </w:r>
          </w:p>
        </w:tc>
        <w:tc>
          <w:tcPr>
            <w:tcW w:w="405" w:type="pct"/>
            <w:vAlign w:val="center"/>
          </w:tcPr>
          <w:p w14:paraId="18917DF0">
            <w:pPr>
              <w:pStyle w:val="210"/>
              <w:rPr>
                <w:rFonts w:hint="eastAsia"/>
                <w:color w:val="000000" w:themeColor="text1"/>
                <w14:textFill>
                  <w14:solidFill>
                    <w14:schemeClr w14:val="tx1"/>
                  </w14:solidFill>
                </w14:textFill>
              </w:rPr>
            </w:pPr>
          </w:p>
        </w:tc>
        <w:tc>
          <w:tcPr>
            <w:tcW w:w="435" w:type="pct"/>
            <w:vAlign w:val="center"/>
          </w:tcPr>
          <w:p w14:paraId="2099151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BCACF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w:t>
            </w:r>
          </w:p>
        </w:tc>
        <w:tc>
          <w:tcPr>
            <w:tcW w:w="441" w:type="pct"/>
            <w:vAlign w:val="center"/>
          </w:tcPr>
          <w:p w14:paraId="1E995B46">
            <w:pPr>
              <w:pStyle w:val="210"/>
              <w:rPr>
                <w:rFonts w:hint="eastAsia"/>
                <w:color w:val="000000" w:themeColor="text1"/>
                <w14:textFill>
                  <w14:solidFill>
                    <w14:schemeClr w14:val="tx1"/>
                  </w14:solidFill>
                </w14:textFill>
              </w:rPr>
            </w:pPr>
          </w:p>
        </w:tc>
        <w:tc>
          <w:tcPr>
            <w:tcW w:w="405" w:type="pct"/>
            <w:vAlign w:val="center"/>
          </w:tcPr>
          <w:p w14:paraId="7C4F61C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0C66BE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0.37</w:t>
            </w:r>
          </w:p>
        </w:tc>
        <w:tc>
          <w:tcPr>
            <w:tcW w:w="410" w:type="pct"/>
            <w:vAlign w:val="center"/>
          </w:tcPr>
          <w:p w14:paraId="5CA6F8C2">
            <w:pPr>
              <w:pStyle w:val="210"/>
              <w:rPr>
                <w:rFonts w:hint="eastAsia"/>
                <w:color w:val="000000" w:themeColor="text1"/>
                <w14:textFill>
                  <w14:solidFill>
                    <w14:schemeClr w14:val="tx1"/>
                  </w14:solidFill>
                </w14:textFill>
              </w:rPr>
            </w:pPr>
          </w:p>
        </w:tc>
        <w:tc>
          <w:tcPr>
            <w:tcW w:w="389" w:type="pct"/>
            <w:vAlign w:val="center"/>
          </w:tcPr>
          <w:p w14:paraId="0CA2168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5CA0A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587F40E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62" w:type="pct"/>
            <w:vAlign w:val="center"/>
          </w:tcPr>
          <w:p w14:paraId="24E9BA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总铬</w:t>
            </w:r>
          </w:p>
        </w:tc>
        <w:tc>
          <w:tcPr>
            <w:tcW w:w="456" w:type="pct"/>
            <w:vAlign w:val="center"/>
          </w:tcPr>
          <w:p w14:paraId="35A2DA7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c>
          <w:tcPr>
            <w:tcW w:w="304" w:type="pct"/>
            <w:vAlign w:val="center"/>
          </w:tcPr>
          <w:p w14:paraId="43A4F24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29EEA9B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64</w:t>
            </w:r>
          </w:p>
        </w:tc>
        <w:tc>
          <w:tcPr>
            <w:tcW w:w="405" w:type="pct"/>
            <w:vAlign w:val="center"/>
          </w:tcPr>
          <w:p w14:paraId="43F0AB5D">
            <w:pPr>
              <w:pStyle w:val="210"/>
              <w:rPr>
                <w:rFonts w:hint="eastAsia"/>
                <w:color w:val="000000" w:themeColor="text1"/>
                <w14:textFill>
                  <w14:solidFill>
                    <w14:schemeClr w14:val="tx1"/>
                  </w14:solidFill>
                </w14:textFill>
              </w:rPr>
            </w:pPr>
          </w:p>
        </w:tc>
        <w:tc>
          <w:tcPr>
            <w:tcW w:w="435" w:type="pct"/>
            <w:vAlign w:val="center"/>
          </w:tcPr>
          <w:p w14:paraId="02EAF43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0AA89FC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c>
          <w:tcPr>
            <w:tcW w:w="441" w:type="pct"/>
            <w:vAlign w:val="center"/>
          </w:tcPr>
          <w:p w14:paraId="02056F8F">
            <w:pPr>
              <w:pStyle w:val="210"/>
              <w:rPr>
                <w:rFonts w:hint="eastAsia"/>
                <w:color w:val="000000" w:themeColor="text1"/>
                <w14:textFill>
                  <w14:solidFill>
                    <w14:schemeClr w14:val="tx1"/>
                  </w14:solidFill>
                </w14:textFill>
              </w:rPr>
            </w:pPr>
          </w:p>
        </w:tc>
        <w:tc>
          <w:tcPr>
            <w:tcW w:w="405" w:type="pct"/>
            <w:vAlign w:val="center"/>
          </w:tcPr>
          <w:p w14:paraId="25956D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70891BD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62</w:t>
            </w:r>
          </w:p>
        </w:tc>
        <w:tc>
          <w:tcPr>
            <w:tcW w:w="410" w:type="pct"/>
            <w:vAlign w:val="center"/>
          </w:tcPr>
          <w:p w14:paraId="56FD99D6">
            <w:pPr>
              <w:pStyle w:val="210"/>
              <w:rPr>
                <w:rFonts w:hint="eastAsia"/>
                <w:color w:val="000000" w:themeColor="text1"/>
                <w14:textFill>
                  <w14:solidFill>
                    <w14:schemeClr w14:val="tx1"/>
                  </w14:solidFill>
                </w14:textFill>
              </w:rPr>
            </w:pPr>
          </w:p>
        </w:tc>
        <w:tc>
          <w:tcPr>
            <w:tcW w:w="389" w:type="pct"/>
            <w:vAlign w:val="center"/>
          </w:tcPr>
          <w:p w14:paraId="5A03907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71B4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42FD33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62" w:type="pct"/>
            <w:vAlign w:val="center"/>
          </w:tcPr>
          <w:p w14:paraId="06B491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56" w:type="pct"/>
            <w:vAlign w:val="center"/>
          </w:tcPr>
          <w:p w14:paraId="583E959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304" w:type="pct"/>
            <w:vAlign w:val="center"/>
          </w:tcPr>
          <w:p w14:paraId="73FCD3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53BC78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405" w:type="pct"/>
            <w:vAlign w:val="center"/>
          </w:tcPr>
          <w:p w14:paraId="2162E867">
            <w:pPr>
              <w:pStyle w:val="210"/>
              <w:rPr>
                <w:rFonts w:hint="eastAsia"/>
                <w:color w:val="000000" w:themeColor="text1"/>
                <w14:textFill>
                  <w14:solidFill>
                    <w14:schemeClr w14:val="tx1"/>
                  </w14:solidFill>
                </w14:textFill>
              </w:rPr>
            </w:pPr>
          </w:p>
        </w:tc>
        <w:tc>
          <w:tcPr>
            <w:tcW w:w="435" w:type="pct"/>
            <w:vAlign w:val="center"/>
          </w:tcPr>
          <w:p w14:paraId="6A7A872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799F54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w:t>
            </w:r>
          </w:p>
        </w:tc>
        <w:tc>
          <w:tcPr>
            <w:tcW w:w="441" w:type="pct"/>
            <w:vAlign w:val="center"/>
          </w:tcPr>
          <w:p w14:paraId="706A7C74">
            <w:pPr>
              <w:pStyle w:val="210"/>
              <w:rPr>
                <w:rFonts w:hint="eastAsia"/>
                <w:color w:val="000000" w:themeColor="text1"/>
                <w14:textFill>
                  <w14:solidFill>
                    <w14:schemeClr w14:val="tx1"/>
                  </w14:solidFill>
                </w14:textFill>
              </w:rPr>
            </w:pPr>
          </w:p>
        </w:tc>
        <w:tc>
          <w:tcPr>
            <w:tcW w:w="405" w:type="pct"/>
            <w:vAlign w:val="center"/>
          </w:tcPr>
          <w:p w14:paraId="403556A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594AA09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410" w:type="pct"/>
            <w:vAlign w:val="center"/>
          </w:tcPr>
          <w:p w14:paraId="1EFF5264">
            <w:pPr>
              <w:pStyle w:val="210"/>
              <w:rPr>
                <w:rFonts w:hint="eastAsia"/>
                <w:color w:val="000000" w:themeColor="text1"/>
                <w14:textFill>
                  <w14:solidFill>
                    <w14:schemeClr w14:val="tx1"/>
                  </w14:solidFill>
                </w14:textFill>
              </w:rPr>
            </w:pPr>
          </w:p>
        </w:tc>
        <w:tc>
          <w:tcPr>
            <w:tcW w:w="389" w:type="pct"/>
            <w:vAlign w:val="center"/>
          </w:tcPr>
          <w:p w14:paraId="44088D2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4C6D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0C11FD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62" w:type="pct"/>
            <w:vAlign w:val="center"/>
          </w:tcPr>
          <w:p w14:paraId="293360F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56" w:type="pct"/>
            <w:vAlign w:val="center"/>
          </w:tcPr>
          <w:p w14:paraId="331AAF1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190</w:t>
            </w:r>
          </w:p>
        </w:tc>
        <w:tc>
          <w:tcPr>
            <w:tcW w:w="304" w:type="pct"/>
            <w:vAlign w:val="center"/>
          </w:tcPr>
          <w:p w14:paraId="21BB6E9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2E8DF5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405" w:type="pct"/>
            <w:vAlign w:val="center"/>
          </w:tcPr>
          <w:p w14:paraId="17050378">
            <w:pPr>
              <w:pStyle w:val="210"/>
              <w:rPr>
                <w:rFonts w:hint="eastAsia"/>
                <w:color w:val="000000" w:themeColor="text1"/>
                <w14:textFill>
                  <w14:solidFill>
                    <w14:schemeClr w14:val="tx1"/>
                  </w14:solidFill>
                </w14:textFill>
              </w:rPr>
            </w:pPr>
          </w:p>
        </w:tc>
        <w:tc>
          <w:tcPr>
            <w:tcW w:w="435" w:type="pct"/>
            <w:vAlign w:val="center"/>
          </w:tcPr>
          <w:p w14:paraId="3662C6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067230E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441" w:type="pct"/>
            <w:vAlign w:val="center"/>
          </w:tcPr>
          <w:p w14:paraId="65CB7DE9">
            <w:pPr>
              <w:pStyle w:val="210"/>
              <w:rPr>
                <w:rFonts w:hint="eastAsia"/>
                <w:color w:val="000000" w:themeColor="text1"/>
                <w14:textFill>
                  <w14:solidFill>
                    <w14:schemeClr w14:val="tx1"/>
                  </w14:solidFill>
                </w14:textFill>
              </w:rPr>
            </w:pPr>
          </w:p>
        </w:tc>
        <w:tc>
          <w:tcPr>
            <w:tcW w:w="405" w:type="pct"/>
            <w:vAlign w:val="center"/>
          </w:tcPr>
          <w:p w14:paraId="4AAA4BF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0231AB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410" w:type="pct"/>
            <w:vAlign w:val="center"/>
          </w:tcPr>
          <w:p w14:paraId="467D28BC">
            <w:pPr>
              <w:pStyle w:val="210"/>
              <w:rPr>
                <w:rFonts w:hint="eastAsia"/>
                <w:color w:val="000000" w:themeColor="text1"/>
                <w14:textFill>
                  <w14:solidFill>
                    <w14:schemeClr w14:val="tx1"/>
                  </w14:solidFill>
                </w14:textFill>
              </w:rPr>
            </w:pPr>
          </w:p>
        </w:tc>
        <w:tc>
          <w:tcPr>
            <w:tcW w:w="389" w:type="pct"/>
            <w:vAlign w:val="center"/>
          </w:tcPr>
          <w:p w14:paraId="4A90818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C704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7A9DF8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62" w:type="pct"/>
            <w:vAlign w:val="center"/>
          </w:tcPr>
          <w:p w14:paraId="1940B4A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锌</w:t>
            </w:r>
          </w:p>
        </w:tc>
        <w:tc>
          <w:tcPr>
            <w:tcW w:w="456" w:type="pct"/>
            <w:vAlign w:val="center"/>
          </w:tcPr>
          <w:p w14:paraId="625F46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304" w:type="pct"/>
          </w:tcPr>
          <w:p w14:paraId="7C247D4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EE6E5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68</w:t>
            </w:r>
          </w:p>
        </w:tc>
        <w:tc>
          <w:tcPr>
            <w:tcW w:w="405" w:type="pct"/>
            <w:vAlign w:val="center"/>
          </w:tcPr>
          <w:p w14:paraId="1B0DE7E5">
            <w:pPr>
              <w:pStyle w:val="210"/>
              <w:rPr>
                <w:rFonts w:hint="eastAsia"/>
                <w:color w:val="000000" w:themeColor="text1"/>
                <w14:textFill>
                  <w14:solidFill>
                    <w14:schemeClr w14:val="tx1"/>
                  </w14:solidFill>
                </w14:textFill>
              </w:rPr>
            </w:pPr>
          </w:p>
        </w:tc>
        <w:tc>
          <w:tcPr>
            <w:tcW w:w="435" w:type="pct"/>
          </w:tcPr>
          <w:p w14:paraId="7F85F90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51AF94A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64</w:t>
            </w:r>
          </w:p>
        </w:tc>
        <w:tc>
          <w:tcPr>
            <w:tcW w:w="441" w:type="pct"/>
            <w:vAlign w:val="center"/>
          </w:tcPr>
          <w:p w14:paraId="57E5AD8B">
            <w:pPr>
              <w:pStyle w:val="210"/>
              <w:rPr>
                <w:rFonts w:hint="eastAsia"/>
                <w:color w:val="000000" w:themeColor="text1"/>
                <w14:textFill>
                  <w14:solidFill>
                    <w14:schemeClr w14:val="tx1"/>
                  </w14:solidFill>
                </w14:textFill>
              </w:rPr>
            </w:pPr>
          </w:p>
        </w:tc>
        <w:tc>
          <w:tcPr>
            <w:tcW w:w="405" w:type="pct"/>
          </w:tcPr>
          <w:p w14:paraId="213F8B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1DCA595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410" w:type="pct"/>
            <w:vAlign w:val="center"/>
          </w:tcPr>
          <w:p w14:paraId="76D165D1">
            <w:pPr>
              <w:pStyle w:val="210"/>
              <w:rPr>
                <w:rFonts w:hint="eastAsia"/>
                <w:color w:val="000000" w:themeColor="text1"/>
                <w14:textFill>
                  <w14:solidFill>
                    <w14:schemeClr w14:val="tx1"/>
                  </w14:solidFill>
                </w14:textFill>
              </w:rPr>
            </w:pPr>
          </w:p>
        </w:tc>
        <w:tc>
          <w:tcPr>
            <w:tcW w:w="389" w:type="pct"/>
          </w:tcPr>
          <w:p w14:paraId="5A3C0A9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3B73D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0B659B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2" w:type="pct"/>
            <w:vAlign w:val="center"/>
          </w:tcPr>
          <w:p w14:paraId="5413D1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w:t>
            </w:r>
          </w:p>
        </w:tc>
        <w:tc>
          <w:tcPr>
            <w:tcW w:w="456" w:type="pct"/>
            <w:vAlign w:val="center"/>
          </w:tcPr>
          <w:p w14:paraId="175594B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304" w:type="pct"/>
          </w:tcPr>
          <w:p w14:paraId="4938109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6E078D3">
            <w:pPr>
              <w:pStyle w:val="210"/>
              <w:rPr>
                <w:rFonts w:hint="eastAsia"/>
                <w:color w:val="000000" w:themeColor="text1"/>
                <w14:textFill>
                  <w14:solidFill>
                    <w14:schemeClr w14:val="tx1"/>
                  </w14:solidFill>
                </w14:textFill>
              </w:rPr>
            </w:pPr>
          </w:p>
        </w:tc>
        <w:tc>
          <w:tcPr>
            <w:tcW w:w="405" w:type="pct"/>
            <w:vAlign w:val="center"/>
          </w:tcPr>
          <w:p w14:paraId="6C87EA93">
            <w:pPr>
              <w:pStyle w:val="210"/>
              <w:rPr>
                <w:rFonts w:hint="eastAsia"/>
                <w:color w:val="000000" w:themeColor="text1"/>
                <w14:textFill>
                  <w14:solidFill>
                    <w14:schemeClr w14:val="tx1"/>
                  </w14:solidFill>
                </w14:textFill>
              </w:rPr>
            </w:pPr>
          </w:p>
        </w:tc>
        <w:tc>
          <w:tcPr>
            <w:tcW w:w="435" w:type="pct"/>
          </w:tcPr>
          <w:p w14:paraId="353F04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DAB3921">
            <w:pPr>
              <w:pStyle w:val="210"/>
              <w:rPr>
                <w:rFonts w:hint="eastAsia"/>
                <w:color w:val="000000" w:themeColor="text1"/>
                <w14:textFill>
                  <w14:solidFill>
                    <w14:schemeClr w14:val="tx1"/>
                  </w14:solidFill>
                </w14:textFill>
              </w:rPr>
            </w:pPr>
          </w:p>
        </w:tc>
        <w:tc>
          <w:tcPr>
            <w:tcW w:w="441" w:type="pct"/>
            <w:vAlign w:val="center"/>
          </w:tcPr>
          <w:p w14:paraId="3CBB7776">
            <w:pPr>
              <w:pStyle w:val="210"/>
              <w:rPr>
                <w:rFonts w:hint="eastAsia"/>
                <w:color w:val="000000" w:themeColor="text1"/>
                <w14:textFill>
                  <w14:solidFill>
                    <w14:schemeClr w14:val="tx1"/>
                  </w14:solidFill>
                </w14:textFill>
              </w:rPr>
            </w:pPr>
          </w:p>
        </w:tc>
        <w:tc>
          <w:tcPr>
            <w:tcW w:w="405" w:type="pct"/>
          </w:tcPr>
          <w:p w14:paraId="7EE2C6D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5CF382FE">
            <w:pPr>
              <w:pStyle w:val="210"/>
              <w:rPr>
                <w:rFonts w:hint="eastAsia"/>
                <w:color w:val="000000" w:themeColor="text1"/>
                <w14:textFill>
                  <w14:solidFill>
                    <w14:schemeClr w14:val="tx1"/>
                  </w14:solidFill>
                </w14:textFill>
              </w:rPr>
            </w:pPr>
          </w:p>
        </w:tc>
        <w:tc>
          <w:tcPr>
            <w:tcW w:w="410" w:type="pct"/>
            <w:vAlign w:val="center"/>
          </w:tcPr>
          <w:p w14:paraId="04F53666">
            <w:pPr>
              <w:pStyle w:val="210"/>
              <w:rPr>
                <w:rFonts w:hint="eastAsia"/>
                <w:color w:val="000000" w:themeColor="text1"/>
                <w14:textFill>
                  <w14:solidFill>
                    <w14:schemeClr w14:val="tx1"/>
                  </w14:solidFill>
                </w14:textFill>
              </w:rPr>
            </w:pPr>
          </w:p>
        </w:tc>
        <w:tc>
          <w:tcPr>
            <w:tcW w:w="389" w:type="pct"/>
          </w:tcPr>
          <w:p w14:paraId="4E349E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FF65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5C73E8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562" w:type="pct"/>
            <w:vAlign w:val="center"/>
          </w:tcPr>
          <w:p w14:paraId="65A282C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土壤盐分含量</w:t>
            </w:r>
          </w:p>
        </w:tc>
        <w:tc>
          <w:tcPr>
            <w:tcW w:w="456" w:type="pct"/>
            <w:vAlign w:val="center"/>
          </w:tcPr>
          <w:p w14:paraId="2680B3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3281D4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g/kg</w:t>
            </w:r>
          </w:p>
        </w:tc>
        <w:tc>
          <w:tcPr>
            <w:tcW w:w="303" w:type="pct"/>
            <w:vAlign w:val="center"/>
          </w:tcPr>
          <w:p w14:paraId="39D12F55">
            <w:pPr>
              <w:pStyle w:val="210"/>
              <w:rPr>
                <w:rFonts w:hint="eastAsia"/>
                <w:color w:val="000000" w:themeColor="text1"/>
                <w14:textFill>
                  <w14:solidFill>
                    <w14:schemeClr w14:val="tx1"/>
                  </w14:solidFill>
                </w14:textFill>
              </w:rPr>
            </w:pPr>
          </w:p>
        </w:tc>
        <w:tc>
          <w:tcPr>
            <w:tcW w:w="405" w:type="pct"/>
            <w:vAlign w:val="center"/>
          </w:tcPr>
          <w:p w14:paraId="291197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22DD09B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14CAA792">
            <w:pPr>
              <w:pStyle w:val="210"/>
              <w:rPr>
                <w:rFonts w:hint="eastAsia"/>
                <w:color w:val="000000" w:themeColor="text1"/>
                <w14:textFill>
                  <w14:solidFill>
                    <w14:schemeClr w14:val="tx1"/>
                  </w14:solidFill>
                </w14:textFill>
              </w:rPr>
            </w:pPr>
          </w:p>
        </w:tc>
        <w:tc>
          <w:tcPr>
            <w:tcW w:w="441" w:type="pct"/>
            <w:vAlign w:val="center"/>
          </w:tcPr>
          <w:p w14:paraId="3D8B49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5" w:type="pct"/>
            <w:vAlign w:val="center"/>
          </w:tcPr>
          <w:p w14:paraId="23976B0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5" w:type="pct"/>
            <w:gridSpan w:val="2"/>
            <w:vAlign w:val="center"/>
          </w:tcPr>
          <w:p w14:paraId="02F220A6">
            <w:pPr>
              <w:pStyle w:val="210"/>
              <w:rPr>
                <w:rFonts w:hint="eastAsia"/>
                <w:color w:val="000000" w:themeColor="text1"/>
                <w14:textFill>
                  <w14:solidFill>
                    <w14:schemeClr w14:val="tx1"/>
                  </w14:solidFill>
                </w14:textFill>
              </w:rPr>
            </w:pPr>
          </w:p>
        </w:tc>
        <w:tc>
          <w:tcPr>
            <w:tcW w:w="410" w:type="pct"/>
            <w:vAlign w:val="center"/>
          </w:tcPr>
          <w:p w14:paraId="1DDB34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7D83AFA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48525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 w:type="pct"/>
            <w:vMerge w:val="restart"/>
            <w:vAlign w:val="center"/>
          </w:tcPr>
          <w:p w14:paraId="681409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562" w:type="pct"/>
            <w:vMerge w:val="restart"/>
            <w:vAlign w:val="center"/>
          </w:tcPr>
          <w:p w14:paraId="63BDD91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456" w:type="pct"/>
            <w:vMerge w:val="restart"/>
            <w:vAlign w:val="center"/>
          </w:tcPr>
          <w:p w14:paraId="053DC31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标准限值（mg/kg）</w:t>
            </w:r>
          </w:p>
        </w:tc>
        <w:tc>
          <w:tcPr>
            <w:tcW w:w="304" w:type="pct"/>
            <w:vMerge w:val="restart"/>
            <w:vAlign w:val="center"/>
          </w:tcPr>
          <w:p w14:paraId="2D71EF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监测值单位</w:t>
            </w:r>
          </w:p>
        </w:tc>
        <w:tc>
          <w:tcPr>
            <w:tcW w:w="1145" w:type="pct"/>
            <w:gridSpan w:val="3"/>
            <w:vAlign w:val="center"/>
          </w:tcPr>
          <w:p w14:paraId="06F5007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S14(0m～0.2m)</w:t>
            </w:r>
          </w:p>
        </w:tc>
        <w:tc>
          <w:tcPr>
            <w:tcW w:w="1226" w:type="pct"/>
            <w:gridSpan w:val="4"/>
            <w:vAlign w:val="center"/>
          </w:tcPr>
          <w:p w14:paraId="001F72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S15(0m～0.2m)</w:t>
            </w:r>
          </w:p>
        </w:tc>
        <w:tc>
          <w:tcPr>
            <w:tcW w:w="1105" w:type="pct"/>
            <w:gridSpan w:val="4"/>
            <w:vAlign w:val="center"/>
          </w:tcPr>
          <w:p w14:paraId="5187DF0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S16(0m～0.2m)</w:t>
            </w:r>
          </w:p>
        </w:tc>
      </w:tr>
      <w:tr w14:paraId="032DB5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Merge w:val="continue"/>
            <w:vAlign w:val="center"/>
          </w:tcPr>
          <w:p w14:paraId="63083284">
            <w:pPr>
              <w:pStyle w:val="210"/>
              <w:rPr>
                <w:rFonts w:hint="eastAsia"/>
                <w:color w:val="000000" w:themeColor="text1"/>
                <w14:textFill>
                  <w14:solidFill>
                    <w14:schemeClr w14:val="tx1"/>
                  </w14:solidFill>
                </w14:textFill>
              </w:rPr>
            </w:pPr>
          </w:p>
        </w:tc>
        <w:tc>
          <w:tcPr>
            <w:tcW w:w="562" w:type="pct"/>
            <w:vMerge w:val="continue"/>
            <w:vAlign w:val="center"/>
          </w:tcPr>
          <w:p w14:paraId="4C86D442">
            <w:pPr>
              <w:pStyle w:val="210"/>
              <w:rPr>
                <w:rFonts w:hint="eastAsia"/>
                <w:color w:val="000000" w:themeColor="text1"/>
                <w14:textFill>
                  <w14:solidFill>
                    <w14:schemeClr w14:val="tx1"/>
                  </w14:solidFill>
                </w14:textFill>
              </w:rPr>
            </w:pPr>
          </w:p>
        </w:tc>
        <w:tc>
          <w:tcPr>
            <w:tcW w:w="456" w:type="pct"/>
            <w:vMerge w:val="continue"/>
            <w:vAlign w:val="center"/>
          </w:tcPr>
          <w:p w14:paraId="6B89CDCD">
            <w:pPr>
              <w:pStyle w:val="210"/>
              <w:rPr>
                <w:rFonts w:hint="eastAsia"/>
                <w:color w:val="000000" w:themeColor="text1"/>
                <w14:textFill>
                  <w14:solidFill>
                    <w14:schemeClr w14:val="tx1"/>
                  </w14:solidFill>
                </w14:textFill>
              </w:rPr>
            </w:pPr>
          </w:p>
        </w:tc>
        <w:tc>
          <w:tcPr>
            <w:tcW w:w="304" w:type="pct"/>
            <w:vMerge w:val="continue"/>
            <w:vAlign w:val="center"/>
          </w:tcPr>
          <w:p w14:paraId="20A92BE8">
            <w:pPr>
              <w:pStyle w:val="210"/>
              <w:rPr>
                <w:rFonts w:hint="eastAsia"/>
                <w:color w:val="000000" w:themeColor="text1"/>
                <w14:textFill>
                  <w14:solidFill>
                    <w14:schemeClr w14:val="tx1"/>
                  </w14:solidFill>
                </w14:textFill>
              </w:rPr>
            </w:pPr>
          </w:p>
        </w:tc>
        <w:tc>
          <w:tcPr>
            <w:tcW w:w="303" w:type="pct"/>
            <w:vAlign w:val="center"/>
          </w:tcPr>
          <w:p w14:paraId="150635A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05" w:type="pct"/>
            <w:vAlign w:val="center"/>
          </w:tcPr>
          <w:p w14:paraId="2A442C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435" w:type="pct"/>
            <w:vAlign w:val="center"/>
          </w:tcPr>
          <w:p w14:paraId="147A10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376" w:type="pct"/>
            <w:vAlign w:val="center"/>
          </w:tcPr>
          <w:p w14:paraId="29CA50E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41" w:type="pct"/>
            <w:vAlign w:val="center"/>
          </w:tcPr>
          <w:p w14:paraId="518F8D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405" w:type="pct"/>
            <w:vAlign w:val="center"/>
          </w:tcPr>
          <w:p w14:paraId="0B252C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305" w:type="pct"/>
            <w:gridSpan w:val="2"/>
            <w:vAlign w:val="center"/>
          </w:tcPr>
          <w:p w14:paraId="2C1820D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410" w:type="pct"/>
            <w:vAlign w:val="center"/>
          </w:tcPr>
          <w:p w14:paraId="34B035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389" w:type="pct"/>
            <w:vAlign w:val="center"/>
          </w:tcPr>
          <w:p w14:paraId="6706992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3BEEF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0B9004F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62" w:type="pct"/>
            <w:vAlign w:val="center"/>
          </w:tcPr>
          <w:p w14:paraId="2F1A42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56" w:type="pct"/>
            <w:vAlign w:val="center"/>
          </w:tcPr>
          <w:p w14:paraId="1D66EB4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105BE4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3" w:type="pct"/>
            <w:vAlign w:val="center"/>
          </w:tcPr>
          <w:p w14:paraId="306B600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8.26</w:t>
            </w:r>
          </w:p>
        </w:tc>
        <w:tc>
          <w:tcPr>
            <w:tcW w:w="405" w:type="pct"/>
            <w:vAlign w:val="center"/>
          </w:tcPr>
          <w:p w14:paraId="224F1C7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5004848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585CBE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8.29</w:t>
            </w:r>
          </w:p>
        </w:tc>
        <w:tc>
          <w:tcPr>
            <w:tcW w:w="441" w:type="pct"/>
            <w:vAlign w:val="center"/>
          </w:tcPr>
          <w:p w14:paraId="790E47B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5" w:type="pct"/>
            <w:vAlign w:val="center"/>
          </w:tcPr>
          <w:p w14:paraId="33E1A59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5" w:type="pct"/>
            <w:gridSpan w:val="2"/>
            <w:vAlign w:val="center"/>
          </w:tcPr>
          <w:p w14:paraId="7299C28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8.39</w:t>
            </w:r>
          </w:p>
        </w:tc>
        <w:tc>
          <w:tcPr>
            <w:tcW w:w="410" w:type="pct"/>
            <w:vAlign w:val="center"/>
          </w:tcPr>
          <w:p w14:paraId="0FC7C15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7D5188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A23CA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5A4F39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62" w:type="pct"/>
            <w:vAlign w:val="center"/>
          </w:tcPr>
          <w:p w14:paraId="2C6FFDC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1294" w:type="dxa"/>
            <w:vAlign w:val="center"/>
          </w:tcPr>
          <w:p w14:paraId="5F6823A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304" w:type="pct"/>
            <w:vAlign w:val="center"/>
          </w:tcPr>
          <w:p w14:paraId="392C550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74C77A9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7.15</w:t>
            </w:r>
          </w:p>
        </w:tc>
        <w:tc>
          <w:tcPr>
            <w:tcW w:w="405" w:type="pct"/>
            <w:vAlign w:val="center"/>
          </w:tcPr>
          <w:p w14:paraId="23B796EE">
            <w:pPr>
              <w:pStyle w:val="210"/>
              <w:rPr>
                <w:rFonts w:hint="eastAsia"/>
                <w:color w:val="000000" w:themeColor="text1"/>
                <w14:textFill>
                  <w14:solidFill>
                    <w14:schemeClr w14:val="tx1"/>
                  </w14:solidFill>
                </w14:textFill>
              </w:rPr>
            </w:pPr>
          </w:p>
        </w:tc>
        <w:tc>
          <w:tcPr>
            <w:tcW w:w="435" w:type="pct"/>
            <w:vAlign w:val="center"/>
          </w:tcPr>
          <w:p w14:paraId="5525DD6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8ACD54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10.7</w:t>
            </w:r>
          </w:p>
        </w:tc>
        <w:tc>
          <w:tcPr>
            <w:tcW w:w="441" w:type="pct"/>
            <w:vAlign w:val="center"/>
          </w:tcPr>
          <w:p w14:paraId="097EB221">
            <w:pPr>
              <w:pStyle w:val="210"/>
              <w:rPr>
                <w:rFonts w:hint="eastAsia"/>
                <w:color w:val="000000" w:themeColor="text1"/>
                <w14:textFill>
                  <w14:solidFill>
                    <w14:schemeClr w14:val="tx1"/>
                  </w14:solidFill>
                </w14:textFill>
              </w:rPr>
            </w:pPr>
          </w:p>
        </w:tc>
        <w:tc>
          <w:tcPr>
            <w:tcW w:w="405" w:type="pct"/>
            <w:vAlign w:val="center"/>
          </w:tcPr>
          <w:p w14:paraId="5C844B5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5A4B41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9.13</w:t>
            </w:r>
          </w:p>
        </w:tc>
        <w:tc>
          <w:tcPr>
            <w:tcW w:w="410" w:type="pct"/>
            <w:vAlign w:val="center"/>
          </w:tcPr>
          <w:p w14:paraId="140A0C53">
            <w:pPr>
              <w:pStyle w:val="210"/>
              <w:rPr>
                <w:rFonts w:hint="eastAsia"/>
                <w:color w:val="000000" w:themeColor="text1"/>
                <w14:textFill>
                  <w14:solidFill>
                    <w14:schemeClr w14:val="tx1"/>
                  </w14:solidFill>
                </w14:textFill>
              </w:rPr>
            </w:pPr>
          </w:p>
        </w:tc>
        <w:tc>
          <w:tcPr>
            <w:tcW w:w="389" w:type="pct"/>
            <w:vAlign w:val="center"/>
          </w:tcPr>
          <w:p w14:paraId="608785C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9A875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5A1E8A5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62" w:type="pct"/>
            <w:vAlign w:val="center"/>
          </w:tcPr>
          <w:p w14:paraId="60AD32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1294" w:type="dxa"/>
            <w:vAlign w:val="center"/>
          </w:tcPr>
          <w:p w14:paraId="6F72446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304" w:type="pct"/>
            <w:vAlign w:val="center"/>
          </w:tcPr>
          <w:p w14:paraId="0DB6C7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380BDBA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405" w:type="pct"/>
            <w:vAlign w:val="center"/>
          </w:tcPr>
          <w:p w14:paraId="39F5B84F">
            <w:pPr>
              <w:pStyle w:val="210"/>
              <w:rPr>
                <w:rFonts w:hint="eastAsia"/>
                <w:color w:val="000000" w:themeColor="text1"/>
                <w14:textFill>
                  <w14:solidFill>
                    <w14:schemeClr w14:val="tx1"/>
                  </w14:solidFill>
                </w14:textFill>
              </w:rPr>
            </w:pPr>
          </w:p>
        </w:tc>
        <w:tc>
          <w:tcPr>
            <w:tcW w:w="435" w:type="pct"/>
            <w:vAlign w:val="center"/>
          </w:tcPr>
          <w:p w14:paraId="22AC7C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E21BD4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0.059</w:t>
            </w:r>
          </w:p>
        </w:tc>
        <w:tc>
          <w:tcPr>
            <w:tcW w:w="441" w:type="pct"/>
            <w:vAlign w:val="center"/>
          </w:tcPr>
          <w:p w14:paraId="7F66F95F">
            <w:pPr>
              <w:pStyle w:val="210"/>
              <w:rPr>
                <w:rFonts w:hint="eastAsia"/>
                <w:color w:val="000000" w:themeColor="text1"/>
                <w14:textFill>
                  <w14:solidFill>
                    <w14:schemeClr w14:val="tx1"/>
                  </w14:solidFill>
                </w14:textFill>
              </w:rPr>
            </w:pPr>
          </w:p>
        </w:tc>
        <w:tc>
          <w:tcPr>
            <w:tcW w:w="405" w:type="pct"/>
            <w:vAlign w:val="center"/>
          </w:tcPr>
          <w:p w14:paraId="2C79B4A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5413A64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0.063</w:t>
            </w:r>
          </w:p>
        </w:tc>
        <w:tc>
          <w:tcPr>
            <w:tcW w:w="410" w:type="pct"/>
            <w:vAlign w:val="center"/>
          </w:tcPr>
          <w:p w14:paraId="10DE120A">
            <w:pPr>
              <w:pStyle w:val="210"/>
              <w:rPr>
                <w:rFonts w:hint="eastAsia"/>
                <w:color w:val="000000" w:themeColor="text1"/>
                <w14:textFill>
                  <w14:solidFill>
                    <w14:schemeClr w14:val="tx1"/>
                  </w14:solidFill>
                </w14:textFill>
              </w:rPr>
            </w:pPr>
          </w:p>
        </w:tc>
        <w:tc>
          <w:tcPr>
            <w:tcW w:w="389" w:type="pct"/>
            <w:vAlign w:val="center"/>
          </w:tcPr>
          <w:p w14:paraId="3266B7D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E5B07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3EBFBF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62" w:type="pct"/>
            <w:vAlign w:val="center"/>
          </w:tcPr>
          <w:p w14:paraId="5D22DE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1294" w:type="dxa"/>
            <w:vAlign w:val="center"/>
          </w:tcPr>
          <w:p w14:paraId="1DD012B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170</w:t>
            </w:r>
          </w:p>
        </w:tc>
        <w:tc>
          <w:tcPr>
            <w:tcW w:w="304" w:type="pct"/>
            <w:vAlign w:val="center"/>
          </w:tcPr>
          <w:p w14:paraId="526B4C7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7961B52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405" w:type="pct"/>
            <w:vAlign w:val="center"/>
          </w:tcPr>
          <w:p w14:paraId="34700C16">
            <w:pPr>
              <w:pStyle w:val="210"/>
              <w:rPr>
                <w:rFonts w:hint="eastAsia"/>
                <w:color w:val="000000" w:themeColor="text1"/>
                <w14:textFill>
                  <w14:solidFill>
                    <w14:schemeClr w14:val="tx1"/>
                  </w14:solidFill>
                </w14:textFill>
              </w:rPr>
            </w:pPr>
          </w:p>
        </w:tc>
        <w:tc>
          <w:tcPr>
            <w:tcW w:w="435" w:type="pct"/>
            <w:vAlign w:val="center"/>
          </w:tcPr>
          <w:p w14:paraId="498C7D5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DB121D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441" w:type="pct"/>
            <w:vAlign w:val="center"/>
          </w:tcPr>
          <w:p w14:paraId="7F6AECAB">
            <w:pPr>
              <w:pStyle w:val="210"/>
              <w:rPr>
                <w:rFonts w:hint="eastAsia"/>
                <w:color w:val="000000" w:themeColor="text1"/>
                <w14:textFill>
                  <w14:solidFill>
                    <w14:schemeClr w14:val="tx1"/>
                  </w14:solidFill>
                </w14:textFill>
              </w:rPr>
            </w:pPr>
          </w:p>
        </w:tc>
        <w:tc>
          <w:tcPr>
            <w:tcW w:w="405" w:type="pct"/>
            <w:vAlign w:val="center"/>
          </w:tcPr>
          <w:p w14:paraId="440660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43B4867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410" w:type="pct"/>
            <w:vAlign w:val="center"/>
          </w:tcPr>
          <w:p w14:paraId="7F96E4CE">
            <w:pPr>
              <w:pStyle w:val="210"/>
              <w:rPr>
                <w:rFonts w:hint="eastAsia"/>
                <w:color w:val="000000" w:themeColor="text1"/>
                <w14:textFill>
                  <w14:solidFill>
                    <w14:schemeClr w14:val="tx1"/>
                  </w14:solidFill>
                </w14:textFill>
              </w:rPr>
            </w:pPr>
          </w:p>
        </w:tc>
        <w:tc>
          <w:tcPr>
            <w:tcW w:w="389" w:type="pct"/>
            <w:vAlign w:val="center"/>
          </w:tcPr>
          <w:p w14:paraId="5AD4BCC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D93E6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753E276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62" w:type="pct"/>
            <w:vAlign w:val="center"/>
          </w:tcPr>
          <w:p w14:paraId="6C79AF0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1294" w:type="dxa"/>
            <w:vAlign w:val="center"/>
          </w:tcPr>
          <w:p w14:paraId="133D2E1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304" w:type="pct"/>
            <w:vAlign w:val="center"/>
          </w:tcPr>
          <w:p w14:paraId="2D1EBE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0F7BC4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0.31</w:t>
            </w:r>
          </w:p>
        </w:tc>
        <w:tc>
          <w:tcPr>
            <w:tcW w:w="405" w:type="pct"/>
            <w:vAlign w:val="center"/>
          </w:tcPr>
          <w:p w14:paraId="1A403D7B">
            <w:pPr>
              <w:pStyle w:val="210"/>
              <w:rPr>
                <w:rFonts w:hint="eastAsia"/>
                <w:color w:val="000000" w:themeColor="text1"/>
                <w14:textFill>
                  <w14:solidFill>
                    <w14:schemeClr w14:val="tx1"/>
                  </w14:solidFill>
                </w14:textFill>
              </w:rPr>
            </w:pPr>
          </w:p>
        </w:tc>
        <w:tc>
          <w:tcPr>
            <w:tcW w:w="435" w:type="pct"/>
            <w:vAlign w:val="center"/>
          </w:tcPr>
          <w:p w14:paraId="2D8353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237867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0.22</w:t>
            </w:r>
          </w:p>
        </w:tc>
        <w:tc>
          <w:tcPr>
            <w:tcW w:w="441" w:type="pct"/>
            <w:vAlign w:val="center"/>
          </w:tcPr>
          <w:p w14:paraId="472D3A46">
            <w:pPr>
              <w:pStyle w:val="210"/>
              <w:rPr>
                <w:rFonts w:hint="eastAsia"/>
                <w:color w:val="000000" w:themeColor="text1"/>
                <w14:textFill>
                  <w14:solidFill>
                    <w14:schemeClr w14:val="tx1"/>
                  </w14:solidFill>
                </w14:textFill>
              </w:rPr>
            </w:pPr>
          </w:p>
        </w:tc>
        <w:tc>
          <w:tcPr>
            <w:tcW w:w="405" w:type="pct"/>
            <w:vAlign w:val="center"/>
          </w:tcPr>
          <w:p w14:paraId="2D2163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74E4985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0.24</w:t>
            </w:r>
          </w:p>
        </w:tc>
        <w:tc>
          <w:tcPr>
            <w:tcW w:w="410" w:type="pct"/>
            <w:vAlign w:val="center"/>
          </w:tcPr>
          <w:p w14:paraId="00B53A05">
            <w:pPr>
              <w:pStyle w:val="210"/>
              <w:rPr>
                <w:rFonts w:hint="eastAsia"/>
                <w:color w:val="000000" w:themeColor="text1"/>
                <w14:textFill>
                  <w14:solidFill>
                    <w14:schemeClr w14:val="tx1"/>
                  </w14:solidFill>
                </w14:textFill>
              </w:rPr>
            </w:pPr>
          </w:p>
        </w:tc>
        <w:tc>
          <w:tcPr>
            <w:tcW w:w="389" w:type="pct"/>
            <w:vAlign w:val="center"/>
          </w:tcPr>
          <w:p w14:paraId="437F816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F81C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7E041C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62" w:type="pct"/>
            <w:vAlign w:val="center"/>
          </w:tcPr>
          <w:p w14:paraId="7ED5EFB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总铬</w:t>
            </w:r>
          </w:p>
        </w:tc>
        <w:tc>
          <w:tcPr>
            <w:tcW w:w="1294" w:type="dxa"/>
            <w:vAlign w:val="center"/>
          </w:tcPr>
          <w:p w14:paraId="705AD8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c>
          <w:tcPr>
            <w:tcW w:w="304" w:type="pct"/>
            <w:vAlign w:val="center"/>
          </w:tcPr>
          <w:p w14:paraId="6820A7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7BDF5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64</w:t>
            </w:r>
          </w:p>
        </w:tc>
        <w:tc>
          <w:tcPr>
            <w:tcW w:w="405" w:type="pct"/>
            <w:vAlign w:val="center"/>
          </w:tcPr>
          <w:p w14:paraId="5D8CB834">
            <w:pPr>
              <w:pStyle w:val="210"/>
              <w:rPr>
                <w:rFonts w:hint="eastAsia"/>
                <w:color w:val="000000" w:themeColor="text1"/>
                <w14:textFill>
                  <w14:solidFill>
                    <w14:schemeClr w14:val="tx1"/>
                  </w14:solidFill>
                </w14:textFill>
              </w:rPr>
            </w:pPr>
          </w:p>
        </w:tc>
        <w:tc>
          <w:tcPr>
            <w:tcW w:w="435" w:type="pct"/>
            <w:vAlign w:val="center"/>
          </w:tcPr>
          <w:p w14:paraId="7A839C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260C2D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74</w:t>
            </w:r>
          </w:p>
        </w:tc>
        <w:tc>
          <w:tcPr>
            <w:tcW w:w="441" w:type="pct"/>
            <w:vAlign w:val="center"/>
          </w:tcPr>
          <w:p w14:paraId="3C3244ED">
            <w:pPr>
              <w:pStyle w:val="210"/>
              <w:rPr>
                <w:rFonts w:hint="eastAsia"/>
                <w:color w:val="000000" w:themeColor="text1"/>
                <w14:textFill>
                  <w14:solidFill>
                    <w14:schemeClr w14:val="tx1"/>
                  </w14:solidFill>
                </w14:textFill>
              </w:rPr>
            </w:pPr>
          </w:p>
        </w:tc>
        <w:tc>
          <w:tcPr>
            <w:tcW w:w="405" w:type="pct"/>
            <w:vAlign w:val="center"/>
          </w:tcPr>
          <w:p w14:paraId="6F8B18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462A8B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56</w:t>
            </w:r>
          </w:p>
        </w:tc>
        <w:tc>
          <w:tcPr>
            <w:tcW w:w="410" w:type="pct"/>
            <w:vAlign w:val="center"/>
          </w:tcPr>
          <w:p w14:paraId="6928274F">
            <w:pPr>
              <w:pStyle w:val="210"/>
              <w:rPr>
                <w:rFonts w:hint="eastAsia"/>
                <w:color w:val="000000" w:themeColor="text1"/>
                <w14:textFill>
                  <w14:solidFill>
                    <w14:schemeClr w14:val="tx1"/>
                  </w14:solidFill>
                </w14:textFill>
              </w:rPr>
            </w:pPr>
          </w:p>
        </w:tc>
        <w:tc>
          <w:tcPr>
            <w:tcW w:w="389" w:type="pct"/>
            <w:vAlign w:val="center"/>
          </w:tcPr>
          <w:p w14:paraId="4478F5F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A1E4F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5FDBD1A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62" w:type="pct"/>
            <w:vAlign w:val="center"/>
          </w:tcPr>
          <w:p w14:paraId="0F05ED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1294" w:type="dxa"/>
            <w:vAlign w:val="center"/>
          </w:tcPr>
          <w:p w14:paraId="7162C95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304" w:type="pct"/>
            <w:vAlign w:val="center"/>
          </w:tcPr>
          <w:p w14:paraId="75D3A1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52E82FB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w:t>
            </w:r>
          </w:p>
        </w:tc>
        <w:tc>
          <w:tcPr>
            <w:tcW w:w="405" w:type="pct"/>
            <w:vAlign w:val="center"/>
          </w:tcPr>
          <w:p w14:paraId="307BC644">
            <w:pPr>
              <w:pStyle w:val="210"/>
              <w:rPr>
                <w:rFonts w:hint="eastAsia"/>
                <w:color w:val="000000" w:themeColor="text1"/>
                <w14:textFill>
                  <w14:solidFill>
                    <w14:schemeClr w14:val="tx1"/>
                  </w14:solidFill>
                </w14:textFill>
              </w:rPr>
            </w:pPr>
          </w:p>
        </w:tc>
        <w:tc>
          <w:tcPr>
            <w:tcW w:w="435" w:type="pct"/>
            <w:vAlign w:val="center"/>
          </w:tcPr>
          <w:p w14:paraId="1771F4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09BAA54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441" w:type="pct"/>
            <w:vAlign w:val="center"/>
          </w:tcPr>
          <w:p w14:paraId="58639106">
            <w:pPr>
              <w:pStyle w:val="210"/>
              <w:rPr>
                <w:rFonts w:hint="eastAsia"/>
                <w:color w:val="000000" w:themeColor="text1"/>
                <w14:textFill>
                  <w14:solidFill>
                    <w14:schemeClr w14:val="tx1"/>
                  </w14:solidFill>
                </w14:textFill>
              </w:rPr>
            </w:pPr>
          </w:p>
        </w:tc>
        <w:tc>
          <w:tcPr>
            <w:tcW w:w="405" w:type="pct"/>
            <w:vAlign w:val="center"/>
          </w:tcPr>
          <w:p w14:paraId="7EBF73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11B1DF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410" w:type="pct"/>
            <w:vAlign w:val="center"/>
          </w:tcPr>
          <w:p w14:paraId="6FE6C1D5">
            <w:pPr>
              <w:pStyle w:val="210"/>
              <w:rPr>
                <w:rFonts w:hint="eastAsia"/>
                <w:color w:val="000000" w:themeColor="text1"/>
                <w14:textFill>
                  <w14:solidFill>
                    <w14:schemeClr w14:val="tx1"/>
                  </w14:solidFill>
                </w14:textFill>
              </w:rPr>
            </w:pPr>
          </w:p>
        </w:tc>
        <w:tc>
          <w:tcPr>
            <w:tcW w:w="389" w:type="pct"/>
            <w:vAlign w:val="center"/>
          </w:tcPr>
          <w:p w14:paraId="02A6F55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57B2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57D0BCB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562" w:type="pct"/>
            <w:vAlign w:val="center"/>
          </w:tcPr>
          <w:p w14:paraId="7DE4352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1294" w:type="dxa"/>
            <w:vAlign w:val="center"/>
          </w:tcPr>
          <w:p w14:paraId="36D9263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190</w:t>
            </w:r>
          </w:p>
        </w:tc>
        <w:tc>
          <w:tcPr>
            <w:tcW w:w="304" w:type="pct"/>
            <w:vAlign w:val="center"/>
          </w:tcPr>
          <w:p w14:paraId="439BD3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C039B0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405" w:type="pct"/>
            <w:vAlign w:val="center"/>
          </w:tcPr>
          <w:p w14:paraId="415F73DF">
            <w:pPr>
              <w:pStyle w:val="210"/>
              <w:rPr>
                <w:rFonts w:hint="eastAsia"/>
                <w:color w:val="000000" w:themeColor="text1"/>
                <w14:textFill>
                  <w14:solidFill>
                    <w14:schemeClr w14:val="tx1"/>
                  </w14:solidFill>
                </w14:textFill>
              </w:rPr>
            </w:pPr>
          </w:p>
        </w:tc>
        <w:tc>
          <w:tcPr>
            <w:tcW w:w="435" w:type="pct"/>
            <w:vAlign w:val="center"/>
          </w:tcPr>
          <w:p w14:paraId="05ED166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7381C9A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441" w:type="pct"/>
            <w:vAlign w:val="center"/>
          </w:tcPr>
          <w:p w14:paraId="55211F9F">
            <w:pPr>
              <w:pStyle w:val="210"/>
              <w:rPr>
                <w:rFonts w:hint="eastAsia"/>
                <w:color w:val="000000" w:themeColor="text1"/>
                <w14:textFill>
                  <w14:solidFill>
                    <w14:schemeClr w14:val="tx1"/>
                  </w14:solidFill>
                </w14:textFill>
              </w:rPr>
            </w:pPr>
          </w:p>
        </w:tc>
        <w:tc>
          <w:tcPr>
            <w:tcW w:w="405" w:type="pct"/>
            <w:vAlign w:val="center"/>
          </w:tcPr>
          <w:p w14:paraId="72C6F3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557C10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410" w:type="pct"/>
            <w:vAlign w:val="center"/>
          </w:tcPr>
          <w:p w14:paraId="138FB391">
            <w:pPr>
              <w:pStyle w:val="210"/>
              <w:rPr>
                <w:rFonts w:hint="eastAsia"/>
                <w:color w:val="000000" w:themeColor="text1"/>
                <w14:textFill>
                  <w14:solidFill>
                    <w14:schemeClr w14:val="tx1"/>
                  </w14:solidFill>
                </w14:textFill>
              </w:rPr>
            </w:pPr>
          </w:p>
        </w:tc>
        <w:tc>
          <w:tcPr>
            <w:tcW w:w="389" w:type="pct"/>
            <w:vAlign w:val="center"/>
          </w:tcPr>
          <w:p w14:paraId="0AE8867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B031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3178E0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562" w:type="pct"/>
            <w:vAlign w:val="center"/>
          </w:tcPr>
          <w:p w14:paraId="053F5C3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锌</w:t>
            </w:r>
          </w:p>
        </w:tc>
        <w:tc>
          <w:tcPr>
            <w:tcW w:w="1294" w:type="dxa"/>
            <w:vAlign w:val="center"/>
          </w:tcPr>
          <w:p w14:paraId="6AC0FA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304" w:type="pct"/>
          </w:tcPr>
          <w:p w14:paraId="08616D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1CB28C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61</w:t>
            </w:r>
          </w:p>
        </w:tc>
        <w:tc>
          <w:tcPr>
            <w:tcW w:w="405" w:type="pct"/>
            <w:vAlign w:val="center"/>
          </w:tcPr>
          <w:p w14:paraId="08CDDBD8">
            <w:pPr>
              <w:pStyle w:val="210"/>
              <w:rPr>
                <w:rFonts w:hint="eastAsia"/>
                <w:color w:val="000000" w:themeColor="text1"/>
                <w14:textFill>
                  <w14:solidFill>
                    <w14:schemeClr w14:val="tx1"/>
                  </w14:solidFill>
                </w14:textFill>
              </w:rPr>
            </w:pPr>
          </w:p>
        </w:tc>
        <w:tc>
          <w:tcPr>
            <w:tcW w:w="435" w:type="pct"/>
          </w:tcPr>
          <w:p w14:paraId="5C77B5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7771328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441" w:type="pct"/>
            <w:vAlign w:val="center"/>
          </w:tcPr>
          <w:p w14:paraId="4CACAD40">
            <w:pPr>
              <w:pStyle w:val="210"/>
              <w:rPr>
                <w:rFonts w:hint="eastAsia"/>
                <w:color w:val="000000" w:themeColor="text1"/>
                <w14:textFill>
                  <w14:solidFill>
                    <w14:schemeClr w14:val="tx1"/>
                  </w14:solidFill>
                </w14:textFill>
              </w:rPr>
            </w:pPr>
          </w:p>
        </w:tc>
        <w:tc>
          <w:tcPr>
            <w:tcW w:w="405" w:type="pct"/>
          </w:tcPr>
          <w:p w14:paraId="177F574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0B440F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56</w:t>
            </w:r>
          </w:p>
        </w:tc>
        <w:tc>
          <w:tcPr>
            <w:tcW w:w="410" w:type="pct"/>
            <w:vAlign w:val="center"/>
          </w:tcPr>
          <w:p w14:paraId="4D0A80B0">
            <w:pPr>
              <w:pStyle w:val="210"/>
              <w:rPr>
                <w:rFonts w:hint="eastAsia"/>
                <w:color w:val="000000" w:themeColor="text1"/>
                <w14:textFill>
                  <w14:solidFill>
                    <w14:schemeClr w14:val="tx1"/>
                  </w14:solidFill>
                </w14:textFill>
              </w:rPr>
            </w:pPr>
          </w:p>
        </w:tc>
        <w:tc>
          <w:tcPr>
            <w:tcW w:w="389" w:type="pct"/>
          </w:tcPr>
          <w:p w14:paraId="26F7C9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2457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118C6FD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2" w:type="pct"/>
            <w:vAlign w:val="center"/>
          </w:tcPr>
          <w:p w14:paraId="53AB0FA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石油烃</w:t>
            </w:r>
          </w:p>
        </w:tc>
        <w:tc>
          <w:tcPr>
            <w:tcW w:w="1294" w:type="dxa"/>
            <w:vAlign w:val="center"/>
          </w:tcPr>
          <w:p w14:paraId="64853C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4500</w:t>
            </w:r>
          </w:p>
        </w:tc>
        <w:tc>
          <w:tcPr>
            <w:tcW w:w="304" w:type="pct"/>
          </w:tcPr>
          <w:p w14:paraId="6678C14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mg/kg</w:t>
            </w:r>
          </w:p>
        </w:tc>
        <w:tc>
          <w:tcPr>
            <w:tcW w:w="303" w:type="pct"/>
            <w:vAlign w:val="center"/>
          </w:tcPr>
          <w:p w14:paraId="419CBD94">
            <w:pPr>
              <w:pStyle w:val="210"/>
              <w:rPr>
                <w:rFonts w:hint="eastAsia"/>
                <w:color w:val="000000" w:themeColor="text1"/>
                <w14:textFill>
                  <w14:solidFill>
                    <w14:schemeClr w14:val="tx1"/>
                  </w14:solidFill>
                </w14:textFill>
              </w:rPr>
            </w:pPr>
          </w:p>
        </w:tc>
        <w:tc>
          <w:tcPr>
            <w:tcW w:w="405" w:type="pct"/>
            <w:vAlign w:val="center"/>
          </w:tcPr>
          <w:p w14:paraId="3521B45A">
            <w:pPr>
              <w:pStyle w:val="210"/>
              <w:rPr>
                <w:rFonts w:hint="eastAsia"/>
                <w:color w:val="000000" w:themeColor="text1"/>
                <w14:textFill>
                  <w14:solidFill>
                    <w14:schemeClr w14:val="tx1"/>
                  </w14:solidFill>
                </w14:textFill>
              </w:rPr>
            </w:pPr>
          </w:p>
        </w:tc>
        <w:tc>
          <w:tcPr>
            <w:tcW w:w="435" w:type="pct"/>
          </w:tcPr>
          <w:p w14:paraId="6910B5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76" w:type="pct"/>
            <w:vAlign w:val="center"/>
          </w:tcPr>
          <w:p w14:paraId="4110541B">
            <w:pPr>
              <w:pStyle w:val="210"/>
              <w:rPr>
                <w:rFonts w:hint="eastAsia"/>
                <w:color w:val="000000" w:themeColor="text1"/>
                <w14:textFill>
                  <w14:solidFill>
                    <w14:schemeClr w14:val="tx1"/>
                  </w14:solidFill>
                </w14:textFill>
              </w:rPr>
            </w:pPr>
          </w:p>
        </w:tc>
        <w:tc>
          <w:tcPr>
            <w:tcW w:w="441" w:type="pct"/>
            <w:vAlign w:val="center"/>
          </w:tcPr>
          <w:p w14:paraId="2A7770C4">
            <w:pPr>
              <w:pStyle w:val="210"/>
              <w:rPr>
                <w:rFonts w:hint="eastAsia"/>
                <w:color w:val="000000" w:themeColor="text1"/>
                <w14:textFill>
                  <w14:solidFill>
                    <w14:schemeClr w14:val="tx1"/>
                  </w14:solidFill>
                </w14:textFill>
              </w:rPr>
            </w:pPr>
          </w:p>
        </w:tc>
        <w:tc>
          <w:tcPr>
            <w:tcW w:w="405" w:type="pct"/>
          </w:tcPr>
          <w:p w14:paraId="432DEAB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305" w:type="pct"/>
            <w:gridSpan w:val="2"/>
            <w:vAlign w:val="center"/>
          </w:tcPr>
          <w:p w14:paraId="539159D2">
            <w:pPr>
              <w:pStyle w:val="210"/>
              <w:rPr>
                <w:rFonts w:hint="eastAsia"/>
                <w:color w:val="000000" w:themeColor="text1"/>
                <w14:textFill>
                  <w14:solidFill>
                    <w14:schemeClr w14:val="tx1"/>
                  </w14:solidFill>
                </w14:textFill>
              </w:rPr>
            </w:pPr>
          </w:p>
        </w:tc>
        <w:tc>
          <w:tcPr>
            <w:tcW w:w="410" w:type="pct"/>
            <w:vAlign w:val="center"/>
          </w:tcPr>
          <w:p w14:paraId="0A2FBF1C">
            <w:pPr>
              <w:pStyle w:val="210"/>
              <w:rPr>
                <w:rFonts w:hint="eastAsia"/>
                <w:color w:val="000000" w:themeColor="text1"/>
                <w14:textFill>
                  <w14:solidFill>
                    <w14:schemeClr w14:val="tx1"/>
                  </w14:solidFill>
                </w14:textFill>
              </w:rPr>
            </w:pPr>
          </w:p>
        </w:tc>
        <w:tc>
          <w:tcPr>
            <w:tcW w:w="389" w:type="pct"/>
          </w:tcPr>
          <w:p w14:paraId="64C3454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F8C8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40" w:hRule="atLeast"/>
        </w:trPr>
        <w:tc>
          <w:tcPr>
            <w:tcW w:w="199" w:type="pct"/>
            <w:vAlign w:val="center"/>
          </w:tcPr>
          <w:p w14:paraId="630863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562" w:type="pct"/>
            <w:vAlign w:val="center"/>
          </w:tcPr>
          <w:p w14:paraId="53E607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土壤盐分含量</w:t>
            </w:r>
          </w:p>
        </w:tc>
        <w:tc>
          <w:tcPr>
            <w:tcW w:w="456" w:type="pct"/>
            <w:vAlign w:val="center"/>
          </w:tcPr>
          <w:p w14:paraId="3AAA22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vAlign w:val="center"/>
          </w:tcPr>
          <w:p w14:paraId="2BEAC36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g/kg</w:t>
            </w:r>
          </w:p>
        </w:tc>
        <w:tc>
          <w:tcPr>
            <w:tcW w:w="303" w:type="pct"/>
            <w:vAlign w:val="center"/>
          </w:tcPr>
          <w:p w14:paraId="6857AB66">
            <w:pPr>
              <w:pStyle w:val="210"/>
              <w:rPr>
                <w:rFonts w:hint="eastAsia"/>
                <w:color w:val="000000" w:themeColor="text1"/>
                <w14:textFill>
                  <w14:solidFill>
                    <w14:schemeClr w14:val="tx1"/>
                  </w14:solidFill>
                </w14:textFill>
              </w:rPr>
            </w:pPr>
          </w:p>
        </w:tc>
        <w:tc>
          <w:tcPr>
            <w:tcW w:w="405" w:type="pct"/>
            <w:vAlign w:val="center"/>
          </w:tcPr>
          <w:p w14:paraId="0657457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5" w:type="pct"/>
            <w:vAlign w:val="center"/>
          </w:tcPr>
          <w:p w14:paraId="5D11B9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6" w:type="pct"/>
            <w:vAlign w:val="center"/>
          </w:tcPr>
          <w:p w14:paraId="0C0C356E">
            <w:pPr>
              <w:pStyle w:val="210"/>
              <w:rPr>
                <w:rFonts w:hint="eastAsia"/>
                <w:color w:val="000000" w:themeColor="text1"/>
                <w14:textFill>
                  <w14:solidFill>
                    <w14:schemeClr w14:val="tx1"/>
                  </w14:solidFill>
                </w14:textFill>
              </w:rPr>
            </w:pPr>
          </w:p>
        </w:tc>
        <w:tc>
          <w:tcPr>
            <w:tcW w:w="441" w:type="pct"/>
            <w:vAlign w:val="center"/>
          </w:tcPr>
          <w:p w14:paraId="4B6A76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5" w:type="pct"/>
            <w:vAlign w:val="center"/>
          </w:tcPr>
          <w:p w14:paraId="4E5C9F5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5" w:type="pct"/>
            <w:gridSpan w:val="2"/>
            <w:vAlign w:val="center"/>
          </w:tcPr>
          <w:p w14:paraId="525AAD84">
            <w:pPr>
              <w:pStyle w:val="210"/>
              <w:rPr>
                <w:rFonts w:hint="eastAsia"/>
                <w:color w:val="000000" w:themeColor="text1"/>
                <w14:textFill>
                  <w14:solidFill>
                    <w14:schemeClr w14:val="tx1"/>
                  </w14:solidFill>
                </w14:textFill>
              </w:rPr>
            </w:pPr>
          </w:p>
        </w:tc>
        <w:tc>
          <w:tcPr>
            <w:tcW w:w="410" w:type="pct"/>
            <w:vAlign w:val="center"/>
          </w:tcPr>
          <w:p w14:paraId="7BBF8F0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89" w:type="pct"/>
            <w:vAlign w:val="center"/>
          </w:tcPr>
          <w:p w14:paraId="7EDEAC7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36EC2DB0">
      <w:pPr>
        <w:ind w:firstLine="197" w:firstLineChars="94"/>
        <w:jc w:val="center"/>
        <w:rPr>
          <w:rFonts w:hint="eastAsia" w:ascii="黑体" w:hAnsi="黑体" w:eastAsia="黑体"/>
          <w:bCs/>
          <w:color w:val="000000" w:themeColor="text1"/>
          <w:szCs w:val="21"/>
          <w14:textFill>
            <w14:solidFill>
              <w14:schemeClr w14:val="tx1"/>
            </w14:solidFill>
          </w14:textFill>
        </w:rPr>
      </w:pPr>
    </w:p>
    <w:p w14:paraId="769540ED">
      <w:pPr>
        <w:ind w:firstLine="197" w:firstLineChars="94"/>
        <w:jc w:val="center"/>
        <w:rPr>
          <w:rFonts w:hint="eastAsia" w:ascii="黑体" w:hAnsi="黑体" w:eastAsia="黑体"/>
          <w:bCs/>
          <w:color w:val="000000" w:themeColor="text1"/>
          <w:szCs w:val="21"/>
          <w14:textFill>
            <w14:solidFill>
              <w14:schemeClr w14:val="tx1"/>
            </w14:solidFill>
          </w14:textFill>
        </w:rPr>
      </w:pPr>
    </w:p>
    <w:p w14:paraId="56E8B191">
      <w:pPr>
        <w:ind w:firstLine="197" w:firstLineChars="94"/>
        <w:jc w:val="center"/>
        <w:rPr>
          <w:rFonts w:hint="eastAsia" w:ascii="黑体" w:hAnsi="黑体" w:eastAsia="黑体"/>
          <w:bCs/>
          <w:color w:val="000000" w:themeColor="text1"/>
          <w:szCs w:val="21"/>
          <w14:textFill>
            <w14:solidFill>
              <w14:schemeClr w14:val="tx1"/>
            </w14:solidFill>
          </w14:textFill>
        </w:rPr>
      </w:pPr>
    </w:p>
    <w:p w14:paraId="37F0F00D">
      <w:pPr>
        <w:ind w:firstLine="197" w:firstLineChars="94"/>
        <w:jc w:val="center"/>
        <w:rPr>
          <w:rFonts w:hint="eastAsia" w:ascii="黑体" w:hAnsi="黑体" w:eastAsia="黑体"/>
          <w:bCs/>
          <w:color w:val="000000" w:themeColor="text1"/>
          <w:szCs w:val="21"/>
          <w14:textFill>
            <w14:solidFill>
              <w14:schemeClr w14:val="tx1"/>
            </w14:solidFill>
          </w14:textFill>
        </w:rPr>
      </w:pPr>
    </w:p>
    <w:p w14:paraId="3135FD89">
      <w:pPr>
        <w:ind w:firstLine="197" w:firstLineChars="94"/>
        <w:jc w:val="center"/>
        <w:rPr>
          <w:rFonts w:hint="eastAsia" w:ascii="黑体" w:hAnsi="黑体" w:eastAsia="黑体"/>
          <w:bCs/>
          <w:color w:val="000000" w:themeColor="text1"/>
          <w:szCs w:val="21"/>
          <w14:textFill>
            <w14:solidFill>
              <w14:schemeClr w14:val="tx1"/>
            </w14:solidFill>
          </w14:textFill>
        </w:rPr>
      </w:pPr>
    </w:p>
    <w:p w14:paraId="7F4C504D">
      <w:pPr>
        <w:ind w:firstLine="197" w:firstLineChars="94"/>
        <w:jc w:val="center"/>
        <w:rPr>
          <w:rFonts w:hint="eastAsia" w:ascii="黑体" w:hAnsi="黑体" w:eastAsia="黑体"/>
          <w:bCs/>
          <w:color w:val="000000" w:themeColor="text1"/>
          <w:szCs w:val="21"/>
          <w14:textFill>
            <w14:solidFill>
              <w14:schemeClr w14:val="tx1"/>
            </w14:solidFill>
          </w14:textFill>
        </w:rPr>
      </w:pPr>
    </w:p>
    <w:p w14:paraId="2DB18A84">
      <w:pPr>
        <w:ind w:firstLine="197" w:firstLineChars="94"/>
        <w:jc w:val="center"/>
        <w:rPr>
          <w:rFonts w:hint="eastAsia" w:ascii="黑体" w:hAnsi="黑体" w:eastAsia="黑体"/>
          <w:bCs/>
          <w:color w:val="000000" w:themeColor="text1"/>
          <w:szCs w:val="21"/>
          <w14:textFill>
            <w14:solidFill>
              <w14:schemeClr w14:val="tx1"/>
            </w14:solidFill>
          </w14:textFill>
        </w:rPr>
      </w:pPr>
    </w:p>
    <w:p w14:paraId="0F1BBD34">
      <w:pPr>
        <w:ind w:firstLine="197" w:firstLineChars="94"/>
        <w:jc w:val="center"/>
        <w:rPr>
          <w:rFonts w:hint="eastAsia" w:ascii="黑体" w:hAnsi="黑体" w:eastAsia="黑体"/>
          <w:bCs/>
          <w:color w:val="000000" w:themeColor="text1"/>
          <w:szCs w:val="21"/>
          <w14:textFill>
            <w14:solidFill>
              <w14:schemeClr w14:val="tx1"/>
            </w14:solidFill>
          </w14:textFill>
        </w:rPr>
      </w:pPr>
    </w:p>
    <w:p w14:paraId="36361FCD">
      <w:pPr>
        <w:ind w:firstLine="197" w:firstLineChars="94"/>
        <w:jc w:val="center"/>
        <w:rPr>
          <w:rFonts w:hint="eastAsia" w:ascii="黑体" w:hAnsi="黑体" w:eastAsia="黑体"/>
          <w:bCs/>
          <w:color w:val="000000" w:themeColor="text1"/>
          <w:szCs w:val="21"/>
          <w14:textFill>
            <w14:solidFill>
              <w14:schemeClr w14:val="tx1"/>
            </w14:solidFill>
          </w14:textFill>
        </w:rPr>
        <w:sectPr>
          <w:pgSz w:w="16838" w:h="11906" w:orient="landscape"/>
          <w:pgMar w:top="1588" w:right="1418" w:bottom="1588" w:left="1418" w:header="1020" w:footer="1020" w:gutter="0"/>
          <w:cols w:space="720" w:num="1"/>
          <w:docGrid w:type="lines" w:linePitch="312" w:charSpace="0"/>
        </w:sectPr>
      </w:pPr>
    </w:p>
    <w:p w14:paraId="556EBFE2">
      <w:pPr>
        <w:spacing w:line="480" w:lineRule="exact"/>
        <w:ind w:firstLine="480"/>
        <w:jc w:val="center"/>
        <w:rPr>
          <w:rFonts w:hint="eastAsia"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表</w:t>
      </w:r>
      <w:r>
        <w:rPr>
          <w:rFonts w:ascii="黑体" w:hAnsi="黑体" w:eastAsia="黑体"/>
          <w:color w:val="000000" w:themeColor="text1"/>
          <w:szCs w:val="21"/>
          <w14:textFill>
            <w14:solidFill>
              <w14:schemeClr w14:val="tx1"/>
            </w14:solidFill>
          </w14:textFill>
        </w:rPr>
        <w:t>4.3-1</w:t>
      </w:r>
      <w:r>
        <w:rPr>
          <w:rFonts w:hint="eastAsia" w:ascii="黑体" w:hAnsi="黑体" w:eastAsia="黑体"/>
          <w:color w:val="000000" w:themeColor="text1"/>
          <w:szCs w:val="21"/>
          <w14:textFill>
            <w14:solidFill>
              <w14:schemeClr w14:val="tx1"/>
            </w14:solidFill>
          </w14:textFill>
        </w:rPr>
        <w:t>4</w:t>
      </w:r>
      <w:r>
        <w:rPr>
          <w:rFonts w:ascii="黑体" w:hAnsi="黑体" w:eastAsia="黑体"/>
          <w:color w:val="000000" w:themeColor="text1"/>
          <w:szCs w:val="21"/>
          <w14:textFill>
            <w14:solidFill>
              <w14:schemeClr w14:val="tx1"/>
            </w14:solidFill>
          </w14:textFill>
        </w:rPr>
        <w:t xml:space="preserve">  </w:t>
      </w:r>
      <w:r>
        <w:rPr>
          <w:rFonts w:hint="eastAsia" w:ascii="黑体" w:hAnsi="黑体" w:eastAsia="黑体"/>
          <w:color w:val="000000" w:themeColor="text1"/>
          <w:szCs w:val="21"/>
          <w14:textFill>
            <w14:solidFill>
              <w14:schemeClr w14:val="tx1"/>
            </w14:solidFill>
          </w14:textFill>
        </w:rPr>
        <w:t>土壤理化性质一览表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864"/>
        <w:gridCol w:w="688"/>
        <w:gridCol w:w="1427"/>
        <w:gridCol w:w="1842"/>
        <w:gridCol w:w="1975"/>
        <w:gridCol w:w="1935"/>
      </w:tblGrid>
      <w:tr w14:paraId="79AC4C2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1706" w:type="pct"/>
            <w:gridSpan w:val="3"/>
            <w:vAlign w:val="center"/>
          </w:tcPr>
          <w:p w14:paraId="14C414B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点号</w:t>
            </w:r>
          </w:p>
        </w:tc>
        <w:tc>
          <w:tcPr>
            <w:tcW w:w="3294" w:type="pct"/>
            <w:gridSpan w:val="3"/>
            <w:vAlign w:val="center"/>
          </w:tcPr>
          <w:p w14:paraId="415BCBF5">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S5</w:t>
            </w:r>
          </w:p>
        </w:tc>
      </w:tr>
      <w:tr w14:paraId="510E01C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1706" w:type="pct"/>
            <w:gridSpan w:val="3"/>
            <w:vAlign w:val="center"/>
          </w:tcPr>
          <w:p w14:paraId="61F3097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层次</w:t>
            </w:r>
          </w:p>
        </w:tc>
        <w:tc>
          <w:tcPr>
            <w:tcW w:w="1055" w:type="pct"/>
            <w:vAlign w:val="center"/>
          </w:tcPr>
          <w:p w14:paraId="43BF70E6">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0～0.5m</w:t>
            </w:r>
          </w:p>
        </w:tc>
        <w:tc>
          <w:tcPr>
            <w:tcW w:w="1131" w:type="pct"/>
            <w:vAlign w:val="center"/>
          </w:tcPr>
          <w:p w14:paraId="225B10C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0.5～1.5m</w:t>
            </w:r>
          </w:p>
        </w:tc>
        <w:tc>
          <w:tcPr>
            <w:tcW w:w="1108" w:type="pct"/>
          </w:tcPr>
          <w:p w14:paraId="1A9E96D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1.5～3m</w:t>
            </w:r>
          </w:p>
        </w:tc>
      </w:tr>
      <w:tr w14:paraId="7A3B4B6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restart"/>
            <w:vAlign w:val="center"/>
          </w:tcPr>
          <w:p w14:paraId="21666424">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现场记录</w:t>
            </w:r>
          </w:p>
        </w:tc>
        <w:tc>
          <w:tcPr>
            <w:tcW w:w="1211" w:type="pct"/>
            <w:gridSpan w:val="2"/>
            <w:vAlign w:val="center"/>
          </w:tcPr>
          <w:p w14:paraId="701C8BCC">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颜色</w:t>
            </w:r>
          </w:p>
        </w:tc>
        <w:tc>
          <w:tcPr>
            <w:tcW w:w="1055" w:type="pct"/>
            <w:vAlign w:val="center"/>
          </w:tcPr>
          <w:p w14:paraId="122BFF55">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黄色</w:t>
            </w:r>
          </w:p>
        </w:tc>
        <w:tc>
          <w:tcPr>
            <w:tcW w:w="1131" w:type="pct"/>
            <w:vAlign w:val="center"/>
          </w:tcPr>
          <w:p w14:paraId="3CEF1AD9">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黄色</w:t>
            </w:r>
          </w:p>
        </w:tc>
        <w:tc>
          <w:tcPr>
            <w:tcW w:w="1108" w:type="pct"/>
            <w:vAlign w:val="center"/>
          </w:tcPr>
          <w:p w14:paraId="3BE5CECC">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黄色</w:t>
            </w:r>
          </w:p>
        </w:tc>
      </w:tr>
      <w:tr w14:paraId="3CA77C7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continue"/>
            <w:vAlign w:val="center"/>
          </w:tcPr>
          <w:p w14:paraId="4FC808A7">
            <w:pPr>
              <w:pStyle w:val="526"/>
              <w:rPr>
                <w:rFonts w:hint="eastAsia"/>
                <w:color w:val="000000" w:themeColor="text1"/>
                <w14:textFill>
                  <w14:solidFill>
                    <w14:schemeClr w14:val="tx1"/>
                  </w14:solidFill>
                </w14:textFill>
              </w:rPr>
            </w:pPr>
          </w:p>
        </w:tc>
        <w:tc>
          <w:tcPr>
            <w:tcW w:w="1211" w:type="pct"/>
            <w:gridSpan w:val="2"/>
            <w:vAlign w:val="center"/>
          </w:tcPr>
          <w:p w14:paraId="4800D9E4">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结构</w:t>
            </w:r>
          </w:p>
        </w:tc>
        <w:tc>
          <w:tcPr>
            <w:tcW w:w="1055" w:type="pct"/>
            <w:vAlign w:val="center"/>
          </w:tcPr>
          <w:p w14:paraId="63B3D6E5">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块状</w:t>
            </w:r>
          </w:p>
        </w:tc>
        <w:tc>
          <w:tcPr>
            <w:tcW w:w="1131" w:type="pct"/>
            <w:vAlign w:val="center"/>
          </w:tcPr>
          <w:p w14:paraId="0547EB95">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块状</w:t>
            </w:r>
          </w:p>
        </w:tc>
        <w:tc>
          <w:tcPr>
            <w:tcW w:w="1108" w:type="pct"/>
            <w:vAlign w:val="center"/>
          </w:tcPr>
          <w:p w14:paraId="3325652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块状</w:t>
            </w:r>
          </w:p>
        </w:tc>
      </w:tr>
      <w:tr w14:paraId="59D1029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continue"/>
            <w:vAlign w:val="center"/>
          </w:tcPr>
          <w:p w14:paraId="005DAFA8">
            <w:pPr>
              <w:pStyle w:val="526"/>
              <w:rPr>
                <w:rFonts w:hint="eastAsia"/>
                <w:color w:val="000000" w:themeColor="text1"/>
                <w14:textFill>
                  <w14:solidFill>
                    <w14:schemeClr w14:val="tx1"/>
                  </w14:solidFill>
                </w14:textFill>
              </w:rPr>
            </w:pPr>
          </w:p>
        </w:tc>
        <w:tc>
          <w:tcPr>
            <w:tcW w:w="1211" w:type="pct"/>
            <w:gridSpan w:val="2"/>
            <w:vAlign w:val="center"/>
          </w:tcPr>
          <w:p w14:paraId="252860C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质地</w:t>
            </w:r>
          </w:p>
        </w:tc>
        <w:tc>
          <w:tcPr>
            <w:tcW w:w="1055" w:type="pct"/>
            <w:vAlign w:val="center"/>
          </w:tcPr>
          <w:p w14:paraId="1915743C">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壤土</w:t>
            </w:r>
          </w:p>
        </w:tc>
        <w:tc>
          <w:tcPr>
            <w:tcW w:w="1131" w:type="pct"/>
            <w:vAlign w:val="center"/>
          </w:tcPr>
          <w:p w14:paraId="6718DDAA">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壤土</w:t>
            </w:r>
          </w:p>
        </w:tc>
        <w:tc>
          <w:tcPr>
            <w:tcW w:w="1108" w:type="pct"/>
            <w:vAlign w:val="center"/>
          </w:tcPr>
          <w:p w14:paraId="3FFCA19E">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壤土</w:t>
            </w:r>
          </w:p>
        </w:tc>
      </w:tr>
      <w:tr w14:paraId="00995EA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continue"/>
            <w:vAlign w:val="center"/>
          </w:tcPr>
          <w:p w14:paraId="425D2CAD">
            <w:pPr>
              <w:pStyle w:val="526"/>
              <w:rPr>
                <w:rFonts w:hint="eastAsia"/>
                <w:color w:val="000000" w:themeColor="text1"/>
                <w14:textFill>
                  <w14:solidFill>
                    <w14:schemeClr w14:val="tx1"/>
                  </w14:solidFill>
                </w14:textFill>
              </w:rPr>
            </w:pPr>
          </w:p>
        </w:tc>
        <w:tc>
          <w:tcPr>
            <w:tcW w:w="1211" w:type="pct"/>
            <w:gridSpan w:val="2"/>
            <w:vAlign w:val="center"/>
          </w:tcPr>
          <w:p w14:paraId="0B87D02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砂砾含量（%）</w:t>
            </w:r>
          </w:p>
        </w:tc>
        <w:tc>
          <w:tcPr>
            <w:tcW w:w="1055" w:type="pct"/>
            <w:vAlign w:val="center"/>
          </w:tcPr>
          <w:p w14:paraId="744A1454">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40</w:t>
            </w:r>
          </w:p>
        </w:tc>
        <w:tc>
          <w:tcPr>
            <w:tcW w:w="1131" w:type="pct"/>
            <w:vAlign w:val="center"/>
          </w:tcPr>
          <w:p w14:paraId="58FACD61">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35</w:t>
            </w:r>
          </w:p>
        </w:tc>
        <w:tc>
          <w:tcPr>
            <w:tcW w:w="1108" w:type="pct"/>
            <w:vAlign w:val="center"/>
          </w:tcPr>
          <w:p w14:paraId="28A5ED9D">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40</w:t>
            </w:r>
          </w:p>
        </w:tc>
      </w:tr>
      <w:tr w14:paraId="730B8E2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continue"/>
            <w:vAlign w:val="center"/>
          </w:tcPr>
          <w:p w14:paraId="16D1E6FF">
            <w:pPr>
              <w:pStyle w:val="526"/>
              <w:rPr>
                <w:rFonts w:hint="eastAsia"/>
                <w:color w:val="000000" w:themeColor="text1"/>
                <w14:textFill>
                  <w14:solidFill>
                    <w14:schemeClr w14:val="tx1"/>
                  </w14:solidFill>
                </w14:textFill>
              </w:rPr>
            </w:pPr>
          </w:p>
        </w:tc>
        <w:tc>
          <w:tcPr>
            <w:tcW w:w="1211" w:type="pct"/>
            <w:gridSpan w:val="2"/>
            <w:vAlign w:val="center"/>
          </w:tcPr>
          <w:p w14:paraId="0D977771">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其他异物</w:t>
            </w:r>
          </w:p>
        </w:tc>
        <w:tc>
          <w:tcPr>
            <w:tcW w:w="1055" w:type="pct"/>
            <w:vAlign w:val="center"/>
          </w:tcPr>
          <w:p w14:paraId="06CDEEE0">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1131" w:type="pct"/>
            <w:vAlign w:val="center"/>
          </w:tcPr>
          <w:p w14:paraId="2551C7C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1108" w:type="pct"/>
          </w:tcPr>
          <w:p w14:paraId="4D69E88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r>
      <w:tr w14:paraId="0B8A9CF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restart"/>
            <w:vAlign w:val="center"/>
          </w:tcPr>
          <w:p w14:paraId="1D5A3CC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实验室测点</w:t>
            </w:r>
          </w:p>
        </w:tc>
        <w:tc>
          <w:tcPr>
            <w:tcW w:w="1211" w:type="pct"/>
            <w:gridSpan w:val="2"/>
            <w:vAlign w:val="center"/>
          </w:tcPr>
          <w:p w14:paraId="29DB400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值</w:t>
            </w:r>
          </w:p>
        </w:tc>
        <w:tc>
          <w:tcPr>
            <w:tcW w:w="1055" w:type="pct"/>
            <w:vAlign w:val="center"/>
          </w:tcPr>
          <w:p w14:paraId="5B34A8F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8.32</w:t>
            </w:r>
          </w:p>
        </w:tc>
        <w:tc>
          <w:tcPr>
            <w:tcW w:w="1131" w:type="pct"/>
            <w:vAlign w:val="center"/>
          </w:tcPr>
          <w:p w14:paraId="0E438DD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8.22</w:t>
            </w:r>
          </w:p>
        </w:tc>
        <w:tc>
          <w:tcPr>
            <w:tcW w:w="1108" w:type="pct"/>
            <w:vAlign w:val="center"/>
          </w:tcPr>
          <w:p w14:paraId="50A6013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8.20</w:t>
            </w:r>
          </w:p>
        </w:tc>
      </w:tr>
      <w:tr w14:paraId="180CEB7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continue"/>
            <w:vAlign w:val="center"/>
          </w:tcPr>
          <w:p w14:paraId="5FB36EDD">
            <w:pPr>
              <w:pStyle w:val="526"/>
              <w:rPr>
                <w:rFonts w:hint="eastAsia"/>
                <w:color w:val="000000" w:themeColor="text1"/>
                <w14:textFill>
                  <w14:solidFill>
                    <w14:schemeClr w14:val="tx1"/>
                  </w14:solidFill>
                </w14:textFill>
              </w:rPr>
            </w:pPr>
          </w:p>
        </w:tc>
        <w:tc>
          <w:tcPr>
            <w:tcW w:w="1211" w:type="pct"/>
            <w:gridSpan w:val="2"/>
            <w:vAlign w:val="center"/>
          </w:tcPr>
          <w:p w14:paraId="01B0FFA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阳离子交换量（cmo</w:t>
            </w:r>
            <w:r>
              <w:rPr>
                <w:color w:val="000000" w:themeColor="text1"/>
                <w14:textFill>
                  <w14:solidFill>
                    <w14:schemeClr w14:val="tx1"/>
                  </w14:solidFill>
                </w14:textFill>
              </w:rPr>
              <w:t>l/kg</w:t>
            </w:r>
            <w:r>
              <w:rPr>
                <w:rFonts w:hint="eastAsia"/>
                <w:color w:val="000000" w:themeColor="text1"/>
                <w14:textFill>
                  <w14:solidFill>
                    <w14:schemeClr w14:val="tx1"/>
                  </w14:solidFill>
                </w14:textFill>
              </w:rPr>
              <w:t>）</w:t>
            </w:r>
          </w:p>
        </w:tc>
        <w:tc>
          <w:tcPr>
            <w:tcW w:w="1055" w:type="pct"/>
            <w:vAlign w:val="center"/>
          </w:tcPr>
          <w:p w14:paraId="7E4CB508">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12.7</w:t>
            </w:r>
          </w:p>
        </w:tc>
        <w:tc>
          <w:tcPr>
            <w:tcW w:w="1131" w:type="pct"/>
            <w:vAlign w:val="center"/>
          </w:tcPr>
          <w:p w14:paraId="5FC9EE6A">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11.6</w:t>
            </w:r>
          </w:p>
        </w:tc>
        <w:tc>
          <w:tcPr>
            <w:tcW w:w="1108" w:type="pct"/>
            <w:vAlign w:val="center"/>
          </w:tcPr>
          <w:p w14:paraId="60CC48AC">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10.5</w:t>
            </w:r>
          </w:p>
        </w:tc>
      </w:tr>
      <w:tr w14:paraId="1BF910C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continue"/>
            <w:vAlign w:val="center"/>
          </w:tcPr>
          <w:p w14:paraId="42B20D2C">
            <w:pPr>
              <w:pStyle w:val="526"/>
              <w:rPr>
                <w:rFonts w:hint="eastAsia"/>
                <w:color w:val="000000" w:themeColor="text1"/>
                <w14:textFill>
                  <w14:solidFill>
                    <w14:schemeClr w14:val="tx1"/>
                  </w14:solidFill>
                </w14:textFill>
              </w:rPr>
            </w:pPr>
          </w:p>
        </w:tc>
        <w:tc>
          <w:tcPr>
            <w:tcW w:w="1211" w:type="pct"/>
            <w:gridSpan w:val="2"/>
            <w:vAlign w:val="center"/>
          </w:tcPr>
          <w:p w14:paraId="43B01BC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氧化还原电位（m</w:t>
            </w:r>
            <w:r>
              <w:rPr>
                <w:color w:val="000000" w:themeColor="text1"/>
                <w14:textFill>
                  <w14:solidFill>
                    <w14:schemeClr w14:val="tx1"/>
                  </w14:solidFill>
                </w14:textFill>
              </w:rPr>
              <w:t>V</w:t>
            </w:r>
            <w:r>
              <w:rPr>
                <w:rFonts w:hint="eastAsia"/>
                <w:color w:val="000000" w:themeColor="text1"/>
                <w14:textFill>
                  <w14:solidFill>
                    <w14:schemeClr w14:val="tx1"/>
                  </w14:solidFill>
                </w14:textFill>
              </w:rPr>
              <w:t>）</w:t>
            </w:r>
          </w:p>
        </w:tc>
        <w:tc>
          <w:tcPr>
            <w:tcW w:w="1055" w:type="pct"/>
            <w:vAlign w:val="center"/>
          </w:tcPr>
          <w:p w14:paraId="5625EC51">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250</w:t>
            </w:r>
          </w:p>
        </w:tc>
        <w:tc>
          <w:tcPr>
            <w:tcW w:w="1131" w:type="pct"/>
            <w:vAlign w:val="center"/>
          </w:tcPr>
          <w:p w14:paraId="07E7CF86">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340</w:t>
            </w:r>
          </w:p>
        </w:tc>
        <w:tc>
          <w:tcPr>
            <w:tcW w:w="1108" w:type="pct"/>
            <w:vAlign w:val="center"/>
          </w:tcPr>
          <w:p w14:paraId="6310F0F7">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375</w:t>
            </w:r>
          </w:p>
        </w:tc>
      </w:tr>
      <w:tr w14:paraId="5382423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trHeight w:val="284" w:hRule="atLeast"/>
        </w:trPr>
        <w:tc>
          <w:tcPr>
            <w:tcW w:w="495" w:type="pct"/>
            <w:vMerge w:val="continue"/>
            <w:vAlign w:val="center"/>
          </w:tcPr>
          <w:p w14:paraId="3D060627">
            <w:pPr>
              <w:pStyle w:val="526"/>
              <w:rPr>
                <w:rFonts w:hint="eastAsia"/>
                <w:color w:val="000000" w:themeColor="text1"/>
                <w14:textFill>
                  <w14:solidFill>
                    <w14:schemeClr w14:val="tx1"/>
                  </w14:solidFill>
                </w14:textFill>
              </w:rPr>
            </w:pPr>
          </w:p>
        </w:tc>
        <w:tc>
          <w:tcPr>
            <w:tcW w:w="1211" w:type="pct"/>
            <w:gridSpan w:val="2"/>
            <w:vAlign w:val="center"/>
          </w:tcPr>
          <w:p w14:paraId="2B26C7C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饱和导水率（mm</w:t>
            </w:r>
            <w:r>
              <w:rPr>
                <w:color w:val="000000" w:themeColor="text1"/>
                <w14:textFill>
                  <w14:solidFill>
                    <w14:schemeClr w14:val="tx1"/>
                  </w14:solidFill>
                </w14:textFill>
              </w:rPr>
              <w:t>/min</w:t>
            </w:r>
            <w:r>
              <w:rPr>
                <w:rFonts w:hint="eastAsia"/>
                <w:color w:val="000000" w:themeColor="text1"/>
                <w14:textFill>
                  <w14:solidFill>
                    <w14:schemeClr w14:val="tx1"/>
                  </w14:solidFill>
                </w14:textFill>
              </w:rPr>
              <w:t>）</w:t>
            </w:r>
          </w:p>
        </w:tc>
        <w:tc>
          <w:tcPr>
            <w:tcW w:w="1055" w:type="pct"/>
            <w:vAlign w:val="center"/>
          </w:tcPr>
          <w:p w14:paraId="09CC082D">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8.28</w:t>
            </w:r>
          </w:p>
        </w:tc>
        <w:tc>
          <w:tcPr>
            <w:tcW w:w="1131" w:type="pct"/>
            <w:vAlign w:val="center"/>
          </w:tcPr>
          <w:p w14:paraId="73624DC2">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8.34</w:t>
            </w:r>
          </w:p>
        </w:tc>
        <w:tc>
          <w:tcPr>
            <w:tcW w:w="1108" w:type="pct"/>
            <w:vAlign w:val="center"/>
          </w:tcPr>
          <w:p w14:paraId="1D4DFA26">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8.73</w:t>
            </w:r>
          </w:p>
        </w:tc>
      </w:tr>
      <w:tr w14:paraId="6AB284D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continue"/>
            <w:vAlign w:val="center"/>
          </w:tcPr>
          <w:p w14:paraId="473343F2">
            <w:pPr>
              <w:pStyle w:val="526"/>
              <w:rPr>
                <w:rFonts w:hint="eastAsia"/>
                <w:color w:val="000000" w:themeColor="text1"/>
                <w14:textFill>
                  <w14:solidFill>
                    <w14:schemeClr w14:val="tx1"/>
                  </w14:solidFill>
                </w14:textFill>
              </w:rPr>
            </w:pPr>
          </w:p>
        </w:tc>
        <w:tc>
          <w:tcPr>
            <w:tcW w:w="1211" w:type="pct"/>
            <w:gridSpan w:val="2"/>
            <w:vAlign w:val="center"/>
          </w:tcPr>
          <w:p w14:paraId="14C2807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土壤容重（g</w:t>
            </w:r>
            <w:r>
              <w:rPr>
                <w:color w:val="000000" w:themeColor="text1"/>
                <w14:textFill>
                  <w14:solidFill>
                    <w14:schemeClr w14:val="tx1"/>
                  </w14:solidFill>
                </w14:textFill>
              </w:rPr>
              <w:t>/cm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1055" w:type="pct"/>
            <w:vAlign w:val="center"/>
          </w:tcPr>
          <w:p w14:paraId="04C64D9D">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1.20</w:t>
            </w:r>
          </w:p>
        </w:tc>
        <w:tc>
          <w:tcPr>
            <w:tcW w:w="1131" w:type="pct"/>
            <w:vAlign w:val="center"/>
          </w:tcPr>
          <w:p w14:paraId="469C3C5A">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1.11</w:t>
            </w:r>
          </w:p>
        </w:tc>
        <w:tc>
          <w:tcPr>
            <w:tcW w:w="1108" w:type="pct"/>
            <w:vAlign w:val="center"/>
          </w:tcPr>
          <w:p w14:paraId="72C42B00">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1.04</w:t>
            </w:r>
          </w:p>
        </w:tc>
      </w:tr>
      <w:tr w14:paraId="6A80E0D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495" w:type="pct"/>
            <w:vMerge w:val="continue"/>
            <w:vAlign w:val="center"/>
          </w:tcPr>
          <w:p w14:paraId="5D9E8D29">
            <w:pPr>
              <w:pStyle w:val="526"/>
              <w:rPr>
                <w:rFonts w:hint="eastAsia"/>
                <w:color w:val="000000" w:themeColor="text1"/>
                <w14:textFill>
                  <w14:solidFill>
                    <w14:schemeClr w14:val="tx1"/>
                  </w14:solidFill>
                </w14:textFill>
              </w:rPr>
            </w:pPr>
          </w:p>
        </w:tc>
        <w:tc>
          <w:tcPr>
            <w:tcW w:w="1211" w:type="pct"/>
            <w:gridSpan w:val="2"/>
            <w:vAlign w:val="center"/>
          </w:tcPr>
          <w:p w14:paraId="269A3710">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孔隙度（%）</w:t>
            </w:r>
          </w:p>
        </w:tc>
        <w:tc>
          <w:tcPr>
            <w:tcW w:w="1055" w:type="pct"/>
            <w:vAlign w:val="center"/>
          </w:tcPr>
          <w:p w14:paraId="053F1A23">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33.8</w:t>
            </w:r>
          </w:p>
        </w:tc>
        <w:tc>
          <w:tcPr>
            <w:tcW w:w="1131" w:type="pct"/>
            <w:vAlign w:val="center"/>
          </w:tcPr>
          <w:p w14:paraId="60DA6277">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31.5</w:t>
            </w:r>
          </w:p>
        </w:tc>
        <w:tc>
          <w:tcPr>
            <w:tcW w:w="1108" w:type="pct"/>
            <w:vAlign w:val="center"/>
          </w:tcPr>
          <w:p w14:paraId="35006073">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26.2</w:t>
            </w:r>
          </w:p>
        </w:tc>
      </w:tr>
      <w:tr w14:paraId="723CAF8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2761" w:type="pct"/>
            <w:gridSpan w:val="4"/>
            <w:vAlign w:val="center"/>
          </w:tcPr>
          <w:p w14:paraId="6D3F43E4">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点号</w:t>
            </w:r>
          </w:p>
        </w:tc>
        <w:tc>
          <w:tcPr>
            <w:tcW w:w="2239" w:type="pct"/>
            <w:gridSpan w:val="2"/>
            <w:vAlign w:val="center"/>
          </w:tcPr>
          <w:p w14:paraId="2F1C783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S10</w:t>
            </w:r>
          </w:p>
        </w:tc>
      </w:tr>
      <w:tr w14:paraId="2FA339A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trHeight w:val="284" w:hRule="atLeast"/>
        </w:trPr>
        <w:tc>
          <w:tcPr>
            <w:tcW w:w="2761" w:type="pct"/>
            <w:gridSpan w:val="4"/>
            <w:vAlign w:val="center"/>
          </w:tcPr>
          <w:p w14:paraId="1D265D7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层次</w:t>
            </w:r>
          </w:p>
        </w:tc>
        <w:tc>
          <w:tcPr>
            <w:tcW w:w="2239" w:type="pct"/>
            <w:gridSpan w:val="2"/>
            <w:vAlign w:val="center"/>
          </w:tcPr>
          <w:p w14:paraId="63DCFB58">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0～0.2m</w:t>
            </w:r>
          </w:p>
        </w:tc>
      </w:tr>
      <w:tr w14:paraId="62BA39C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restart"/>
            <w:vAlign w:val="center"/>
          </w:tcPr>
          <w:p w14:paraId="23E6CD7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现场记录</w:t>
            </w:r>
          </w:p>
        </w:tc>
        <w:tc>
          <w:tcPr>
            <w:tcW w:w="1872" w:type="pct"/>
            <w:gridSpan w:val="2"/>
            <w:vAlign w:val="center"/>
          </w:tcPr>
          <w:p w14:paraId="6864873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颜色</w:t>
            </w:r>
          </w:p>
        </w:tc>
        <w:tc>
          <w:tcPr>
            <w:tcW w:w="2239" w:type="pct"/>
            <w:gridSpan w:val="2"/>
            <w:vAlign w:val="center"/>
          </w:tcPr>
          <w:p w14:paraId="73A381DF">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黄色</w:t>
            </w:r>
          </w:p>
        </w:tc>
      </w:tr>
      <w:tr w14:paraId="7F2DA6C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continue"/>
            <w:vAlign w:val="center"/>
          </w:tcPr>
          <w:p w14:paraId="1D4670C4">
            <w:pPr>
              <w:pStyle w:val="526"/>
              <w:rPr>
                <w:rFonts w:hint="eastAsia"/>
                <w:color w:val="000000" w:themeColor="text1"/>
                <w14:textFill>
                  <w14:solidFill>
                    <w14:schemeClr w14:val="tx1"/>
                  </w14:solidFill>
                </w14:textFill>
              </w:rPr>
            </w:pPr>
          </w:p>
        </w:tc>
        <w:tc>
          <w:tcPr>
            <w:tcW w:w="1872" w:type="pct"/>
            <w:gridSpan w:val="2"/>
            <w:vAlign w:val="center"/>
          </w:tcPr>
          <w:p w14:paraId="3260C5E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结构</w:t>
            </w:r>
          </w:p>
        </w:tc>
        <w:tc>
          <w:tcPr>
            <w:tcW w:w="2239" w:type="pct"/>
            <w:gridSpan w:val="2"/>
            <w:vAlign w:val="center"/>
          </w:tcPr>
          <w:p w14:paraId="4594F95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块状</w:t>
            </w:r>
          </w:p>
        </w:tc>
      </w:tr>
      <w:tr w14:paraId="1C9C1BC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continue"/>
            <w:vAlign w:val="center"/>
          </w:tcPr>
          <w:p w14:paraId="156471B8">
            <w:pPr>
              <w:pStyle w:val="526"/>
              <w:rPr>
                <w:rFonts w:hint="eastAsia"/>
                <w:color w:val="000000" w:themeColor="text1"/>
                <w14:textFill>
                  <w14:solidFill>
                    <w14:schemeClr w14:val="tx1"/>
                  </w14:solidFill>
                </w14:textFill>
              </w:rPr>
            </w:pPr>
          </w:p>
        </w:tc>
        <w:tc>
          <w:tcPr>
            <w:tcW w:w="1872" w:type="pct"/>
            <w:gridSpan w:val="2"/>
            <w:vAlign w:val="center"/>
          </w:tcPr>
          <w:p w14:paraId="496B6DB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质地</w:t>
            </w:r>
          </w:p>
        </w:tc>
        <w:tc>
          <w:tcPr>
            <w:tcW w:w="2239" w:type="pct"/>
            <w:gridSpan w:val="2"/>
            <w:vAlign w:val="center"/>
          </w:tcPr>
          <w:p w14:paraId="395C14F0">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壤土</w:t>
            </w:r>
          </w:p>
        </w:tc>
      </w:tr>
      <w:tr w14:paraId="6923019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continue"/>
            <w:vAlign w:val="center"/>
          </w:tcPr>
          <w:p w14:paraId="2BE23394">
            <w:pPr>
              <w:pStyle w:val="526"/>
              <w:rPr>
                <w:rFonts w:hint="eastAsia"/>
                <w:color w:val="000000" w:themeColor="text1"/>
                <w14:textFill>
                  <w14:solidFill>
                    <w14:schemeClr w14:val="tx1"/>
                  </w14:solidFill>
                </w14:textFill>
              </w:rPr>
            </w:pPr>
          </w:p>
        </w:tc>
        <w:tc>
          <w:tcPr>
            <w:tcW w:w="1872" w:type="pct"/>
            <w:gridSpan w:val="2"/>
            <w:vAlign w:val="center"/>
          </w:tcPr>
          <w:p w14:paraId="1FE17488">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砂砾含量（%）</w:t>
            </w:r>
          </w:p>
        </w:tc>
        <w:tc>
          <w:tcPr>
            <w:tcW w:w="2239" w:type="pct"/>
            <w:gridSpan w:val="2"/>
            <w:vAlign w:val="center"/>
          </w:tcPr>
          <w:p w14:paraId="27404EFD">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40</w:t>
            </w:r>
          </w:p>
        </w:tc>
      </w:tr>
      <w:tr w14:paraId="570C8F8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continue"/>
            <w:vAlign w:val="center"/>
          </w:tcPr>
          <w:p w14:paraId="7F021610">
            <w:pPr>
              <w:pStyle w:val="526"/>
              <w:rPr>
                <w:rFonts w:hint="eastAsia"/>
                <w:color w:val="000000" w:themeColor="text1"/>
                <w14:textFill>
                  <w14:solidFill>
                    <w14:schemeClr w14:val="tx1"/>
                  </w14:solidFill>
                </w14:textFill>
              </w:rPr>
            </w:pPr>
          </w:p>
        </w:tc>
        <w:tc>
          <w:tcPr>
            <w:tcW w:w="1872" w:type="pct"/>
            <w:gridSpan w:val="2"/>
            <w:vAlign w:val="center"/>
          </w:tcPr>
          <w:p w14:paraId="0E1553D5">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其他异物</w:t>
            </w:r>
          </w:p>
        </w:tc>
        <w:tc>
          <w:tcPr>
            <w:tcW w:w="2239" w:type="pct"/>
            <w:gridSpan w:val="2"/>
            <w:vAlign w:val="center"/>
          </w:tcPr>
          <w:p w14:paraId="633DDB22">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无</w:t>
            </w:r>
          </w:p>
        </w:tc>
      </w:tr>
      <w:tr w14:paraId="02252E2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restart"/>
            <w:vAlign w:val="center"/>
          </w:tcPr>
          <w:p w14:paraId="17EA0DC6">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实验室测点</w:t>
            </w:r>
          </w:p>
        </w:tc>
        <w:tc>
          <w:tcPr>
            <w:tcW w:w="1872" w:type="pct"/>
            <w:gridSpan w:val="2"/>
            <w:vAlign w:val="center"/>
          </w:tcPr>
          <w:p w14:paraId="091F2A78">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值</w:t>
            </w:r>
          </w:p>
        </w:tc>
        <w:tc>
          <w:tcPr>
            <w:tcW w:w="2239" w:type="pct"/>
            <w:gridSpan w:val="2"/>
            <w:vAlign w:val="center"/>
          </w:tcPr>
          <w:p w14:paraId="0BACE04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8.27</w:t>
            </w:r>
          </w:p>
        </w:tc>
      </w:tr>
      <w:tr w14:paraId="43B447E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continue"/>
            <w:vAlign w:val="center"/>
          </w:tcPr>
          <w:p w14:paraId="6769767F">
            <w:pPr>
              <w:pStyle w:val="526"/>
              <w:rPr>
                <w:rFonts w:hint="eastAsia"/>
                <w:color w:val="000000" w:themeColor="text1"/>
                <w14:textFill>
                  <w14:solidFill>
                    <w14:schemeClr w14:val="tx1"/>
                  </w14:solidFill>
                </w14:textFill>
              </w:rPr>
            </w:pPr>
          </w:p>
        </w:tc>
        <w:tc>
          <w:tcPr>
            <w:tcW w:w="1872" w:type="pct"/>
            <w:gridSpan w:val="2"/>
            <w:vAlign w:val="center"/>
          </w:tcPr>
          <w:p w14:paraId="53F3D38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阳离子交换量（cmo</w:t>
            </w:r>
            <w:r>
              <w:rPr>
                <w:color w:val="000000" w:themeColor="text1"/>
                <w14:textFill>
                  <w14:solidFill>
                    <w14:schemeClr w14:val="tx1"/>
                  </w14:solidFill>
                </w14:textFill>
              </w:rPr>
              <w:t>l/kg</w:t>
            </w:r>
            <w:r>
              <w:rPr>
                <w:rFonts w:hint="eastAsia"/>
                <w:color w:val="000000" w:themeColor="text1"/>
                <w14:textFill>
                  <w14:solidFill>
                    <w14:schemeClr w14:val="tx1"/>
                  </w14:solidFill>
                </w14:textFill>
              </w:rPr>
              <w:t>）</w:t>
            </w:r>
          </w:p>
        </w:tc>
        <w:tc>
          <w:tcPr>
            <w:tcW w:w="2239" w:type="pct"/>
            <w:gridSpan w:val="2"/>
            <w:vAlign w:val="center"/>
          </w:tcPr>
          <w:p w14:paraId="4C0700B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12.6</w:t>
            </w:r>
          </w:p>
        </w:tc>
      </w:tr>
      <w:tr w14:paraId="2E4AEC1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continue"/>
            <w:vAlign w:val="center"/>
          </w:tcPr>
          <w:p w14:paraId="76380CD6">
            <w:pPr>
              <w:pStyle w:val="526"/>
              <w:rPr>
                <w:rFonts w:hint="eastAsia"/>
                <w:color w:val="000000" w:themeColor="text1"/>
                <w14:textFill>
                  <w14:solidFill>
                    <w14:schemeClr w14:val="tx1"/>
                  </w14:solidFill>
                </w14:textFill>
              </w:rPr>
            </w:pPr>
          </w:p>
        </w:tc>
        <w:tc>
          <w:tcPr>
            <w:tcW w:w="1872" w:type="pct"/>
            <w:gridSpan w:val="2"/>
            <w:vAlign w:val="center"/>
          </w:tcPr>
          <w:p w14:paraId="5F51615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氧化还原电位（m</w:t>
            </w:r>
            <w:r>
              <w:rPr>
                <w:color w:val="000000" w:themeColor="text1"/>
                <w14:textFill>
                  <w14:solidFill>
                    <w14:schemeClr w14:val="tx1"/>
                  </w14:solidFill>
                </w14:textFill>
              </w:rPr>
              <w:t>V</w:t>
            </w:r>
            <w:r>
              <w:rPr>
                <w:rFonts w:hint="eastAsia"/>
                <w:color w:val="000000" w:themeColor="text1"/>
                <w14:textFill>
                  <w14:solidFill>
                    <w14:schemeClr w14:val="tx1"/>
                  </w14:solidFill>
                </w14:textFill>
              </w:rPr>
              <w:t>）</w:t>
            </w:r>
          </w:p>
        </w:tc>
        <w:tc>
          <w:tcPr>
            <w:tcW w:w="2239" w:type="pct"/>
            <w:gridSpan w:val="2"/>
            <w:vAlign w:val="center"/>
          </w:tcPr>
          <w:p w14:paraId="5010C463">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250</w:t>
            </w:r>
          </w:p>
        </w:tc>
      </w:tr>
      <w:tr w14:paraId="1D9D8DD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continue"/>
            <w:vAlign w:val="center"/>
          </w:tcPr>
          <w:p w14:paraId="0B513928">
            <w:pPr>
              <w:pStyle w:val="526"/>
              <w:rPr>
                <w:rFonts w:hint="eastAsia"/>
                <w:color w:val="000000" w:themeColor="text1"/>
                <w14:textFill>
                  <w14:solidFill>
                    <w14:schemeClr w14:val="tx1"/>
                  </w14:solidFill>
                </w14:textFill>
              </w:rPr>
            </w:pPr>
          </w:p>
        </w:tc>
        <w:tc>
          <w:tcPr>
            <w:tcW w:w="1872" w:type="pct"/>
            <w:gridSpan w:val="2"/>
            <w:vAlign w:val="center"/>
          </w:tcPr>
          <w:p w14:paraId="460A697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饱和导水率（mm</w:t>
            </w:r>
            <w:r>
              <w:rPr>
                <w:color w:val="000000" w:themeColor="text1"/>
                <w14:textFill>
                  <w14:solidFill>
                    <w14:schemeClr w14:val="tx1"/>
                  </w14:solidFill>
                </w14:textFill>
              </w:rPr>
              <w:t>/min</w:t>
            </w:r>
            <w:r>
              <w:rPr>
                <w:rFonts w:hint="eastAsia"/>
                <w:color w:val="000000" w:themeColor="text1"/>
                <w14:textFill>
                  <w14:solidFill>
                    <w14:schemeClr w14:val="tx1"/>
                  </w14:solidFill>
                </w14:textFill>
              </w:rPr>
              <w:t>）</w:t>
            </w:r>
          </w:p>
        </w:tc>
        <w:tc>
          <w:tcPr>
            <w:tcW w:w="2239" w:type="pct"/>
            <w:gridSpan w:val="2"/>
            <w:vAlign w:val="center"/>
          </w:tcPr>
          <w:p w14:paraId="187D6522">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8.28</w:t>
            </w:r>
          </w:p>
        </w:tc>
      </w:tr>
      <w:tr w14:paraId="703F7C8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continue"/>
            <w:vAlign w:val="center"/>
          </w:tcPr>
          <w:p w14:paraId="40572555">
            <w:pPr>
              <w:pStyle w:val="526"/>
              <w:rPr>
                <w:rFonts w:hint="eastAsia"/>
                <w:color w:val="000000" w:themeColor="text1"/>
                <w14:textFill>
                  <w14:solidFill>
                    <w14:schemeClr w14:val="tx1"/>
                  </w14:solidFill>
                </w14:textFill>
              </w:rPr>
            </w:pPr>
          </w:p>
        </w:tc>
        <w:tc>
          <w:tcPr>
            <w:tcW w:w="1872" w:type="pct"/>
            <w:gridSpan w:val="2"/>
            <w:vAlign w:val="center"/>
          </w:tcPr>
          <w:p w14:paraId="6A3FF881">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土壤容重（g</w:t>
            </w:r>
            <w:r>
              <w:rPr>
                <w:color w:val="000000" w:themeColor="text1"/>
                <w14:textFill>
                  <w14:solidFill>
                    <w14:schemeClr w14:val="tx1"/>
                  </w14:solidFill>
                </w14:textFill>
              </w:rPr>
              <w:t>/cm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2239" w:type="pct"/>
            <w:gridSpan w:val="2"/>
            <w:vAlign w:val="center"/>
          </w:tcPr>
          <w:p w14:paraId="332D69C5">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1.08</w:t>
            </w:r>
          </w:p>
        </w:tc>
      </w:tr>
      <w:tr w14:paraId="09C353C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gridSpan w:val="2"/>
            <w:vMerge w:val="continue"/>
            <w:vAlign w:val="center"/>
          </w:tcPr>
          <w:p w14:paraId="4E998908">
            <w:pPr>
              <w:pStyle w:val="526"/>
              <w:rPr>
                <w:rFonts w:hint="eastAsia"/>
                <w:color w:val="000000" w:themeColor="text1"/>
                <w14:textFill>
                  <w14:solidFill>
                    <w14:schemeClr w14:val="tx1"/>
                  </w14:solidFill>
                </w14:textFill>
              </w:rPr>
            </w:pPr>
          </w:p>
        </w:tc>
        <w:tc>
          <w:tcPr>
            <w:tcW w:w="1872" w:type="pct"/>
            <w:gridSpan w:val="2"/>
            <w:vAlign w:val="center"/>
          </w:tcPr>
          <w:p w14:paraId="732ADC15">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孔隙度（%）</w:t>
            </w:r>
          </w:p>
        </w:tc>
        <w:tc>
          <w:tcPr>
            <w:tcW w:w="2239" w:type="pct"/>
            <w:gridSpan w:val="2"/>
            <w:vAlign w:val="center"/>
          </w:tcPr>
          <w:p w14:paraId="4E4A0C36">
            <w:pPr>
              <w:pStyle w:val="526"/>
              <w:rPr>
                <w:rFonts w:hint="eastAsia"/>
                <w:color w:val="000000" w:themeColor="text1"/>
                <w14:textFill>
                  <w14:solidFill>
                    <w14:schemeClr w14:val="tx1"/>
                  </w14:solidFill>
                </w14:textFill>
              </w:rPr>
            </w:pPr>
            <w:r>
              <w:rPr>
                <w:rFonts w:hint="eastAsia"/>
                <w:color w:val="000000" w:themeColor="text1"/>
                <w:kern w:val="2"/>
                <w14:textFill>
                  <w14:solidFill>
                    <w14:schemeClr w14:val="tx1"/>
                  </w14:solidFill>
                </w14:textFill>
              </w:rPr>
              <w:t>30.9</w:t>
            </w:r>
          </w:p>
        </w:tc>
      </w:tr>
      <w:bookmarkEnd w:id="389"/>
    </w:tbl>
    <w:p w14:paraId="27BA9D3E">
      <w:pPr>
        <w:spacing w:line="480" w:lineRule="exact"/>
        <w:jc w:val="center"/>
        <w:rPr>
          <w:rFonts w:hint="eastAsia" w:ascii="黑体" w:hAnsi="黑体" w:eastAsia="黑体"/>
          <w:color w:val="000000" w:themeColor="text1"/>
          <w:szCs w:val="21"/>
          <w14:textFill>
            <w14:solidFill>
              <w14:schemeClr w14:val="tx1"/>
            </w14:solidFill>
          </w14:textFill>
        </w:rPr>
      </w:pPr>
    </w:p>
    <w:p w14:paraId="33695FE7">
      <w:pPr>
        <w:spacing w:line="480" w:lineRule="exact"/>
        <w:jc w:val="center"/>
        <w:rPr>
          <w:rFonts w:hint="eastAsia" w:ascii="黑体" w:hAnsi="黑体" w:eastAsia="黑体"/>
          <w:color w:val="000000" w:themeColor="text1"/>
          <w:szCs w:val="21"/>
          <w14:textFill>
            <w14:solidFill>
              <w14:schemeClr w14:val="tx1"/>
            </w14:solidFill>
          </w14:textFill>
        </w:rPr>
      </w:pPr>
    </w:p>
    <w:p w14:paraId="3EA4F843">
      <w:pPr>
        <w:spacing w:line="480" w:lineRule="exact"/>
        <w:jc w:val="center"/>
        <w:rPr>
          <w:rFonts w:hint="eastAsia" w:ascii="黑体" w:hAnsi="黑体" w:eastAsia="黑体"/>
          <w:color w:val="000000" w:themeColor="text1"/>
          <w:szCs w:val="21"/>
          <w14:textFill>
            <w14:solidFill>
              <w14:schemeClr w14:val="tx1"/>
            </w14:solidFill>
          </w14:textFill>
        </w:rPr>
      </w:pPr>
    </w:p>
    <w:p w14:paraId="2C7B99D4">
      <w:pPr>
        <w:spacing w:line="480" w:lineRule="exact"/>
        <w:jc w:val="center"/>
        <w:rPr>
          <w:rFonts w:hint="eastAsia" w:ascii="黑体" w:hAnsi="黑体" w:eastAsia="黑体"/>
          <w:color w:val="000000" w:themeColor="text1"/>
          <w:szCs w:val="21"/>
          <w14:textFill>
            <w14:solidFill>
              <w14:schemeClr w14:val="tx1"/>
            </w14:solidFill>
          </w14:textFill>
        </w:rPr>
      </w:pPr>
    </w:p>
    <w:p w14:paraId="1E2F80BE">
      <w:pPr>
        <w:spacing w:line="480" w:lineRule="exact"/>
        <w:jc w:val="center"/>
        <w:rPr>
          <w:rFonts w:hint="eastAsia" w:ascii="黑体" w:hAnsi="黑体" w:eastAsia="黑体"/>
          <w:color w:val="000000" w:themeColor="text1"/>
          <w:szCs w:val="21"/>
          <w14:textFill>
            <w14:solidFill>
              <w14:schemeClr w14:val="tx1"/>
            </w14:solidFill>
          </w14:textFill>
        </w:rPr>
      </w:pPr>
    </w:p>
    <w:p w14:paraId="61779709">
      <w:pPr>
        <w:spacing w:line="480" w:lineRule="exact"/>
        <w:jc w:val="center"/>
        <w:rPr>
          <w:rFonts w:hint="eastAsia" w:ascii="黑体" w:hAnsi="黑体" w:eastAsia="黑体"/>
          <w:color w:val="000000" w:themeColor="text1"/>
          <w:szCs w:val="21"/>
          <w14:textFill>
            <w14:solidFill>
              <w14:schemeClr w14:val="tx1"/>
            </w14:solidFill>
          </w14:textFill>
        </w:rPr>
      </w:pPr>
    </w:p>
    <w:p w14:paraId="6F258E1E">
      <w:pPr>
        <w:spacing w:line="480" w:lineRule="exact"/>
        <w:jc w:val="center"/>
        <w:rPr>
          <w:rFonts w:hint="eastAsia" w:ascii="黑体" w:hAnsi="黑体" w:eastAsia="黑体"/>
          <w:color w:val="000000" w:themeColor="text1"/>
          <w:szCs w:val="21"/>
          <w14:textFill>
            <w14:solidFill>
              <w14:schemeClr w14:val="tx1"/>
            </w14:solidFill>
          </w14:textFill>
        </w:rPr>
      </w:pPr>
    </w:p>
    <w:p w14:paraId="409AACBF">
      <w:pPr>
        <w:spacing w:line="480" w:lineRule="exact"/>
        <w:jc w:val="center"/>
        <w:rPr>
          <w:rFonts w:hint="eastAsia" w:ascii="黑体" w:hAnsi="黑体" w:eastAsia="黑体"/>
          <w:color w:val="000000" w:themeColor="text1"/>
          <w:szCs w:val="21"/>
          <w14:textFill>
            <w14:solidFill>
              <w14:schemeClr w14:val="tx1"/>
            </w14:solidFill>
          </w14:textFill>
        </w:rPr>
      </w:pPr>
    </w:p>
    <w:p w14:paraId="5F5A60D6">
      <w:pPr>
        <w:spacing w:line="480" w:lineRule="exact"/>
        <w:jc w:val="center"/>
        <w:rPr>
          <w:rFonts w:hint="eastAsia" w:ascii="黑体" w:hAnsi="黑体" w:eastAsia="黑体"/>
          <w:color w:val="000000" w:themeColor="text1"/>
          <w:szCs w:val="21"/>
          <w14:textFill>
            <w14:solidFill>
              <w14:schemeClr w14:val="tx1"/>
            </w14:solidFill>
          </w14:textFill>
        </w:rPr>
      </w:pPr>
    </w:p>
    <w:p w14:paraId="2E5E51C7">
      <w:pPr>
        <w:spacing w:line="480" w:lineRule="exact"/>
        <w:jc w:val="center"/>
        <w:rPr>
          <w:rFonts w:hint="eastAsia"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表4.3-15  土壤剖面图</w:t>
      </w:r>
    </w:p>
    <w:tbl>
      <w:tblPr>
        <w:tblStyle w:val="51"/>
        <w:tblW w:w="499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421"/>
        <w:gridCol w:w="8310"/>
      </w:tblGrid>
      <w:tr w14:paraId="665130A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627" w:type="pct"/>
            <w:vAlign w:val="center"/>
          </w:tcPr>
          <w:p w14:paraId="7374032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点号</w:t>
            </w:r>
          </w:p>
        </w:tc>
        <w:tc>
          <w:tcPr>
            <w:tcW w:w="4372" w:type="pct"/>
            <w:vAlign w:val="center"/>
          </w:tcPr>
          <w:p w14:paraId="44AAC4E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土壤剖面照片</w:t>
            </w:r>
          </w:p>
        </w:tc>
      </w:tr>
      <w:tr w14:paraId="5FA9EE1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12" w:hRule="atLeast"/>
        </w:trPr>
        <w:tc>
          <w:tcPr>
            <w:tcW w:w="627" w:type="pct"/>
            <w:vAlign w:val="center"/>
          </w:tcPr>
          <w:p w14:paraId="53C55DB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S5</w:t>
            </w:r>
          </w:p>
        </w:tc>
        <w:tc>
          <w:tcPr>
            <w:tcW w:w="4372" w:type="pct"/>
            <w:vAlign w:val="center"/>
          </w:tcPr>
          <w:p w14:paraId="55A96C3B">
            <w:pPr>
              <w:pStyle w:val="526"/>
              <w:spacing w:line="360" w:lineRule="auto"/>
              <w:rPr>
                <w:rFonts w:hint="eastAsia"/>
                <w:color w:val="000000" w:themeColor="text1"/>
                <w14:textFill>
                  <w14:solidFill>
                    <w14:schemeClr w14:val="tx1"/>
                  </w14:solidFill>
                </w14:textFill>
              </w:rPr>
            </w:pPr>
            <w:r>
              <w:rPr>
                <w:rFonts w:ascii="Times New Roman" w:hAnsi="Times New Roman"/>
                <w:color w:val="000000" w:themeColor="text1"/>
                <w:kern w:val="2"/>
                <w:sz w:val="30"/>
                <w:szCs w:val="30"/>
                <w14:textFill>
                  <w14:solidFill>
                    <w14:schemeClr w14:val="tx1"/>
                  </w14:solidFill>
                </w14:textFill>
              </w:rPr>
              <w:drawing>
                <wp:inline distT="0" distB="0" distL="114300" distR="114300">
                  <wp:extent cx="5269230" cy="7025640"/>
                  <wp:effectExtent l="0" t="0" r="7620" b="3810"/>
                  <wp:docPr id="20" name="图片 20" descr="c83c6f1b8ea3108e4d59cbcc324b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83c6f1b8ea3108e4d59cbcc324bdded"/>
                          <pic:cNvPicPr>
                            <a:picLocks noChangeAspect="1"/>
                          </pic:cNvPicPr>
                        </pic:nvPicPr>
                        <pic:blipFill>
                          <a:blip r:embed="rId77"/>
                          <a:stretch>
                            <a:fillRect/>
                          </a:stretch>
                        </pic:blipFill>
                        <pic:spPr>
                          <a:xfrm>
                            <a:off x="0" y="0"/>
                            <a:ext cx="5269230" cy="7025640"/>
                          </a:xfrm>
                          <a:prstGeom prst="rect">
                            <a:avLst/>
                          </a:prstGeom>
                        </pic:spPr>
                      </pic:pic>
                    </a:graphicData>
                  </a:graphic>
                </wp:inline>
              </w:drawing>
            </w:r>
          </w:p>
        </w:tc>
      </w:tr>
    </w:tbl>
    <w:p w14:paraId="2570C85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1、表</w:t>
      </w:r>
      <w:r>
        <w:rPr>
          <w:color w:val="000000" w:themeColor="text1"/>
          <w14:textFill>
            <w14:solidFill>
              <w14:schemeClr w14:val="tx1"/>
            </w14:solidFill>
          </w14:textFill>
        </w:rPr>
        <w:t>4.3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2和表4.3-13可知：占地范围内土壤各监测因子和占地范围外石油烃监测浓度均满足《土壤环境质量  建设用地土壤污染风险管控标准（试行）》（GB36600-2018）中第二类用地筛选值要求，占地范围外其余监测因子监测浓度满足《土壤环境质量 农用地土壤污染风险管控标准（试行）》（GB15618-2018）。</w:t>
      </w:r>
    </w:p>
    <w:p w14:paraId="72C17D8D">
      <w:pPr>
        <w:pStyle w:val="8"/>
        <w:rPr>
          <w:rFonts w:hint="eastAsia"/>
          <w:color w:val="000000" w:themeColor="text1"/>
          <w14:textFill>
            <w14:solidFill>
              <w14:schemeClr w14:val="tx1"/>
            </w14:solidFill>
          </w14:textFill>
        </w:rPr>
      </w:pPr>
      <w:bookmarkStart w:id="390" w:name="_Hlk175251820"/>
      <w:r>
        <w:rPr>
          <w:rFonts w:hint="eastAsia"/>
          <w:color w:val="000000" w:themeColor="text1"/>
          <w14:textFill>
            <w14:solidFill>
              <w14:schemeClr w14:val="tx1"/>
            </w14:solidFill>
          </w14:textFill>
        </w:rPr>
        <w:t>生态环境现状调查与评价</w:t>
      </w:r>
    </w:p>
    <w:bookmarkEnd w:id="390"/>
    <w:p w14:paraId="03FA77EC">
      <w:pPr>
        <w:pStyle w:val="120"/>
        <w:rPr>
          <w:rFonts w:hint="eastAsia"/>
          <w:color w:val="000000" w:themeColor="text1"/>
          <w14:textFill>
            <w14:solidFill>
              <w14:schemeClr w14:val="tx1"/>
            </w14:solidFill>
          </w14:textFill>
        </w:rPr>
      </w:pPr>
      <w:bookmarkStart w:id="391" w:name="_Hlk80201310"/>
      <w:r>
        <w:rPr>
          <w:rFonts w:hint="eastAsia"/>
          <w:color w:val="000000" w:themeColor="text1"/>
          <w14:textFill>
            <w14:solidFill>
              <w14:schemeClr w14:val="tx1"/>
            </w14:solidFill>
          </w14:textFill>
        </w:rPr>
        <w:t>（1）生态功能区划</w:t>
      </w:r>
    </w:p>
    <w:p w14:paraId="3AD7493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根据《新疆生态功能区划》，项目所在区生态功能区的主要生态服务功能、生态敏感因子、主要生态环境问题和主要保护目标等具体的生态功能见表4.3-1</w:t>
      </w:r>
      <w:r>
        <w:rPr>
          <w:rFonts w:hint="eastAsia"/>
          <w:color w:val="000000" w:themeColor="text1"/>
          <w:lang w:val="en-US"/>
          <w14:textFill>
            <w14:solidFill>
              <w14:schemeClr w14:val="tx1"/>
            </w14:solidFill>
          </w14:textFill>
        </w:rPr>
        <w:t>6</w:t>
      </w:r>
      <w:r>
        <w:rPr>
          <w:rFonts w:hint="eastAsia"/>
          <w:color w:val="000000" w:themeColor="text1"/>
          <w14:textFill>
            <w14:solidFill>
              <w14:schemeClr w14:val="tx1"/>
            </w14:solidFill>
          </w14:textFill>
        </w:rPr>
        <w:t>。详见图</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.3-6。</w:t>
      </w:r>
    </w:p>
    <w:p w14:paraId="70208A76">
      <w:pPr>
        <w:pStyle w:val="5"/>
        <w:spacing w:after="0" w:line="500" w:lineRule="exact"/>
        <w:jc w:val="center"/>
        <w:rPr>
          <w:rFonts w:hint="eastAsia" w:ascii="黑体" w:hAnsi="黑体" w:eastAsia="黑体" w:cs="黑体"/>
          <w:color w:val="000000" w:themeColor="text1"/>
          <w:szCs w:val="21"/>
          <w14:textFill>
            <w14:solidFill>
              <w14:schemeClr w14:val="tx1"/>
            </w14:solidFill>
          </w14:textFill>
        </w:rPr>
      </w:pPr>
      <w:r>
        <w:rPr>
          <w:rFonts w:hint="eastAsia" w:ascii="黑体" w:hAnsi="黑体" w:eastAsia="黑体" w:cs="黑体"/>
          <w:color w:val="000000" w:themeColor="text1"/>
          <w:szCs w:val="21"/>
          <w14:textFill>
            <w14:solidFill>
              <w14:schemeClr w14:val="tx1"/>
            </w14:solidFill>
          </w14:textFill>
        </w:rPr>
        <w:t>表</w:t>
      </w:r>
      <w:r>
        <w:rPr>
          <w:rFonts w:ascii="黑体" w:hAnsi="黑体" w:eastAsia="黑体" w:cs="黑体"/>
          <w:color w:val="000000" w:themeColor="text1"/>
          <w:szCs w:val="21"/>
          <w14:textFill>
            <w14:solidFill>
              <w14:schemeClr w14:val="tx1"/>
            </w14:solidFill>
          </w14:textFill>
        </w:rPr>
        <w:t>4.3</w:t>
      </w:r>
      <w:r>
        <w:rPr>
          <w:rFonts w:hint="eastAsia" w:ascii="黑体" w:hAnsi="黑体" w:eastAsia="黑体" w:cs="黑体"/>
          <w:color w:val="000000" w:themeColor="text1"/>
          <w:szCs w:val="21"/>
          <w14:textFill>
            <w14:solidFill>
              <w14:schemeClr w14:val="tx1"/>
            </w14:solidFill>
          </w14:textFill>
        </w:rPr>
        <w:t>-</w:t>
      </w:r>
      <w:r>
        <w:rPr>
          <w:rFonts w:ascii="黑体" w:hAnsi="黑体" w:eastAsia="黑体" w:cs="黑体"/>
          <w:color w:val="000000" w:themeColor="text1"/>
          <w:szCs w:val="21"/>
          <w14:textFill>
            <w14:solidFill>
              <w14:schemeClr w14:val="tx1"/>
            </w14:solidFill>
          </w14:textFill>
        </w:rPr>
        <w:t>1</w:t>
      </w:r>
      <w:r>
        <w:rPr>
          <w:rFonts w:hint="eastAsia" w:ascii="黑体" w:hAnsi="黑体" w:eastAsia="黑体" w:cs="黑体"/>
          <w:color w:val="000000" w:themeColor="text1"/>
          <w:szCs w:val="21"/>
          <w14:textFill>
            <w14:solidFill>
              <w14:schemeClr w14:val="tx1"/>
            </w14:solidFill>
          </w14:textFill>
        </w:rPr>
        <w:t>6  区域生态功能区划</w:t>
      </w:r>
    </w:p>
    <w:tbl>
      <w:tblPr>
        <w:tblStyle w:val="4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20"/>
        <w:gridCol w:w="1532"/>
        <w:gridCol w:w="6179"/>
      </w:tblGrid>
      <w:tr w14:paraId="13A520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84" w:type="pct"/>
            <w:vMerge w:val="restart"/>
            <w:vAlign w:val="center"/>
          </w:tcPr>
          <w:p w14:paraId="2B6CB5A6">
            <w:pPr>
              <w:pStyle w:val="5"/>
              <w:widowControl/>
              <w:adjustRightInd w:val="0"/>
              <w:snapToGrid w:val="0"/>
              <w:spacing w:after="0" w:line="300" w:lineRule="exact"/>
              <w:ind w:firstLine="480"/>
              <w:jc w:val="center"/>
              <w:rPr>
                <w:rFonts w:hint="eastAsia" w:ascii="宋体" w:hAnsi="宋体" w:cs="宋体"/>
                <w:color w:val="000000" w:themeColor="text1"/>
                <w:szCs w:val="21"/>
                <w14:textFill>
                  <w14:solidFill>
                    <w14:schemeClr w14:val="tx1"/>
                  </w14:solidFill>
                </w14:textFill>
              </w:rPr>
            </w:pPr>
            <w:bookmarkStart w:id="392" w:name="_Hlk160376418"/>
            <w:bookmarkStart w:id="393" w:name="_Hlk147591298"/>
            <w:r>
              <w:rPr>
                <w:rFonts w:hint="eastAsia" w:ascii="宋体" w:hAnsi="宋体" w:cs="宋体"/>
                <w:color w:val="000000" w:themeColor="text1"/>
                <w:szCs w:val="21"/>
                <w14:textFill>
                  <w14:solidFill>
                    <w14:schemeClr w14:val="tx1"/>
                  </w14:solidFill>
                </w14:textFill>
              </w:rPr>
              <w:t>生态功能分区单元</w:t>
            </w:r>
          </w:p>
        </w:tc>
        <w:tc>
          <w:tcPr>
            <w:tcW w:w="876" w:type="pct"/>
            <w:vAlign w:val="center"/>
          </w:tcPr>
          <w:p w14:paraId="048160A0">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生态区</w:t>
            </w:r>
          </w:p>
        </w:tc>
        <w:tc>
          <w:tcPr>
            <w:tcW w:w="3538" w:type="pct"/>
            <w:vAlign w:val="center"/>
          </w:tcPr>
          <w:p w14:paraId="726479E4">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Ⅱ 准噶尔盆地温性荒漠与绿洲农业生态区</w:t>
            </w:r>
          </w:p>
        </w:tc>
      </w:tr>
      <w:tr w14:paraId="1759B8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84" w:type="pct"/>
            <w:vMerge w:val="continue"/>
            <w:vAlign w:val="center"/>
          </w:tcPr>
          <w:p w14:paraId="40E1A39E">
            <w:pPr>
              <w:pStyle w:val="5"/>
              <w:widowControl/>
              <w:adjustRightInd w:val="0"/>
              <w:snapToGrid w:val="0"/>
              <w:spacing w:after="0" w:line="300" w:lineRule="exact"/>
              <w:ind w:firstLine="480"/>
              <w:jc w:val="center"/>
              <w:rPr>
                <w:rFonts w:hint="eastAsia" w:ascii="宋体" w:hAnsi="宋体" w:cs="宋体"/>
                <w:color w:val="000000" w:themeColor="text1"/>
                <w:szCs w:val="21"/>
                <w14:textFill>
                  <w14:solidFill>
                    <w14:schemeClr w14:val="tx1"/>
                  </w14:solidFill>
                </w14:textFill>
              </w:rPr>
            </w:pPr>
          </w:p>
        </w:tc>
        <w:tc>
          <w:tcPr>
            <w:tcW w:w="876" w:type="pct"/>
            <w:vAlign w:val="center"/>
          </w:tcPr>
          <w:p w14:paraId="2B4ECA27">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生态亚区</w:t>
            </w:r>
          </w:p>
        </w:tc>
        <w:tc>
          <w:tcPr>
            <w:tcW w:w="3538" w:type="pct"/>
            <w:vAlign w:val="center"/>
          </w:tcPr>
          <w:p w14:paraId="08AE0746">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ascii="宋体" w:hAnsi="宋体" w:cs="宋体"/>
                <w:color w:val="000000" w:themeColor="text1"/>
                <w:szCs w:val="21"/>
                <w14:textFill>
                  <w14:solidFill>
                    <w14:schemeClr w14:val="tx1"/>
                  </w14:solidFill>
                </w14:textFill>
              </w:rPr>
              <w:t>Ⅱ</w:t>
            </w:r>
            <w:r>
              <w:rPr>
                <w:rFonts w:ascii="宋体" w:hAnsi="宋体" w:cs="宋体"/>
                <w:color w:val="000000" w:themeColor="text1"/>
                <w:szCs w:val="21"/>
                <w:vertAlign w:val="subscript"/>
                <w14:textFill>
                  <w14:solidFill>
                    <w14:schemeClr w14:val="tx1"/>
                  </w14:solidFill>
                </w14:textFill>
              </w:rPr>
              <w:t>5</w:t>
            </w:r>
            <w:r>
              <w:rPr>
                <w:rFonts w:ascii="宋体" w:hAnsi="宋体" w:cs="宋体"/>
                <w:color w:val="000000" w:themeColor="text1"/>
                <w:szCs w:val="21"/>
                <w14:textFill>
                  <w14:solidFill>
                    <w14:schemeClr w14:val="tx1"/>
                  </w14:solidFill>
                </w14:textFill>
              </w:rPr>
              <w:t xml:space="preserve"> 准噶尔盆地南部荒漠绿洲农业生态亚区</w:t>
            </w:r>
          </w:p>
        </w:tc>
      </w:tr>
      <w:tr w14:paraId="44A984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84" w:type="pct"/>
            <w:vMerge w:val="continue"/>
            <w:vAlign w:val="center"/>
          </w:tcPr>
          <w:p w14:paraId="68036B07">
            <w:pPr>
              <w:pStyle w:val="5"/>
              <w:widowControl/>
              <w:adjustRightInd w:val="0"/>
              <w:snapToGrid w:val="0"/>
              <w:spacing w:after="0" w:line="300" w:lineRule="exact"/>
              <w:ind w:firstLine="480"/>
              <w:jc w:val="center"/>
              <w:rPr>
                <w:rFonts w:hint="eastAsia" w:ascii="宋体" w:hAnsi="宋体" w:cs="宋体"/>
                <w:color w:val="000000" w:themeColor="text1"/>
                <w:szCs w:val="21"/>
                <w14:textFill>
                  <w14:solidFill>
                    <w14:schemeClr w14:val="tx1"/>
                  </w14:solidFill>
                </w14:textFill>
              </w:rPr>
            </w:pPr>
          </w:p>
        </w:tc>
        <w:tc>
          <w:tcPr>
            <w:tcW w:w="876" w:type="pct"/>
            <w:vAlign w:val="center"/>
          </w:tcPr>
          <w:p w14:paraId="662DED2B">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生态功能区</w:t>
            </w:r>
          </w:p>
        </w:tc>
        <w:tc>
          <w:tcPr>
            <w:tcW w:w="3538" w:type="pct"/>
            <w:vAlign w:val="center"/>
          </w:tcPr>
          <w:p w14:paraId="0AF06D9B">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28．阜康—木垒绿洲农业、荒漠草地保护生态功能区</w:t>
            </w:r>
          </w:p>
        </w:tc>
      </w:tr>
      <w:tr w14:paraId="496870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461" w:type="pct"/>
            <w:gridSpan w:val="2"/>
            <w:vAlign w:val="center"/>
          </w:tcPr>
          <w:p w14:paraId="3657022F">
            <w:pPr>
              <w:pStyle w:val="5"/>
              <w:widowControl/>
              <w:adjustRightInd w:val="0"/>
              <w:snapToGrid w:val="0"/>
              <w:spacing w:after="0"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主要生态服务功能</w:t>
            </w:r>
          </w:p>
        </w:tc>
        <w:tc>
          <w:tcPr>
            <w:tcW w:w="3538" w:type="pct"/>
            <w:vAlign w:val="center"/>
          </w:tcPr>
          <w:p w14:paraId="42FB9AA4">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农牧业产品生产、人居环境、荒漠化控制</w:t>
            </w:r>
          </w:p>
        </w:tc>
      </w:tr>
      <w:tr w14:paraId="55213D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461" w:type="pct"/>
            <w:gridSpan w:val="2"/>
            <w:vAlign w:val="center"/>
          </w:tcPr>
          <w:p w14:paraId="469F80D5">
            <w:pPr>
              <w:pStyle w:val="5"/>
              <w:widowControl/>
              <w:adjustRightInd w:val="0"/>
              <w:snapToGrid w:val="0"/>
              <w:spacing w:after="0"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主要生态环境问题</w:t>
            </w:r>
          </w:p>
        </w:tc>
        <w:tc>
          <w:tcPr>
            <w:tcW w:w="3538" w:type="pct"/>
            <w:vAlign w:val="center"/>
          </w:tcPr>
          <w:p w14:paraId="701E4A9C">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地下水超采、荒漠植被退化、沙漠化威胁、局部土壤盐渍化、河流萎缩、滥开荒地</w:t>
            </w:r>
          </w:p>
        </w:tc>
      </w:tr>
      <w:tr w14:paraId="13ADBF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461" w:type="pct"/>
            <w:gridSpan w:val="2"/>
            <w:vAlign w:val="center"/>
          </w:tcPr>
          <w:p w14:paraId="7749061E">
            <w:pPr>
              <w:pStyle w:val="5"/>
              <w:widowControl/>
              <w:adjustRightInd w:val="0"/>
              <w:snapToGrid w:val="0"/>
              <w:spacing w:after="0"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主要生态敏感因子、敏感程度</w:t>
            </w:r>
          </w:p>
        </w:tc>
        <w:tc>
          <w:tcPr>
            <w:tcW w:w="3538" w:type="pct"/>
            <w:vAlign w:val="center"/>
          </w:tcPr>
          <w:p w14:paraId="477CA409">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生物多样性及其生境中度敏感，土壤侵蚀轻度敏感，土地沙漠化中度敏感，土壤盐渍化轻度敏感</w:t>
            </w:r>
          </w:p>
        </w:tc>
      </w:tr>
      <w:tr w14:paraId="2B95EB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461" w:type="pct"/>
            <w:gridSpan w:val="2"/>
            <w:vAlign w:val="center"/>
          </w:tcPr>
          <w:p w14:paraId="0BA85B43">
            <w:pPr>
              <w:pStyle w:val="5"/>
              <w:widowControl/>
              <w:adjustRightInd w:val="0"/>
              <w:snapToGrid w:val="0"/>
              <w:spacing w:after="0"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主要保护目标</w:t>
            </w:r>
          </w:p>
        </w:tc>
        <w:tc>
          <w:tcPr>
            <w:tcW w:w="3538" w:type="pct"/>
            <w:vAlign w:val="center"/>
          </w:tcPr>
          <w:p w14:paraId="54C1D85B">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保护基本农田、保护荒漠植被、保护土壤环境质量</w:t>
            </w:r>
          </w:p>
        </w:tc>
      </w:tr>
      <w:tr w14:paraId="63562B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461" w:type="pct"/>
            <w:gridSpan w:val="2"/>
            <w:vAlign w:val="center"/>
          </w:tcPr>
          <w:p w14:paraId="317F5D23">
            <w:pPr>
              <w:pStyle w:val="5"/>
              <w:widowControl/>
              <w:adjustRightInd w:val="0"/>
              <w:snapToGrid w:val="0"/>
              <w:spacing w:after="0"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主要保护措施</w:t>
            </w:r>
          </w:p>
        </w:tc>
        <w:tc>
          <w:tcPr>
            <w:tcW w:w="3538" w:type="pct"/>
            <w:vAlign w:val="center"/>
          </w:tcPr>
          <w:p w14:paraId="7E24C2E8">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节水灌溉、草场休牧、对坡耕地和沙化土地实施退耕还林（草），在水源无保障、植被稀少、生态脆弱地带禁止开荒、加强农田投入品的使用管理</w:t>
            </w:r>
          </w:p>
        </w:tc>
      </w:tr>
      <w:tr w14:paraId="133EE9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461" w:type="pct"/>
            <w:gridSpan w:val="2"/>
            <w:vAlign w:val="center"/>
          </w:tcPr>
          <w:p w14:paraId="7BC24E28">
            <w:pPr>
              <w:pStyle w:val="5"/>
              <w:widowControl/>
              <w:adjustRightInd w:val="0"/>
              <w:snapToGrid w:val="0"/>
              <w:spacing w:after="0" w:line="300" w:lineRule="exact"/>
              <w:ind w:firstLine="48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适宜发展方向</w:t>
            </w:r>
          </w:p>
        </w:tc>
        <w:tc>
          <w:tcPr>
            <w:tcW w:w="3538" w:type="pct"/>
            <w:vAlign w:val="center"/>
          </w:tcPr>
          <w:p w14:paraId="683D5050">
            <w:pPr>
              <w:pStyle w:val="5"/>
              <w:widowControl/>
              <w:adjustRightInd w:val="0"/>
              <w:snapToGrid w:val="0"/>
              <w:spacing w:after="0" w:line="30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农牧结合，发展优质、高效特色农业和畜牧业</w:t>
            </w:r>
          </w:p>
        </w:tc>
      </w:tr>
    </w:tbl>
    <w:p w14:paraId="6F9478EE">
      <w:pPr>
        <w:pStyle w:val="120"/>
        <w:rPr>
          <w:rFonts w:hint="eastAsia"/>
          <w:color w:val="000000" w:themeColor="text1"/>
          <w14:textFill>
            <w14:solidFill>
              <w14:schemeClr w14:val="tx1"/>
            </w14:solidFill>
          </w14:textFill>
        </w:rPr>
      </w:pPr>
      <w:bookmarkStart w:id="394" w:name="_Hlk175251938"/>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）土地利用现状与评价</w:t>
      </w:r>
    </w:p>
    <w:p w14:paraId="2DF0474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参照全国土地利用现状调查技术规程、全国土地利用现状分类系统，通过现场踏勘及收集资料绘制土地利用类型示意图，土地利用类型</w:t>
      </w:r>
      <w:bookmarkStart w:id="395" w:name="_Hlk173418557"/>
      <w:r>
        <w:rPr>
          <w:rFonts w:hint="eastAsia"/>
          <w:color w:val="000000" w:themeColor="text1"/>
          <w14:textFill>
            <w14:solidFill>
              <w14:schemeClr w14:val="tx1"/>
            </w14:solidFill>
          </w14:textFill>
        </w:rPr>
        <w:t>为</w:t>
      </w:r>
      <w:bookmarkEnd w:id="395"/>
      <w:r>
        <w:rPr>
          <w:rFonts w:hint="eastAsia"/>
          <w:color w:val="000000" w:themeColor="text1"/>
          <w14:textFill>
            <w14:solidFill>
              <w14:schemeClr w14:val="tx1"/>
            </w14:solidFill>
          </w14:textFill>
        </w:rPr>
        <w:t>天然牧草地</w:t>
      </w:r>
      <w:r>
        <w:rPr>
          <w:rFonts w:hint="eastAsia"/>
          <w:color w:val="000000" w:themeColor="text1"/>
          <w:lang w:val="en-US"/>
          <w14:textFill>
            <w14:solidFill>
              <w14:schemeClr w14:val="tx1"/>
            </w14:solidFill>
          </w14:textFill>
        </w:rPr>
        <w:t>、其他园地和采矿用地</w:t>
      </w:r>
      <w:r>
        <w:rPr>
          <w:rFonts w:hint="eastAsia"/>
          <w:color w:val="000000" w:themeColor="text1"/>
          <w14:textFill>
            <w14:solidFill>
              <w14:schemeClr w14:val="tx1"/>
            </w14:solidFill>
          </w14:textFill>
        </w:rPr>
        <w:t>，其中占用天然牧草地</w:t>
      </w:r>
      <w:r>
        <w:rPr>
          <w:rFonts w:hint="eastAsia"/>
          <w:color w:val="000000" w:themeColor="text1"/>
          <w:lang w:val="en-US"/>
          <w14:textFill>
            <w14:solidFill>
              <w14:schemeClr w14:val="tx1"/>
            </w14:solidFill>
          </w14:textFill>
        </w:rPr>
        <w:t>草场</w:t>
      </w:r>
      <w:r>
        <w:rPr>
          <w:rFonts w:hint="eastAsia"/>
          <w:color w:val="000000" w:themeColor="text1"/>
          <w14:textFill>
            <w14:solidFill>
              <w14:schemeClr w14:val="tx1"/>
            </w14:solidFill>
          </w14:textFill>
        </w:rPr>
        <w:t>等级为四等六级草场，详见图</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.3-7</w:t>
      </w:r>
      <w:r>
        <w:rPr>
          <w:color w:val="000000" w:themeColor="text1"/>
          <w14:textFill>
            <w14:solidFill>
              <w14:schemeClr w14:val="tx1"/>
            </w14:solidFill>
          </w14:textFill>
        </w:rPr>
        <w:t>。</w:t>
      </w:r>
    </w:p>
    <w:bookmarkEnd w:id="392"/>
    <w:p w14:paraId="75EC7D7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）植物现状调查与评价</w:t>
      </w:r>
    </w:p>
    <w:p w14:paraId="0C96EB72">
      <w:pPr>
        <w:pStyle w:val="120"/>
        <w:rPr>
          <w:rFonts w:hint="eastAsia"/>
          <w:color w:val="000000" w:themeColor="text1"/>
          <w14:textFill>
            <w14:solidFill>
              <w14:schemeClr w14:val="tx1"/>
            </w14:solidFill>
          </w14:textFill>
        </w:rPr>
      </w:pPr>
      <w:bookmarkStart w:id="396" w:name="_Hlk91195853"/>
      <w:bookmarkStart w:id="397" w:name="_Hlk3978320"/>
      <w:r>
        <w:rPr>
          <w:rFonts w:hint="eastAsia"/>
          <w:color w:val="000000" w:themeColor="text1"/>
          <w14:textFill>
            <w14:solidFill>
              <w14:schemeClr w14:val="tx1"/>
            </w14:solidFill>
          </w14:textFill>
        </w:rPr>
        <w:t>①植被类型</w:t>
      </w:r>
    </w:p>
    <w:p w14:paraId="14D32F63">
      <w:pPr>
        <w:pStyle w:val="120"/>
        <w:rPr>
          <w:rFonts w:hint="default" w:eastAsia="宋体"/>
          <w:color w:val="000000" w:themeColor="text1"/>
          <w:lang w:val="en-US" w:eastAsia="zh-CN"/>
          <w14:textFill>
            <w14:solidFill>
              <w14:schemeClr w14:val="tx1"/>
            </w14:solidFill>
          </w14:textFill>
        </w:rPr>
      </w:pPr>
      <w:bookmarkStart w:id="398" w:name="_Hlk175847500"/>
      <w:r>
        <w:rPr>
          <w:rFonts w:hint="eastAsia"/>
          <w:color w:val="000000" w:themeColor="text1"/>
          <w14:textFill>
            <w14:solidFill>
              <w14:schemeClr w14:val="tx1"/>
            </w14:solidFill>
          </w14:textFill>
        </w:rPr>
        <w:t>项目区所在地生态环境为荒漠生态系统与农田生态系统项目镶嵌的生态系统，荒漠生态系统主要植被类型为荒漠植被，按中国植被自然地理区划划分，项目所在区域属新疆荒漠区、北疆荒漠亚区、准噶尔荒漠省、准噶尔荒漠亚省、乌苏</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奇台州。区域内植被类型分布有芨芨草、盐爪爪和盐节木。根据现场调查，本项目所在区域天然牧草地</w:t>
      </w:r>
      <w:r>
        <w:rPr>
          <w:rFonts w:hint="eastAsia"/>
          <w:color w:val="000000" w:themeColor="text1"/>
          <w:lang w:val="en-US" w:eastAsia="zh-CN"/>
          <w14:textFill>
            <w14:solidFill>
              <w14:schemeClr w14:val="tx1"/>
            </w14:solidFill>
          </w14:textFill>
        </w:rPr>
        <w:t>和采矿用地范围内</w:t>
      </w:r>
      <w:r>
        <w:rPr>
          <w:rFonts w:hint="eastAsia"/>
          <w:color w:val="000000" w:themeColor="text1"/>
          <w14:textFill>
            <w14:solidFill>
              <w14:schemeClr w14:val="tx1"/>
            </w14:solidFill>
          </w14:textFill>
        </w:rPr>
        <w:t>主要野生植被为芨芨草、盐节木及盐爪爪，野生植被覆盖度在5%～20%之间。农田生态系统的植被主要为人工种植的玉米、棉花等农作物。</w:t>
      </w:r>
      <w:r>
        <w:rPr>
          <w:rFonts w:hint="eastAsia"/>
          <w:color w:val="000000" w:themeColor="text1"/>
          <w:lang w:val="en-US" w:eastAsia="zh-CN"/>
          <w14:textFill>
            <w14:solidFill>
              <w14:schemeClr w14:val="tx1"/>
            </w14:solidFill>
          </w14:textFill>
        </w:rPr>
        <w:t>现场踏勘过程中，其他园地未种植任何经济作物。</w:t>
      </w:r>
    </w:p>
    <w:p w14:paraId="04CD9A9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根据《新疆国家重点保护野生植物名录（2022年）》和《新疆维吾尔自治区重点保护野生植物名录（2024年）》，占地</w:t>
      </w:r>
      <w:r>
        <w:rPr>
          <w:rFonts w:hint="eastAsia"/>
          <w:color w:val="000000" w:themeColor="text1"/>
          <w:lang w:val="en-US" w:eastAsia="zh-CN"/>
          <w14:textFill>
            <w14:solidFill>
              <w14:schemeClr w14:val="tx1"/>
            </w14:solidFill>
          </w14:textFill>
        </w:rPr>
        <w:t>范围及</w:t>
      </w:r>
      <w:r>
        <w:rPr>
          <w:rFonts w:hint="eastAsia"/>
          <w:color w:val="000000" w:themeColor="text1"/>
          <w14:textFill>
            <w14:solidFill>
              <w14:schemeClr w14:val="tx1"/>
            </w14:solidFill>
          </w14:textFill>
        </w:rPr>
        <w:t>评价范围内无受保护的野生植物分布。</w:t>
      </w:r>
    </w:p>
    <w:bookmarkEnd w:id="398"/>
    <w:p w14:paraId="5EAF8FF4">
      <w:pPr>
        <w:spacing w:line="500" w:lineRule="exact"/>
        <w:ind w:firstLine="480" w:firstLineChars="200"/>
        <w:rPr>
          <w:rFonts w:hint="eastAsia" w:ascii="宋体" w:hAnsi="宋体"/>
          <w:color w:val="000000" w:themeColor="text1"/>
          <w:kern w:val="0"/>
          <w:sz w:val="24"/>
          <w:szCs w:val="24"/>
          <w14:textFill>
            <w14:solidFill>
              <w14:schemeClr w14:val="tx1"/>
            </w14:solidFill>
          </w14:textFill>
        </w:rPr>
        <w:sectPr>
          <w:footerReference r:id="rId9" w:type="default"/>
          <w:pgSz w:w="11907" w:h="16840"/>
          <w:pgMar w:top="1418" w:right="1588" w:bottom="1418" w:left="1588" w:header="1021" w:footer="1021" w:gutter="0"/>
          <w:cols w:space="720" w:num="1"/>
          <w:docGrid w:type="linesAndChars" w:linePitch="312" w:charSpace="0"/>
        </w:sectPr>
      </w:pPr>
      <w:r>
        <w:rPr>
          <w:rFonts w:hint="eastAsia" w:ascii="宋体" w:hAnsi="宋体"/>
          <w:color w:val="000000" w:themeColor="text1"/>
          <w:kern w:val="0"/>
          <w:sz w:val="24"/>
          <w:szCs w:val="24"/>
          <w14:textFill>
            <w14:solidFill>
              <w14:schemeClr w14:val="tx1"/>
            </w14:solidFill>
          </w14:textFill>
        </w:rPr>
        <w:t>项目生态评价区域内主要植物名录见表4.3-17，植被类型图见图4.3-8。</w:t>
      </w:r>
    </w:p>
    <w:p w14:paraId="10327755">
      <w:pPr>
        <w:pStyle w:val="5"/>
        <w:spacing w:after="0"/>
        <w:jc w:val="center"/>
        <w:rPr>
          <w:rFonts w:hint="eastAsia" w:ascii="黑体" w:hAnsi="黑体" w:eastAsia="黑体" w:cs="黑体"/>
          <w:color w:val="000000" w:themeColor="text1"/>
          <w:szCs w:val="21"/>
          <w14:textFill>
            <w14:solidFill>
              <w14:schemeClr w14:val="tx1"/>
            </w14:solidFill>
          </w14:textFill>
        </w:rPr>
      </w:pPr>
      <w:r>
        <w:rPr>
          <w:rFonts w:hint="eastAsia" w:ascii="黑体" w:hAnsi="黑体" w:eastAsia="黑体" w:cs="黑体"/>
          <w:color w:val="000000" w:themeColor="text1"/>
          <w:szCs w:val="21"/>
          <w14:textFill>
            <w14:solidFill>
              <w14:schemeClr w14:val="tx1"/>
            </w14:solidFill>
          </w14:textFill>
        </w:rPr>
        <w:drawing>
          <wp:inline distT="0" distB="0" distL="114300" distR="114300">
            <wp:extent cx="8136255" cy="5132070"/>
            <wp:effectExtent l="0" t="0" r="17145" b="11430"/>
            <wp:docPr id="88" name="图片 88" descr="新疆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新疆生态功能区划图"/>
                    <pic:cNvPicPr>
                      <a:picLocks noChangeAspect="1"/>
                    </pic:cNvPicPr>
                  </pic:nvPicPr>
                  <pic:blipFill>
                    <a:blip r:embed="rId78"/>
                    <a:stretch>
                      <a:fillRect/>
                    </a:stretch>
                  </pic:blipFill>
                  <pic:spPr>
                    <a:xfrm>
                      <a:off x="0" y="0"/>
                      <a:ext cx="8136255" cy="5132070"/>
                    </a:xfrm>
                    <a:prstGeom prst="rect">
                      <a:avLst/>
                    </a:prstGeom>
                  </pic:spPr>
                </pic:pic>
              </a:graphicData>
            </a:graphic>
          </wp:inline>
        </w:drawing>
      </w:r>
    </w:p>
    <w:p w14:paraId="7B18BCBC">
      <w:pPr>
        <w:pStyle w:val="5"/>
        <w:spacing w:after="0" w:line="500" w:lineRule="exact"/>
        <w:jc w:val="center"/>
        <w:rPr>
          <w:rFonts w:hint="eastAsia" w:ascii="黑体" w:hAnsi="黑体" w:eastAsia="黑体" w:cs="黑体"/>
          <w:color w:val="000000" w:themeColor="text1"/>
          <w:szCs w:val="21"/>
          <w14:textFill>
            <w14:solidFill>
              <w14:schemeClr w14:val="tx1"/>
            </w14:solidFill>
          </w14:textFill>
        </w:rPr>
      </w:pPr>
      <w:r>
        <w:rPr>
          <w:rFonts w:hint="eastAsia" w:ascii="黑体" w:hAnsi="黑体" w:eastAsia="黑体" w:cs="黑体"/>
          <w:color w:val="000000" w:themeColor="text1"/>
          <w:szCs w:val="21"/>
          <w14:textFill>
            <w14:solidFill>
              <w14:schemeClr w14:val="tx1"/>
            </w14:solidFill>
          </w14:textFill>
        </w:rPr>
        <w:t>图4.3-6  项目在新疆生态功能区中的位置</w:t>
      </w:r>
    </w:p>
    <w:p w14:paraId="7F0D75B9">
      <w:pPr>
        <w:pStyle w:val="5"/>
        <w:spacing w:after="0"/>
        <w:jc w:val="center"/>
        <w:rPr>
          <w:rFonts w:hint="eastAsia" w:ascii="黑体" w:hAnsi="黑体" w:eastAsia="黑体" w:cs="黑体"/>
          <w:color w:val="000000" w:themeColor="text1"/>
          <w:szCs w:val="21"/>
          <w14:textFill>
            <w14:solidFill>
              <w14:schemeClr w14:val="tx1"/>
            </w14:solidFill>
          </w14:textFill>
        </w:rPr>
      </w:pPr>
      <w:r>
        <w:rPr>
          <w:rFonts w:hint="eastAsia" w:ascii="黑体" w:hAnsi="黑体" w:eastAsia="黑体" w:cs="黑体"/>
          <w:color w:val="000000" w:themeColor="text1"/>
          <w:szCs w:val="21"/>
          <w14:textFill>
            <w14:solidFill>
              <w14:schemeClr w14:val="tx1"/>
            </w14:solidFill>
          </w14:textFill>
        </w:rPr>
        <w:drawing>
          <wp:inline distT="0" distB="0" distL="114300" distR="114300">
            <wp:extent cx="7786370" cy="5097780"/>
            <wp:effectExtent l="0" t="0" r="5080" b="7620"/>
            <wp:docPr id="85" name="图片 85" descr="d5cab27598581ad7c66fc51333c514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d5cab27598581ad7c66fc51333c514d2"/>
                    <pic:cNvPicPr>
                      <a:picLocks noChangeAspect="1"/>
                    </pic:cNvPicPr>
                  </pic:nvPicPr>
                  <pic:blipFill>
                    <a:blip r:embed="rId79"/>
                    <a:stretch>
                      <a:fillRect/>
                    </a:stretch>
                  </pic:blipFill>
                  <pic:spPr>
                    <a:xfrm>
                      <a:off x="0" y="0"/>
                      <a:ext cx="7786370" cy="5097780"/>
                    </a:xfrm>
                    <a:prstGeom prst="rect">
                      <a:avLst/>
                    </a:prstGeom>
                  </pic:spPr>
                </pic:pic>
              </a:graphicData>
            </a:graphic>
          </wp:inline>
        </w:drawing>
      </w:r>
    </w:p>
    <w:p w14:paraId="426A3D1B">
      <w:pPr>
        <w:pStyle w:val="5"/>
        <w:spacing w:after="0" w:line="500" w:lineRule="exact"/>
        <w:jc w:val="center"/>
        <w:rPr>
          <w:rFonts w:hint="eastAsia" w:ascii="黑体" w:hAnsi="黑体" w:eastAsia="黑体" w:cs="黑体"/>
          <w:color w:val="000000" w:themeColor="text1"/>
          <w:szCs w:val="21"/>
          <w14:textFill>
            <w14:solidFill>
              <w14:schemeClr w14:val="tx1"/>
            </w14:solidFill>
          </w14:textFill>
        </w:rPr>
      </w:pPr>
      <w:r>
        <w:rPr>
          <w:rFonts w:hint="eastAsia" w:ascii="黑体" w:hAnsi="黑体" w:eastAsia="黑体" w:cs="黑体"/>
          <w:color w:val="000000" w:themeColor="text1"/>
          <w:szCs w:val="21"/>
          <w14:textFill>
            <w14:solidFill>
              <w14:schemeClr w14:val="tx1"/>
            </w14:solidFill>
          </w14:textFill>
        </w:rPr>
        <w:t>图4.3-7  土地利用现状示意图</w:t>
      </w:r>
    </w:p>
    <w:p w14:paraId="00B71B3D">
      <w:pPr>
        <w:pStyle w:val="112"/>
        <w:spacing w:line="240" w:lineRule="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6720205" cy="5100320"/>
            <wp:effectExtent l="0" t="0" r="4445" b="5080"/>
            <wp:docPr id="87" name="图片 87" descr="51ece7ad8603624332693a807d1ac9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51ece7ad8603624332693a807d1ac92b"/>
                    <pic:cNvPicPr>
                      <a:picLocks noChangeAspect="1"/>
                    </pic:cNvPicPr>
                  </pic:nvPicPr>
                  <pic:blipFill>
                    <a:blip r:embed="rId80"/>
                    <a:stretch>
                      <a:fillRect/>
                    </a:stretch>
                  </pic:blipFill>
                  <pic:spPr>
                    <a:xfrm>
                      <a:off x="0" y="0"/>
                      <a:ext cx="6720205" cy="5100320"/>
                    </a:xfrm>
                    <a:prstGeom prst="rect">
                      <a:avLst/>
                    </a:prstGeom>
                  </pic:spPr>
                </pic:pic>
              </a:graphicData>
            </a:graphic>
          </wp:inline>
        </w:drawing>
      </w:r>
    </w:p>
    <w:p w14:paraId="0B9CB241">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图4.3-8  植被类型示意图</w:t>
      </w:r>
    </w:p>
    <w:p w14:paraId="156F18D8">
      <w:pPr>
        <w:pStyle w:val="112"/>
        <w:rPr>
          <w:rFonts w:hint="eastAsia"/>
          <w:color w:val="000000" w:themeColor="text1"/>
          <w14:textFill>
            <w14:solidFill>
              <w14:schemeClr w14:val="tx1"/>
            </w14:solidFill>
          </w14:textFill>
        </w:rPr>
        <w:sectPr>
          <w:pgSz w:w="16840" w:h="11907" w:orient="landscape"/>
          <w:pgMar w:top="1588" w:right="1418" w:bottom="1588" w:left="1418" w:header="1021" w:footer="1021" w:gutter="0"/>
          <w:cols w:space="720" w:num="1"/>
          <w:docGrid w:type="linesAndChars" w:linePitch="312" w:charSpace="0"/>
        </w:sectPr>
      </w:pPr>
    </w:p>
    <w:bookmarkEnd w:id="394"/>
    <w:p w14:paraId="6218E268">
      <w:pPr>
        <w:pStyle w:val="112"/>
        <w:rPr>
          <w:rFonts w:hint="eastAsia"/>
          <w:color w:val="000000" w:themeColor="text1"/>
          <w14:textFill>
            <w14:solidFill>
              <w14:schemeClr w14:val="tx1"/>
            </w14:solidFill>
          </w14:textFill>
        </w:rPr>
      </w:pPr>
      <w:bookmarkStart w:id="399" w:name="_Hlk175251958"/>
      <w:r>
        <w:rPr>
          <w:rFonts w:hint="eastAsia"/>
          <w:color w:val="000000" w:themeColor="text1"/>
          <w:szCs w:val="20"/>
          <w14:textFill>
            <w14:solidFill>
              <w14:schemeClr w14:val="tx1"/>
            </w14:solidFill>
          </w14:textFill>
        </w:rPr>
        <w:t>表4.3-17</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主要植物名录</w:t>
      </w:r>
    </w:p>
    <w:tbl>
      <w:tblPr>
        <w:tblStyle w:val="51"/>
        <w:tblW w:w="5000" w:type="pct"/>
        <w:tblInd w:w="0" w:type="dxa"/>
        <w:tblLayout w:type="autofit"/>
        <w:tblCellMar>
          <w:top w:w="0" w:type="dxa"/>
          <w:left w:w="0" w:type="dxa"/>
          <w:bottom w:w="0" w:type="dxa"/>
          <w:right w:w="0" w:type="dxa"/>
        </w:tblCellMar>
      </w:tblPr>
      <w:tblGrid>
        <w:gridCol w:w="2336"/>
        <w:gridCol w:w="4631"/>
        <w:gridCol w:w="1764"/>
      </w:tblGrid>
      <w:tr w14:paraId="42576E31">
        <w:tblPrEx>
          <w:tblCellMar>
            <w:top w:w="0" w:type="dxa"/>
            <w:left w:w="0" w:type="dxa"/>
            <w:bottom w:w="0" w:type="dxa"/>
            <w:right w:w="0" w:type="dxa"/>
          </w:tblCellMar>
        </w:tblPrEx>
        <w:trPr>
          <w:trHeight w:val="340" w:hRule="atLeast"/>
        </w:trPr>
        <w:tc>
          <w:tcPr>
            <w:tcW w:w="1338" w:type="pct"/>
            <w:tcBorders>
              <w:top w:val="single" w:color="000000" w:sz="12" w:space="0"/>
              <w:left w:val="nil"/>
              <w:bottom w:val="single" w:color="000000" w:sz="4" w:space="0"/>
              <w:right w:val="single" w:color="000000" w:sz="4" w:space="0"/>
            </w:tcBorders>
            <w:vAlign w:val="center"/>
          </w:tcPr>
          <w:p w14:paraId="6FB2A05C">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中文名</w:t>
            </w:r>
          </w:p>
        </w:tc>
        <w:tc>
          <w:tcPr>
            <w:tcW w:w="2652" w:type="pct"/>
            <w:tcBorders>
              <w:top w:val="single" w:color="000000" w:sz="12" w:space="0"/>
              <w:left w:val="single" w:color="000000" w:sz="4" w:space="0"/>
              <w:bottom w:val="single" w:color="000000" w:sz="4" w:space="0"/>
              <w:right w:val="single" w:color="000000" w:sz="4" w:space="0"/>
            </w:tcBorders>
            <w:vAlign w:val="center"/>
          </w:tcPr>
          <w:p w14:paraId="32BED339">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学名</w:t>
            </w:r>
          </w:p>
        </w:tc>
        <w:tc>
          <w:tcPr>
            <w:tcW w:w="1010" w:type="pct"/>
            <w:tcBorders>
              <w:top w:val="single" w:color="000000" w:sz="12" w:space="0"/>
              <w:left w:val="single" w:color="000000" w:sz="4" w:space="0"/>
              <w:bottom w:val="single" w:color="000000" w:sz="4" w:space="0"/>
              <w:right w:val="nil"/>
            </w:tcBorders>
            <w:vAlign w:val="center"/>
          </w:tcPr>
          <w:p w14:paraId="5DB9F777">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分布</w:t>
            </w:r>
          </w:p>
        </w:tc>
      </w:tr>
      <w:tr w14:paraId="5D2D6AB0">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2F2B1F19">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一、禾本科</w:t>
            </w:r>
          </w:p>
        </w:tc>
        <w:tc>
          <w:tcPr>
            <w:tcW w:w="2652" w:type="pct"/>
            <w:tcBorders>
              <w:top w:val="single" w:color="000000" w:sz="4" w:space="0"/>
              <w:left w:val="single" w:color="000000" w:sz="4" w:space="0"/>
              <w:bottom w:val="single" w:color="000000" w:sz="4" w:space="0"/>
              <w:right w:val="single" w:color="000000" w:sz="4" w:space="0"/>
            </w:tcBorders>
            <w:vAlign w:val="center"/>
          </w:tcPr>
          <w:p w14:paraId="2454DEFF">
            <w:pPr>
              <w:spacing w:line="240" w:lineRule="exact"/>
              <w:ind w:firstLine="476"/>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spacing w:val="-2"/>
                <w:kern w:val="0"/>
                <w:szCs w:val="21"/>
                <w14:textFill>
                  <w14:solidFill>
                    <w14:schemeClr w14:val="tx1"/>
                  </w14:solidFill>
                </w14:textFill>
              </w:rPr>
              <w:t>Gramineae</w:t>
            </w:r>
          </w:p>
        </w:tc>
        <w:tc>
          <w:tcPr>
            <w:tcW w:w="1010" w:type="pct"/>
            <w:tcBorders>
              <w:top w:val="single" w:color="000000" w:sz="4" w:space="0"/>
              <w:left w:val="single" w:color="000000" w:sz="4" w:space="0"/>
              <w:bottom w:val="single" w:color="000000" w:sz="4" w:space="0"/>
              <w:right w:val="nil"/>
            </w:tcBorders>
            <w:vAlign w:val="center"/>
          </w:tcPr>
          <w:p w14:paraId="66FB991A">
            <w:pPr>
              <w:spacing w:line="240" w:lineRule="exact"/>
              <w:ind w:firstLine="480"/>
              <w:jc w:val="center"/>
              <w:rPr>
                <w:rFonts w:hint="eastAsia" w:ascii="宋体" w:hAnsi="宋体"/>
                <w:color w:val="000000" w:themeColor="text1"/>
                <w:kern w:val="0"/>
                <w:szCs w:val="21"/>
                <w14:textFill>
                  <w14:solidFill>
                    <w14:schemeClr w14:val="tx1"/>
                  </w14:solidFill>
                </w14:textFill>
              </w:rPr>
            </w:pPr>
          </w:p>
        </w:tc>
      </w:tr>
      <w:tr w14:paraId="32BB08A0">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3262BF86">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羽状三芒草</w:t>
            </w:r>
          </w:p>
        </w:tc>
        <w:tc>
          <w:tcPr>
            <w:tcW w:w="2652" w:type="pct"/>
            <w:tcBorders>
              <w:top w:val="single" w:color="000000" w:sz="4" w:space="0"/>
              <w:left w:val="single" w:color="000000" w:sz="4" w:space="0"/>
              <w:bottom w:val="single" w:color="000000" w:sz="4" w:space="0"/>
              <w:right w:val="single" w:color="000000" w:sz="4" w:space="0"/>
            </w:tcBorders>
            <w:vAlign w:val="center"/>
          </w:tcPr>
          <w:p w14:paraId="115A4C80">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Aristida</w:t>
            </w:r>
            <w:r>
              <w:rPr>
                <w:rFonts w:ascii="宋体" w:hAnsi="宋体"/>
                <w:i/>
                <w:iCs/>
                <w:color w:val="000000" w:themeColor="text1"/>
                <w:spacing w:val="-9"/>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pennata</w:t>
            </w:r>
          </w:p>
        </w:tc>
        <w:tc>
          <w:tcPr>
            <w:tcW w:w="1010" w:type="pct"/>
            <w:tcBorders>
              <w:top w:val="single" w:color="000000" w:sz="4" w:space="0"/>
              <w:left w:val="single" w:color="000000" w:sz="4" w:space="0"/>
              <w:bottom w:val="single" w:color="000000" w:sz="4" w:space="0"/>
              <w:right w:val="nil"/>
            </w:tcBorders>
            <w:vAlign w:val="center"/>
          </w:tcPr>
          <w:p w14:paraId="503595A7">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5F8BC3E2">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4C46BD9D">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二、杨柳科</w:t>
            </w:r>
          </w:p>
        </w:tc>
        <w:tc>
          <w:tcPr>
            <w:tcW w:w="2652" w:type="pct"/>
            <w:tcBorders>
              <w:top w:val="single" w:color="000000" w:sz="4" w:space="0"/>
              <w:left w:val="single" w:color="000000" w:sz="4" w:space="0"/>
              <w:bottom w:val="single" w:color="000000" w:sz="4" w:space="0"/>
              <w:right w:val="single" w:color="000000" w:sz="4" w:space="0"/>
            </w:tcBorders>
            <w:vAlign w:val="center"/>
          </w:tcPr>
          <w:p w14:paraId="50E5018E">
            <w:pPr>
              <w:spacing w:line="240" w:lineRule="exact"/>
              <w:ind w:firstLine="476"/>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spacing w:val="-2"/>
                <w:kern w:val="0"/>
                <w:szCs w:val="21"/>
                <w14:textFill>
                  <w14:solidFill>
                    <w14:schemeClr w14:val="tx1"/>
                  </w14:solidFill>
                </w14:textFill>
              </w:rPr>
              <w:t>Salicaceae</w:t>
            </w:r>
          </w:p>
        </w:tc>
        <w:tc>
          <w:tcPr>
            <w:tcW w:w="1010" w:type="pct"/>
            <w:tcBorders>
              <w:top w:val="single" w:color="000000" w:sz="4" w:space="0"/>
              <w:left w:val="single" w:color="000000" w:sz="4" w:space="0"/>
              <w:bottom w:val="single" w:color="000000" w:sz="4" w:space="0"/>
              <w:right w:val="nil"/>
            </w:tcBorders>
            <w:vAlign w:val="center"/>
          </w:tcPr>
          <w:p w14:paraId="7C799666">
            <w:pPr>
              <w:spacing w:line="240" w:lineRule="exact"/>
              <w:ind w:firstLine="480"/>
              <w:jc w:val="center"/>
              <w:rPr>
                <w:rFonts w:hint="eastAsia" w:ascii="宋体" w:hAnsi="宋体"/>
                <w:color w:val="000000" w:themeColor="text1"/>
                <w:kern w:val="0"/>
                <w:szCs w:val="21"/>
                <w14:textFill>
                  <w14:solidFill>
                    <w14:schemeClr w14:val="tx1"/>
                  </w14:solidFill>
                </w14:textFill>
              </w:rPr>
            </w:pPr>
          </w:p>
        </w:tc>
      </w:tr>
      <w:tr w14:paraId="74304E61">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0FE6A69F">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白柳</w:t>
            </w:r>
          </w:p>
        </w:tc>
        <w:tc>
          <w:tcPr>
            <w:tcW w:w="2652" w:type="pct"/>
            <w:tcBorders>
              <w:top w:val="single" w:color="000000" w:sz="4" w:space="0"/>
              <w:left w:val="single" w:color="000000" w:sz="4" w:space="0"/>
              <w:bottom w:val="single" w:color="000000" w:sz="4" w:space="0"/>
              <w:right w:val="single" w:color="000000" w:sz="4" w:space="0"/>
            </w:tcBorders>
            <w:vAlign w:val="center"/>
          </w:tcPr>
          <w:p w14:paraId="1E92DC5C">
            <w:pPr>
              <w:spacing w:line="240" w:lineRule="exact"/>
              <w:ind w:firstLine="480"/>
              <w:jc w:val="center"/>
              <w:rPr>
                <w:rFonts w:hint="eastAsia" w:ascii="宋体" w:hAnsi="宋体"/>
                <w:i/>
                <w:iCs/>
                <w:color w:val="000000" w:themeColor="text1"/>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Salix alba</w:t>
            </w:r>
          </w:p>
        </w:tc>
        <w:tc>
          <w:tcPr>
            <w:tcW w:w="1010" w:type="pct"/>
            <w:tcBorders>
              <w:top w:val="single" w:color="000000" w:sz="4" w:space="0"/>
              <w:left w:val="single" w:color="000000" w:sz="4" w:space="0"/>
              <w:bottom w:val="single" w:color="000000" w:sz="4" w:space="0"/>
              <w:right w:val="nil"/>
            </w:tcBorders>
            <w:vAlign w:val="center"/>
          </w:tcPr>
          <w:p w14:paraId="031C6A8D">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4543962E">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7C3BD10E">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三、藜科</w:t>
            </w:r>
          </w:p>
        </w:tc>
        <w:tc>
          <w:tcPr>
            <w:tcW w:w="2652" w:type="pct"/>
            <w:tcBorders>
              <w:top w:val="single" w:color="000000" w:sz="4" w:space="0"/>
              <w:left w:val="single" w:color="000000" w:sz="4" w:space="0"/>
              <w:bottom w:val="single" w:color="000000" w:sz="4" w:space="0"/>
              <w:right w:val="single" w:color="000000" w:sz="4" w:space="0"/>
            </w:tcBorders>
            <w:vAlign w:val="center"/>
          </w:tcPr>
          <w:p w14:paraId="1DCFF38F">
            <w:pPr>
              <w:spacing w:line="240" w:lineRule="exact"/>
              <w:ind w:firstLine="476"/>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spacing w:val="-2"/>
                <w:kern w:val="0"/>
                <w:szCs w:val="21"/>
                <w14:textFill>
                  <w14:solidFill>
                    <w14:schemeClr w14:val="tx1"/>
                  </w14:solidFill>
                </w14:textFill>
              </w:rPr>
              <w:t>Chenopodiaceae</w:t>
            </w:r>
          </w:p>
        </w:tc>
        <w:tc>
          <w:tcPr>
            <w:tcW w:w="1010" w:type="pct"/>
            <w:tcBorders>
              <w:top w:val="single" w:color="000000" w:sz="4" w:space="0"/>
              <w:left w:val="single" w:color="000000" w:sz="4" w:space="0"/>
              <w:bottom w:val="single" w:color="000000" w:sz="4" w:space="0"/>
              <w:right w:val="nil"/>
            </w:tcBorders>
            <w:vAlign w:val="center"/>
          </w:tcPr>
          <w:p w14:paraId="4DBF76F6">
            <w:pPr>
              <w:spacing w:line="240" w:lineRule="exact"/>
              <w:ind w:firstLine="480"/>
              <w:jc w:val="center"/>
              <w:rPr>
                <w:rFonts w:hint="eastAsia" w:ascii="宋体" w:hAnsi="宋体"/>
                <w:color w:val="000000" w:themeColor="text1"/>
                <w:kern w:val="0"/>
                <w:szCs w:val="21"/>
                <w14:textFill>
                  <w14:solidFill>
                    <w14:schemeClr w14:val="tx1"/>
                  </w14:solidFill>
                </w14:textFill>
              </w:rPr>
            </w:pPr>
          </w:p>
        </w:tc>
      </w:tr>
      <w:tr w14:paraId="6CD461C3">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4CE5423E">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盐节木</w:t>
            </w:r>
          </w:p>
        </w:tc>
        <w:tc>
          <w:tcPr>
            <w:tcW w:w="2652" w:type="pct"/>
            <w:tcBorders>
              <w:top w:val="single" w:color="000000" w:sz="4" w:space="0"/>
              <w:left w:val="single" w:color="000000" w:sz="4" w:space="0"/>
              <w:bottom w:val="single" w:color="000000" w:sz="4" w:space="0"/>
              <w:right w:val="single" w:color="000000" w:sz="4" w:space="0"/>
            </w:tcBorders>
            <w:vAlign w:val="center"/>
          </w:tcPr>
          <w:p w14:paraId="122B3512">
            <w:pPr>
              <w:spacing w:line="240" w:lineRule="exact"/>
              <w:ind w:firstLine="454"/>
              <w:jc w:val="center"/>
              <w:rPr>
                <w:rFonts w:hint="eastAsia" w:ascii="宋体" w:hAnsi="宋体"/>
                <w:i/>
                <w:iCs/>
                <w:color w:val="000000" w:themeColor="text1"/>
                <w:spacing w:val="-2"/>
                <w:w w:val="95"/>
                <w:kern w:val="0"/>
                <w:szCs w:val="21"/>
                <w14:textFill>
                  <w14:solidFill>
                    <w14:schemeClr w14:val="tx1"/>
                  </w14:solidFill>
                </w14:textFill>
              </w:rPr>
            </w:pPr>
            <w:r>
              <w:rPr>
                <w:rFonts w:ascii="宋体" w:hAnsi="宋体"/>
                <w:i/>
                <w:iCs/>
                <w:color w:val="000000" w:themeColor="text1"/>
                <w:w w:val="95"/>
                <w:kern w:val="0"/>
                <w:szCs w:val="21"/>
                <w14:textFill>
                  <w14:solidFill>
                    <w14:schemeClr w14:val="tx1"/>
                  </w14:solidFill>
                </w14:textFill>
              </w:rPr>
              <w:t>Halocnemum</w:t>
            </w:r>
            <w:r>
              <w:rPr>
                <w:rFonts w:ascii="宋体" w:hAnsi="宋体"/>
                <w:i/>
                <w:iCs/>
                <w:color w:val="000000" w:themeColor="text1"/>
                <w:spacing w:val="45"/>
                <w:kern w:val="0"/>
                <w:szCs w:val="21"/>
                <w14:textFill>
                  <w14:solidFill>
                    <w14:schemeClr w14:val="tx1"/>
                  </w14:solidFill>
                </w14:textFill>
              </w:rPr>
              <w:t xml:space="preserve"> </w:t>
            </w:r>
            <w:r>
              <w:rPr>
                <w:rFonts w:ascii="宋体" w:hAnsi="宋体"/>
                <w:i/>
                <w:iCs/>
                <w:color w:val="000000" w:themeColor="text1"/>
                <w:spacing w:val="-2"/>
                <w:w w:val="95"/>
                <w:kern w:val="0"/>
                <w:szCs w:val="21"/>
                <w14:textFill>
                  <w14:solidFill>
                    <w14:schemeClr w14:val="tx1"/>
                  </w14:solidFill>
                </w14:textFill>
              </w:rPr>
              <w:t>strobilaceum</w:t>
            </w:r>
          </w:p>
        </w:tc>
        <w:tc>
          <w:tcPr>
            <w:tcW w:w="1010" w:type="pct"/>
            <w:tcBorders>
              <w:top w:val="single" w:color="000000" w:sz="4" w:space="0"/>
              <w:left w:val="single" w:color="000000" w:sz="4" w:space="0"/>
              <w:bottom w:val="single" w:color="000000" w:sz="4" w:space="0"/>
              <w:right w:val="nil"/>
            </w:tcBorders>
            <w:vAlign w:val="center"/>
          </w:tcPr>
          <w:p w14:paraId="1E9FA046">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78DB6804">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2AB768DB">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盐穗木</w:t>
            </w:r>
          </w:p>
        </w:tc>
        <w:tc>
          <w:tcPr>
            <w:tcW w:w="2652" w:type="pct"/>
            <w:tcBorders>
              <w:top w:val="single" w:color="000000" w:sz="4" w:space="0"/>
              <w:left w:val="single" w:color="000000" w:sz="4" w:space="0"/>
              <w:bottom w:val="single" w:color="000000" w:sz="4" w:space="0"/>
              <w:right w:val="single" w:color="000000" w:sz="4" w:space="0"/>
            </w:tcBorders>
            <w:vAlign w:val="center"/>
          </w:tcPr>
          <w:p w14:paraId="593E6C81">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Halostachys</w:t>
            </w:r>
            <w:r>
              <w:rPr>
                <w:rFonts w:ascii="宋体" w:hAnsi="宋体"/>
                <w:i/>
                <w:iCs/>
                <w:color w:val="000000" w:themeColor="text1"/>
                <w:spacing w:val="-11"/>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caspica</w:t>
            </w:r>
          </w:p>
        </w:tc>
        <w:tc>
          <w:tcPr>
            <w:tcW w:w="1010" w:type="pct"/>
            <w:tcBorders>
              <w:top w:val="single" w:color="000000" w:sz="4" w:space="0"/>
              <w:left w:val="single" w:color="000000" w:sz="4" w:space="0"/>
              <w:bottom w:val="single" w:color="000000" w:sz="4" w:space="0"/>
              <w:right w:val="nil"/>
            </w:tcBorders>
            <w:vAlign w:val="center"/>
          </w:tcPr>
          <w:p w14:paraId="4AD56DA0">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21381F00">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143259F1">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猪毛菜</w:t>
            </w:r>
          </w:p>
        </w:tc>
        <w:tc>
          <w:tcPr>
            <w:tcW w:w="2652" w:type="pct"/>
            <w:tcBorders>
              <w:top w:val="single" w:color="000000" w:sz="4" w:space="0"/>
              <w:left w:val="single" w:color="000000" w:sz="4" w:space="0"/>
              <w:bottom w:val="single" w:color="000000" w:sz="4" w:space="0"/>
              <w:right w:val="single" w:color="000000" w:sz="4" w:space="0"/>
            </w:tcBorders>
            <w:vAlign w:val="center"/>
          </w:tcPr>
          <w:p w14:paraId="6AB12905">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Salsola</w:t>
            </w:r>
            <w:r>
              <w:rPr>
                <w:rFonts w:ascii="宋体" w:hAnsi="宋体"/>
                <w:i/>
                <w:iCs/>
                <w:color w:val="000000" w:themeColor="text1"/>
                <w:spacing w:val="-7"/>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collina</w:t>
            </w:r>
          </w:p>
        </w:tc>
        <w:tc>
          <w:tcPr>
            <w:tcW w:w="1010" w:type="pct"/>
            <w:tcBorders>
              <w:top w:val="single" w:color="000000" w:sz="4" w:space="0"/>
              <w:left w:val="single" w:color="000000" w:sz="4" w:space="0"/>
              <w:bottom w:val="single" w:color="000000" w:sz="4" w:space="0"/>
              <w:right w:val="nil"/>
            </w:tcBorders>
            <w:vAlign w:val="center"/>
          </w:tcPr>
          <w:p w14:paraId="297FA70B">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16E680A6">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0109F9DA">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盐爪爪</w:t>
            </w:r>
          </w:p>
        </w:tc>
        <w:tc>
          <w:tcPr>
            <w:tcW w:w="2652" w:type="pct"/>
            <w:tcBorders>
              <w:top w:val="single" w:color="000000" w:sz="4" w:space="0"/>
              <w:left w:val="single" w:color="000000" w:sz="4" w:space="0"/>
              <w:bottom w:val="single" w:color="000000" w:sz="4" w:space="0"/>
              <w:right w:val="single" w:color="000000" w:sz="4" w:space="0"/>
            </w:tcBorders>
            <w:vAlign w:val="center"/>
          </w:tcPr>
          <w:p w14:paraId="76C2D22B">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Kalidium</w:t>
            </w:r>
            <w:r>
              <w:rPr>
                <w:rFonts w:ascii="宋体" w:hAnsi="宋体"/>
                <w:i/>
                <w:iCs/>
                <w:color w:val="000000" w:themeColor="text1"/>
                <w:spacing w:val="-6"/>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cuspidatum</w:t>
            </w:r>
          </w:p>
        </w:tc>
        <w:tc>
          <w:tcPr>
            <w:tcW w:w="1010" w:type="pct"/>
            <w:tcBorders>
              <w:top w:val="single" w:color="000000" w:sz="4" w:space="0"/>
              <w:left w:val="single" w:color="000000" w:sz="4" w:space="0"/>
              <w:bottom w:val="single" w:color="000000" w:sz="4" w:space="0"/>
              <w:right w:val="nil"/>
            </w:tcBorders>
            <w:vAlign w:val="center"/>
          </w:tcPr>
          <w:p w14:paraId="2B05C1BF">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7853FFC7">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23E225FD">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角果碱蓬</w:t>
            </w:r>
          </w:p>
        </w:tc>
        <w:tc>
          <w:tcPr>
            <w:tcW w:w="2652" w:type="pct"/>
            <w:tcBorders>
              <w:top w:val="single" w:color="000000" w:sz="4" w:space="0"/>
              <w:left w:val="single" w:color="000000" w:sz="4" w:space="0"/>
              <w:bottom w:val="single" w:color="000000" w:sz="4" w:space="0"/>
              <w:right w:val="single" w:color="000000" w:sz="4" w:space="0"/>
            </w:tcBorders>
            <w:vAlign w:val="center"/>
          </w:tcPr>
          <w:p w14:paraId="35D831E7">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Suaeda</w:t>
            </w:r>
            <w:r>
              <w:rPr>
                <w:rFonts w:ascii="宋体" w:hAnsi="宋体"/>
                <w:i/>
                <w:iCs/>
                <w:color w:val="000000" w:themeColor="text1"/>
                <w:spacing w:val="-7"/>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corniculate</w:t>
            </w:r>
          </w:p>
        </w:tc>
        <w:tc>
          <w:tcPr>
            <w:tcW w:w="1010" w:type="pct"/>
            <w:tcBorders>
              <w:top w:val="single" w:color="000000" w:sz="4" w:space="0"/>
              <w:left w:val="single" w:color="000000" w:sz="4" w:space="0"/>
              <w:bottom w:val="single" w:color="000000" w:sz="4" w:space="0"/>
              <w:right w:val="nil"/>
            </w:tcBorders>
            <w:vAlign w:val="center"/>
          </w:tcPr>
          <w:p w14:paraId="41FF4056">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18047CE9">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49885BA5">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驼绒藜</w:t>
            </w:r>
          </w:p>
        </w:tc>
        <w:tc>
          <w:tcPr>
            <w:tcW w:w="2652" w:type="pct"/>
            <w:tcBorders>
              <w:top w:val="single" w:color="000000" w:sz="4" w:space="0"/>
              <w:left w:val="single" w:color="000000" w:sz="4" w:space="0"/>
              <w:bottom w:val="single" w:color="000000" w:sz="4" w:space="0"/>
              <w:right w:val="single" w:color="000000" w:sz="4" w:space="0"/>
            </w:tcBorders>
            <w:vAlign w:val="center"/>
          </w:tcPr>
          <w:p w14:paraId="0F30A794">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Ceratoides</w:t>
            </w:r>
            <w:r>
              <w:rPr>
                <w:rFonts w:ascii="宋体" w:hAnsi="宋体"/>
                <w:i/>
                <w:iCs/>
                <w:color w:val="000000" w:themeColor="text1"/>
                <w:spacing w:val="-10"/>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ewersmanniana</w:t>
            </w:r>
          </w:p>
        </w:tc>
        <w:tc>
          <w:tcPr>
            <w:tcW w:w="1010" w:type="pct"/>
            <w:tcBorders>
              <w:top w:val="single" w:color="000000" w:sz="4" w:space="0"/>
              <w:left w:val="single" w:color="000000" w:sz="4" w:space="0"/>
              <w:bottom w:val="single" w:color="000000" w:sz="4" w:space="0"/>
              <w:right w:val="nil"/>
            </w:tcBorders>
            <w:vAlign w:val="center"/>
          </w:tcPr>
          <w:p w14:paraId="58999C0D">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62F05788">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7F38B67B">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盐生草</w:t>
            </w:r>
          </w:p>
        </w:tc>
        <w:tc>
          <w:tcPr>
            <w:tcW w:w="2652" w:type="pct"/>
            <w:tcBorders>
              <w:top w:val="single" w:color="000000" w:sz="4" w:space="0"/>
              <w:left w:val="single" w:color="000000" w:sz="4" w:space="0"/>
              <w:bottom w:val="single" w:color="000000" w:sz="4" w:space="0"/>
              <w:right w:val="single" w:color="000000" w:sz="4" w:space="0"/>
            </w:tcBorders>
            <w:vAlign w:val="center"/>
          </w:tcPr>
          <w:p w14:paraId="3DBD8398">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Halogeton</w:t>
            </w:r>
            <w:r>
              <w:rPr>
                <w:rFonts w:ascii="宋体" w:hAnsi="宋体"/>
                <w:i/>
                <w:iCs/>
                <w:color w:val="000000" w:themeColor="text1"/>
                <w:spacing w:val="-6"/>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glomeratus</w:t>
            </w:r>
          </w:p>
        </w:tc>
        <w:tc>
          <w:tcPr>
            <w:tcW w:w="1010" w:type="pct"/>
            <w:tcBorders>
              <w:top w:val="single" w:color="000000" w:sz="4" w:space="0"/>
              <w:left w:val="single" w:color="000000" w:sz="4" w:space="0"/>
              <w:bottom w:val="single" w:color="000000" w:sz="4" w:space="0"/>
              <w:right w:val="nil"/>
            </w:tcBorders>
            <w:vAlign w:val="center"/>
          </w:tcPr>
          <w:p w14:paraId="2A6E4240">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76166A3D">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395AE4C8">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叉毛蓬</w:t>
            </w:r>
          </w:p>
        </w:tc>
        <w:tc>
          <w:tcPr>
            <w:tcW w:w="2652" w:type="pct"/>
            <w:tcBorders>
              <w:top w:val="single" w:color="000000" w:sz="4" w:space="0"/>
              <w:left w:val="single" w:color="000000" w:sz="4" w:space="0"/>
              <w:bottom w:val="single" w:color="000000" w:sz="4" w:space="0"/>
              <w:right w:val="single" w:color="000000" w:sz="4" w:space="0"/>
            </w:tcBorders>
            <w:vAlign w:val="center"/>
          </w:tcPr>
          <w:p w14:paraId="6F07A777">
            <w:pPr>
              <w:spacing w:line="240" w:lineRule="exact"/>
              <w:ind w:firstLine="476"/>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spacing w:val="-2"/>
                <w:kern w:val="0"/>
                <w:szCs w:val="21"/>
                <w14:textFill>
                  <w14:solidFill>
                    <w14:schemeClr w14:val="tx1"/>
                  </w14:solidFill>
                </w14:textFill>
              </w:rPr>
              <w:t>Petrosimonia</w:t>
            </w:r>
            <w:r>
              <w:rPr>
                <w:rFonts w:ascii="宋体" w:hAnsi="宋体"/>
                <w:i/>
                <w:iCs/>
                <w:color w:val="000000" w:themeColor="text1"/>
                <w:spacing w:val="4"/>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sibirica</w:t>
            </w:r>
          </w:p>
        </w:tc>
        <w:tc>
          <w:tcPr>
            <w:tcW w:w="1010" w:type="pct"/>
            <w:tcBorders>
              <w:top w:val="single" w:color="000000" w:sz="4" w:space="0"/>
              <w:left w:val="single" w:color="000000" w:sz="4" w:space="0"/>
              <w:bottom w:val="single" w:color="000000" w:sz="4" w:space="0"/>
              <w:right w:val="nil"/>
            </w:tcBorders>
            <w:vAlign w:val="center"/>
          </w:tcPr>
          <w:p w14:paraId="13B08621">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120FE7CF">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54F6A696">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盐生假木贼</w:t>
            </w:r>
          </w:p>
        </w:tc>
        <w:tc>
          <w:tcPr>
            <w:tcW w:w="2652" w:type="pct"/>
            <w:tcBorders>
              <w:top w:val="single" w:color="000000" w:sz="4" w:space="0"/>
              <w:left w:val="single" w:color="000000" w:sz="4" w:space="0"/>
              <w:bottom w:val="single" w:color="000000" w:sz="4" w:space="0"/>
              <w:right w:val="single" w:color="000000" w:sz="4" w:space="0"/>
            </w:tcBorders>
            <w:vAlign w:val="center"/>
          </w:tcPr>
          <w:p w14:paraId="1561AF39">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Anabasis</w:t>
            </w:r>
            <w:r>
              <w:rPr>
                <w:rFonts w:ascii="宋体" w:hAnsi="宋体"/>
                <w:i/>
                <w:iCs/>
                <w:color w:val="000000" w:themeColor="text1"/>
                <w:spacing w:val="-6"/>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salsa</w:t>
            </w:r>
          </w:p>
        </w:tc>
        <w:tc>
          <w:tcPr>
            <w:tcW w:w="1010" w:type="pct"/>
            <w:tcBorders>
              <w:top w:val="single" w:color="000000" w:sz="4" w:space="0"/>
              <w:left w:val="single" w:color="000000" w:sz="4" w:space="0"/>
              <w:bottom w:val="single" w:color="000000" w:sz="4" w:space="0"/>
              <w:right w:val="nil"/>
            </w:tcBorders>
            <w:vAlign w:val="center"/>
          </w:tcPr>
          <w:p w14:paraId="5F8BD24E">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5A5B0D1D">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073CB224">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短叶假木贼</w:t>
            </w:r>
          </w:p>
        </w:tc>
        <w:tc>
          <w:tcPr>
            <w:tcW w:w="2652" w:type="pct"/>
            <w:tcBorders>
              <w:top w:val="single" w:color="000000" w:sz="4" w:space="0"/>
              <w:left w:val="single" w:color="000000" w:sz="4" w:space="0"/>
              <w:bottom w:val="single" w:color="000000" w:sz="4" w:space="0"/>
              <w:right w:val="single" w:color="000000" w:sz="4" w:space="0"/>
            </w:tcBorders>
            <w:vAlign w:val="center"/>
          </w:tcPr>
          <w:p w14:paraId="3E8ABC8F">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Anabasis</w:t>
            </w:r>
            <w:r>
              <w:rPr>
                <w:rFonts w:ascii="宋体" w:hAnsi="宋体"/>
                <w:i/>
                <w:iCs/>
                <w:color w:val="000000" w:themeColor="text1"/>
                <w:spacing w:val="-8"/>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brevifolia</w:t>
            </w:r>
          </w:p>
        </w:tc>
        <w:tc>
          <w:tcPr>
            <w:tcW w:w="1010" w:type="pct"/>
            <w:tcBorders>
              <w:top w:val="single" w:color="000000" w:sz="4" w:space="0"/>
              <w:left w:val="single" w:color="000000" w:sz="4" w:space="0"/>
              <w:bottom w:val="single" w:color="000000" w:sz="4" w:space="0"/>
              <w:right w:val="nil"/>
            </w:tcBorders>
            <w:vAlign w:val="center"/>
          </w:tcPr>
          <w:p w14:paraId="6B709D9A">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4E09ABF5">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7212E839">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小蓬</w:t>
            </w:r>
          </w:p>
        </w:tc>
        <w:tc>
          <w:tcPr>
            <w:tcW w:w="2652" w:type="pct"/>
            <w:tcBorders>
              <w:top w:val="single" w:color="000000" w:sz="4" w:space="0"/>
              <w:left w:val="single" w:color="000000" w:sz="4" w:space="0"/>
              <w:bottom w:val="single" w:color="000000" w:sz="4" w:space="0"/>
              <w:right w:val="single" w:color="000000" w:sz="4" w:space="0"/>
            </w:tcBorders>
            <w:vAlign w:val="center"/>
          </w:tcPr>
          <w:p w14:paraId="5A63D8FA">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Nanophyton</w:t>
            </w:r>
            <w:r>
              <w:rPr>
                <w:rFonts w:ascii="宋体" w:hAnsi="宋体"/>
                <w:i/>
                <w:iCs/>
                <w:color w:val="000000" w:themeColor="text1"/>
                <w:spacing w:val="-10"/>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erinaceum</w:t>
            </w:r>
          </w:p>
        </w:tc>
        <w:tc>
          <w:tcPr>
            <w:tcW w:w="1010" w:type="pct"/>
            <w:tcBorders>
              <w:top w:val="single" w:color="000000" w:sz="4" w:space="0"/>
              <w:left w:val="single" w:color="000000" w:sz="4" w:space="0"/>
              <w:bottom w:val="single" w:color="000000" w:sz="4" w:space="0"/>
              <w:right w:val="nil"/>
            </w:tcBorders>
            <w:vAlign w:val="center"/>
          </w:tcPr>
          <w:p w14:paraId="4387DBD7">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4B8DBD83">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6416C293">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梭梭</w:t>
            </w:r>
          </w:p>
        </w:tc>
        <w:tc>
          <w:tcPr>
            <w:tcW w:w="2652" w:type="pct"/>
            <w:tcBorders>
              <w:top w:val="single" w:color="000000" w:sz="4" w:space="0"/>
              <w:left w:val="single" w:color="000000" w:sz="4" w:space="0"/>
              <w:bottom w:val="single" w:color="000000" w:sz="4" w:space="0"/>
              <w:right w:val="single" w:color="000000" w:sz="4" w:space="0"/>
            </w:tcBorders>
            <w:vAlign w:val="center"/>
          </w:tcPr>
          <w:p w14:paraId="583362CF">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Haloxylon</w:t>
            </w:r>
            <w:r>
              <w:rPr>
                <w:rFonts w:ascii="宋体" w:hAnsi="宋体"/>
                <w:i/>
                <w:iCs/>
                <w:color w:val="000000" w:themeColor="text1"/>
                <w:spacing w:val="-7"/>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ammodendron</w:t>
            </w:r>
          </w:p>
        </w:tc>
        <w:tc>
          <w:tcPr>
            <w:tcW w:w="1010" w:type="pct"/>
            <w:tcBorders>
              <w:top w:val="single" w:color="000000" w:sz="4" w:space="0"/>
              <w:left w:val="single" w:color="000000" w:sz="4" w:space="0"/>
              <w:bottom w:val="single" w:color="000000" w:sz="4" w:space="0"/>
              <w:right w:val="nil"/>
            </w:tcBorders>
            <w:vAlign w:val="center"/>
          </w:tcPr>
          <w:p w14:paraId="46627E22">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615F20E6">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17AC184B">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白梭梭</w:t>
            </w:r>
          </w:p>
        </w:tc>
        <w:tc>
          <w:tcPr>
            <w:tcW w:w="2652" w:type="pct"/>
            <w:tcBorders>
              <w:top w:val="single" w:color="000000" w:sz="4" w:space="0"/>
              <w:left w:val="single" w:color="000000" w:sz="4" w:space="0"/>
              <w:bottom w:val="single" w:color="000000" w:sz="4" w:space="0"/>
              <w:right w:val="single" w:color="000000" w:sz="4" w:space="0"/>
            </w:tcBorders>
            <w:vAlign w:val="center"/>
          </w:tcPr>
          <w:p w14:paraId="402CB695">
            <w:pPr>
              <w:spacing w:line="240" w:lineRule="exact"/>
              <w:ind w:firstLine="480"/>
              <w:jc w:val="center"/>
              <w:rPr>
                <w:rFonts w:hint="eastAsia" w:ascii="宋体" w:hAnsi="宋体"/>
                <w:i/>
                <w:iCs/>
                <w:color w:val="000000" w:themeColor="text1"/>
                <w:kern w:val="0"/>
                <w:szCs w:val="21"/>
                <w14:textFill>
                  <w14:solidFill>
                    <w14:schemeClr w14:val="tx1"/>
                  </w14:solidFill>
                </w14:textFill>
              </w:rPr>
            </w:pPr>
            <w:r>
              <w:rPr>
                <w:rFonts w:ascii="宋体" w:hAnsi="宋体"/>
                <w:i/>
                <w:iCs/>
                <w:color w:val="000000" w:themeColor="text1"/>
                <w:szCs w:val="21"/>
                <w14:textFill>
                  <w14:solidFill>
                    <w14:schemeClr w14:val="tx1"/>
                  </w14:solidFill>
                </w14:textFill>
              </w:rPr>
              <w:t>Haloxylon persicum</w:t>
            </w:r>
          </w:p>
        </w:tc>
        <w:tc>
          <w:tcPr>
            <w:tcW w:w="1010" w:type="pct"/>
            <w:tcBorders>
              <w:top w:val="single" w:color="000000" w:sz="4" w:space="0"/>
              <w:left w:val="single" w:color="000000" w:sz="4" w:space="0"/>
              <w:bottom w:val="single" w:color="000000" w:sz="4" w:space="0"/>
              <w:right w:val="nil"/>
            </w:tcBorders>
            <w:vAlign w:val="center"/>
          </w:tcPr>
          <w:p w14:paraId="0E655AF5">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hint="eastAsia" w:ascii="宋体" w:hAnsi="宋体"/>
                <w:color w:val="000000" w:themeColor="text1"/>
                <w:w w:val="99"/>
                <w:kern w:val="0"/>
                <w:szCs w:val="21"/>
                <w14:textFill>
                  <w14:solidFill>
                    <w14:schemeClr w14:val="tx1"/>
                  </w14:solidFill>
                </w14:textFill>
              </w:rPr>
              <w:t>+</w:t>
            </w:r>
          </w:p>
        </w:tc>
      </w:tr>
      <w:tr w14:paraId="3F61AEE3">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197E04BA">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四、十字花科</w:t>
            </w:r>
          </w:p>
        </w:tc>
        <w:tc>
          <w:tcPr>
            <w:tcW w:w="2652" w:type="pct"/>
            <w:tcBorders>
              <w:top w:val="single" w:color="000000" w:sz="4" w:space="0"/>
              <w:left w:val="single" w:color="000000" w:sz="4" w:space="0"/>
              <w:bottom w:val="single" w:color="000000" w:sz="4" w:space="0"/>
              <w:right w:val="single" w:color="000000" w:sz="4" w:space="0"/>
            </w:tcBorders>
            <w:vAlign w:val="center"/>
          </w:tcPr>
          <w:p w14:paraId="12882000">
            <w:pPr>
              <w:spacing w:line="240" w:lineRule="exact"/>
              <w:ind w:firstLine="476"/>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spacing w:val="-2"/>
                <w:kern w:val="0"/>
                <w:szCs w:val="21"/>
                <w14:textFill>
                  <w14:solidFill>
                    <w14:schemeClr w14:val="tx1"/>
                  </w14:solidFill>
                </w14:textFill>
              </w:rPr>
              <w:t>Cruciferae</w:t>
            </w:r>
          </w:p>
        </w:tc>
        <w:tc>
          <w:tcPr>
            <w:tcW w:w="1010" w:type="pct"/>
            <w:tcBorders>
              <w:top w:val="single" w:color="000000" w:sz="4" w:space="0"/>
              <w:left w:val="single" w:color="000000" w:sz="4" w:space="0"/>
              <w:bottom w:val="single" w:color="000000" w:sz="4" w:space="0"/>
              <w:right w:val="nil"/>
            </w:tcBorders>
            <w:vAlign w:val="center"/>
          </w:tcPr>
          <w:p w14:paraId="0B405DF8">
            <w:pPr>
              <w:spacing w:line="240" w:lineRule="exact"/>
              <w:ind w:firstLine="480"/>
              <w:jc w:val="center"/>
              <w:rPr>
                <w:rFonts w:hint="eastAsia" w:ascii="宋体" w:hAnsi="宋体"/>
                <w:color w:val="000000" w:themeColor="text1"/>
                <w:kern w:val="0"/>
                <w:szCs w:val="21"/>
                <w14:textFill>
                  <w14:solidFill>
                    <w14:schemeClr w14:val="tx1"/>
                  </w14:solidFill>
                </w14:textFill>
              </w:rPr>
            </w:pPr>
          </w:p>
        </w:tc>
      </w:tr>
      <w:tr w14:paraId="540F6BDA">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217F125C">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荒漠庭荠</w:t>
            </w:r>
          </w:p>
        </w:tc>
        <w:tc>
          <w:tcPr>
            <w:tcW w:w="2652" w:type="pct"/>
            <w:tcBorders>
              <w:top w:val="single" w:color="000000" w:sz="4" w:space="0"/>
              <w:left w:val="single" w:color="000000" w:sz="4" w:space="0"/>
              <w:bottom w:val="single" w:color="000000" w:sz="4" w:space="0"/>
              <w:right w:val="single" w:color="000000" w:sz="4" w:space="0"/>
            </w:tcBorders>
            <w:vAlign w:val="center"/>
          </w:tcPr>
          <w:p w14:paraId="22F0095F">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Alyssum</w:t>
            </w:r>
            <w:r>
              <w:rPr>
                <w:rFonts w:ascii="宋体" w:hAnsi="宋体"/>
                <w:i/>
                <w:iCs/>
                <w:color w:val="000000" w:themeColor="text1"/>
                <w:spacing w:val="-8"/>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desertorum</w:t>
            </w:r>
          </w:p>
        </w:tc>
        <w:tc>
          <w:tcPr>
            <w:tcW w:w="1010" w:type="pct"/>
            <w:tcBorders>
              <w:top w:val="single" w:color="000000" w:sz="4" w:space="0"/>
              <w:left w:val="single" w:color="000000" w:sz="4" w:space="0"/>
              <w:bottom w:val="single" w:color="000000" w:sz="4" w:space="0"/>
              <w:right w:val="nil"/>
            </w:tcBorders>
            <w:vAlign w:val="center"/>
          </w:tcPr>
          <w:p w14:paraId="6DA452F5">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5CA7BA06">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6EA964EE">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五、蒺藜科</w:t>
            </w:r>
          </w:p>
        </w:tc>
        <w:tc>
          <w:tcPr>
            <w:tcW w:w="2652" w:type="pct"/>
            <w:tcBorders>
              <w:top w:val="single" w:color="000000" w:sz="4" w:space="0"/>
              <w:left w:val="single" w:color="000000" w:sz="4" w:space="0"/>
              <w:bottom w:val="single" w:color="000000" w:sz="4" w:space="0"/>
              <w:right w:val="single" w:color="000000" w:sz="4" w:space="0"/>
            </w:tcBorders>
            <w:vAlign w:val="center"/>
          </w:tcPr>
          <w:p w14:paraId="7391FD63">
            <w:pPr>
              <w:spacing w:line="240" w:lineRule="exact"/>
              <w:ind w:firstLine="480"/>
              <w:jc w:val="center"/>
              <w:rPr>
                <w:rFonts w:hint="eastAsia" w:ascii="宋体" w:hAnsi="宋体"/>
                <w:color w:val="000000" w:themeColor="text1"/>
                <w:kern w:val="0"/>
                <w:szCs w:val="21"/>
                <w14:textFill>
                  <w14:solidFill>
                    <w14:schemeClr w14:val="tx1"/>
                  </w14:solidFill>
                </w14:textFill>
              </w:rPr>
            </w:pPr>
          </w:p>
        </w:tc>
        <w:tc>
          <w:tcPr>
            <w:tcW w:w="1010" w:type="pct"/>
            <w:tcBorders>
              <w:top w:val="single" w:color="000000" w:sz="4" w:space="0"/>
              <w:left w:val="single" w:color="000000" w:sz="4" w:space="0"/>
              <w:bottom w:val="single" w:color="000000" w:sz="4" w:space="0"/>
              <w:right w:val="nil"/>
            </w:tcBorders>
            <w:vAlign w:val="center"/>
          </w:tcPr>
          <w:p w14:paraId="42B2B3C7">
            <w:pPr>
              <w:spacing w:line="240" w:lineRule="exact"/>
              <w:ind w:firstLine="480"/>
              <w:jc w:val="center"/>
              <w:rPr>
                <w:rFonts w:hint="eastAsia" w:ascii="宋体" w:hAnsi="宋体"/>
                <w:color w:val="000000" w:themeColor="text1"/>
                <w:kern w:val="0"/>
                <w:szCs w:val="21"/>
                <w14:textFill>
                  <w14:solidFill>
                    <w14:schemeClr w14:val="tx1"/>
                  </w14:solidFill>
                </w14:textFill>
              </w:rPr>
            </w:pPr>
          </w:p>
        </w:tc>
      </w:tr>
      <w:tr w14:paraId="455DA167">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29986521">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西伯利亚白刺</w:t>
            </w:r>
          </w:p>
        </w:tc>
        <w:tc>
          <w:tcPr>
            <w:tcW w:w="2652" w:type="pct"/>
            <w:tcBorders>
              <w:top w:val="single" w:color="000000" w:sz="4" w:space="0"/>
              <w:left w:val="single" w:color="000000" w:sz="4" w:space="0"/>
              <w:bottom w:val="single" w:color="000000" w:sz="4" w:space="0"/>
              <w:right w:val="single" w:color="000000" w:sz="4" w:space="0"/>
            </w:tcBorders>
            <w:vAlign w:val="center"/>
          </w:tcPr>
          <w:p w14:paraId="566C5A82">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Nitraria</w:t>
            </w:r>
            <w:r>
              <w:rPr>
                <w:rFonts w:ascii="宋体" w:hAnsi="宋体"/>
                <w:i/>
                <w:iCs/>
                <w:color w:val="000000" w:themeColor="text1"/>
                <w:spacing w:val="-7"/>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sibirica</w:t>
            </w:r>
          </w:p>
        </w:tc>
        <w:tc>
          <w:tcPr>
            <w:tcW w:w="1010" w:type="pct"/>
            <w:tcBorders>
              <w:top w:val="single" w:color="000000" w:sz="4" w:space="0"/>
              <w:left w:val="single" w:color="000000" w:sz="4" w:space="0"/>
              <w:bottom w:val="single" w:color="000000" w:sz="4" w:space="0"/>
              <w:right w:val="nil"/>
            </w:tcBorders>
            <w:vAlign w:val="center"/>
          </w:tcPr>
          <w:p w14:paraId="15D91DEC">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58DBB235">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3405CEE0">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六、大戟科</w:t>
            </w:r>
          </w:p>
        </w:tc>
        <w:tc>
          <w:tcPr>
            <w:tcW w:w="2652" w:type="pct"/>
            <w:tcBorders>
              <w:top w:val="single" w:color="000000" w:sz="4" w:space="0"/>
              <w:left w:val="single" w:color="000000" w:sz="4" w:space="0"/>
              <w:bottom w:val="single" w:color="000000" w:sz="4" w:space="0"/>
              <w:right w:val="single" w:color="000000" w:sz="4" w:space="0"/>
            </w:tcBorders>
            <w:vAlign w:val="center"/>
          </w:tcPr>
          <w:p w14:paraId="5DDE34C6">
            <w:pPr>
              <w:spacing w:line="240" w:lineRule="exact"/>
              <w:ind w:firstLine="476"/>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spacing w:val="-2"/>
                <w:kern w:val="0"/>
                <w:szCs w:val="21"/>
                <w14:textFill>
                  <w14:solidFill>
                    <w14:schemeClr w14:val="tx1"/>
                  </w14:solidFill>
                </w14:textFill>
              </w:rPr>
              <w:t>Euphorbiacea</w:t>
            </w:r>
          </w:p>
        </w:tc>
        <w:tc>
          <w:tcPr>
            <w:tcW w:w="1010" w:type="pct"/>
            <w:tcBorders>
              <w:top w:val="single" w:color="000000" w:sz="4" w:space="0"/>
              <w:left w:val="single" w:color="000000" w:sz="4" w:space="0"/>
              <w:bottom w:val="single" w:color="000000" w:sz="4" w:space="0"/>
              <w:right w:val="nil"/>
            </w:tcBorders>
            <w:vAlign w:val="center"/>
          </w:tcPr>
          <w:p w14:paraId="309B821F">
            <w:pPr>
              <w:spacing w:line="240" w:lineRule="exact"/>
              <w:ind w:firstLine="480"/>
              <w:jc w:val="center"/>
              <w:rPr>
                <w:rFonts w:hint="eastAsia" w:ascii="宋体" w:hAnsi="宋体"/>
                <w:color w:val="000000" w:themeColor="text1"/>
                <w:kern w:val="0"/>
                <w:szCs w:val="21"/>
                <w14:textFill>
                  <w14:solidFill>
                    <w14:schemeClr w14:val="tx1"/>
                  </w14:solidFill>
                </w14:textFill>
              </w:rPr>
            </w:pPr>
          </w:p>
        </w:tc>
      </w:tr>
      <w:tr w14:paraId="51A55CD9">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7F507803">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沙生大戟</w:t>
            </w:r>
          </w:p>
        </w:tc>
        <w:tc>
          <w:tcPr>
            <w:tcW w:w="2652" w:type="pct"/>
            <w:tcBorders>
              <w:top w:val="single" w:color="000000" w:sz="4" w:space="0"/>
              <w:left w:val="single" w:color="000000" w:sz="4" w:space="0"/>
              <w:bottom w:val="single" w:color="000000" w:sz="4" w:space="0"/>
              <w:right w:val="single" w:color="000000" w:sz="4" w:space="0"/>
            </w:tcBorders>
            <w:vAlign w:val="center"/>
          </w:tcPr>
          <w:p w14:paraId="4D190659">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Euphorbia</w:t>
            </w:r>
            <w:r>
              <w:rPr>
                <w:rFonts w:ascii="宋体" w:hAnsi="宋体"/>
                <w:i/>
                <w:iCs/>
                <w:color w:val="000000" w:themeColor="text1"/>
                <w:spacing w:val="-7"/>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turazaninovii</w:t>
            </w:r>
          </w:p>
        </w:tc>
        <w:tc>
          <w:tcPr>
            <w:tcW w:w="1010" w:type="pct"/>
            <w:tcBorders>
              <w:top w:val="single" w:color="000000" w:sz="4" w:space="0"/>
              <w:left w:val="single" w:color="000000" w:sz="4" w:space="0"/>
              <w:bottom w:val="single" w:color="000000" w:sz="4" w:space="0"/>
              <w:right w:val="nil"/>
            </w:tcBorders>
            <w:vAlign w:val="center"/>
          </w:tcPr>
          <w:p w14:paraId="54155687">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3B75CB48">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4FE7C893">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七、菊科</w:t>
            </w:r>
          </w:p>
        </w:tc>
        <w:tc>
          <w:tcPr>
            <w:tcW w:w="2652" w:type="pct"/>
            <w:tcBorders>
              <w:top w:val="single" w:color="000000" w:sz="4" w:space="0"/>
              <w:left w:val="single" w:color="000000" w:sz="4" w:space="0"/>
              <w:bottom w:val="single" w:color="000000" w:sz="4" w:space="0"/>
              <w:right w:val="single" w:color="000000" w:sz="4" w:space="0"/>
            </w:tcBorders>
            <w:vAlign w:val="center"/>
          </w:tcPr>
          <w:p w14:paraId="0A067DC8">
            <w:pPr>
              <w:spacing w:line="240" w:lineRule="exact"/>
              <w:ind w:firstLine="476"/>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spacing w:val="-2"/>
                <w:kern w:val="0"/>
                <w:szCs w:val="21"/>
                <w14:textFill>
                  <w14:solidFill>
                    <w14:schemeClr w14:val="tx1"/>
                  </w14:solidFill>
                </w14:textFill>
              </w:rPr>
              <w:t>Compsitae</w:t>
            </w:r>
          </w:p>
        </w:tc>
        <w:tc>
          <w:tcPr>
            <w:tcW w:w="1010" w:type="pct"/>
            <w:tcBorders>
              <w:top w:val="single" w:color="000000" w:sz="4" w:space="0"/>
              <w:left w:val="single" w:color="000000" w:sz="4" w:space="0"/>
              <w:bottom w:val="single" w:color="000000" w:sz="4" w:space="0"/>
              <w:right w:val="nil"/>
            </w:tcBorders>
            <w:vAlign w:val="center"/>
          </w:tcPr>
          <w:p w14:paraId="361414FC">
            <w:pPr>
              <w:spacing w:line="240" w:lineRule="exact"/>
              <w:ind w:firstLine="480"/>
              <w:jc w:val="center"/>
              <w:rPr>
                <w:rFonts w:hint="eastAsia" w:ascii="宋体" w:hAnsi="宋体"/>
                <w:color w:val="000000" w:themeColor="text1"/>
                <w:kern w:val="0"/>
                <w:szCs w:val="21"/>
                <w14:textFill>
                  <w14:solidFill>
                    <w14:schemeClr w14:val="tx1"/>
                  </w14:solidFill>
                </w14:textFill>
              </w:rPr>
            </w:pPr>
          </w:p>
        </w:tc>
      </w:tr>
      <w:tr w14:paraId="1BC7F7AC">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31046ACA">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苦艾蒿</w:t>
            </w:r>
          </w:p>
        </w:tc>
        <w:tc>
          <w:tcPr>
            <w:tcW w:w="2652" w:type="pct"/>
            <w:tcBorders>
              <w:top w:val="single" w:color="000000" w:sz="4" w:space="0"/>
              <w:left w:val="single" w:color="000000" w:sz="4" w:space="0"/>
              <w:bottom w:val="single" w:color="000000" w:sz="4" w:space="0"/>
              <w:right w:val="single" w:color="000000" w:sz="4" w:space="0"/>
            </w:tcBorders>
            <w:vAlign w:val="center"/>
          </w:tcPr>
          <w:p w14:paraId="118194DD">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Artemisia</w:t>
            </w:r>
            <w:r>
              <w:rPr>
                <w:rFonts w:ascii="宋体" w:hAnsi="宋体"/>
                <w:i/>
                <w:iCs/>
                <w:color w:val="000000" w:themeColor="text1"/>
                <w:spacing w:val="-10"/>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santolina</w:t>
            </w:r>
          </w:p>
        </w:tc>
        <w:tc>
          <w:tcPr>
            <w:tcW w:w="1010" w:type="pct"/>
            <w:tcBorders>
              <w:top w:val="single" w:color="000000" w:sz="4" w:space="0"/>
              <w:left w:val="single" w:color="000000" w:sz="4" w:space="0"/>
              <w:bottom w:val="single" w:color="000000" w:sz="4" w:space="0"/>
              <w:right w:val="nil"/>
            </w:tcBorders>
            <w:vAlign w:val="center"/>
          </w:tcPr>
          <w:p w14:paraId="33388EB8">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0EB73D54">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61753841">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地白蒿</w:t>
            </w:r>
          </w:p>
        </w:tc>
        <w:tc>
          <w:tcPr>
            <w:tcW w:w="2652" w:type="pct"/>
            <w:tcBorders>
              <w:top w:val="single" w:color="000000" w:sz="4" w:space="0"/>
              <w:left w:val="single" w:color="000000" w:sz="4" w:space="0"/>
              <w:bottom w:val="single" w:color="000000" w:sz="4" w:space="0"/>
              <w:right w:val="single" w:color="000000" w:sz="4" w:space="0"/>
            </w:tcBorders>
            <w:vAlign w:val="center"/>
          </w:tcPr>
          <w:p w14:paraId="68FC0D59">
            <w:pPr>
              <w:spacing w:line="240" w:lineRule="exact"/>
              <w:ind w:firstLine="454"/>
              <w:jc w:val="center"/>
              <w:rPr>
                <w:rFonts w:hint="eastAsia" w:ascii="宋体" w:hAnsi="宋体"/>
                <w:i/>
                <w:iCs/>
                <w:color w:val="000000" w:themeColor="text1"/>
                <w:w w:val="95"/>
                <w:kern w:val="0"/>
                <w:szCs w:val="21"/>
                <w14:textFill>
                  <w14:solidFill>
                    <w14:schemeClr w14:val="tx1"/>
                  </w14:solidFill>
                </w14:textFill>
              </w:rPr>
            </w:pPr>
            <w:r>
              <w:rPr>
                <w:rFonts w:ascii="宋体" w:hAnsi="宋体"/>
                <w:i/>
                <w:iCs/>
                <w:color w:val="000000" w:themeColor="text1"/>
                <w:w w:val="95"/>
                <w:kern w:val="0"/>
                <w:szCs w:val="21"/>
                <w14:textFill>
                  <w14:solidFill>
                    <w14:schemeClr w14:val="tx1"/>
                  </w14:solidFill>
                </w14:textFill>
              </w:rPr>
              <w:t>Areemisia</w:t>
            </w:r>
            <w:r>
              <w:rPr>
                <w:rFonts w:ascii="宋体" w:hAnsi="宋体"/>
                <w:i/>
                <w:iCs/>
                <w:color w:val="000000" w:themeColor="text1"/>
                <w:spacing w:val="48"/>
                <w:kern w:val="0"/>
                <w:szCs w:val="21"/>
                <w14:textFill>
                  <w14:solidFill>
                    <w14:schemeClr w14:val="tx1"/>
                  </w14:solidFill>
                </w14:textFill>
              </w:rPr>
              <w:t xml:space="preserve"> </w:t>
            </w:r>
            <w:r>
              <w:rPr>
                <w:rFonts w:ascii="宋体" w:hAnsi="宋体"/>
                <w:i/>
                <w:iCs/>
                <w:color w:val="000000" w:themeColor="text1"/>
                <w:w w:val="95"/>
                <w:kern w:val="0"/>
                <w:szCs w:val="21"/>
                <w14:textFill>
                  <w14:solidFill>
                    <w14:schemeClr w14:val="tx1"/>
                  </w14:solidFill>
                </w14:textFill>
              </w:rPr>
              <w:t>terrae-ablae</w:t>
            </w:r>
          </w:p>
        </w:tc>
        <w:tc>
          <w:tcPr>
            <w:tcW w:w="1010" w:type="pct"/>
            <w:tcBorders>
              <w:top w:val="single" w:color="000000" w:sz="4" w:space="0"/>
              <w:left w:val="single" w:color="000000" w:sz="4" w:space="0"/>
              <w:bottom w:val="single" w:color="000000" w:sz="4" w:space="0"/>
              <w:right w:val="nil"/>
            </w:tcBorders>
            <w:vAlign w:val="center"/>
          </w:tcPr>
          <w:p w14:paraId="2898F337">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4B972834">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26B889C5">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沙地千里光</w:t>
            </w:r>
          </w:p>
        </w:tc>
        <w:tc>
          <w:tcPr>
            <w:tcW w:w="2652" w:type="pct"/>
            <w:tcBorders>
              <w:top w:val="single" w:color="000000" w:sz="4" w:space="0"/>
              <w:left w:val="single" w:color="000000" w:sz="4" w:space="0"/>
              <w:bottom w:val="single" w:color="000000" w:sz="4" w:space="0"/>
              <w:right w:val="single" w:color="000000" w:sz="4" w:space="0"/>
            </w:tcBorders>
            <w:vAlign w:val="center"/>
          </w:tcPr>
          <w:p w14:paraId="108A24A2">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Senecio</w:t>
            </w:r>
            <w:r>
              <w:rPr>
                <w:rFonts w:ascii="宋体" w:hAnsi="宋体"/>
                <w:i/>
                <w:iCs/>
                <w:color w:val="000000" w:themeColor="text1"/>
                <w:spacing w:val="-9"/>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subdentatus</w:t>
            </w:r>
          </w:p>
        </w:tc>
        <w:tc>
          <w:tcPr>
            <w:tcW w:w="1010" w:type="pct"/>
            <w:tcBorders>
              <w:top w:val="single" w:color="000000" w:sz="4" w:space="0"/>
              <w:left w:val="single" w:color="000000" w:sz="4" w:space="0"/>
              <w:bottom w:val="single" w:color="000000" w:sz="4" w:space="0"/>
              <w:right w:val="nil"/>
            </w:tcBorders>
            <w:vAlign w:val="center"/>
          </w:tcPr>
          <w:p w14:paraId="1EAC1B11">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422B6254">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00EE223E">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八、莎草科</w:t>
            </w:r>
          </w:p>
        </w:tc>
        <w:tc>
          <w:tcPr>
            <w:tcW w:w="2652" w:type="pct"/>
            <w:tcBorders>
              <w:top w:val="single" w:color="000000" w:sz="4" w:space="0"/>
              <w:left w:val="single" w:color="000000" w:sz="4" w:space="0"/>
              <w:bottom w:val="single" w:color="000000" w:sz="4" w:space="0"/>
              <w:right w:val="single" w:color="000000" w:sz="4" w:space="0"/>
            </w:tcBorders>
            <w:vAlign w:val="center"/>
          </w:tcPr>
          <w:p w14:paraId="4AA465B6">
            <w:pPr>
              <w:spacing w:line="240" w:lineRule="exact"/>
              <w:ind w:firstLine="480"/>
              <w:jc w:val="center"/>
              <w:rPr>
                <w:rFonts w:hint="eastAsia" w:ascii="宋体" w:hAnsi="宋体"/>
                <w:color w:val="000000" w:themeColor="text1"/>
                <w:kern w:val="0"/>
                <w:szCs w:val="21"/>
                <w14:textFill>
                  <w14:solidFill>
                    <w14:schemeClr w14:val="tx1"/>
                  </w14:solidFill>
                </w14:textFill>
              </w:rPr>
            </w:pPr>
          </w:p>
        </w:tc>
        <w:tc>
          <w:tcPr>
            <w:tcW w:w="1010" w:type="pct"/>
            <w:tcBorders>
              <w:top w:val="single" w:color="000000" w:sz="4" w:space="0"/>
              <w:left w:val="single" w:color="000000" w:sz="4" w:space="0"/>
              <w:bottom w:val="single" w:color="000000" w:sz="4" w:space="0"/>
              <w:right w:val="nil"/>
            </w:tcBorders>
            <w:vAlign w:val="center"/>
          </w:tcPr>
          <w:p w14:paraId="1FDED202">
            <w:pPr>
              <w:spacing w:line="240" w:lineRule="exact"/>
              <w:ind w:firstLine="480"/>
              <w:jc w:val="center"/>
              <w:rPr>
                <w:rFonts w:hint="eastAsia" w:ascii="宋体" w:hAnsi="宋体"/>
                <w:color w:val="000000" w:themeColor="text1"/>
                <w:kern w:val="0"/>
                <w:szCs w:val="21"/>
                <w14:textFill>
                  <w14:solidFill>
                    <w14:schemeClr w14:val="tx1"/>
                  </w14:solidFill>
                </w14:textFill>
              </w:rPr>
            </w:pPr>
          </w:p>
        </w:tc>
      </w:tr>
      <w:tr w14:paraId="2755B3F8">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156814EC">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囊果苔草</w:t>
            </w:r>
          </w:p>
        </w:tc>
        <w:tc>
          <w:tcPr>
            <w:tcW w:w="2652" w:type="pct"/>
            <w:tcBorders>
              <w:top w:val="single" w:color="000000" w:sz="4" w:space="0"/>
              <w:left w:val="single" w:color="000000" w:sz="4" w:space="0"/>
              <w:bottom w:val="single" w:color="000000" w:sz="4" w:space="0"/>
              <w:right w:val="single" w:color="000000" w:sz="4" w:space="0"/>
            </w:tcBorders>
            <w:vAlign w:val="center"/>
          </w:tcPr>
          <w:p w14:paraId="54F7647F">
            <w:pPr>
              <w:spacing w:line="240" w:lineRule="exact"/>
              <w:ind w:firstLine="476"/>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spacing w:val="-2"/>
                <w:kern w:val="0"/>
                <w:szCs w:val="21"/>
                <w14:textFill>
                  <w14:solidFill>
                    <w14:schemeClr w14:val="tx1"/>
                  </w14:solidFill>
                </w14:textFill>
              </w:rPr>
              <w:t>Carex</w:t>
            </w:r>
            <w:r>
              <w:rPr>
                <w:rFonts w:ascii="宋体" w:hAnsi="宋体"/>
                <w:i/>
                <w:iCs/>
                <w:color w:val="000000" w:themeColor="text1"/>
                <w:spacing w:val="-5"/>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physodes</w:t>
            </w:r>
          </w:p>
        </w:tc>
        <w:tc>
          <w:tcPr>
            <w:tcW w:w="1010" w:type="pct"/>
            <w:tcBorders>
              <w:top w:val="single" w:color="000000" w:sz="4" w:space="0"/>
              <w:left w:val="single" w:color="000000" w:sz="4" w:space="0"/>
              <w:bottom w:val="single" w:color="000000" w:sz="4" w:space="0"/>
              <w:right w:val="nil"/>
            </w:tcBorders>
            <w:vAlign w:val="center"/>
          </w:tcPr>
          <w:p w14:paraId="31D72FE8">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r w14:paraId="4ECD5A07">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1DE5FF06">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九、柽柳科</w:t>
            </w:r>
          </w:p>
        </w:tc>
        <w:tc>
          <w:tcPr>
            <w:tcW w:w="2652" w:type="pct"/>
            <w:tcBorders>
              <w:top w:val="single" w:color="000000" w:sz="4" w:space="0"/>
              <w:left w:val="single" w:color="000000" w:sz="4" w:space="0"/>
              <w:bottom w:val="single" w:color="000000" w:sz="4" w:space="0"/>
              <w:right w:val="single" w:color="000000" w:sz="4" w:space="0"/>
            </w:tcBorders>
            <w:vAlign w:val="center"/>
          </w:tcPr>
          <w:p w14:paraId="1B753910">
            <w:pPr>
              <w:spacing w:line="240" w:lineRule="exact"/>
              <w:ind w:firstLine="476"/>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spacing w:val="-2"/>
                <w:kern w:val="0"/>
                <w:szCs w:val="21"/>
                <w14:textFill>
                  <w14:solidFill>
                    <w14:schemeClr w14:val="tx1"/>
                  </w14:solidFill>
                </w14:textFill>
              </w:rPr>
              <w:t>Tamaricacene</w:t>
            </w:r>
          </w:p>
        </w:tc>
        <w:tc>
          <w:tcPr>
            <w:tcW w:w="1010" w:type="pct"/>
            <w:tcBorders>
              <w:top w:val="single" w:color="000000" w:sz="4" w:space="0"/>
              <w:left w:val="single" w:color="000000" w:sz="4" w:space="0"/>
              <w:bottom w:val="single" w:color="000000" w:sz="4" w:space="0"/>
              <w:right w:val="nil"/>
            </w:tcBorders>
            <w:vAlign w:val="center"/>
          </w:tcPr>
          <w:p w14:paraId="7B1AD0E8">
            <w:pPr>
              <w:spacing w:line="240" w:lineRule="exact"/>
              <w:ind w:firstLine="480"/>
              <w:jc w:val="center"/>
              <w:rPr>
                <w:rFonts w:hint="eastAsia" w:ascii="宋体" w:hAnsi="宋体"/>
                <w:color w:val="000000" w:themeColor="text1"/>
                <w:kern w:val="0"/>
                <w:szCs w:val="21"/>
                <w14:textFill>
                  <w14:solidFill>
                    <w14:schemeClr w14:val="tx1"/>
                  </w14:solidFill>
                </w14:textFill>
              </w:rPr>
            </w:pPr>
          </w:p>
        </w:tc>
      </w:tr>
      <w:tr w14:paraId="6E3EBD70">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4" w:space="0"/>
              <w:right w:val="single" w:color="000000" w:sz="4" w:space="0"/>
            </w:tcBorders>
            <w:vAlign w:val="center"/>
          </w:tcPr>
          <w:p w14:paraId="3703A139">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琵琶柴</w:t>
            </w:r>
          </w:p>
        </w:tc>
        <w:tc>
          <w:tcPr>
            <w:tcW w:w="2652" w:type="pct"/>
            <w:tcBorders>
              <w:top w:val="single" w:color="000000" w:sz="4" w:space="0"/>
              <w:left w:val="single" w:color="000000" w:sz="4" w:space="0"/>
              <w:bottom w:val="single" w:color="000000" w:sz="4" w:space="0"/>
              <w:right w:val="single" w:color="000000" w:sz="4" w:space="0"/>
            </w:tcBorders>
            <w:vAlign w:val="center"/>
          </w:tcPr>
          <w:p w14:paraId="214CEA04">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Reaumuria</w:t>
            </w:r>
            <w:r>
              <w:rPr>
                <w:rFonts w:ascii="宋体" w:hAnsi="宋体"/>
                <w:i/>
                <w:iCs/>
                <w:color w:val="000000" w:themeColor="text1"/>
                <w:spacing w:val="-8"/>
                <w:kern w:val="0"/>
                <w:szCs w:val="21"/>
                <w14:textFill>
                  <w14:solidFill>
                    <w14:schemeClr w14:val="tx1"/>
                  </w14:solidFill>
                </w14:textFill>
              </w:rPr>
              <w:t xml:space="preserve"> </w:t>
            </w:r>
            <w:r>
              <w:rPr>
                <w:rFonts w:ascii="宋体" w:hAnsi="宋体"/>
                <w:i/>
                <w:iCs/>
                <w:color w:val="000000" w:themeColor="text1"/>
                <w:spacing w:val="-2"/>
                <w:kern w:val="0"/>
                <w:szCs w:val="21"/>
                <w14:textFill>
                  <w14:solidFill>
                    <w14:schemeClr w14:val="tx1"/>
                  </w14:solidFill>
                </w14:textFill>
              </w:rPr>
              <w:t>soongorica</w:t>
            </w:r>
          </w:p>
        </w:tc>
        <w:tc>
          <w:tcPr>
            <w:tcW w:w="1010" w:type="pct"/>
            <w:tcBorders>
              <w:top w:val="single" w:color="000000" w:sz="4" w:space="0"/>
              <w:left w:val="single" w:color="000000" w:sz="4" w:space="0"/>
              <w:bottom w:val="single" w:color="000000" w:sz="4" w:space="0"/>
              <w:right w:val="nil"/>
            </w:tcBorders>
            <w:vAlign w:val="center"/>
          </w:tcPr>
          <w:p w14:paraId="1EBA5AEB">
            <w:pPr>
              <w:spacing w:line="240" w:lineRule="exact"/>
              <w:ind w:firstLine="470"/>
              <w:jc w:val="center"/>
              <w:rPr>
                <w:rFonts w:hint="eastAsia" w:ascii="宋体" w:hAnsi="宋体"/>
                <w:color w:val="000000" w:themeColor="text1"/>
                <w:spacing w:val="-5"/>
                <w:kern w:val="0"/>
                <w:szCs w:val="21"/>
                <w14:textFill>
                  <w14:solidFill>
                    <w14:schemeClr w14:val="tx1"/>
                  </w14:solidFill>
                </w14:textFill>
              </w:rPr>
            </w:pPr>
            <w:r>
              <w:rPr>
                <w:rFonts w:ascii="宋体" w:hAnsi="宋体"/>
                <w:color w:val="000000" w:themeColor="text1"/>
                <w:spacing w:val="-5"/>
                <w:kern w:val="0"/>
                <w:szCs w:val="21"/>
                <w14:textFill>
                  <w14:solidFill>
                    <w14:schemeClr w14:val="tx1"/>
                  </w14:solidFill>
                </w14:textFill>
              </w:rPr>
              <w:t>++</w:t>
            </w:r>
          </w:p>
        </w:tc>
      </w:tr>
      <w:tr w14:paraId="63C4EA21">
        <w:tblPrEx>
          <w:tblCellMar>
            <w:top w:w="0" w:type="dxa"/>
            <w:left w:w="0" w:type="dxa"/>
            <w:bottom w:w="0" w:type="dxa"/>
            <w:right w:w="0" w:type="dxa"/>
          </w:tblCellMar>
        </w:tblPrEx>
        <w:trPr>
          <w:trHeight w:val="340" w:hRule="atLeast"/>
        </w:trPr>
        <w:tc>
          <w:tcPr>
            <w:tcW w:w="1338" w:type="pct"/>
            <w:tcBorders>
              <w:top w:val="single" w:color="000000" w:sz="4" w:space="0"/>
              <w:left w:val="nil"/>
              <w:bottom w:val="single" w:color="000000" w:sz="12" w:space="0"/>
              <w:right w:val="single" w:color="000000" w:sz="4" w:space="0"/>
            </w:tcBorders>
            <w:vAlign w:val="center"/>
          </w:tcPr>
          <w:p w14:paraId="77F66A3E">
            <w:pPr>
              <w:spacing w:line="240" w:lineRule="exact"/>
              <w:ind w:firstLine="480"/>
              <w:jc w:val="center"/>
              <w:rPr>
                <w:rFonts w:hint="eastAsia"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多枝柽柳</w:t>
            </w:r>
          </w:p>
        </w:tc>
        <w:tc>
          <w:tcPr>
            <w:tcW w:w="2652" w:type="pct"/>
            <w:tcBorders>
              <w:top w:val="single" w:color="000000" w:sz="4" w:space="0"/>
              <w:left w:val="single" w:color="000000" w:sz="4" w:space="0"/>
              <w:bottom w:val="single" w:color="000000" w:sz="12" w:space="0"/>
              <w:right w:val="single" w:color="000000" w:sz="4" w:space="0"/>
            </w:tcBorders>
            <w:vAlign w:val="center"/>
          </w:tcPr>
          <w:p w14:paraId="4356D6C4">
            <w:pPr>
              <w:spacing w:line="240" w:lineRule="exact"/>
              <w:ind w:firstLine="480"/>
              <w:jc w:val="center"/>
              <w:rPr>
                <w:rFonts w:hint="eastAsia" w:ascii="宋体" w:hAnsi="宋体"/>
                <w:i/>
                <w:iCs/>
                <w:color w:val="000000" w:themeColor="text1"/>
                <w:spacing w:val="-2"/>
                <w:kern w:val="0"/>
                <w:szCs w:val="21"/>
                <w14:textFill>
                  <w14:solidFill>
                    <w14:schemeClr w14:val="tx1"/>
                  </w14:solidFill>
                </w14:textFill>
              </w:rPr>
            </w:pPr>
            <w:r>
              <w:rPr>
                <w:rFonts w:ascii="宋体" w:hAnsi="宋体"/>
                <w:i/>
                <w:iCs/>
                <w:color w:val="000000" w:themeColor="text1"/>
                <w:kern w:val="0"/>
                <w:szCs w:val="21"/>
                <w14:textFill>
                  <w14:solidFill>
                    <w14:schemeClr w14:val="tx1"/>
                  </w14:solidFill>
                </w14:textFill>
              </w:rPr>
              <w:t xml:space="preserve">Tamarix </w:t>
            </w:r>
            <w:r>
              <w:rPr>
                <w:rFonts w:ascii="宋体" w:hAnsi="宋体"/>
                <w:i/>
                <w:iCs/>
                <w:color w:val="000000" w:themeColor="text1"/>
                <w:spacing w:val="-2"/>
                <w:kern w:val="0"/>
                <w:szCs w:val="21"/>
                <w14:textFill>
                  <w14:solidFill>
                    <w14:schemeClr w14:val="tx1"/>
                  </w14:solidFill>
                </w14:textFill>
              </w:rPr>
              <w:t>ramosissima</w:t>
            </w:r>
          </w:p>
        </w:tc>
        <w:tc>
          <w:tcPr>
            <w:tcW w:w="1010" w:type="pct"/>
            <w:tcBorders>
              <w:top w:val="single" w:color="000000" w:sz="4" w:space="0"/>
              <w:left w:val="single" w:color="000000" w:sz="4" w:space="0"/>
              <w:bottom w:val="single" w:color="000000" w:sz="12" w:space="0"/>
              <w:right w:val="nil"/>
            </w:tcBorders>
            <w:vAlign w:val="center"/>
          </w:tcPr>
          <w:p w14:paraId="7579FBFC">
            <w:pPr>
              <w:spacing w:line="240" w:lineRule="exact"/>
              <w:ind w:firstLine="473"/>
              <w:jc w:val="center"/>
              <w:rPr>
                <w:rFonts w:hint="eastAsia" w:ascii="宋体" w:hAnsi="宋体"/>
                <w:color w:val="000000" w:themeColor="text1"/>
                <w:w w:val="99"/>
                <w:kern w:val="0"/>
                <w:szCs w:val="21"/>
                <w14:textFill>
                  <w14:solidFill>
                    <w14:schemeClr w14:val="tx1"/>
                  </w14:solidFill>
                </w14:textFill>
              </w:rPr>
            </w:pPr>
            <w:r>
              <w:rPr>
                <w:rFonts w:ascii="宋体" w:hAnsi="宋体"/>
                <w:color w:val="000000" w:themeColor="text1"/>
                <w:w w:val="99"/>
                <w:kern w:val="0"/>
                <w:szCs w:val="21"/>
                <w14:textFill>
                  <w14:solidFill>
                    <w14:schemeClr w14:val="tx1"/>
                  </w14:solidFill>
                </w14:textFill>
              </w:rPr>
              <w:t>+</w:t>
            </w:r>
          </w:p>
        </w:tc>
      </w:tr>
    </w:tbl>
    <w:p w14:paraId="1456F04C">
      <w:pPr>
        <w:spacing w:line="300" w:lineRule="atLeast"/>
        <w:ind w:firstLine="402"/>
        <w:jc w:val="left"/>
        <w:rPr>
          <w:rFonts w:hint="eastAsia" w:ascii="宋体" w:hAnsi="宋体"/>
          <w:b/>
          <w:color w:val="000000" w:themeColor="text1"/>
          <w:kern w:val="0"/>
          <w:sz w:val="20"/>
          <w:szCs w:val="21"/>
          <w14:textFill>
            <w14:solidFill>
              <w14:schemeClr w14:val="tx1"/>
            </w14:solidFill>
          </w14:textFill>
        </w:rPr>
      </w:pPr>
      <w:r>
        <w:rPr>
          <w:rFonts w:ascii="宋体" w:hAnsi="宋体"/>
          <w:b/>
          <w:color w:val="000000" w:themeColor="text1"/>
          <w:kern w:val="0"/>
          <w:sz w:val="20"/>
          <w:szCs w:val="21"/>
          <w14:textFill>
            <w14:solidFill>
              <w14:schemeClr w14:val="tx1"/>
            </w14:solidFill>
          </w14:textFill>
        </w:rPr>
        <w:t>注：++多见，+少见，-偶见。</w:t>
      </w:r>
    </w:p>
    <w:bookmarkEnd w:id="399"/>
    <w:p w14:paraId="664D5432">
      <w:pPr>
        <w:pStyle w:val="120"/>
        <w:rPr>
          <w:rFonts w:hint="eastAsia"/>
          <w:color w:val="000000" w:themeColor="text1"/>
          <w14:textFill>
            <w14:solidFill>
              <w14:schemeClr w14:val="tx1"/>
            </w14:solidFill>
          </w14:textFill>
        </w:rPr>
      </w:pPr>
      <w:bookmarkStart w:id="400" w:name="_Hlk175252014"/>
      <w:r>
        <w:rPr>
          <w:rFonts w:hint="eastAsia"/>
          <w:color w:val="000000" w:themeColor="text1"/>
          <w14:textFill>
            <w14:solidFill>
              <w14:schemeClr w14:val="tx1"/>
            </w14:solidFill>
          </w14:textFill>
        </w:rPr>
        <w:t>（4）</w:t>
      </w:r>
      <w:r>
        <w:rPr>
          <w:color w:val="000000" w:themeColor="text1"/>
          <w14:textFill>
            <w14:solidFill>
              <w14:schemeClr w14:val="tx1"/>
            </w14:solidFill>
          </w14:textFill>
        </w:rPr>
        <w:t>动物资源</w:t>
      </w:r>
    </w:p>
    <w:p w14:paraId="3FA3F20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eastAsia"/>
          <w:color w:val="000000" w:themeColor="text1"/>
          <w:kern w:val="0"/>
          <w14:textFill>
            <w14:solidFill>
              <w14:schemeClr w14:val="tx1"/>
            </w14:solidFill>
          </w14:textFill>
        </w:rPr>
        <w:t>野生</w:t>
      </w:r>
      <w:r>
        <w:rPr>
          <w:rFonts w:hint="eastAsia"/>
          <w:color w:val="000000" w:themeColor="text1"/>
          <w14:textFill>
            <w14:solidFill>
              <w14:schemeClr w14:val="tx1"/>
            </w14:solidFill>
          </w14:textFill>
        </w:rPr>
        <w:t>动物种类调查</w:t>
      </w:r>
    </w:p>
    <w:p w14:paraId="0F88FE0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区动物区系类型属古北界、中亚亚界、蒙新区、西部荒漠亚区、准噶尔盆地小区。主要分布有适于荒漠及荒漠草原和人工绿洲生活的动物。爬行动物的蜥脚类种数较多，如快步麻蜥、变色沙蜥等。鸟类中麻雀、斑鸠等较为常见。哺乳类大沙鼠、小家鼠等啮齿动物在该区分布很广，数量较大。</w:t>
      </w:r>
    </w:p>
    <w:p w14:paraId="1585A28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由于项目区所在准噶尔盆地边缘严酷的气候条件，野生动物分布种类少，</w:t>
      </w:r>
      <w:r>
        <w:rPr>
          <w:rFonts w:hint="eastAsia" w:ascii="宋体" w:hAnsi="宋体"/>
          <w:color w:val="000000" w:themeColor="text1"/>
          <w:kern w:val="0"/>
          <w:sz w:val="24"/>
          <w:szCs w:val="24"/>
          <w14:textFill>
            <w14:solidFill>
              <w14:schemeClr w14:val="tx1"/>
            </w14:solidFill>
          </w14:textFill>
        </w:rPr>
        <w:t>栖息生境极为单一</w:t>
      </w:r>
      <w:r>
        <w:rPr>
          <w:rFonts w:hint="eastAsia"/>
          <w:color w:val="000000" w:themeColor="text1"/>
          <w14:textFill>
            <w14:solidFill>
              <w14:schemeClr w14:val="tx1"/>
            </w14:solidFill>
          </w14:textFill>
        </w:rPr>
        <w:t>。根据</w:t>
      </w:r>
      <w:r>
        <w:rPr>
          <w:rFonts w:hint="eastAsia"/>
          <w:color w:val="000000" w:themeColor="text1"/>
          <w:kern w:val="0"/>
          <w14:textFill>
            <w14:solidFill>
              <w14:schemeClr w14:val="tx1"/>
            </w14:solidFill>
          </w14:textFill>
        </w:rPr>
        <w:t>《国家重点保护野生动物名录（2021年版）》《新疆国家重点保护野生动物名录》（2021年07月28日发布）、《新疆维吾尔自治区重点保护野生动物名录》及调查分析可知</w:t>
      </w:r>
      <w:r>
        <w:rPr>
          <w:rFonts w:hint="eastAsia"/>
          <w:color w:val="000000" w:themeColor="text1"/>
          <w14:textFill>
            <w14:solidFill>
              <w14:schemeClr w14:val="tx1"/>
            </w14:solidFill>
          </w14:textFill>
        </w:rPr>
        <w:t>，项目区及周围区域内有国家二级保护动物鹅喉羚、</w:t>
      </w:r>
      <w:r>
        <w:rPr>
          <w:rFonts w:hint="eastAsia"/>
          <w:color w:val="000000" w:themeColor="text1"/>
          <w:kern w:val="0"/>
          <w14:textFill>
            <w14:solidFill>
              <w14:schemeClr w14:val="tx1"/>
            </w14:solidFill>
          </w14:textFill>
        </w:rPr>
        <w:t>雀鹰、红隼</w:t>
      </w:r>
      <w:r>
        <w:rPr>
          <w:rFonts w:hint="eastAsia"/>
          <w:color w:val="000000" w:themeColor="text1"/>
          <w14:textFill>
            <w14:solidFill>
              <w14:schemeClr w14:val="tx1"/>
            </w14:solidFill>
          </w14:textFill>
        </w:rPr>
        <w:t>活动。</w:t>
      </w:r>
      <w:r>
        <w:rPr>
          <w:color w:val="000000" w:themeColor="text1"/>
          <w14:textFill>
            <w14:solidFill>
              <w14:schemeClr w14:val="tx1"/>
            </w14:solidFill>
          </w14:textFill>
        </w:rPr>
        <w:t>野生动物种类</w:t>
      </w:r>
      <w:r>
        <w:rPr>
          <w:rFonts w:hint="eastAsia"/>
          <w:color w:val="000000" w:themeColor="text1"/>
          <w14:textFill>
            <w14:solidFill>
              <w14:schemeClr w14:val="tx1"/>
            </w14:solidFill>
          </w14:textFill>
        </w:rPr>
        <w:t>见表4.3-</w:t>
      </w:r>
      <w:r>
        <w:rPr>
          <w:rFonts w:hint="eastAsia"/>
          <w:color w:val="000000" w:themeColor="text1"/>
          <w:lang w:val="en-US"/>
          <w14:textFill>
            <w14:solidFill>
              <w14:schemeClr w14:val="tx1"/>
            </w14:solidFill>
          </w14:textFill>
        </w:rPr>
        <w:t>18</w:t>
      </w:r>
      <w:r>
        <w:rPr>
          <w:rFonts w:hint="eastAsia"/>
          <w:color w:val="000000" w:themeColor="text1"/>
          <w14:textFill>
            <w14:solidFill>
              <w14:schemeClr w14:val="tx1"/>
            </w14:solidFill>
          </w14:textFill>
        </w:rPr>
        <w:t>。</w:t>
      </w:r>
    </w:p>
    <w:p w14:paraId="42B86B3C">
      <w:pPr>
        <w:pStyle w:val="112"/>
        <w:rPr>
          <w:rFonts w:hint="eastAsia"/>
          <w:color w:val="000000" w:themeColor="text1"/>
          <w14:textFill>
            <w14:solidFill>
              <w14:schemeClr w14:val="tx1"/>
            </w14:solidFill>
          </w14:textFill>
        </w:rPr>
      </w:pPr>
      <w:bookmarkStart w:id="401" w:name="_Ref139480590"/>
      <w:r>
        <w:rPr>
          <w:color w:val="000000" w:themeColor="text1"/>
          <w14:textFill>
            <w14:solidFill>
              <w14:schemeClr w14:val="tx1"/>
            </w14:solidFill>
          </w14:textFill>
        </w:rPr>
        <w:t>表</w:t>
      </w:r>
      <w:bookmarkEnd w:id="401"/>
      <w:r>
        <w:rPr>
          <w:rFonts w:hint="eastAsia"/>
          <w:color w:val="000000" w:themeColor="text1"/>
          <w14:textFill>
            <w14:solidFill>
              <w14:schemeClr w14:val="tx1"/>
            </w14:solidFill>
          </w14:textFill>
        </w:rPr>
        <w:t>4.3-18</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评价区</w:t>
      </w:r>
      <w:r>
        <w:rPr>
          <w:color w:val="000000" w:themeColor="text1"/>
          <w14:textFill>
            <w14:solidFill>
              <w14:schemeClr w14:val="tx1"/>
            </w14:solidFill>
          </w14:textFill>
        </w:rPr>
        <w:t>及周围主要脊椎动物的种类</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786"/>
        <w:gridCol w:w="3625"/>
        <w:gridCol w:w="1720"/>
        <w:gridCol w:w="854"/>
      </w:tblGrid>
      <w:tr w14:paraId="00C61F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0" w:type="pct"/>
            <w:gridSpan w:val="2"/>
            <w:vMerge w:val="restart"/>
            <w:vAlign w:val="center"/>
          </w:tcPr>
          <w:p w14:paraId="37F6A90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中文名</w:t>
            </w:r>
          </w:p>
        </w:tc>
        <w:tc>
          <w:tcPr>
            <w:tcW w:w="2076" w:type="pct"/>
            <w:vMerge w:val="restart"/>
            <w:vAlign w:val="center"/>
          </w:tcPr>
          <w:p w14:paraId="0CBE346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学名</w:t>
            </w:r>
          </w:p>
        </w:tc>
        <w:tc>
          <w:tcPr>
            <w:tcW w:w="1473" w:type="pct"/>
            <w:gridSpan w:val="2"/>
            <w:vAlign w:val="center"/>
          </w:tcPr>
          <w:p w14:paraId="77EE01C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分布</w:t>
            </w:r>
          </w:p>
        </w:tc>
      </w:tr>
      <w:tr w14:paraId="2943C1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0" w:type="pct"/>
            <w:gridSpan w:val="2"/>
            <w:vMerge w:val="continue"/>
            <w:vAlign w:val="center"/>
          </w:tcPr>
          <w:p w14:paraId="4BC1E1C4">
            <w:pPr>
              <w:pStyle w:val="280"/>
              <w:rPr>
                <w:rFonts w:hint="eastAsia"/>
                <w:color w:val="000000" w:themeColor="text1"/>
                <w14:textFill>
                  <w14:solidFill>
                    <w14:schemeClr w14:val="tx1"/>
                  </w14:solidFill>
                </w14:textFill>
              </w:rPr>
            </w:pPr>
          </w:p>
        </w:tc>
        <w:tc>
          <w:tcPr>
            <w:tcW w:w="2076" w:type="pct"/>
            <w:vMerge w:val="continue"/>
            <w:vAlign w:val="center"/>
          </w:tcPr>
          <w:p w14:paraId="67FEECAD">
            <w:pPr>
              <w:pStyle w:val="280"/>
              <w:rPr>
                <w:rFonts w:hint="eastAsia"/>
                <w:color w:val="000000" w:themeColor="text1"/>
                <w14:textFill>
                  <w14:solidFill>
                    <w14:schemeClr w14:val="tx1"/>
                  </w14:solidFill>
                </w14:textFill>
              </w:rPr>
            </w:pPr>
          </w:p>
        </w:tc>
        <w:tc>
          <w:tcPr>
            <w:tcW w:w="985" w:type="pct"/>
            <w:vAlign w:val="center"/>
          </w:tcPr>
          <w:p w14:paraId="39CA91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草地及林地</w:t>
            </w:r>
          </w:p>
        </w:tc>
        <w:tc>
          <w:tcPr>
            <w:tcW w:w="487" w:type="pct"/>
            <w:vAlign w:val="center"/>
          </w:tcPr>
          <w:p w14:paraId="2B34F26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农田</w:t>
            </w:r>
          </w:p>
        </w:tc>
      </w:tr>
      <w:tr w14:paraId="2D8540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5F30046A">
            <w:pPr>
              <w:pStyle w:val="280"/>
              <w:rPr>
                <w:color w:val="000000" w:themeColor="text1"/>
                <w14:textFill>
                  <w14:solidFill>
                    <w14:schemeClr w14:val="tx1"/>
                  </w14:solidFill>
                </w14:textFill>
              </w:rPr>
            </w:pPr>
            <w:r>
              <w:rPr>
                <w:rFonts w:hint="eastAsia" w:ascii="宋体" w:hAnsi="宋体" w:eastAsia="宋体" w:cs="Times New Roman"/>
                <w:color w:val="000000" w:themeColor="text1"/>
                <w14:textFill>
                  <w14:solidFill>
                    <w14:schemeClr w14:val="tx1"/>
                  </w14:solidFill>
                </w14:textFill>
              </w:rPr>
              <w:t>爬行类</w:t>
            </w:r>
          </w:p>
        </w:tc>
      </w:tr>
      <w:tr w14:paraId="729E7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276C609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w:t>
            </w:r>
          </w:p>
        </w:tc>
        <w:tc>
          <w:tcPr>
            <w:tcW w:w="1023" w:type="pct"/>
            <w:vAlign w:val="center"/>
          </w:tcPr>
          <w:p w14:paraId="03C1DD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变色沙蜥</w:t>
            </w:r>
          </w:p>
        </w:tc>
        <w:tc>
          <w:tcPr>
            <w:tcW w:w="2076" w:type="pct"/>
            <w:vAlign w:val="center"/>
          </w:tcPr>
          <w:p w14:paraId="3F5528B3">
            <w:pPr>
              <w:pStyle w:val="280"/>
              <w:rPr>
                <w:rFonts w:hint="eastAsia"/>
                <w:color w:val="000000" w:themeColor="text1"/>
                <w:w w:val="95"/>
                <w14:textFill>
                  <w14:solidFill>
                    <w14:schemeClr w14:val="tx1"/>
                  </w14:solidFill>
                </w14:textFill>
              </w:rPr>
            </w:pPr>
            <w:r>
              <w:rPr>
                <w:color w:val="000000" w:themeColor="text1"/>
                <w:w w:val="95"/>
                <w14:textFill>
                  <w14:solidFill>
                    <w14:schemeClr w14:val="tx1"/>
                  </w14:solidFill>
                </w14:textFill>
              </w:rPr>
              <w:t>Phrynocephalus</w:t>
            </w:r>
            <w:r>
              <w:rPr>
                <w:color w:val="000000" w:themeColor="text1"/>
                <w:spacing w:val="54"/>
                <w14:textFill>
                  <w14:solidFill>
                    <w14:schemeClr w14:val="tx1"/>
                  </w14:solidFill>
                </w14:textFill>
              </w:rPr>
              <w:t xml:space="preserve"> </w:t>
            </w:r>
            <w:r>
              <w:rPr>
                <w:color w:val="000000" w:themeColor="text1"/>
                <w:spacing w:val="-2"/>
                <w14:textFill>
                  <w14:solidFill>
                    <w14:schemeClr w14:val="tx1"/>
                  </w14:solidFill>
                </w14:textFill>
              </w:rPr>
              <w:t>Versicolor</w:t>
            </w:r>
          </w:p>
        </w:tc>
        <w:tc>
          <w:tcPr>
            <w:tcW w:w="985" w:type="pct"/>
            <w:vAlign w:val="center"/>
          </w:tcPr>
          <w:p w14:paraId="4107298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c>
          <w:tcPr>
            <w:tcW w:w="487" w:type="pct"/>
            <w:vAlign w:val="center"/>
          </w:tcPr>
          <w:p w14:paraId="4AD1EDD9">
            <w:pPr>
              <w:pStyle w:val="280"/>
              <w:rPr>
                <w:rFonts w:hint="eastAsia"/>
                <w:color w:val="000000" w:themeColor="text1"/>
                <w14:textFill>
                  <w14:solidFill>
                    <w14:schemeClr w14:val="tx1"/>
                  </w14:solidFill>
                </w14:textFill>
              </w:rPr>
            </w:pPr>
          </w:p>
        </w:tc>
      </w:tr>
      <w:tr w14:paraId="53347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4595655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w:t>
            </w:r>
          </w:p>
        </w:tc>
        <w:tc>
          <w:tcPr>
            <w:tcW w:w="1023" w:type="pct"/>
            <w:vAlign w:val="center"/>
          </w:tcPr>
          <w:p w14:paraId="0F5CC1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快步麻蜥</w:t>
            </w:r>
          </w:p>
        </w:tc>
        <w:tc>
          <w:tcPr>
            <w:tcW w:w="2076" w:type="pct"/>
            <w:vAlign w:val="center"/>
          </w:tcPr>
          <w:p w14:paraId="7470578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Eryx</w:t>
            </w:r>
            <w:r>
              <w:rPr>
                <w:color w:val="000000" w:themeColor="text1"/>
                <w:spacing w:val="-4"/>
                <w14:textFill>
                  <w14:solidFill>
                    <w14:schemeClr w14:val="tx1"/>
                  </w14:solidFill>
                </w14:textFill>
              </w:rPr>
              <w:t xml:space="preserve"> </w:t>
            </w:r>
            <w:r>
              <w:rPr>
                <w:color w:val="000000" w:themeColor="text1"/>
                <w14:textFill>
                  <w14:solidFill>
                    <w14:schemeClr w14:val="tx1"/>
                  </w14:solidFill>
                </w14:textFill>
              </w:rPr>
              <w:t>tataricus</w:t>
            </w:r>
          </w:p>
        </w:tc>
        <w:tc>
          <w:tcPr>
            <w:tcW w:w="985" w:type="pct"/>
            <w:vAlign w:val="center"/>
          </w:tcPr>
          <w:p w14:paraId="14DAA47F">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22E55682">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r>
      <w:tr w14:paraId="67734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2018061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3</w:t>
            </w:r>
          </w:p>
        </w:tc>
        <w:tc>
          <w:tcPr>
            <w:tcW w:w="1023" w:type="pct"/>
            <w:vAlign w:val="center"/>
          </w:tcPr>
          <w:p w14:paraId="54AE44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黄脊游蛇</w:t>
            </w:r>
          </w:p>
        </w:tc>
        <w:tc>
          <w:tcPr>
            <w:tcW w:w="2076" w:type="pct"/>
            <w:vAlign w:val="center"/>
          </w:tcPr>
          <w:p w14:paraId="3C7FDED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Coluber</w:t>
            </w:r>
            <w:r>
              <w:rPr>
                <w:color w:val="000000" w:themeColor="text1"/>
                <w:spacing w:val="-8"/>
                <w14:textFill>
                  <w14:solidFill>
                    <w14:schemeClr w14:val="tx1"/>
                  </w14:solidFill>
                </w14:textFill>
              </w:rPr>
              <w:t xml:space="preserve"> </w:t>
            </w:r>
            <w:r>
              <w:rPr>
                <w:color w:val="000000" w:themeColor="text1"/>
                <w14:textFill>
                  <w14:solidFill>
                    <w14:schemeClr w14:val="tx1"/>
                  </w14:solidFill>
                </w14:textFill>
              </w:rPr>
              <w:t>spinalis</w:t>
            </w:r>
          </w:p>
        </w:tc>
        <w:tc>
          <w:tcPr>
            <w:tcW w:w="985" w:type="pct"/>
            <w:vAlign w:val="center"/>
          </w:tcPr>
          <w:p w14:paraId="109400C0">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18ED6CCA">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r>
      <w:tr w14:paraId="58D7E8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4D65E39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鸟类</w:t>
            </w:r>
          </w:p>
        </w:tc>
      </w:tr>
      <w:tr w14:paraId="248A1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6DEEF5C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4</w:t>
            </w:r>
          </w:p>
        </w:tc>
        <w:tc>
          <w:tcPr>
            <w:tcW w:w="1023" w:type="pct"/>
            <w:vAlign w:val="center"/>
          </w:tcPr>
          <w:p w14:paraId="035865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家燕</w:t>
            </w:r>
          </w:p>
        </w:tc>
        <w:tc>
          <w:tcPr>
            <w:tcW w:w="2076" w:type="pct"/>
            <w:vAlign w:val="center"/>
          </w:tcPr>
          <w:p w14:paraId="7130654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Hirundo</w:t>
            </w:r>
            <w:r>
              <w:rPr>
                <w:color w:val="000000" w:themeColor="text1"/>
                <w:spacing w:val="-7"/>
                <w14:textFill>
                  <w14:solidFill>
                    <w14:schemeClr w14:val="tx1"/>
                  </w14:solidFill>
                </w14:textFill>
              </w:rPr>
              <w:t xml:space="preserve"> </w:t>
            </w:r>
            <w:r>
              <w:rPr>
                <w:color w:val="000000" w:themeColor="text1"/>
                <w14:textFill>
                  <w14:solidFill>
                    <w14:schemeClr w14:val="tx1"/>
                  </w14:solidFill>
                </w14:textFill>
              </w:rPr>
              <w:t>rustica</w:t>
            </w:r>
          </w:p>
        </w:tc>
        <w:tc>
          <w:tcPr>
            <w:tcW w:w="985" w:type="pct"/>
            <w:vAlign w:val="center"/>
          </w:tcPr>
          <w:p w14:paraId="68A9E3ED">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5899EF9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61112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61CD2E6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5</w:t>
            </w:r>
          </w:p>
        </w:tc>
        <w:tc>
          <w:tcPr>
            <w:tcW w:w="1023" w:type="pct"/>
            <w:vAlign w:val="center"/>
          </w:tcPr>
          <w:p w14:paraId="17796C7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麻雀</w:t>
            </w:r>
          </w:p>
        </w:tc>
        <w:tc>
          <w:tcPr>
            <w:tcW w:w="2076" w:type="pct"/>
            <w:vAlign w:val="center"/>
          </w:tcPr>
          <w:p w14:paraId="2843360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Passer</w:t>
            </w:r>
            <w:r>
              <w:rPr>
                <w:color w:val="000000" w:themeColor="text1"/>
                <w:spacing w:val="-6"/>
                <w14:textFill>
                  <w14:solidFill>
                    <w14:schemeClr w14:val="tx1"/>
                  </w14:solidFill>
                </w14:textFill>
              </w:rPr>
              <w:t xml:space="preserve"> </w:t>
            </w:r>
            <w:r>
              <w:rPr>
                <w:color w:val="000000" w:themeColor="text1"/>
                <w14:textFill>
                  <w14:solidFill>
                    <w14:schemeClr w14:val="tx1"/>
                  </w14:solidFill>
                </w14:textFill>
              </w:rPr>
              <w:t>domesticus</w:t>
            </w:r>
          </w:p>
        </w:tc>
        <w:tc>
          <w:tcPr>
            <w:tcW w:w="985" w:type="pct"/>
            <w:vAlign w:val="center"/>
          </w:tcPr>
          <w:p w14:paraId="357B61E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c>
          <w:tcPr>
            <w:tcW w:w="487" w:type="pct"/>
            <w:vAlign w:val="center"/>
          </w:tcPr>
          <w:p w14:paraId="59670AA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031992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6B13BF6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6</w:t>
            </w:r>
          </w:p>
        </w:tc>
        <w:tc>
          <w:tcPr>
            <w:tcW w:w="1023" w:type="pct"/>
            <w:vAlign w:val="center"/>
          </w:tcPr>
          <w:p w14:paraId="6FA2271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斑鸠</w:t>
            </w:r>
          </w:p>
        </w:tc>
        <w:tc>
          <w:tcPr>
            <w:tcW w:w="2076" w:type="pct"/>
            <w:vAlign w:val="center"/>
          </w:tcPr>
          <w:p w14:paraId="3AC3379C">
            <w:pPr>
              <w:pStyle w:val="280"/>
              <w:rPr>
                <w:rFonts w:hint="eastAsia"/>
                <w:color w:val="000000" w:themeColor="text1"/>
                <w:spacing w:val="-2"/>
                <w14:textFill>
                  <w14:solidFill>
                    <w14:schemeClr w14:val="tx1"/>
                  </w14:solidFill>
                </w14:textFill>
              </w:rPr>
            </w:pPr>
            <w:r>
              <w:rPr>
                <w:color w:val="000000" w:themeColor="text1"/>
                <w14:textFill>
                  <w14:solidFill>
                    <w14:schemeClr w14:val="tx1"/>
                  </w14:solidFill>
                </w14:textFill>
              </w:rPr>
              <w:t>Streptopelia</w:t>
            </w:r>
            <w:r>
              <w:rPr>
                <w:color w:val="000000" w:themeColor="text1"/>
                <w:spacing w:val="-10"/>
                <w14:textFill>
                  <w14:solidFill>
                    <w14:schemeClr w14:val="tx1"/>
                  </w14:solidFill>
                </w14:textFill>
              </w:rPr>
              <w:t xml:space="preserve"> </w:t>
            </w:r>
            <w:r>
              <w:rPr>
                <w:color w:val="000000" w:themeColor="text1"/>
                <w:spacing w:val="-2"/>
                <w14:textFill>
                  <w14:solidFill>
                    <w14:schemeClr w14:val="tx1"/>
                  </w14:solidFill>
                </w14:textFill>
              </w:rPr>
              <w:t>decaocta</w:t>
            </w:r>
          </w:p>
        </w:tc>
        <w:tc>
          <w:tcPr>
            <w:tcW w:w="985" w:type="pct"/>
            <w:vAlign w:val="center"/>
          </w:tcPr>
          <w:p w14:paraId="6E393ECD">
            <w:pPr>
              <w:pStyle w:val="280"/>
              <w:rPr>
                <w:rFonts w:hint="eastAsia"/>
                <w:color w:val="000000" w:themeColor="text1"/>
                <w14:textFill>
                  <w14:solidFill>
                    <w14:schemeClr w14:val="tx1"/>
                  </w14:solidFill>
                </w14:textFill>
              </w:rPr>
            </w:pPr>
          </w:p>
        </w:tc>
        <w:tc>
          <w:tcPr>
            <w:tcW w:w="487" w:type="pct"/>
            <w:vAlign w:val="center"/>
          </w:tcPr>
          <w:p w14:paraId="252B243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28E66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070F380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7</w:t>
            </w:r>
          </w:p>
        </w:tc>
        <w:tc>
          <w:tcPr>
            <w:tcW w:w="1023" w:type="pct"/>
            <w:vAlign w:val="center"/>
          </w:tcPr>
          <w:p w14:paraId="6DE5D9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乌鸦</w:t>
            </w:r>
          </w:p>
        </w:tc>
        <w:tc>
          <w:tcPr>
            <w:tcW w:w="2076" w:type="pct"/>
            <w:vAlign w:val="center"/>
          </w:tcPr>
          <w:p w14:paraId="25C9D315">
            <w:pPr>
              <w:pStyle w:val="280"/>
              <w:rPr>
                <w:rFonts w:hint="eastAsia"/>
                <w:color w:val="000000" w:themeColor="text1"/>
                <w:spacing w:val="-4"/>
                <w14:textFill>
                  <w14:solidFill>
                    <w14:schemeClr w14:val="tx1"/>
                  </w14:solidFill>
                </w14:textFill>
              </w:rPr>
            </w:pPr>
            <w:r>
              <w:rPr>
                <w:color w:val="000000" w:themeColor="text1"/>
                <w14:textFill>
                  <w14:solidFill>
                    <w14:schemeClr w14:val="tx1"/>
                  </w14:solidFill>
                </w14:textFill>
              </w:rPr>
              <w:t>Corvus</w:t>
            </w:r>
            <w:r>
              <w:rPr>
                <w:color w:val="000000" w:themeColor="text1"/>
                <w:spacing w:val="-6"/>
                <w14:textFill>
                  <w14:solidFill>
                    <w14:schemeClr w14:val="tx1"/>
                  </w14:solidFill>
                </w14:textFill>
              </w:rPr>
              <w:t xml:space="preserve"> </w:t>
            </w:r>
            <w:r>
              <w:rPr>
                <w:color w:val="000000" w:themeColor="text1"/>
                <w:spacing w:val="-4"/>
                <w14:textFill>
                  <w14:solidFill>
                    <w14:schemeClr w14:val="tx1"/>
                  </w14:solidFill>
                </w14:textFill>
              </w:rPr>
              <w:t>Spp.</w:t>
            </w:r>
          </w:p>
        </w:tc>
        <w:tc>
          <w:tcPr>
            <w:tcW w:w="985" w:type="pct"/>
            <w:vAlign w:val="center"/>
          </w:tcPr>
          <w:p w14:paraId="4AB3904A">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65B3418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39CA0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2A687FE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8</w:t>
            </w:r>
          </w:p>
        </w:tc>
        <w:tc>
          <w:tcPr>
            <w:tcW w:w="1023" w:type="pct"/>
            <w:vAlign w:val="center"/>
          </w:tcPr>
          <w:p w14:paraId="0600797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黑尾地鸦</w:t>
            </w:r>
          </w:p>
        </w:tc>
        <w:tc>
          <w:tcPr>
            <w:tcW w:w="2076" w:type="pct"/>
            <w:vAlign w:val="center"/>
          </w:tcPr>
          <w:p w14:paraId="5B3FD5C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Podoces</w:t>
            </w:r>
            <w:r>
              <w:rPr>
                <w:color w:val="000000" w:themeColor="text1"/>
                <w:spacing w:val="-8"/>
                <w14:textFill>
                  <w14:solidFill>
                    <w14:schemeClr w14:val="tx1"/>
                  </w14:solidFill>
                </w14:textFill>
              </w:rPr>
              <w:t xml:space="preserve"> </w:t>
            </w:r>
            <w:r>
              <w:rPr>
                <w:color w:val="000000" w:themeColor="text1"/>
                <w14:textFill>
                  <w14:solidFill>
                    <w14:schemeClr w14:val="tx1"/>
                  </w14:solidFill>
                </w14:textFill>
              </w:rPr>
              <w:t>hendersoni</w:t>
            </w:r>
          </w:p>
        </w:tc>
        <w:tc>
          <w:tcPr>
            <w:tcW w:w="985" w:type="pct"/>
            <w:vAlign w:val="center"/>
          </w:tcPr>
          <w:p w14:paraId="3AF99C3F">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14EBEC04">
            <w:pPr>
              <w:pStyle w:val="280"/>
              <w:rPr>
                <w:rFonts w:hint="eastAsia"/>
                <w:color w:val="000000" w:themeColor="text1"/>
                <w14:textFill>
                  <w14:solidFill>
                    <w14:schemeClr w14:val="tx1"/>
                  </w14:solidFill>
                </w14:textFill>
              </w:rPr>
            </w:pPr>
          </w:p>
        </w:tc>
      </w:tr>
      <w:tr w14:paraId="4F53B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7A1DF0B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9</w:t>
            </w:r>
          </w:p>
        </w:tc>
        <w:tc>
          <w:tcPr>
            <w:tcW w:w="1023" w:type="pct"/>
            <w:vAlign w:val="center"/>
          </w:tcPr>
          <w:p w14:paraId="549A18B8">
            <w:pPr>
              <w:kinsoku w:val="0"/>
              <w:overflowPunct w:val="0"/>
              <w:jc w:val="center"/>
              <w:rPr>
                <w:color w:val="000000" w:themeColor="text1"/>
                <w14:textFill>
                  <w14:solidFill>
                    <w14:schemeClr w14:val="tx1"/>
                  </w14:solidFill>
                </w14:textFill>
              </w:rPr>
            </w:pPr>
            <w:r>
              <w:rPr>
                <w:rFonts w:hint="eastAsia" w:cs="宋体"/>
                <w:color w:val="000000" w:themeColor="text1"/>
                <w:lang w:val="zh-CN" w:bidi="ar"/>
                <w14:textFill>
                  <w14:solidFill>
                    <w14:schemeClr w14:val="tx1"/>
                  </w14:solidFill>
                </w14:textFill>
              </w:rPr>
              <w:t>雀鹰</w:t>
            </w:r>
          </w:p>
        </w:tc>
        <w:tc>
          <w:tcPr>
            <w:tcW w:w="2076" w:type="pct"/>
            <w:vAlign w:val="center"/>
          </w:tcPr>
          <w:p w14:paraId="12A0D297">
            <w:pPr>
              <w:kinsoku w:val="0"/>
              <w:overflowPunct w:val="0"/>
              <w:jc w:val="center"/>
              <w:rPr>
                <w:color w:val="000000" w:themeColor="text1"/>
                <w14:textFill>
                  <w14:solidFill>
                    <w14:schemeClr w14:val="tx1"/>
                  </w14:solidFill>
                </w14:textFill>
              </w:rPr>
            </w:pPr>
            <w:r>
              <w:rPr>
                <w:rFonts w:hint="eastAsia" w:ascii="宋体" w:hAnsi="宋体"/>
                <w:i/>
                <w:iCs/>
                <w:color w:val="000000" w:themeColor="text1"/>
                <w:szCs w:val="21"/>
                <w14:textFill>
                  <w14:solidFill>
                    <w14:schemeClr w14:val="tx1"/>
                  </w14:solidFill>
                </w14:textFill>
              </w:rPr>
              <w:t>Accipiter  nisus</w:t>
            </w:r>
          </w:p>
        </w:tc>
        <w:tc>
          <w:tcPr>
            <w:tcW w:w="985" w:type="pct"/>
            <w:vAlign w:val="center"/>
          </w:tcPr>
          <w:p w14:paraId="5CA48A5A">
            <w:pPr>
              <w:kinsoku w:val="0"/>
              <w:overflowPunct w:val="0"/>
              <w:jc w:val="center"/>
              <w:rPr>
                <w:color w:val="000000" w:themeColor="text1"/>
                <w:w w:val="99"/>
                <w14:textFill>
                  <w14:solidFill>
                    <w14:schemeClr w14:val="tx1"/>
                  </w14:solidFill>
                </w14:textFill>
              </w:rPr>
            </w:pPr>
            <w:r>
              <w:rPr>
                <w:rFonts w:hint="eastAsia" w:ascii="宋体" w:hAnsi="宋体"/>
                <w:color w:val="000000" w:themeColor="text1"/>
                <w:szCs w:val="21"/>
                <w14:textFill>
                  <w14:solidFill>
                    <w14:schemeClr w14:val="tx1"/>
                  </w14:solidFill>
                </w14:textFill>
              </w:rPr>
              <w:t>B</w:t>
            </w:r>
          </w:p>
        </w:tc>
        <w:tc>
          <w:tcPr>
            <w:tcW w:w="487" w:type="pct"/>
            <w:vAlign w:val="center"/>
          </w:tcPr>
          <w:p w14:paraId="44E7CE89">
            <w:pPr>
              <w:kinsoku w:val="0"/>
              <w:overflowPunct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3C8B4C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79240FF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10</w:t>
            </w:r>
          </w:p>
        </w:tc>
        <w:tc>
          <w:tcPr>
            <w:tcW w:w="1023" w:type="pct"/>
            <w:vAlign w:val="center"/>
          </w:tcPr>
          <w:p w14:paraId="74359C5D">
            <w:pPr>
              <w:kinsoku w:val="0"/>
              <w:overflowPunct w:val="0"/>
              <w:jc w:val="center"/>
              <w:rPr>
                <w:color w:val="000000" w:themeColor="text1"/>
                <w14:textFill>
                  <w14:solidFill>
                    <w14:schemeClr w14:val="tx1"/>
                  </w14:solidFill>
                </w14:textFill>
              </w:rPr>
            </w:pPr>
            <w:r>
              <w:rPr>
                <w:rFonts w:hint="eastAsia" w:cs="宋体"/>
                <w:color w:val="000000" w:themeColor="text1"/>
                <w:lang w:bidi="ar"/>
                <w14:textFill>
                  <w14:solidFill>
                    <w14:schemeClr w14:val="tx1"/>
                  </w14:solidFill>
                </w14:textFill>
              </w:rPr>
              <w:t>红隼</w:t>
            </w:r>
          </w:p>
        </w:tc>
        <w:tc>
          <w:tcPr>
            <w:tcW w:w="2076" w:type="pct"/>
            <w:vAlign w:val="center"/>
          </w:tcPr>
          <w:p w14:paraId="26B362D2">
            <w:pPr>
              <w:kinsoku w:val="0"/>
              <w:overflowPunct w:val="0"/>
              <w:jc w:val="center"/>
              <w:rPr>
                <w:color w:val="000000" w:themeColor="text1"/>
                <w14:textFill>
                  <w14:solidFill>
                    <w14:schemeClr w14:val="tx1"/>
                  </w14:solidFill>
                </w14:textFill>
              </w:rPr>
            </w:pPr>
            <w:r>
              <w:rPr>
                <w:rFonts w:hint="eastAsia" w:ascii="宋体" w:hAnsi="宋体"/>
                <w:i/>
                <w:iCs/>
                <w:color w:val="000000" w:themeColor="text1"/>
                <w:szCs w:val="21"/>
                <w14:textFill>
                  <w14:solidFill>
                    <w14:schemeClr w14:val="tx1"/>
                  </w14:solidFill>
                </w14:textFill>
              </w:rPr>
              <w:t>Falco tinnunculus</w:t>
            </w:r>
          </w:p>
        </w:tc>
        <w:tc>
          <w:tcPr>
            <w:tcW w:w="985" w:type="pct"/>
            <w:vAlign w:val="center"/>
          </w:tcPr>
          <w:p w14:paraId="289D3C09">
            <w:pPr>
              <w:kinsoku w:val="0"/>
              <w:overflowPunct w:val="0"/>
              <w:jc w:val="center"/>
              <w:rPr>
                <w:color w:val="000000" w:themeColor="text1"/>
                <w:w w:val="99"/>
                <w14:textFill>
                  <w14:solidFill>
                    <w14:schemeClr w14:val="tx1"/>
                  </w14:solidFill>
                </w14:textFill>
              </w:rPr>
            </w:pPr>
            <w:r>
              <w:rPr>
                <w:rFonts w:hint="eastAsia" w:ascii="宋体" w:hAnsi="宋体"/>
                <w:color w:val="000000" w:themeColor="text1"/>
                <w:szCs w:val="21"/>
                <w14:textFill>
                  <w14:solidFill>
                    <w14:schemeClr w14:val="tx1"/>
                  </w14:solidFill>
                </w14:textFill>
              </w:rPr>
              <w:t>B</w:t>
            </w:r>
          </w:p>
        </w:tc>
        <w:tc>
          <w:tcPr>
            <w:tcW w:w="487" w:type="pct"/>
            <w:vAlign w:val="center"/>
          </w:tcPr>
          <w:p w14:paraId="279C2924">
            <w:pPr>
              <w:kinsoku w:val="0"/>
              <w:overflowPunct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533790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15B1708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哺乳类</w:t>
            </w:r>
          </w:p>
        </w:tc>
      </w:tr>
      <w:tr w14:paraId="09B23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15A544C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11</w:t>
            </w:r>
          </w:p>
        </w:tc>
        <w:tc>
          <w:tcPr>
            <w:tcW w:w="1023" w:type="pct"/>
            <w:vAlign w:val="center"/>
          </w:tcPr>
          <w:p w14:paraId="004C979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小五趾跳鼠</w:t>
            </w:r>
          </w:p>
        </w:tc>
        <w:tc>
          <w:tcPr>
            <w:tcW w:w="2076" w:type="pct"/>
            <w:vAlign w:val="center"/>
          </w:tcPr>
          <w:p w14:paraId="155FEA53">
            <w:pPr>
              <w:pStyle w:val="280"/>
              <w:rPr>
                <w:rFonts w:hint="eastAsia"/>
                <w:color w:val="000000" w:themeColor="text1"/>
                <w:spacing w:val="-2"/>
                <w14:textFill>
                  <w14:solidFill>
                    <w14:schemeClr w14:val="tx1"/>
                  </w14:solidFill>
                </w14:textFill>
              </w:rPr>
            </w:pPr>
            <w:r>
              <w:rPr>
                <w:color w:val="000000" w:themeColor="text1"/>
                <w14:textFill>
                  <w14:solidFill>
                    <w14:schemeClr w14:val="tx1"/>
                  </w14:solidFill>
                </w14:textFill>
              </w:rPr>
              <w:t>Allactage</w:t>
            </w:r>
            <w:r>
              <w:rPr>
                <w:color w:val="000000" w:themeColor="text1"/>
                <w:spacing w:val="-9"/>
                <w14:textFill>
                  <w14:solidFill>
                    <w14:schemeClr w14:val="tx1"/>
                  </w14:solidFill>
                </w14:textFill>
              </w:rPr>
              <w:t xml:space="preserve"> </w:t>
            </w:r>
            <w:r>
              <w:rPr>
                <w:color w:val="000000" w:themeColor="text1"/>
                <w:spacing w:val="-2"/>
                <w14:textFill>
                  <w14:solidFill>
                    <w14:schemeClr w14:val="tx1"/>
                  </w14:solidFill>
                </w14:textFill>
              </w:rPr>
              <w:t>elater</w:t>
            </w:r>
          </w:p>
        </w:tc>
        <w:tc>
          <w:tcPr>
            <w:tcW w:w="985" w:type="pct"/>
            <w:vAlign w:val="center"/>
          </w:tcPr>
          <w:p w14:paraId="1BAD38AA">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5F6390AD">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r>
      <w:tr w14:paraId="25973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149DDBC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12</w:t>
            </w:r>
          </w:p>
        </w:tc>
        <w:tc>
          <w:tcPr>
            <w:tcW w:w="1023" w:type="pct"/>
            <w:vAlign w:val="center"/>
          </w:tcPr>
          <w:p w14:paraId="07042B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小家鼠</w:t>
            </w:r>
          </w:p>
        </w:tc>
        <w:tc>
          <w:tcPr>
            <w:tcW w:w="2076" w:type="pct"/>
            <w:vAlign w:val="center"/>
          </w:tcPr>
          <w:p w14:paraId="45FACE5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Mus musculus</w:t>
            </w:r>
          </w:p>
        </w:tc>
        <w:tc>
          <w:tcPr>
            <w:tcW w:w="985" w:type="pct"/>
            <w:vAlign w:val="center"/>
          </w:tcPr>
          <w:p w14:paraId="41CAFF5A">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23B3036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6C352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361A380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13</w:t>
            </w:r>
          </w:p>
        </w:tc>
        <w:tc>
          <w:tcPr>
            <w:tcW w:w="1023" w:type="pct"/>
            <w:vAlign w:val="center"/>
          </w:tcPr>
          <w:p w14:paraId="26E37E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毛脚跳鼠</w:t>
            </w:r>
          </w:p>
        </w:tc>
        <w:tc>
          <w:tcPr>
            <w:tcW w:w="2076" w:type="pct"/>
            <w:vAlign w:val="center"/>
          </w:tcPr>
          <w:p w14:paraId="0067334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Dipus</w:t>
            </w:r>
            <w:r>
              <w:rPr>
                <w:color w:val="000000" w:themeColor="text1"/>
                <w:spacing w:val="-5"/>
                <w14:textFill>
                  <w14:solidFill>
                    <w14:schemeClr w14:val="tx1"/>
                  </w14:solidFill>
                </w14:textFill>
              </w:rPr>
              <w:t xml:space="preserve"> </w:t>
            </w:r>
            <w:r>
              <w:rPr>
                <w:color w:val="000000" w:themeColor="text1"/>
                <w14:textFill>
                  <w14:solidFill>
                    <w14:schemeClr w14:val="tx1"/>
                  </w14:solidFill>
                </w14:textFill>
              </w:rPr>
              <w:t>sagitta</w:t>
            </w:r>
          </w:p>
        </w:tc>
        <w:tc>
          <w:tcPr>
            <w:tcW w:w="985" w:type="pct"/>
            <w:vAlign w:val="center"/>
          </w:tcPr>
          <w:p w14:paraId="1226147D">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59ECCB03">
            <w:pPr>
              <w:pStyle w:val="280"/>
              <w:rPr>
                <w:rFonts w:hint="eastAsia"/>
                <w:color w:val="000000" w:themeColor="text1"/>
                <w:w w:val="99"/>
                <w14:textFill>
                  <w14:solidFill>
                    <w14:schemeClr w14:val="tx1"/>
                  </w14:solidFill>
                </w14:textFill>
              </w:rPr>
            </w:pPr>
            <w:r>
              <w:rPr>
                <w:rFonts w:hint="eastAsia"/>
                <w:color w:val="000000" w:themeColor="text1"/>
                <w:w w:val="99"/>
                <w14:textFill>
                  <w14:solidFill>
                    <w14:schemeClr w14:val="tx1"/>
                  </w14:solidFill>
                </w14:textFill>
              </w:rPr>
              <w:t>-</w:t>
            </w:r>
          </w:p>
        </w:tc>
      </w:tr>
      <w:tr w14:paraId="7EAAE6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4DD3F81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1023" w:type="pct"/>
            <w:vAlign w:val="center"/>
          </w:tcPr>
          <w:p w14:paraId="57E27B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大沙鼠</w:t>
            </w:r>
          </w:p>
        </w:tc>
        <w:tc>
          <w:tcPr>
            <w:tcW w:w="2076" w:type="pct"/>
            <w:vAlign w:val="center"/>
          </w:tcPr>
          <w:p w14:paraId="26B54132">
            <w:pPr>
              <w:pStyle w:val="280"/>
              <w:rPr>
                <w:rFonts w:hint="eastAsia"/>
                <w:color w:val="000000" w:themeColor="text1"/>
                <w:spacing w:val="-2"/>
                <w14:textFill>
                  <w14:solidFill>
                    <w14:schemeClr w14:val="tx1"/>
                  </w14:solidFill>
                </w14:textFill>
              </w:rPr>
            </w:pPr>
            <w:r>
              <w:rPr>
                <w:color w:val="000000" w:themeColor="text1"/>
                <w14:textFill>
                  <w14:solidFill>
                    <w14:schemeClr w14:val="tx1"/>
                  </w14:solidFill>
                </w14:textFill>
              </w:rPr>
              <w:t>Rhombomys</w:t>
            </w:r>
            <w:r>
              <w:rPr>
                <w:color w:val="000000" w:themeColor="text1"/>
                <w:spacing w:val="-8"/>
                <w14:textFill>
                  <w14:solidFill>
                    <w14:schemeClr w14:val="tx1"/>
                  </w14:solidFill>
                </w14:textFill>
              </w:rPr>
              <w:t xml:space="preserve"> </w:t>
            </w:r>
            <w:r>
              <w:rPr>
                <w:color w:val="000000" w:themeColor="text1"/>
                <w:spacing w:val="-2"/>
                <w14:textFill>
                  <w14:solidFill>
                    <w14:schemeClr w14:val="tx1"/>
                  </w14:solidFill>
                </w14:textFill>
              </w:rPr>
              <w:t>opimus</w:t>
            </w:r>
          </w:p>
        </w:tc>
        <w:tc>
          <w:tcPr>
            <w:tcW w:w="985" w:type="pct"/>
            <w:vAlign w:val="center"/>
          </w:tcPr>
          <w:p w14:paraId="1292D217">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2592754E">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r>
      <w:tr w14:paraId="1F022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7D5DCE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1023" w:type="pct"/>
            <w:vAlign w:val="center"/>
          </w:tcPr>
          <w:p w14:paraId="12B9B1B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子午沙鼠</w:t>
            </w:r>
          </w:p>
        </w:tc>
        <w:tc>
          <w:tcPr>
            <w:tcW w:w="2076" w:type="pct"/>
            <w:vAlign w:val="center"/>
          </w:tcPr>
          <w:p w14:paraId="78E3785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Meriones</w:t>
            </w:r>
            <w:r>
              <w:rPr>
                <w:color w:val="000000" w:themeColor="text1"/>
                <w:spacing w:val="-9"/>
                <w14:textFill>
                  <w14:solidFill>
                    <w14:schemeClr w14:val="tx1"/>
                  </w14:solidFill>
                </w14:textFill>
              </w:rPr>
              <w:t xml:space="preserve"> </w:t>
            </w:r>
            <w:r>
              <w:rPr>
                <w:color w:val="000000" w:themeColor="text1"/>
                <w14:textFill>
                  <w14:solidFill>
                    <w14:schemeClr w14:val="tx1"/>
                  </w14:solidFill>
                </w14:textFill>
              </w:rPr>
              <w:t>meridianus</w:t>
            </w:r>
          </w:p>
        </w:tc>
        <w:tc>
          <w:tcPr>
            <w:tcW w:w="985" w:type="pct"/>
            <w:vAlign w:val="center"/>
          </w:tcPr>
          <w:p w14:paraId="498CB105">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356FD9C5">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r>
      <w:tr w14:paraId="11C3C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vAlign w:val="center"/>
          </w:tcPr>
          <w:p w14:paraId="300389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1023" w:type="pct"/>
            <w:vAlign w:val="center"/>
          </w:tcPr>
          <w:p w14:paraId="12C21A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鹅喉羚</w:t>
            </w:r>
          </w:p>
        </w:tc>
        <w:tc>
          <w:tcPr>
            <w:tcW w:w="2076" w:type="pct"/>
            <w:vAlign w:val="center"/>
          </w:tcPr>
          <w:p w14:paraId="3B6C8263">
            <w:pPr>
              <w:pStyle w:val="280"/>
              <w:rPr>
                <w:rFonts w:hint="eastAsia"/>
                <w:iCs/>
                <w:color w:val="000000" w:themeColor="text1"/>
                <w14:textFill>
                  <w14:solidFill>
                    <w14:schemeClr w14:val="tx1"/>
                  </w14:solidFill>
                </w14:textFill>
              </w:rPr>
            </w:pPr>
            <w:r>
              <w:rPr>
                <w:rFonts w:hint="eastAsia"/>
                <w:color w:val="000000" w:themeColor="text1"/>
                <w14:textFill>
                  <w14:solidFill>
                    <w14:schemeClr w14:val="tx1"/>
                  </w14:solidFill>
                </w14:textFill>
              </w:rPr>
              <w:t>Gozella subgutturosa</w:t>
            </w:r>
          </w:p>
        </w:tc>
        <w:tc>
          <w:tcPr>
            <w:tcW w:w="985" w:type="pct"/>
            <w:vAlign w:val="center"/>
          </w:tcPr>
          <w:p w14:paraId="4CD2EAA1">
            <w:pPr>
              <w:pStyle w:val="280"/>
              <w:rPr>
                <w:rFonts w:hint="eastAsia"/>
                <w:color w:val="000000" w:themeColor="text1"/>
                <w:w w:val="99"/>
                <w14:textFill>
                  <w14:solidFill>
                    <w14:schemeClr w14:val="tx1"/>
                  </w14:solidFill>
                </w14:textFill>
              </w:rPr>
            </w:pPr>
            <w:r>
              <w:rPr>
                <w:color w:val="000000" w:themeColor="text1"/>
                <w:w w:val="99"/>
                <w14:textFill>
                  <w14:solidFill>
                    <w14:schemeClr w14:val="tx1"/>
                  </w14:solidFill>
                </w14:textFill>
              </w:rPr>
              <w:t>+</w:t>
            </w:r>
          </w:p>
        </w:tc>
        <w:tc>
          <w:tcPr>
            <w:tcW w:w="487" w:type="pct"/>
            <w:vAlign w:val="center"/>
          </w:tcPr>
          <w:p w14:paraId="527FF416">
            <w:pPr>
              <w:pStyle w:val="280"/>
              <w:rPr>
                <w:rFonts w:hint="eastAsia"/>
                <w:color w:val="000000" w:themeColor="text1"/>
                <w:w w:val="99"/>
                <w14:textFill>
                  <w14:solidFill>
                    <w14:schemeClr w14:val="tx1"/>
                  </w14:solidFill>
                </w14:textFill>
              </w:rPr>
            </w:pPr>
            <w:r>
              <w:rPr>
                <w:rFonts w:hint="eastAsia"/>
                <w:color w:val="000000" w:themeColor="text1"/>
                <w:w w:val="99"/>
                <w14:textFill>
                  <w14:solidFill>
                    <w14:schemeClr w14:val="tx1"/>
                  </w14:solidFill>
                </w14:textFill>
              </w:rPr>
              <w:t>-</w:t>
            </w:r>
          </w:p>
        </w:tc>
      </w:tr>
    </w:tbl>
    <w:p w14:paraId="1E062EDB">
      <w:pPr>
        <w:spacing w:line="300" w:lineRule="atLeast"/>
        <w:ind w:firstLine="402"/>
        <w:rPr>
          <w:rFonts w:hint="eastAsia" w:ascii="宋体" w:hAnsi="宋体"/>
          <w:b/>
          <w:color w:val="000000" w:themeColor="text1"/>
          <w:kern w:val="0"/>
          <w:sz w:val="20"/>
          <w:szCs w:val="21"/>
          <w14:textFill>
            <w14:solidFill>
              <w14:schemeClr w14:val="tx1"/>
            </w14:solidFill>
          </w14:textFill>
        </w:rPr>
      </w:pPr>
      <w:r>
        <w:rPr>
          <w:rFonts w:hint="eastAsia" w:ascii="宋体" w:hAnsi="宋体"/>
          <w:b/>
          <w:color w:val="000000" w:themeColor="text1"/>
          <w:kern w:val="0"/>
          <w:sz w:val="20"/>
          <w:szCs w:val="21"/>
          <w14:textFill>
            <w14:solidFill>
              <w14:schemeClr w14:val="tx1"/>
            </w14:solidFill>
          </w14:textFill>
        </w:rPr>
        <w:t>注：</w:t>
      </w:r>
      <w:r>
        <w:rPr>
          <w:rFonts w:ascii="宋体" w:hAnsi="宋体"/>
          <w:b/>
          <w:color w:val="000000" w:themeColor="text1"/>
          <w:kern w:val="0"/>
          <w:sz w:val="20"/>
          <w:szCs w:val="21"/>
          <w14:textFill>
            <w14:solidFill>
              <w14:schemeClr w14:val="tx1"/>
            </w14:solidFill>
          </w14:textFill>
        </w:rPr>
        <w:t>“</w:t>
      </w:r>
      <w:r>
        <w:rPr>
          <w:rFonts w:hint="eastAsia" w:ascii="宋体" w:hAnsi="宋体"/>
          <w:b/>
          <w:color w:val="000000" w:themeColor="text1"/>
          <w:kern w:val="0"/>
          <w:sz w:val="20"/>
          <w:szCs w:val="21"/>
          <w14:textFill>
            <w14:solidFill>
              <w14:schemeClr w14:val="tx1"/>
            </w14:solidFill>
          </w14:textFill>
        </w:rPr>
        <w:t>＋</w:t>
      </w:r>
      <w:r>
        <w:rPr>
          <w:rFonts w:ascii="宋体" w:hAnsi="宋体"/>
          <w:b/>
          <w:color w:val="000000" w:themeColor="text1"/>
          <w:kern w:val="0"/>
          <w:sz w:val="20"/>
          <w:szCs w:val="21"/>
          <w14:textFill>
            <w14:solidFill>
              <w14:schemeClr w14:val="tx1"/>
            </w14:solidFill>
          </w14:textFill>
        </w:rPr>
        <w:t>”</w:t>
      </w:r>
      <w:r>
        <w:rPr>
          <w:rFonts w:hint="eastAsia" w:ascii="宋体" w:hAnsi="宋体"/>
          <w:b/>
          <w:color w:val="000000" w:themeColor="text1"/>
          <w:kern w:val="0"/>
          <w:sz w:val="20"/>
          <w:szCs w:val="21"/>
          <w14:textFill>
            <w14:solidFill>
              <w14:schemeClr w14:val="tx1"/>
            </w14:solidFill>
          </w14:textFill>
        </w:rPr>
        <w:t>常见种；</w:t>
      </w:r>
      <w:r>
        <w:rPr>
          <w:rFonts w:ascii="宋体" w:hAnsi="宋体"/>
          <w:b/>
          <w:color w:val="000000" w:themeColor="text1"/>
          <w:kern w:val="0"/>
          <w:sz w:val="20"/>
          <w:szCs w:val="21"/>
          <w14:textFill>
            <w14:solidFill>
              <w14:schemeClr w14:val="tx1"/>
            </w14:solidFill>
          </w14:textFill>
        </w:rPr>
        <w:t>“</w:t>
      </w:r>
      <w:r>
        <w:rPr>
          <w:rFonts w:hint="eastAsia" w:ascii="宋体" w:hAnsi="宋体"/>
          <w:b/>
          <w:color w:val="000000" w:themeColor="text1"/>
          <w:kern w:val="0"/>
          <w:sz w:val="20"/>
          <w:szCs w:val="21"/>
          <w14:textFill>
            <w14:solidFill>
              <w14:schemeClr w14:val="tx1"/>
            </w14:solidFill>
          </w14:textFill>
        </w:rPr>
        <w:t>－</w:t>
      </w:r>
      <w:r>
        <w:rPr>
          <w:rFonts w:ascii="宋体" w:hAnsi="宋体"/>
          <w:b/>
          <w:color w:val="000000" w:themeColor="text1"/>
          <w:kern w:val="0"/>
          <w:sz w:val="20"/>
          <w:szCs w:val="21"/>
          <w14:textFill>
            <w14:solidFill>
              <w14:schemeClr w14:val="tx1"/>
            </w14:solidFill>
          </w14:textFill>
        </w:rPr>
        <w:t>”</w:t>
      </w:r>
      <w:r>
        <w:rPr>
          <w:rFonts w:hint="eastAsia" w:ascii="宋体" w:hAnsi="宋体"/>
          <w:b/>
          <w:color w:val="000000" w:themeColor="text1"/>
          <w:kern w:val="0"/>
          <w:sz w:val="20"/>
          <w:szCs w:val="21"/>
          <w14:textFill>
            <w14:solidFill>
              <w14:schemeClr w14:val="tx1"/>
            </w14:solidFill>
          </w14:textFill>
        </w:rPr>
        <w:t>偶见种。</w:t>
      </w:r>
    </w:p>
    <w:bookmarkEnd w:id="391"/>
    <w:bookmarkEnd w:id="393"/>
    <w:bookmarkEnd w:id="396"/>
    <w:bookmarkEnd w:id="397"/>
    <w:bookmarkEnd w:id="400"/>
    <w:p w14:paraId="6E4052EF">
      <w:pPr>
        <w:adjustRightInd w:val="0"/>
        <w:snapToGrid w:val="0"/>
        <w:spacing w:line="50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②野生动物现状评价</w:t>
      </w:r>
    </w:p>
    <w:p w14:paraId="34BA90B0">
      <w:pPr>
        <w:adjustRightInd w:val="0"/>
        <w:snapToGrid w:val="0"/>
        <w:spacing w:line="50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由于油田开发及周围农田的开垦大量人员、机械的进入，周围生态环境中人类活动频率大幅度增加，使得大型脊椎动物早已离开，因此，项目所在区域内野生动物种类和种群数量的减少是多年来开发所导致的必然趋势。</w:t>
      </w:r>
    </w:p>
    <w:p w14:paraId="744D7F22">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目前，油田开发力度和范围将逐步加大以及农田开垦范围的增大，会继续导致该区域野生动物种类和种群数量的减少，同时，由于人群的活动，该区域可能会增加一些特殊的伴人型动物物种，使局部地区动物组成发生一定变化，部分啮齿动物和伴人型</w:t>
      </w:r>
      <w:bookmarkStart w:id="402" w:name="_Hlk86601108"/>
      <w:r>
        <w:rPr>
          <w:rFonts w:hint="eastAsia"/>
          <w:color w:val="000000" w:themeColor="text1"/>
          <w14:textFill>
            <w14:solidFill>
              <w14:schemeClr w14:val="tx1"/>
            </w14:solidFill>
          </w14:textFill>
        </w:rPr>
        <w:t>鸟类如麻雀、田鼠等将成为该区域的优势种动物。</w:t>
      </w:r>
      <w:bookmarkEnd w:id="402"/>
      <w:r>
        <w:rPr>
          <w:rFonts w:hint="eastAsia"/>
          <w:color w:val="000000" w:themeColor="text1"/>
          <w14:textFill>
            <w14:solidFill>
              <w14:schemeClr w14:val="tx1"/>
            </w14:solidFill>
          </w14:textFill>
        </w:rPr>
        <w:t>在现场踏勘过程中，评价范围内未发现《国家重点保护野生动物名录》《新疆国家重点保护野生动物名录》中规定的国家及地方保护动物及其生境，可见野生动物主要是鼠类及鸟类。</w:t>
      </w:r>
    </w:p>
    <w:p w14:paraId="5C133B54">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区域沙化土地现状</w:t>
      </w:r>
    </w:p>
    <w:p w14:paraId="68D7E8A5">
      <w:pPr>
        <w:pStyle w:val="193"/>
        <w:rPr>
          <w:rFonts w:hint="eastAsia"/>
          <w:color w:val="000000" w:themeColor="text1"/>
          <w14:textFill>
            <w14:solidFill>
              <w14:schemeClr w14:val="tx1"/>
            </w14:solidFill>
          </w14:textFill>
        </w:rPr>
      </w:pPr>
      <w:bookmarkStart w:id="403" w:name="_Hlk80874981"/>
      <w:r>
        <w:rPr>
          <w:rFonts w:hint="eastAsia"/>
          <w:color w:val="000000" w:themeColor="text1"/>
          <w14:textFill>
            <w14:solidFill>
              <w14:schemeClr w14:val="tx1"/>
            </w14:solidFill>
          </w14:textFill>
        </w:rPr>
        <w:t>根据《新疆第六次沙化土地监测报告》可知，昌吉回族自治州吉木萨尔县范围沙化土地类型有半固定沙地、固定沙地和非沙化土地三种。项目区为非沙化土地，详见图4.3-9。</w:t>
      </w:r>
    </w:p>
    <w:p w14:paraId="3E04E7B2">
      <w:pPr>
        <w:numPr>
          <w:ilvl w:val="2"/>
          <w:numId w:val="1"/>
        </w:numPr>
        <w:spacing w:before="160" w:after="160" w:line="360" w:lineRule="auto"/>
        <w:jc w:val="left"/>
        <w:outlineLvl w:val="2"/>
        <w:rPr>
          <w:rFonts w:hint="eastAsia" w:ascii="黑体" w:hAnsi="黑体" w:eastAsia="黑体"/>
          <w:color w:val="000000" w:themeColor="text1"/>
          <w:sz w:val="24"/>
          <w:szCs w:val="21"/>
          <w14:textFill>
            <w14:solidFill>
              <w14:schemeClr w14:val="tx1"/>
            </w14:solidFill>
          </w14:textFill>
        </w:rPr>
      </w:pPr>
      <w:bookmarkStart w:id="404" w:name="_Hlk175252035"/>
      <w:r>
        <w:rPr>
          <w:rFonts w:hint="eastAsia" w:ascii="黑体" w:hAnsi="黑体" w:eastAsia="黑体"/>
          <w:color w:val="000000" w:themeColor="text1"/>
          <w:sz w:val="24"/>
          <w:szCs w:val="21"/>
          <w14:textFill>
            <w14:solidFill>
              <w14:schemeClr w14:val="tx1"/>
            </w14:solidFill>
          </w14:textFill>
        </w:rPr>
        <w:t>水土流失</w:t>
      </w:r>
    </w:p>
    <w:p w14:paraId="0562F3B9">
      <w:pPr>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根据《新疆维吾尔自治区昌吉回族自治州水土保持规划（2021—2030年）》</w:t>
      </w:r>
      <w:r>
        <w:rPr>
          <w:rFonts w:hint="eastAsia" w:ascii="宋体" w:hAnsi="宋体"/>
          <w:color w:val="000000" w:themeColor="text1"/>
          <w:sz w:val="24"/>
          <w:szCs w:val="24"/>
          <w:lang w:val="en-US" w:eastAsia="zh-CN"/>
          <w14:textFill>
            <w14:solidFill>
              <w14:schemeClr w14:val="tx1"/>
            </w14:solidFill>
          </w14:textFill>
        </w:rPr>
        <w:t>可知，</w:t>
      </w:r>
      <w:r>
        <w:rPr>
          <w:rFonts w:hint="eastAsia" w:ascii="宋体" w:hAnsi="宋体"/>
          <w:color w:val="000000" w:themeColor="text1"/>
          <w:sz w:val="24"/>
          <w:szCs w:val="24"/>
          <w14:textFill>
            <w14:solidFill>
              <w14:schemeClr w14:val="tx1"/>
            </w14:solidFill>
          </w14:textFill>
        </w:rPr>
        <w:t>本项目不涉及自治区级水土流失重点治理区和重点预防区</w:t>
      </w:r>
      <w:bookmarkEnd w:id="404"/>
      <w:r>
        <w:rPr>
          <w:rFonts w:hint="eastAsia" w:ascii="宋体" w:hAnsi="宋体"/>
          <w:color w:val="000000" w:themeColor="text1"/>
          <w:sz w:val="24"/>
          <w:szCs w:val="24"/>
          <w14:textFill>
            <w14:solidFill>
              <w14:schemeClr w14:val="tx1"/>
            </w14:solidFill>
          </w14:textFill>
        </w:rPr>
        <w:t>，见图4.3-10。</w:t>
      </w:r>
    </w:p>
    <w:p w14:paraId="1A90A2F7">
      <w:pPr>
        <w:pStyle w:val="120"/>
        <w:adjustRightInd w:val="0"/>
        <w:snapToGrid w:val="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新疆维吾尔自治区2024年水土保持公报</w:t>
      </w:r>
      <w:r>
        <w:rPr>
          <w:rFonts w:hint="eastAsia"/>
          <w:color w:val="000000" w:themeColor="text1"/>
          <w14:textFill>
            <w14:solidFill>
              <w14:schemeClr w14:val="tx1"/>
            </w14:solidFill>
          </w14:textFill>
        </w:rPr>
        <w:t>》中的水土流失动态监测数据，</w:t>
      </w:r>
      <w:r>
        <w:rPr>
          <w:rFonts w:hint="eastAsia"/>
          <w:color w:val="000000" w:themeColor="text1"/>
          <w:lang w:val="en-US" w:eastAsia="zh-CN"/>
          <w14:textFill>
            <w14:solidFill>
              <w14:schemeClr w14:val="tx1"/>
            </w14:solidFill>
          </w14:textFill>
        </w:rPr>
        <w:t>项目所在区域</w:t>
      </w:r>
      <w:r>
        <w:rPr>
          <w:rFonts w:hint="eastAsia"/>
          <w:color w:val="000000" w:themeColor="text1"/>
          <w14:textFill>
            <w14:solidFill>
              <w14:schemeClr w14:val="tx1"/>
            </w14:solidFill>
          </w14:textFill>
        </w:rPr>
        <w:t>昌吉回族自治州水土流失类型主要是风力侵蚀，其中轻度侵蚀面积</w:t>
      </w:r>
      <w:r>
        <w:rPr>
          <w:rFonts w:hint="eastAsia"/>
          <w:color w:val="000000" w:themeColor="text1"/>
          <w:lang w:val="en-US" w:eastAsia="zh-CN"/>
          <w14:textFill>
            <w14:solidFill>
              <w14:schemeClr w14:val="tx1"/>
            </w14:solidFill>
          </w14:textFill>
        </w:rPr>
        <w:t>24587.2</w:t>
      </w:r>
      <w:r>
        <w:rPr>
          <w:rFonts w:hint="eastAsia"/>
          <w:color w:val="000000" w:themeColor="text1"/>
          <w14:textFill>
            <w14:solidFill>
              <w14:schemeClr w14:val="tx1"/>
            </w14:solidFill>
          </w14:textFill>
        </w:rPr>
        <w:t>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，占昌吉回族自治州</w:t>
      </w:r>
      <w:r>
        <w:rPr>
          <w:rFonts w:hint="eastAsia"/>
          <w:color w:val="000000" w:themeColor="text1"/>
          <w:lang w:val="en-US" w:eastAsia="zh-CN"/>
          <w14:textFill>
            <w14:solidFill>
              <w14:schemeClr w14:val="tx1"/>
            </w14:solidFill>
          </w14:textFill>
        </w:rPr>
        <w:t>风力</w:t>
      </w:r>
      <w:r>
        <w:rPr>
          <w:rFonts w:hint="eastAsia"/>
          <w:color w:val="000000" w:themeColor="text1"/>
          <w14:textFill>
            <w14:solidFill>
              <w14:schemeClr w14:val="tx1"/>
            </w14:solidFill>
          </w14:textFill>
        </w:rPr>
        <w:t>侵蚀面积的</w:t>
      </w:r>
      <w:r>
        <w:rPr>
          <w:rFonts w:hint="eastAsia"/>
          <w:color w:val="000000" w:themeColor="text1"/>
          <w:lang w:val="en-US" w:eastAsia="zh-CN"/>
          <w14:textFill>
            <w14:solidFill>
              <w14:schemeClr w14:val="tx1"/>
            </w14:solidFill>
          </w14:textFill>
        </w:rPr>
        <w:t>59.10</w:t>
      </w:r>
      <w:r>
        <w:rPr>
          <w:rFonts w:hint="eastAsia"/>
          <w:color w:val="000000" w:themeColor="text1"/>
          <w14:textFill>
            <w14:solidFill>
              <w14:schemeClr w14:val="tx1"/>
            </w14:solidFill>
          </w14:textFill>
        </w:rPr>
        <w:t>%，根据2024年自治区土壤侵蚀现状图，本项目位于轻度</w:t>
      </w:r>
      <w:r>
        <w:rPr>
          <w:rFonts w:hint="eastAsia" w:ascii="宋体" w:hAnsi="宋体"/>
          <w:color w:val="000000" w:themeColor="text1"/>
          <w:sz w:val="24"/>
          <w:szCs w:val="24"/>
          <w14:textFill>
            <w14:solidFill>
              <w14:schemeClr w14:val="tx1"/>
            </w14:solidFill>
          </w14:textFill>
        </w:rPr>
        <w:t>风力</w:t>
      </w:r>
      <w:r>
        <w:rPr>
          <w:rFonts w:hint="eastAsia"/>
          <w:color w:val="000000" w:themeColor="text1"/>
          <w14:textFill>
            <w14:solidFill>
              <w14:schemeClr w14:val="tx1"/>
            </w14:solidFill>
          </w14:textFill>
        </w:rPr>
        <w:t>侵蚀范围内。</w:t>
      </w:r>
    </w:p>
    <w:p w14:paraId="719EF8B9">
      <w:pPr>
        <w:pStyle w:val="193"/>
        <w:ind w:firstLine="0" w:firstLineChars="0"/>
        <w:rPr>
          <w:rFonts w:hint="eastAsia"/>
          <w:color w:val="000000" w:themeColor="text1"/>
          <w14:textFill>
            <w14:solidFill>
              <w14:schemeClr w14:val="tx1"/>
            </w14:solidFill>
          </w14:textFill>
        </w:rPr>
      </w:pPr>
    </w:p>
    <w:p w14:paraId="7AB8BB27">
      <w:pPr>
        <w:pStyle w:val="193"/>
        <w:rPr>
          <w:rFonts w:hint="eastAsia"/>
          <w:color w:val="000000" w:themeColor="text1"/>
          <w14:textFill>
            <w14:solidFill>
              <w14:schemeClr w14:val="tx1"/>
            </w14:solidFill>
          </w14:textFill>
        </w:rPr>
        <w:sectPr>
          <w:pgSz w:w="11907" w:h="16840"/>
          <w:pgMar w:top="1418" w:right="1588" w:bottom="1418" w:left="1588" w:header="1021" w:footer="1021" w:gutter="0"/>
          <w:cols w:space="720" w:num="1"/>
          <w:docGrid w:type="linesAndChars" w:linePitch="312" w:charSpace="0"/>
        </w:sectPr>
      </w:pPr>
    </w:p>
    <w:p w14:paraId="1BF0C161">
      <w:pPr>
        <w:pStyle w:val="120"/>
        <w:spacing w:line="240" w:lineRule="auto"/>
        <w:jc w:val="center"/>
        <w:rPr>
          <w:rFonts w:hint="eastAsia"/>
          <w:color w:val="000000" w:themeColor="text1"/>
          <w14:textFill>
            <w14:solidFill>
              <w14:schemeClr w14:val="tx1"/>
            </w14:solidFill>
          </w14:textFill>
        </w:rPr>
      </w:pPr>
      <w:bookmarkStart w:id="405" w:name="_Hlk175259641"/>
      <w:r>
        <w:rPr>
          <w:color w:val="000000" w:themeColor="text1"/>
          <w14:textFill>
            <w14:solidFill>
              <w14:schemeClr w14:val="tx1"/>
            </w14:solidFill>
          </w14:textFill>
        </w:rPr>
        <w:drawing>
          <wp:anchor distT="0" distB="0" distL="114300" distR="114300" simplePos="0" relativeHeight="251680768" behindDoc="0" locked="0" layoutInCell="1" allowOverlap="1">
            <wp:simplePos x="0" y="0"/>
            <wp:positionH relativeFrom="column">
              <wp:posOffset>7040880</wp:posOffset>
            </wp:positionH>
            <wp:positionV relativeFrom="paragraph">
              <wp:posOffset>395605</wp:posOffset>
            </wp:positionV>
            <wp:extent cx="700405" cy="700405"/>
            <wp:effectExtent l="0" t="0" r="4445" b="4445"/>
            <wp:wrapNone/>
            <wp:docPr id="10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700405" cy="700405"/>
                    </a:xfrm>
                    <a:prstGeom prst="rect">
                      <a:avLst/>
                    </a:prstGeom>
                    <a:noFill/>
                    <a:ln>
                      <a:noFill/>
                    </a:ln>
                  </pic:spPr>
                </pic:pic>
              </a:graphicData>
            </a:graphic>
          </wp:anchor>
        </w:drawing>
      </w:r>
      <w:r>
        <w:rPr>
          <w:rFonts w:hint="eastAsia"/>
          <w:color w:val="000000" w:themeColor="text1"/>
          <w14:textFill>
            <w14:solidFill>
              <w14:schemeClr w14:val="tx1"/>
            </w14:solidFill>
          </w14:textFill>
        </w:rPr>
        <w:drawing>
          <wp:inline distT="0" distB="0" distL="114300" distR="114300">
            <wp:extent cx="7239000" cy="5117465"/>
            <wp:effectExtent l="0" t="0" r="0" b="6985"/>
            <wp:docPr id="103" name="图片 103" descr="土壤沙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土壤沙化"/>
                    <pic:cNvPicPr>
                      <a:picLocks noChangeAspect="1"/>
                    </pic:cNvPicPr>
                  </pic:nvPicPr>
                  <pic:blipFill>
                    <a:blip r:embed="rId81"/>
                    <a:stretch>
                      <a:fillRect/>
                    </a:stretch>
                  </pic:blipFill>
                  <pic:spPr>
                    <a:xfrm>
                      <a:off x="0" y="0"/>
                      <a:ext cx="7239000" cy="5117465"/>
                    </a:xfrm>
                    <a:prstGeom prst="rect">
                      <a:avLst/>
                    </a:prstGeom>
                  </pic:spPr>
                </pic:pic>
              </a:graphicData>
            </a:graphic>
          </wp:inline>
        </w:drawing>
      </w:r>
    </w:p>
    <w:p w14:paraId="7E37639A">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图4</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区域沙化现状示意图</w:t>
      </w:r>
    </w:p>
    <w:p w14:paraId="2DF50215">
      <w:pPr>
        <w:spacing w:line="500" w:lineRule="exact"/>
        <w:ind w:firstLine="480" w:firstLineChars="200"/>
        <w:jc w:val="center"/>
        <w:rPr>
          <w:rFonts w:hint="eastAsia" w:ascii="宋体" w:hAnsi="宋体"/>
          <w:color w:val="000000" w:themeColor="text1"/>
          <w:sz w:val="24"/>
          <w:szCs w:val="24"/>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677696" behindDoc="0" locked="0" layoutInCell="1" allowOverlap="1">
                <wp:simplePos x="0" y="0"/>
                <wp:positionH relativeFrom="column">
                  <wp:posOffset>-1270</wp:posOffset>
                </wp:positionH>
                <wp:positionV relativeFrom="paragraph">
                  <wp:posOffset>635</wp:posOffset>
                </wp:positionV>
                <wp:extent cx="8171180" cy="5043170"/>
                <wp:effectExtent l="0" t="0" r="1270" b="5080"/>
                <wp:wrapNone/>
                <wp:docPr id="1218738717" name="组合 46"/>
                <wp:cNvGraphicFramePr/>
                <a:graphic xmlns:a="http://schemas.openxmlformats.org/drawingml/2006/main">
                  <a:graphicData uri="http://schemas.microsoft.com/office/word/2010/wordprocessingGroup">
                    <wpg:wgp>
                      <wpg:cNvGrpSpPr/>
                      <wpg:grpSpPr>
                        <a:xfrm>
                          <a:off x="0" y="0"/>
                          <a:ext cx="8171180" cy="5043170"/>
                          <a:chOff x="3840" y="983320"/>
                          <a:chExt cx="11891" cy="7187"/>
                        </a:xfrm>
                      </wpg:grpSpPr>
                      <pic:pic xmlns:pic="http://schemas.openxmlformats.org/drawingml/2006/picture">
                        <pic:nvPicPr>
                          <pic:cNvPr id="830206668" name="图片 8"/>
                          <pic:cNvPicPr>
                            <a:picLocks noChangeAspect="1" noChangeArrowheads="1"/>
                          </pic:cNvPicPr>
                        </pic:nvPicPr>
                        <pic:blipFill>
                          <a:blip r:embed="rId82">
                            <a:extLst>
                              <a:ext uri="{28A0092B-C50C-407E-A947-70E740481C1C}">
                                <a14:useLocalDpi xmlns:a14="http://schemas.microsoft.com/office/drawing/2010/main" val="0"/>
                              </a:ext>
                            </a:extLst>
                          </a:blip>
                          <a:srcRect r="420" b="691"/>
                          <a:stretch>
                            <a:fillRect/>
                          </a:stretch>
                        </pic:blipFill>
                        <pic:spPr>
                          <a:xfrm>
                            <a:off x="3840" y="983320"/>
                            <a:ext cx="11891" cy="7187"/>
                          </a:xfrm>
                          <a:prstGeom prst="rect">
                            <a:avLst/>
                          </a:prstGeom>
                          <a:noFill/>
                          <a:ln>
                            <a:noFill/>
                          </a:ln>
                          <a:effectLst/>
                        </pic:spPr>
                      </pic:pic>
                      <wps:wsp>
                        <wps:cNvPr id="578917106" name="圆角矩形标注 72"/>
                        <wps:cNvSpPr>
                          <a:spLocks noChangeArrowheads="1"/>
                        </wps:cNvSpPr>
                        <wps:spPr bwMode="auto">
                          <a:xfrm>
                            <a:off x="9301" y="985990"/>
                            <a:ext cx="953" cy="403"/>
                          </a:xfrm>
                          <a:prstGeom prst="wedgeRoundRectCallout">
                            <a:avLst>
                              <a:gd name="adj1" fmla="val 142796"/>
                              <a:gd name="adj2" fmla="val 256176"/>
                              <a:gd name="adj3" fmla="val 16667"/>
                            </a:avLst>
                          </a:prstGeom>
                          <a:solidFill>
                            <a:srgbClr val="FFFFFF"/>
                          </a:solidFill>
                          <a:ln w="6350" cmpd="sng">
                            <a:solidFill>
                              <a:srgbClr val="FF0000"/>
                            </a:solidFill>
                            <a:round/>
                          </a:ln>
                          <a:effectLst/>
                        </wps:spPr>
                        <wps:txbx>
                          <w:txbxContent>
                            <w:p w14:paraId="5890ED10">
                              <w:pPr>
                                <w:jc w:val="center"/>
                                <w:rPr>
                                  <w:b/>
                                  <w:bCs/>
                                  <w:color w:val="FF0000"/>
                                  <w:szCs w:val="21"/>
                                </w:rPr>
                              </w:pPr>
                              <w:r>
                                <w:rPr>
                                  <w:rFonts w:hint="eastAsia"/>
                                  <w:b/>
                                  <w:bCs/>
                                  <w:color w:val="FF0000"/>
                                  <w:szCs w:val="21"/>
                                </w:rPr>
                                <w:t>项目区</w:t>
                              </w:r>
                            </w:p>
                          </w:txbxContent>
                        </wps:txbx>
                        <wps:bodyPr rot="0" vert="horz" wrap="square" lIns="91440" tIns="45720" rIns="91440" bIns="45720" anchor="ctr" anchorCtr="0" upright="1">
                          <a:noAutofit/>
                        </wps:bodyPr>
                      </wps:wsp>
                      <wps:wsp>
                        <wps:cNvPr id="144974333" name="五角星 62"/>
                        <wps:cNvSpPr>
                          <a:spLocks noChangeArrowheads="1"/>
                        </wps:cNvSpPr>
                        <wps:spPr bwMode="auto">
                          <a:xfrm>
                            <a:off x="11162" y="987203"/>
                            <a:ext cx="79" cy="83"/>
                          </a:xfrm>
                          <a:prstGeom prst="ellipse">
                            <a:avLst/>
                          </a:prstGeom>
                          <a:solidFill>
                            <a:srgbClr val="FF0000"/>
                          </a:solidFill>
                          <a:ln w="25400" cmpd="sng">
                            <a:solidFill>
                              <a:srgbClr val="FF0000"/>
                            </a:solidFill>
                            <a:round/>
                          </a:ln>
                          <a:effectLst/>
                        </wps:spPr>
                        <wps:txbx>
                          <w:txbxContent>
                            <w:p w14:paraId="1316DEF1">
                              <w:pPr>
                                <w:jc w:val="center"/>
                              </w:pPr>
                            </w:p>
                          </w:txbxContent>
                        </wps:txbx>
                        <wps:bodyPr rot="0" vert="horz" wrap="square" lIns="91440" tIns="45720" rIns="91440" bIns="45720" anchor="ctr" anchorCtr="0" upright="1">
                          <a:noAutofit/>
                        </wps:bodyPr>
                      </wps:wsp>
                    </wpg:wgp>
                  </a:graphicData>
                </a:graphic>
              </wp:anchor>
            </w:drawing>
          </mc:Choice>
          <mc:Fallback>
            <w:pict>
              <v:group id="组合 46" o:spid="_x0000_s1026" o:spt="203" style="position:absolute;left:0pt;margin-left:-0.1pt;margin-top:0.05pt;height:397.1pt;width:643.4pt;z-index:251677696;mso-width-relative:page;mso-height-relative:page;" coordorigin="3840,983320" coordsize="11891,7187" o:gfxdata="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">
                <o:lock v:ext="edit" aspectratio="f"/>
                <v:shape id="图片 8" o:spid="_x0000_s1026" o:spt="75" type="#_x0000_t75" style="position:absolute;left:3840;top:983320;height:7187;width:11891;" filled="f" o:preferrelative="t" stroked="f" coordsize="21600,21600" o:gfxdata="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MfE2&#10;wAAAAOIAAAAPAAAAAAAAAAEAIAAAACIAAABkcnMvZG93bnJldi54bWxQSwECFAAUAAAACACHTuJA&#10;My8FnjsAAAA5AAAAEAAAAAAAAAABACAAAAAPAQAAZHJzL3NoYXBleG1sLnhtbFBLBQYAAAAABgAG&#10;AFsBAAC5AwAAAAA=&#10;">
                  <v:fill on="f" focussize="0,0"/>
                  <v:stroke on="f"/>
                  <v:imagedata r:id="rId82" cropright="275f" cropbottom="453f" o:title=""/>
                  <o:lock v:ext="edit" aspectratio="t"/>
                </v:shape>
                <v:shape id="圆角矩形标注 72" o:spid="_x0000_s1026" o:spt="62" type="#_x0000_t62" style="position:absolute;left:9301;top:985990;height:403;width:953;v-text-anchor:middle;" fillcolor="#FFFFFF" filled="t" stroked="t" coordsize="21600,21600" o:gfxdata="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o&#10;tCAIwwAAAOIAAAAPAAAAAAAAAAEAIAAAACIAAABkcnMvZG93bnJldi54bWxQSwECFAAUAAAACACH&#10;TuJAMy8FnjsAAAA5AAAAEAAAAAAAAAABACAAAAASAQAAZHJzL3NoYXBleG1sLnhtbFBLBQYAAAAA&#10;BgAGAFsBAAC8AwAAAAA=&#10;" adj="41644,66134,14400">
                  <v:fill on="t" focussize="0,0"/>
                  <v:stroke weight="0.5pt" color="#FF0000" joinstyle="round"/>
                  <v:imagedata o:title=""/>
                  <o:lock v:ext="edit" aspectratio="f"/>
                  <v:textbox>
                    <w:txbxContent>
                      <w:p w14:paraId="5890ED10">
                        <w:pPr>
                          <w:jc w:val="center"/>
                          <w:rPr>
                            <w:b/>
                            <w:bCs/>
                            <w:color w:val="FF0000"/>
                            <w:szCs w:val="21"/>
                          </w:rPr>
                        </w:pPr>
                        <w:r>
                          <w:rPr>
                            <w:rFonts w:hint="eastAsia"/>
                            <w:b/>
                            <w:bCs/>
                            <w:color w:val="FF0000"/>
                            <w:szCs w:val="21"/>
                          </w:rPr>
                          <w:t>项目区</w:t>
                        </w:r>
                      </w:p>
                    </w:txbxContent>
                  </v:textbox>
                </v:shape>
                <v:shape id="五角星 62" o:spid="_x0000_s1026" o:spt="3" type="#_x0000_t3" style="position:absolute;left:11162;top:987203;height:83;width:79;v-text-anchor:middle;" fillcolor="#FF0000" filled="t" stroked="t" coordsize="21600,21600" o:gfxdata="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ZqeJW/&#10;AAAA4gAAAA8AAAAAAAAAAQAgAAAAIgAAAGRycy9kb3ducmV2LnhtbFBLAQIUABQAAAAIAIdO4kAz&#10;LwWeOwAAADkAAAAQAAAAAAAAAAEAIAAAAA4BAABkcnMvc2hhcGV4bWwueG1sUEsFBgAAAAAGAAYA&#10;WwEAALgDAAAAAA==&#10;">
                  <v:fill on="t" focussize="0,0"/>
                  <v:stroke weight="2pt" color="#FF0000" joinstyle="round"/>
                  <v:imagedata o:title=""/>
                  <o:lock v:ext="edit" aspectratio="f"/>
                  <v:textbox>
                    <w:txbxContent>
                      <w:p w14:paraId="1316DEF1">
                        <w:pPr>
                          <w:jc w:val="center"/>
                        </w:pPr>
                      </w:p>
                    </w:txbxContent>
                  </v:textbox>
                </v:shape>
              </v:group>
            </w:pict>
          </mc:Fallback>
        </mc:AlternateContent>
      </w:r>
      <w:r>
        <w:rPr>
          <w:color w:val="000000" w:themeColor="text1"/>
          <w14:textFill>
            <w14:solidFill>
              <w14:schemeClr w14:val="tx1"/>
            </w14:solidFill>
          </w14:textFill>
        </w:rPr>
        <w:drawing>
          <wp:anchor distT="0" distB="0" distL="114300" distR="114300" simplePos="0" relativeHeight="251679744" behindDoc="0" locked="0" layoutInCell="1" allowOverlap="1">
            <wp:simplePos x="0" y="0"/>
            <wp:positionH relativeFrom="column">
              <wp:posOffset>7034530</wp:posOffset>
            </wp:positionH>
            <wp:positionV relativeFrom="paragraph">
              <wp:posOffset>128270</wp:posOffset>
            </wp:positionV>
            <wp:extent cx="1003300" cy="1003300"/>
            <wp:effectExtent l="0" t="0" r="6350" b="6350"/>
            <wp:wrapNone/>
            <wp:docPr id="157330750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07503" name="图片 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1003300" cy="1003300"/>
                    </a:xfrm>
                    <a:prstGeom prst="rect">
                      <a:avLst/>
                    </a:prstGeom>
                    <a:noFill/>
                    <a:ln>
                      <a:noFill/>
                    </a:ln>
                  </pic:spPr>
                </pic:pic>
              </a:graphicData>
            </a:graphic>
          </wp:anchor>
        </w:drawing>
      </w:r>
    </w:p>
    <w:p w14:paraId="2B5DB247">
      <w:pPr>
        <w:pStyle w:val="462"/>
        <w:rPr>
          <w:rFonts w:hint="eastAsia"/>
          <w:color w:val="000000" w:themeColor="text1"/>
          <w14:textFill>
            <w14:solidFill>
              <w14:schemeClr w14:val="tx1"/>
            </w14:solidFill>
          </w14:textFill>
        </w:rPr>
      </w:pPr>
    </w:p>
    <w:p w14:paraId="448D0EAE">
      <w:pPr>
        <w:pStyle w:val="462"/>
        <w:rPr>
          <w:rFonts w:hint="eastAsia"/>
          <w:color w:val="000000" w:themeColor="text1"/>
          <w14:textFill>
            <w14:solidFill>
              <w14:schemeClr w14:val="tx1"/>
            </w14:solidFill>
          </w14:textFill>
        </w:rPr>
      </w:pPr>
    </w:p>
    <w:p w14:paraId="72790E96">
      <w:pPr>
        <w:pStyle w:val="462"/>
        <w:rPr>
          <w:rFonts w:hint="eastAsia"/>
          <w:color w:val="000000" w:themeColor="text1"/>
          <w14:textFill>
            <w14:solidFill>
              <w14:schemeClr w14:val="tx1"/>
            </w14:solidFill>
          </w14:textFill>
        </w:rPr>
      </w:pPr>
    </w:p>
    <w:p w14:paraId="2931877B">
      <w:pPr>
        <w:pStyle w:val="462"/>
        <w:rPr>
          <w:rFonts w:hint="eastAsia"/>
          <w:color w:val="000000" w:themeColor="text1"/>
          <w14:textFill>
            <w14:solidFill>
              <w14:schemeClr w14:val="tx1"/>
            </w14:solidFill>
          </w14:textFill>
        </w:rPr>
      </w:pPr>
    </w:p>
    <w:p w14:paraId="6C273E3E">
      <w:pPr>
        <w:pStyle w:val="462"/>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003300" cy="1003300"/>
            <wp:effectExtent l="0" t="0" r="6350" b="6350"/>
            <wp:docPr id="17186333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3330" name="图片 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1003300" cy="1003300"/>
                    </a:xfrm>
                    <a:prstGeom prst="rect">
                      <a:avLst/>
                    </a:prstGeom>
                    <a:noFill/>
                    <a:ln>
                      <a:noFill/>
                    </a:ln>
                  </pic:spPr>
                </pic:pic>
              </a:graphicData>
            </a:graphic>
          </wp:inline>
        </w:drawing>
      </w:r>
    </w:p>
    <w:p w14:paraId="388BB215">
      <w:pPr>
        <w:pStyle w:val="462"/>
        <w:rPr>
          <w:rFonts w:hint="eastAsia"/>
          <w:color w:val="000000" w:themeColor="text1"/>
          <w14:textFill>
            <w14:solidFill>
              <w14:schemeClr w14:val="tx1"/>
            </w14:solidFill>
          </w14:textFill>
        </w:rPr>
      </w:pPr>
    </w:p>
    <w:p w14:paraId="623B9649">
      <w:pPr>
        <w:pStyle w:val="462"/>
        <w:rPr>
          <w:rFonts w:hint="eastAsia"/>
          <w:color w:val="000000" w:themeColor="text1"/>
          <w14:textFill>
            <w14:solidFill>
              <w14:schemeClr w14:val="tx1"/>
            </w14:solidFill>
          </w14:textFill>
        </w:rPr>
      </w:pPr>
    </w:p>
    <w:p w14:paraId="23015360">
      <w:pPr>
        <w:pStyle w:val="462"/>
        <w:rPr>
          <w:rFonts w:hint="eastAsia"/>
          <w:color w:val="000000" w:themeColor="text1"/>
          <w14:textFill>
            <w14:solidFill>
              <w14:schemeClr w14:val="tx1"/>
            </w14:solidFill>
          </w14:textFill>
        </w:rPr>
      </w:pPr>
    </w:p>
    <w:p w14:paraId="04E85016">
      <w:pPr>
        <w:pStyle w:val="462"/>
        <w:rPr>
          <w:rFonts w:hint="eastAsia"/>
          <w:color w:val="000000" w:themeColor="text1"/>
          <w14:textFill>
            <w14:solidFill>
              <w14:schemeClr w14:val="tx1"/>
            </w14:solidFill>
          </w14:textFill>
        </w:rPr>
      </w:pPr>
    </w:p>
    <w:p w14:paraId="5F551709">
      <w:pPr>
        <w:pStyle w:val="462"/>
        <w:rPr>
          <w:rFonts w:hint="eastAsia"/>
          <w:color w:val="000000" w:themeColor="text1"/>
          <w14:textFill>
            <w14:solidFill>
              <w14:schemeClr w14:val="tx1"/>
            </w14:solidFill>
          </w14:textFill>
        </w:rPr>
      </w:pPr>
    </w:p>
    <w:p w14:paraId="5E619334">
      <w:pPr>
        <w:pStyle w:val="462"/>
        <w:rPr>
          <w:rFonts w:hint="eastAsia"/>
          <w:color w:val="000000" w:themeColor="text1"/>
          <w14:textFill>
            <w14:solidFill>
              <w14:schemeClr w14:val="tx1"/>
            </w14:solidFill>
          </w14:textFill>
        </w:rPr>
      </w:pPr>
    </w:p>
    <w:p w14:paraId="6059110C">
      <w:pPr>
        <w:pStyle w:val="462"/>
        <w:rPr>
          <w:rFonts w:hint="eastAsia"/>
          <w:color w:val="000000" w:themeColor="text1"/>
          <w14:textFill>
            <w14:solidFill>
              <w14:schemeClr w14:val="tx1"/>
            </w14:solidFill>
          </w14:textFill>
        </w:rPr>
      </w:pPr>
    </w:p>
    <w:p w14:paraId="53EFED6C">
      <w:pPr>
        <w:pStyle w:val="462"/>
        <w:rPr>
          <w:rFonts w:hint="eastAsia"/>
          <w:color w:val="000000" w:themeColor="text1"/>
          <w14:textFill>
            <w14:solidFill>
              <w14:schemeClr w14:val="tx1"/>
            </w14:solidFill>
          </w14:textFill>
        </w:rPr>
      </w:pPr>
    </w:p>
    <w:p w14:paraId="36742FF0">
      <w:pPr>
        <w:pStyle w:val="462"/>
        <w:rPr>
          <w:rFonts w:hint="eastAsia"/>
          <w:color w:val="000000" w:themeColor="text1"/>
          <w14:textFill>
            <w14:solidFill>
              <w14:schemeClr w14:val="tx1"/>
            </w14:solidFill>
          </w14:textFill>
        </w:rPr>
      </w:pPr>
    </w:p>
    <w:p w14:paraId="225FCCA7">
      <w:pPr>
        <w:pStyle w:val="462"/>
        <w:rPr>
          <w:rFonts w:hint="eastAsia"/>
          <w:color w:val="000000" w:themeColor="text1"/>
          <w14:textFill>
            <w14:solidFill>
              <w14:schemeClr w14:val="tx1"/>
            </w14:solidFill>
          </w14:textFill>
        </w:rPr>
      </w:pPr>
    </w:p>
    <w:p w14:paraId="503ADA90">
      <w:pPr>
        <w:ind w:firstLine="480"/>
        <w:jc w:val="center"/>
        <w:rPr>
          <w:rFonts w:hint="eastAsia" w:ascii="宋体" w:hAnsi="宋体"/>
          <w:color w:val="000000" w:themeColor="text1"/>
          <w:sz w:val="24"/>
          <w:szCs w:val="24"/>
          <w14:textFill>
            <w14:solidFill>
              <w14:schemeClr w14:val="tx1"/>
            </w14:solidFill>
          </w14:textFill>
        </w:rPr>
      </w:pPr>
      <w:r>
        <w:rPr>
          <w:rFonts w:hint="eastAsia" w:ascii="黑体" w:hAnsi="黑体" w:eastAsia="黑体"/>
          <w:color w:val="000000" w:themeColor="text1"/>
          <w:szCs w:val="20"/>
          <w14:textFill>
            <w14:solidFill>
              <w14:schemeClr w14:val="tx1"/>
            </w14:solidFill>
          </w14:textFill>
        </w:rPr>
        <w:t xml:space="preserve">图4.3-10 </w:t>
      </w:r>
      <w:r>
        <w:rPr>
          <w:rFonts w:ascii="黑体" w:hAnsi="黑体" w:eastAsia="黑体"/>
          <w:color w:val="000000" w:themeColor="text1"/>
          <w:szCs w:val="20"/>
          <w14:textFill>
            <w14:solidFill>
              <w14:schemeClr w14:val="tx1"/>
            </w14:solidFill>
          </w14:textFill>
        </w:rPr>
        <w:t xml:space="preserve"> </w:t>
      </w:r>
      <w:r>
        <w:rPr>
          <w:rFonts w:hint="eastAsia" w:ascii="黑体" w:hAnsi="黑体" w:eastAsia="黑体"/>
          <w:color w:val="000000" w:themeColor="text1"/>
          <w:szCs w:val="20"/>
          <w14:textFill>
            <w14:solidFill>
              <w14:schemeClr w14:val="tx1"/>
            </w14:solidFill>
          </w14:textFill>
        </w:rPr>
        <w:t xml:space="preserve"> 本项目水土保持两区划分图</w:t>
      </w:r>
    </w:p>
    <w:bookmarkEnd w:id="405"/>
    <w:p w14:paraId="7CDFB37B">
      <w:pPr>
        <w:pStyle w:val="193"/>
        <w:rPr>
          <w:rFonts w:hint="eastAsia"/>
          <w:color w:val="000000" w:themeColor="text1"/>
          <w14:textFill>
            <w14:solidFill>
              <w14:schemeClr w14:val="tx1"/>
            </w14:solidFill>
          </w14:textFill>
        </w:rPr>
        <w:sectPr>
          <w:pgSz w:w="16838" w:h="11906" w:orient="landscape"/>
          <w:pgMar w:top="1588" w:right="1418" w:bottom="1588" w:left="1418" w:header="1020" w:footer="1020" w:gutter="0"/>
          <w:cols w:space="720" w:num="1"/>
          <w:docGrid w:type="lines" w:linePitch="312" w:charSpace="0"/>
        </w:sectPr>
      </w:pPr>
    </w:p>
    <w:bookmarkEnd w:id="403"/>
    <w:p w14:paraId="2CF5687A">
      <w:pPr>
        <w:pStyle w:val="8"/>
        <w:rPr>
          <w:rFonts w:hint="eastAsia"/>
          <w:color w:val="000000" w:themeColor="text1"/>
          <w14:textFill>
            <w14:solidFill>
              <w14:schemeClr w14:val="tx1"/>
            </w14:solidFill>
          </w14:textFill>
        </w:rPr>
      </w:pPr>
      <w:bookmarkStart w:id="406" w:name="_Hlk147587103"/>
      <w:bookmarkStart w:id="407" w:name="_Hlk92204648"/>
      <w:r>
        <w:rPr>
          <w:rFonts w:hint="eastAsia"/>
          <w:color w:val="000000" w:themeColor="text1"/>
          <w14:textFill>
            <w14:solidFill>
              <w14:schemeClr w14:val="tx1"/>
            </w14:solidFill>
          </w14:textFill>
        </w:rPr>
        <w:t>既有工程实际生态影响及采取的生态保护措施</w:t>
      </w:r>
    </w:p>
    <w:p w14:paraId="5DB5CE4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）既有工程实际生态影响</w:t>
      </w:r>
    </w:p>
    <w:p w14:paraId="22B7A8A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本项目为改扩建项目，既有工程对生态的影响主要表现在占地对土壤结构破坏、植被损失、对景观格局的影响以及各种机械产生的噪声和人员活动对野生动物的影响。</w:t>
      </w:r>
    </w:p>
    <w:p w14:paraId="7ACECCB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既有工程对土壤的影响主要是工程建设时对土壤的扰动、流失，对植被的影响主要表现为工程建设过程中，占地范围内的植被灭失，以及永久占地范围内植被生产力的减小。对景观生态格局的影响主要表现在油田道路、管线及各类场站的建设，对生态景观的切割，增大了区域景观生态格局的破碎化程度。对野生动物的影响主要为占地范围内植被的灭失和减少对野生动物生境和食源的影响。既有工程已开发区域内植被状况恢复较好的地段，动物活动的痕迹较多，而在井场和站场附近则很少有活动的迹象，这主要是由于现有工程各类生产井数量多，开发活动使得区域内自然植被的覆盖度降低，影响了爬行类及鼠类动物生存及栖息的基本环境条件。</w:t>
      </w:r>
    </w:p>
    <w:p w14:paraId="6A914AF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）既有工程实际采取的生态保护措施有效性评价</w:t>
      </w:r>
    </w:p>
    <w:p w14:paraId="62F603E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现场踏勘可知，既有工程已建井场永久性占地范围内进行了砾石铺垫，站场地面进行了水泥或砾石铺垫等硬化，有效地防止了因既有工程临时占地引起的水土流失和土地沙化。临时占地内的野生植被在自然缓慢恢复。既有工程不存在生态环境问题。</w:t>
      </w:r>
    </w:p>
    <w:p w14:paraId="13009FC5">
      <w:pPr>
        <w:pStyle w:val="120"/>
        <w:rPr>
          <w:rFonts w:hint="eastAsia"/>
          <w:color w:val="000000" w:themeColor="text1"/>
          <w14:textFill>
            <w14:solidFill>
              <w14:schemeClr w14:val="tx1"/>
            </w14:solidFill>
          </w14:textFill>
        </w:rPr>
      </w:pPr>
    </w:p>
    <w:bookmarkEnd w:id="406"/>
    <w:p w14:paraId="19FDFCCB">
      <w:pPr>
        <w:pStyle w:val="120"/>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p>
    <w:bookmarkEnd w:id="407"/>
    <w:p w14:paraId="3FD7C260">
      <w:pPr>
        <w:pStyle w:val="6"/>
        <w:rPr>
          <w:rFonts w:hint="eastAsia"/>
          <w:color w:val="000000" w:themeColor="text1"/>
          <w14:textFill>
            <w14:solidFill>
              <w14:schemeClr w14:val="tx1"/>
            </w14:solidFill>
          </w14:textFill>
        </w:rPr>
      </w:pPr>
      <w:bookmarkStart w:id="408" w:name="_Toc1128"/>
      <w:r>
        <w:rPr>
          <w:rFonts w:hint="eastAsia"/>
          <w:color w:val="000000" w:themeColor="text1"/>
          <w14:textFill>
            <w14:solidFill>
              <w14:schemeClr w14:val="tx1"/>
            </w14:solidFill>
          </w14:textFill>
        </w:rPr>
        <w:t>环境影响预测与评价</w:t>
      </w:r>
      <w:bookmarkEnd w:id="408"/>
    </w:p>
    <w:p w14:paraId="5348B36B">
      <w:pPr>
        <w:pStyle w:val="7"/>
        <w:rPr>
          <w:rFonts w:hint="eastAsia"/>
          <w:color w:val="000000" w:themeColor="text1"/>
          <w14:textFill>
            <w14:solidFill>
              <w14:schemeClr w14:val="tx1"/>
            </w14:solidFill>
          </w14:textFill>
        </w:rPr>
      </w:pPr>
      <w:bookmarkStart w:id="409" w:name="_Toc475624481"/>
      <w:bookmarkStart w:id="410" w:name="_Toc474793586"/>
      <w:bookmarkStart w:id="411" w:name="_Toc21081"/>
      <w:r>
        <w:rPr>
          <w:rFonts w:hint="eastAsia"/>
          <w:color w:val="000000" w:themeColor="text1"/>
          <w14:textFill>
            <w14:solidFill>
              <w14:schemeClr w14:val="tx1"/>
            </w14:solidFill>
          </w14:textFill>
        </w:rPr>
        <w:t>施工期环境影响预测与评价</w:t>
      </w:r>
      <w:bookmarkEnd w:id="409"/>
      <w:bookmarkEnd w:id="410"/>
      <w:bookmarkEnd w:id="411"/>
    </w:p>
    <w:p w14:paraId="2717E1D8">
      <w:pPr>
        <w:pStyle w:val="8"/>
        <w:rPr>
          <w:rFonts w:hint="eastAsia"/>
          <w:color w:val="000000" w:themeColor="text1"/>
          <w14:textFill>
            <w14:solidFill>
              <w14:schemeClr w14:val="tx1"/>
            </w14:solidFill>
          </w14:textFill>
        </w:rPr>
      </w:pPr>
      <w:bookmarkStart w:id="412" w:name="_Hlk511377578"/>
      <w:bookmarkStart w:id="413" w:name="_Toc475624482"/>
      <w:bookmarkStart w:id="414" w:name="_Toc474793587"/>
      <w:r>
        <w:rPr>
          <w:rFonts w:hint="eastAsia"/>
          <w:color w:val="000000" w:themeColor="text1"/>
          <w14:textFill>
            <w14:solidFill>
              <w14:schemeClr w14:val="tx1"/>
            </w14:solidFill>
          </w14:textFill>
        </w:rPr>
        <w:t>施工期大气环境影响分析</w:t>
      </w:r>
    </w:p>
    <w:p w14:paraId="5A3FEA5E">
      <w:pPr>
        <w:pStyle w:val="120"/>
        <w:rPr>
          <w:rFonts w:hint="eastAsia"/>
          <w:color w:val="000000" w:themeColor="text1"/>
          <w14:textFill>
            <w14:solidFill>
              <w14:schemeClr w14:val="tx1"/>
            </w14:solidFill>
          </w14:textFill>
        </w:rPr>
      </w:pPr>
      <w:bookmarkStart w:id="415" w:name="_Hlk87267769"/>
      <w:bookmarkStart w:id="416" w:name="_Toc445996412"/>
      <w:bookmarkStart w:id="417" w:name="_Toc1992"/>
      <w:bookmarkStart w:id="418" w:name="_Toc445842090"/>
      <w:r>
        <w:rPr>
          <w:rFonts w:hint="eastAsia"/>
          <w:color w:val="000000" w:themeColor="text1"/>
          <w14:textFill>
            <w14:solidFill>
              <w14:schemeClr w14:val="tx1"/>
            </w14:solidFill>
          </w14:textFill>
        </w:rPr>
        <w:t>施工废气主要为柴油机、发电机燃料燃烧烟气、施工机械及施工车辆尾气、施工扬尘、柴油储存卸车无组织废气、水基钻井岩屑暂存扬尘、焊接烟尘和储层改造过程中的无组织废气。</w:t>
      </w:r>
    </w:p>
    <w:p w14:paraId="610EFC4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（1）施工扬尘</w:t>
      </w:r>
    </w:p>
    <w:p w14:paraId="16F016D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前工程施工、井场、站场建设、管沟开挖、回填等地面工程施工过程中都会产生扬尘，同时运输车辆行驶以及所用材料的装卸、运输及堆放等均会产生扬尘，对周围环境空气产生一定的影响，污染物主要为TSP。项目区远离人群居住区，周围空旷，扩散条件良好，类比同类工程，本项目施工过程中产生的扬尘不会对环境空气产生明显影响。</w:t>
      </w:r>
    </w:p>
    <w:p w14:paraId="13AA008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（2）柴油机及发电机燃烧烟气</w:t>
      </w:r>
    </w:p>
    <w:p w14:paraId="7BE3895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钻井过程中柴油机、柴油发电机组均使用符合</w:t>
      </w:r>
      <w:r>
        <w:rPr>
          <w:rFonts w:hint="eastAsia" w:ascii="宋体" w:hAnsi="宋体" w:eastAsia="宋体" w:cs="Times New Roman"/>
          <w:color w:val="000000" w:themeColor="text1"/>
          <w14:textFill>
            <w14:solidFill>
              <w14:schemeClr w14:val="tx1"/>
            </w14:solidFill>
          </w14:textFill>
        </w:rPr>
        <w:t>国家标准的燃料</w:t>
      </w:r>
      <w:r>
        <w:rPr>
          <w:rFonts w:hint="eastAsia" w:ascii="宋体" w:hAnsi="宋体" w:eastAsia="宋体" w:cs="Times New Roman"/>
          <w:color w:val="000000" w:themeColor="text1"/>
          <w:lang w:eastAsia="zh-CN"/>
          <w14:textFill>
            <w14:solidFill>
              <w14:schemeClr w14:val="tx1"/>
            </w14:solidFill>
          </w14:textFill>
        </w:rPr>
        <w:t>（</w:t>
      </w:r>
      <w:r>
        <w:rPr>
          <w:rFonts w:hint="eastAsia" w:ascii="宋体" w:hAnsi="宋体" w:eastAsia="宋体" w:cs="Times New Roman"/>
          <w:color w:val="000000" w:themeColor="text1"/>
          <w:lang w:val="en-US" w:eastAsia="zh-CN"/>
          <w14:textFill>
            <w14:solidFill>
              <w14:schemeClr w14:val="tx1"/>
            </w14:solidFill>
          </w14:textFill>
        </w:rPr>
        <w:t>硫含量≤10ppm的低硫清洁柴油</w:t>
      </w:r>
      <w:r>
        <w:rPr>
          <w:rFonts w:hint="eastAsia" w:ascii="宋体" w:hAnsi="宋体" w:eastAsia="宋体"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，柴油</w:t>
      </w:r>
      <w:r>
        <w:rPr>
          <w:rFonts w:hint="eastAsia"/>
          <w:color w:val="000000" w:themeColor="text1"/>
          <w:lang w:val="en-US" w:eastAsia="zh-CN"/>
          <w14:textFill>
            <w14:solidFill>
              <w14:schemeClr w14:val="tx1"/>
            </w14:solidFill>
          </w14:textFill>
        </w:rPr>
        <w:t>燃烧</w:t>
      </w:r>
      <w:r>
        <w:rPr>
          <w:rFonts w:hint="eastAsia"/>
          <w:color w:val="000000" w:themeColor="text1"/>
          <w14:textFill>
            <w14:solidFill>
              <w14:schemeClr w14:val="tx1"/>
            </w14:solidFill>
          </w14:textFill>
        </w:rPr>
        <w:t>产生及排放</w:t>
      </w:r>
      <w:r>
        <w:rPr>
          <w:rFonts w:hint="eastAsia"/>
          <w:color w:val="000000" w:themeColor="text1"/>
          <w:lang w:val="en-US" w:eastAsia="zh-CN"/>
          <w14:textFill>
            <w14:solidFill>
              <w14:schemeClr w14:val="tx1"/>
            </w14:solidFill>
          </w14:textFill>
        </w:rPr>
        <w:t>的</w:t>
      </w:r>
      <w:r>
        <w:rPr>
          <w:rFonts w:hint="eastAsia"/>
          <w:color w:val="000000" w:themeColor="text1"/>
          <w14:textFill>
            <w14:solidFill>
              <w14:schemeClr w14:val="tx1"/>
            </w14:solidFill>
          </w14:textFill>
        </w:rPr>
        <w:t>污染物量极小</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钻井周期短暂、周边无居民区、地域空旷，大气扩散条件良好，随着钻井工程的结束而停止排放，不会对周围环境产生明显影响。</w:t>
      </w:r>
    </w:p>
    <w:p w14:paraId="6317EAC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（3）施工机械及施工车辆尾气</w:t>
      </w:r>
    </w:p>
    <w:p w14:paraId="2797966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施工机械及运输车辆燃料燃烧产生的汽车尾气会对环境空气造成影响，各施工机械及车辆均采用合格油品，对周围大气环境影响较小。</w:t>
      </w:r>
    </w:p>
    <w:p w14:paraId="7D720F1C">
      <w:pPr>
        <w:pStyle w:val="462"/>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（4）柴油卸车及储存无组织废气</w:t>
      </w:r>
    </w:p>
    <w:p w14:paraId="1BBAA4A1">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设1座柴油罐，为固定顶罐，外购柴油由罐车拉运至井场后暂存于储罐内，最大贮存量约20t。柴油卸车及临时贮存时会产生一定的无组织挥发性废气，由于柴油周转量较小，真实蒸气压较低，挥发性低，由柴油卸车及储罐临时储存产生的挥发性废气量较小，不会对周围大气环境产生明显不利影响。类比新疆油田其他类似钻井井场，井场场界外非甲烷总烃的浓度低于《陆上石油天然气开采工业大气污染物排放标准》（GB39728-2020）周界外无组织排放浓度限值4.0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的要求。</w:t>
      </w:r>
    </w:p>
    <w:p w14:paraId="624A66EA">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（5）水基钻井岩屑暂存扬尘</w:t>
      </w:r>
    </w:p>
    <w:p w14:paraId="5B5B0236">
      <w:pPr>
        <w:pStyle w:val="462"/>
        <w:rPr>
          <w:rFonts w:hint="eastAsia"/>
          <w:b/>
          <w:bCs/>
          <w:color w:val="000000" w:themeColor="text1"/>
          <w14:textFill>
            <w14:solidFill>
              <w14:schemeClr w14:val="tx1"/>
            </w14:solidFill>
          </w14:textFill>
        </w:rPr>
      </w:pPr>
      <w:r>
        <w:rPr>
          <w:rFonts w:hint="eastAsia"/>
          <w:color w:val="000000" w:themeColor="text1"/>
          <w14:textFill>
            <w14:solidFill>
              <w14:schemeClr w14:val="tx1"/>
            </w14:solidFill>
          </w14:textFill>
        </w:rPr>
        <w:t>水基钻井岩屑暂存于岩屑罐中，暂存过程中会产生少量的扬尘，不落地系统分离出的水基钻井岩屑含水率较高且产生后及时清运，由水基钻井岩屑临时暂存产生的扬尘量很少，不会对周围大气环境产生不利影响。</w:t>
      </w:r>
    </w:p>
    <w:p w14:paraId="4D70BE5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（6）焊接烟尘</w:t>
      </w:r>
    </w:p>
    <w:p w14:paraId="7942D89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管道组对连接过程中将有一定量的焊接烟尘产生，主要污染物为CO、CO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，该废气排放量很少，焊条使用国家合格产品，且为间歇不连续排放，施工场地位于开阔通风状况良好的户外，焊接烟尘易于扩散，焊接烟尘随着施工期的结束而消失，对周围大气环境影响很小。</w:t>
      </w:r>
    </w:p>
    <w:p w14:paraId="147BC93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（7）储层改造过程中的无组织废气</w:t>
      </w:r>
    </w:p>
    <w:p w14:paraId="6BE1F00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层改造过程中射孔作业对套管和井壁进行射孔，建立地层与井筒之间的通道，射孔作业完成后油藏中油气通过井筒返至地面，以无组织形式逸散至大气环境中，对周围大气环境产生一定的影响，项目区地域空旷、扩散条件较好，不会对周围环境产生不利影响。</w:t>
      </w:r>
    </w:p>
    <w:bookmarkEnd w:id="415"/>
    <w:p w14:paraId="55C33D13">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水环境影响分析</w:t>
      </w:r>
      <w:bookmarkEnd w:id="416"/>
      <w:bookmarkEnd w:id="417"/>
      <w:bookmarkEnd w:id="418"/>
    </w:p>
    <w:p w14:paraId="3E0AE2A3">
      <w:pPr>
        <w:pStyle w:val="120"/>
        <w:rPr>
          <w:rFonts w:hint="eastAsia"/>
          <w:color w:val="000000" w:themeColor="text1"/>
          <w14:textFill>
            <w14:solidFill>
              <w14:schemeClr w14:val="tx1"/>
            </w14:solidFill>
          </w14:textFill>
        </w:rPr>
      </w:pPr>
      <w:bookmarkStart w:id="419" w:name="_Hlk169107739"/>
      <w:bookmarkStart w:id="420" w:name="_Toc234"/>
      <w:bookmarkStart w:id="421" w:name="_Toc445842095"/>
      <w:bookmarkStart w:id="422" w:name="_Toc445996417"/>
      <w:r>
        <w:rPr>
          <w:rFonts w:hint="eastAsia"/>
          <w:color w:val="000000" w:themeColor="text1"/>
          <w14:textFill>
            <w14:solidFill>
              <w14:schemeClr w14:val="tx1"/>
            </w14:solidFill>
          </w14:textFill>
        </w:rPr>
        <w:t>（1）废水对周围水环境影响分析</w:t>
      </w:r>
    </w:p>
    <w:p w14:paraId="42A54DC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主要为管道试压废水、混凝土养护废水和压裂返排液。管道试压采用清水，废水中污染物主要为悬浮物，试压结束后用于项目区的洒水抑尘；混凝土养护废水污染物主要为悬浮物，用于项目区的洒水抑尘；储层改造过程中产生的压裂返排液，集中收集后由罐车拉运至吉祥联合站采出水处理系统处理后回注油藏；项目产生的各类废水均得到妥善处置，不会对周围水环境产生不利影响。</w:t>
      </w:r>
    </w:p>
    <w:p w14:paraId="5AA668FE">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2</w:t>
      </w:r>
      <w:r>
        <w:rPr>
          <w:rFonts w:hint="eastAsia"/>
          <w:color w:val="000000" w:themeColor="text1"/>
          <w:lang w:bidi="ar"/>
          <w14:textFill>
            <w14:solidFill>
              <w14:schemeClr w14:val="tx1"/>
            </w14:solidFill>
          </w14:textFill>
        </w:rPr>
        <w:t>）管线施工对地下水环境影响分析</w:t>
      </w:r>
    </w:p>
    <w:p w14:paraId="3D16C8F7">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拟建管线采用埋地敷设，在施工过程中的辅料、废料等在降水的淋滤作用下产生的浸出液，可能进入地下含水层，将对地下水造成不同程度的影响，其影响程度决定于下渗量及其饱和地带的厚度、岩性和对污染物的阻滞、吸附分解等自然净化能力。由于管线施工期短，项目区少雨，发生降水淋滤的可能性很小，且管道沿线表层土壤有一定的自然净化能力，管线施工对地下水的影响很小。因此，正常的管线埋设不会对地下水造成不利影响。</w:t>
      </w:r>
    </w:p>
    <w:p w14:paraId="2E288CC4">
      <w:pPr>
        <w:pStyle w:val="193"/>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（3）钻井作业对地下水含水层影响分析</w:t>
      </w:r>
    </w:p>
    <w:p w14:paraId="64ACF74B">
      <w:pPr>
        <w:pStyle w:val="193"/>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钻井作业正常工况下不会对地下水造成影响，钻井对水环境的影响主要表现为钻井过程中可能发生因固井不严而导致的油水窜层、钻井液进入含水层等事故。钻井过程中采用套管与土壤隔离，并在套管与地层之间注入水泥进行固井，水泥浆返至地面，封隔疏松地层和水层；表层套管的下土深度可满足地下水保护需要，可有效地保护地下水环境不受污染。井场产生的岩屑均进罐，水基钻井岩屑由岩屑处置单位拉走处置，不会对地下水造成影响；井场柴油机、发电机房、材料堆场、柴油罐、岩屑储罐等关键部位均采用防渗膜防渗，正常情况下，项目对水环境影响不大。</w:t>
      </w:r>
    </w:p>
    <w:bookmarkEnd w:id="419"/>
    <w:p w14:paraId="5A97EC02">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施工期声环境</w:t>
      </w:r>
      <w:r>
        <w:rPr>
          <w:color w:val="000000" w:themeColor="text1"/>
          <w14:textFill>
            <w14:solidFill>
              <w14:schemeClr w14:val="tx1"/>
            </w14:solidFill>
          </w14:textFill>
        </w:rPr>
        <w:t>影响分析</w:t>
      </w:r>
      <w:bookmarkEnd w:id="420"/>
      <w:bookmarkEnd w:id="421"/>
      <w:bookmarkEnd w:id="422"/>
    </w:p>
    <w:p w14:paraId="1145FAEC">
      <w:pPr>
        <w:pStyle w:val="120"/>
        <w:rPr>
          <w:rFonts w:hint="eastAsia"/>
          <w:color w:val="000000" w:themeColor="text1"/>
          <w14:textFill>
            <w14:solidFill>
              <w14:schemeClr w14:val="tx1"/>
            </w14:solidFill>
          </w14:textFill>
        </w:rPr>
      </w:pPr>
      <w:bookmarkStart w:id="423" w:name="OLE_LINK219"/>
      <w:bookmarkStart w:id="424" w:name="_Hlk169107797"/>
      <w:r>
        <w:rPr>
          <w:rFonts w:hint="eastAsia"/>
          <w:color w:val="000000" w:themeColor="text1"/>
          <w14:textFill>
            <w14:solidFill>
              <w14:schemeClr w14:val="tx1"/>
            </w14:solidFill>
          </w14:textFill>
        </w:rPr>
        <w:t>施工期主要噪声源主要包括柴油发电机、柴油机、钻井液循环泵和压裂车等各类施工机械，</w:t>
      </w:r>
      <w:r>
        <w:rPr>
          <w:rFonts w:hint="eastAsia" w:hAnsi="Times New Roman"/>
          <w:color w:val="000000" w:themeColor="text1"/>
          <w:szCs w:val="20"/>
          <w14:textFill>
            <w14:solidFill>
              <w14:schemeClr w14:val="tx1"/>
            </w14:solidFill>
          </w14:textFill>
        </w:rPr>
        <w:t>源强</w:t>
      </w:r>
      <w:r>
        <w:rPr>
          <w:rFonts w:hint="eastAsia"/>
          <w:color w:val="000000" w:themeColor="text1"/>
          <w14:textFill>
            <w14:solidFill>
              <w14:schemeClr w14:val="tx1"/>
            </w14:solidFill>
          </w14:textFill>
        </w:rPr>
        <w:t>一般为80-100dB（A）。根据现场调查，声环境评价范围内没有固定居住人群等声敏感目标，不会造成扰民现象，施工期的噪声仅对施工人员产生影响。通过类比调查可知，施工期场界外</w:t>
      </w:r>
      <w:r>
        <w:rPr>
          <w:color w:val="000000" w:themeColor="text1"/>
          <w14:textFill>
            <w14:solidFill>
              <w14:schemeClr w14:val="tx1"/>
            </w14:solidFill>
          </w14:textFill>
        </w:rPr>
        <w:t>200m处可达到《建筑施工场界噪声排放标准》（GB12523-2025）中限值要求</w:t>
      </w:r>
      <w:r>
        <w:rPr>
          <w:rFonts w:hint="eastAsia"/>
          <w:color w:val="000000" w:themeColor="text1"/>
          <w14:textFill>
            <w14:solidFill>
              <w14:schemeClr w14:val="tx1"/>
            </w14:solidFill>
          </w14:textFill>
        </w:rPr>
        <w:t>。</w:t>
      </w:r>
      <w:bookmarkEnd w:id="423"/>
    </w:p>
    <w:p w14:paraId="44B7DC5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基础减振降噪效果约为10dB（A），柴油发电机和柴油机位于室内，基础减振和室内隔声降噪效果约为20dB（A）。根据现场调查，声环境评价范围内没有固定居住人群等声敏感目标，不会造成扰民现象，施工期的噪声仅对施工人员产生影响。</w:t>
      </w:r>
    </w:p>
    <w:p w14:paraId="5C8BEC30">
      <w:pPr>
        <w:pStyle w:val="120"/>
        <w:rPr>
          <w:rFonts w:hint="eastAsia"/>
          <w:color w:val="000000" w:themeColor="text1"/>
          <w14:textFill>
            <w14:solidFill>
              <w14:schemeClr w14:val="tx1"/>
            </w14:solidFill>
          </w14:textFill>
        </w:rPr>
      </w:pPr>
      <w:bookmarkStart w:id="425" w:name="_Hlk163506224"/>
      <w:r>
        <w:rPr>
          <w:rFonts w:hint="eastAsia"/>
          <w:color w:val="000000" w:themeColor="text1"/>
          <w14:textFill>
            <w14:solidFill>
              <w14:schemeClr w14:val="tx1"/>
            </w14:solidFill>
          </w14:textFill>
        </w:rPr>
        <w:t>施工期噪声源及特性见表5.1-1。</w:t>
      </w:r>
    </w:p>
    <w:p w14:paraId="7EF0C254">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表5.1-</w:t>
      </w:r>
      <w:r>
        <w:rPr>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施工期主要噪声源强特性</w:t>
      </w:r>
      <w:r>
        <w:rPr>
          <w:rFonts w:hint="eastAsia"/>
          <w:color w:val="000000" w:themeColor="text1"/>
          <w14:textFill>
            <w14:solidFill>
              <w14:schemeClr w14:val="tx1"/>
            </w14:solidFill>
          </w14:textFill>
        </w:rPr>
        <w:t>[单位：dB(A)]</w:t>
      </w:r>
    </w:p>
    <w:tbl>
      <w:tblPr>
        <w:tblStyle w:val="51"/>
        <w:tblW w:w="5000" w:type="pct"/>
        <w:tblInd w:w="0" w:type="dxa"/>
        <w:tblLayout w:type="autofit"/>
        <w:tblCellMar>
          <w:top w:w="0" w:type="dxa"/>
          <w:left w:w="108" w:type="dxa"/>
          <w:bottom w:w="0" w:type="dxa"/>
          <w:right w:w="108" w:type="dxa"/>
        </w:tblCellMar>
      </w:tblPr>
      <w:tblGrid>
        <w:gridCol w:w="808"/>
        <w:gridCol w:w="1542"/>
        <w:gridCol w:w="918"/>
        <w:gridCol w:w="1062"/>
        <w:gridCol w:w="883"/>
        <w:gridCol w:w="1039"/>
        <w:gridCol w:w="1285"/>
        <w:gridCol w:w="1193"/>
      </w:tblGrid>
      <w:tr w14:paraId="30B8D31F">
        <w:tblPrEx>
          <w:tblCellMar>
            <w:top w:w="0" w:type="dxa"/>
            <w:left w:w="108" w:type="dxa"/>
            <w:bottom w:w="0" w:type="dxa"/>
            <w:right w:w="108" w:type="dxa"/>
          </w:tblCellMar>
        </w:tblPrEx>
        <w:trPr>
          <w:trHeight w:val="340" w:hRule="atLeast"/>
        </w:trPr>
        <w:tc>
          <w:tcPr>
            <w:tcW w:w="463" w:type="pct"/>
            <w:tcBorders>
              <w:top w:val="single" w:color="auto" w:sz="12" w:space="0"/>
              <w:left w:val="nil"/>
              <w:bottom w:val="single" w:color="auto" w:sz="6" w:space="0"/>
              <w:right w:val="single" w:color="auto" w:sz="6" w:space="0"/>
            </w:tcBorders>
            <w:vAlign w:val="center"/>
          </w:tcPr>
          <w:p w14:paraId="755C08FF">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时段</w:t>
            </w:r>
          </w:p>
        </w:tc>
        <w:tc>
          <w:tcPr>
            <w:tcW w:w="883" w:type="pct"/>
            <w:tcBorders>
              <w:top w:val="single" w:color="auto" w:sz="12" w:space="0"/>
              <w:left w:val="single" w:color="auto" w:sz="6" w:space="0"/>
              <w:bottom w:val="single" w:color="auto" w:sz="6" w:space="0"/>
              <w:right w:val="single" w:color="auto" w:sz="6" w:space="0"/>
            </w:tcBorders>
            <w:vAlign w:val="center"/>
          </w:tcPr>
          <w:p w14:paraId="66D221D6">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噪声设备</w:t>
            </w:r>
          </w:p>
        </w:tc>
        <w:tc>
          <w:tcPr>
            <w:tcW w:w="526" w:type="pct"/>
            <w:tcBorders>
              <w:top w:val="single" w:color="auto" w:sz="12" w:space="0"/>
              <w:left w:val="single" w:color="auto" w:sz="6" w:space="0"/>
              <w:bottom w:val="single" w:color="auto" w:sz="6" w:space="0"/>
              <w:right w:val="single" w:color="auto" w:sz="6" w:space="0"/>
            </w:tcBorders>
            <w:vAlign w:val="center"/>
          </w:tcPr>
          <w:p w14:paraId="2668EAAE">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数量（台）</w:t>
            </w:r>
          </w:p>
        </w:tc>
        <w:tc>
          <w:tcPr>
            <w:tcW w:w="608" w:type="pct"/>
            <w:tcBorders>
              <w:top w:val="single" w:color="auto" w:sz="12" w:space="0"/>
              <w:left w:val="single" w:color="auto" w:sz="6" w:space="0"/>
              <w:bottom w:val="single" w:color="auto" w:sz="6" w:space="0"/>
              <w:right w:val="single" w:color="auto" w:sz="6" w:space="0"/>
            </w:tcBorders>
            <w:vAlign w:val="center"/>
          </w:tcPr>
          <w:p w14:paraId="21FFEA2F">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单台源强</w:t>
            </w:r>
          </w:p>
        </w:tc>
        <w:tc>
          <w:tcPr>
            <w:tcW w:w="506" w:type="pct"/>
            <w:tcBorders>
              <w:top w:val="single" w:color="auto" w:sz="12" w:space="0"/>
              <w:left w:val="single" w:color="auto" w:sz="6" w:space="0"/>
              <w:bottom w:val="single" w:color="auto" w:sz="6" w:space="0"/>
              <w:right w:val="single" w:color="auto" w:sz="6" w:space="0"/>
            </w:tcBorders>
            <w:vAlign w:val="center"/>
          </w:tcPr>
          <w:p w14:paraId="71C7BFCC">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距声源</w:t>
            </w:r>
          </w:p>
        </w:tc>
        <w:tc>
          <w:tcPr>
            <w:tcW w:w="595" w:type="pct"/>
            <w:tcBorders>
              <w:top w:val="single" w:color="auto" w:sz="12" w:space="0"/>
              <w:left w:val="single" w:color="auto" w:sz="6" w:space="0"/>
              <w:bottom w:val="single" w:color="auto" w:sz="6" w:space="0"/>
              <w:right w:val="single" w:color="auto" w:sz="6" w:space="0"/>
            </w:tcBorders>
            <w:vAlign w:val="center"/>
          </w:tcPr>
          <w:p w14:paraId="1715F431">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噪声特性</w:t>
            </w:r>
          </w:p>
        </w:tc>
        <w:tc>
          <w:tcPr>
            <w:tcW w:w="736" w:type="pct"/>
            <w:tcBorders>
              <w:top w:val="single" w:color="auto" w:sz="12" w:space="0"/>
              <w:left w:val="single" w:color="auto" w:sz="6" w:space="0"/>
              <w:bottom w:val="single" w:color="auto" w:sz="6" w:space="0"/>
              <w:right w:val="single" w:color="auto" w:sz="6" w:space="0"/>
            </w:tcBorders>
            <w:vAlign w:val="center"/>
          </w:tcPr>
          <w:p w14:paraId="4045B1AD">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排放时间</w:t>
            </w:r>
          </w:p>
        </w:tc>
        <w:tc>
          <w:tcPr>
            <w:tcW w:w="683" w:type="pct"/>
            <w:tcBorders>
              <w:top w:val="single" w:color="auto" w:sz="12" w:space="0"/>
              <w:left w:val="single" w:color="auto" w:sz="6" w:space="0"/>
              <w:bottom w:val="single" w:color="auto" w:sz="6" w:space="0"/>
              <w:right w:val="nil"/>
            </w:tcBorders>
            <w:vAlign w:val="center"/>
          </w:tcPr>
          <w:p w14:paraId="4CBE0453">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声源种类</w:t>
            </w:r>
          </w:p>
        </w:tc>
      </w:tr>
      <w:tr w14:paraId="44215DC0">
        <w:tblPrEx>
          <w:tblCellMar>
            <w:top w:w="0" w:type="dxa"/>
            <w:left w:w="108" w:type="dxa"/>
            <w:bottom w:w="0" w:type="dxa"/>
            <w:right w:w="108" w:type="dxa"/>
          </w:tblCellMar>
        </w:tblPrEx>
        <w:trPr>
          <w:trHeight w:val="340" w:hRule="atLeast"/>
        </w:trPr>
        <w:tc>
          <w:tcPr>
            <w:tcW w:w="463" w:type="pct"/>
            <w:vMerge w:val="restart"/>
            <w:tcBorders>
              <w:top w:val="single" w:color="auto" w:sz="6" w:space="0"/>
              <w:left w:val="nil"/>
              <w:bottom w:val="single" w:color="auto" w:sz="6" w:space="0"/>
              <w:right w:val="single" w:color="auto" w:sz="6" w:space="0"/>
            </w:tcBorders>
            <w:vAlign w:val="center"/>
          </w:tcPr>
          <w:p w14:paraId="3D88267A">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w:t>
            </w:r>
          </w:p>
          <w:p w14:paraId="2B38E479">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期</w:t>
            </w:r>
          </w:p>
        </w:tc>
        <w:tc>
          <w:tcPr>
            <w:tcW w:w="883" w:type="pct"/>
            <w:tcBorders>
              <w:top w:val="single" w:color="auto" w:sz="6" w:space="0"/>
              <w:left w:val="single" w:color="auto" w:sz="6" w:space="0"/>
              <w:bottom w:val="single" w:color="auto" w:sz="6" w:space="0"/>
              <w:right w:val="single" w:color="auto" w:sz="6" w:space="0"/>
            </w:tcBorders>
            <w:vAlign w:val="center"/>
          </w:tcPr>
          <w:p w14:paraId="40A1BABE">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钻井设备</w:t>
            </w:r>
          </w:p>
        </w:tc>
        <w:tc>
          <w:tcPr>
            <w:tcW w:w="526" w:type="pct"/>
            <w:tcBorders>
              <w:top w:val="single" w:color="auto" w:sz="6" w:space="0"/>
              <w:left w:val="single" w:color="auto" w:sz="6" w:space="0"/>
              <w:bottom w:val="single" w:color="auto" w:sz="6" w:space="0"/>
              <w:right w:val="single" w:color="auto" w:sz="6" w:space="0"/>
            </w:tcBorders>
            <w:vAlign w:val="center"/>
          </w:tcPr>
          <w:p w14:paraId="1785DB20">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08" w:type="pct"/>
            <w:tcBorders>
              <w:top w:val="single" w:color="auto" w:sz="6" w:space="0"/>
              <w:left w:val="single" w:color="auto" w:sz="6" w:space="0"/>
              <w:bottom w:val="single" w:color="auto" w:sz="6" w:space="0"/>
              <w:right w:val="single" w:color="auto" w:sz="6" w:space="0"/>
            </w:tcBorders>
            <w:vAlign w:val="center"/>
          </w:tcPr>
          <w:p w14:paraId="053414C6">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w:t>
            </w:r>
          </w:p>
        </w:tc>
        <w:tc>
          <w:tcPr>
            <w:tcW w:w="506" w:type="pct"/>
            <w:tcBorders>
              <w:top w:val="single" w:color="auto" w:sz="6" w:space="0"/>
              <w:left w:val="single" w:color="auto" w:sz="6" w:space="0"/>
              <w:bottom w:val="single" w:color="auto" w:sz="6" w:space="0"/>
              <w:right w:val="single" w:color="auto" w:sz="6" w:space="0"/>
            </w:tcBorders>
            <w:vAlign w:val="center"/>
          </w:tcPr>
          <w:p w14:paraId="3A0DA19C">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1m</w:t>
            </w:r>
          </w:p>
        </w:tc>
        <w:tc>
          <w:tcPr>
            <w:tcW w:w="595" w:type="pct"/>
            <w:tcBorders>
              <w:top w:val="single" w:color="auto" w:sz="6" w:space="0"/>
              <w:left w:val="single" w:color="auto" w:sz="6" w:space="0"/>
              <w:bottom w:val="single" w:color="auto" w:sz="6" w:space="0"/>
              <w:right w:val="single" w:color="auto" w:sz="6" w:space="0"/>
            </w:tcBorders>
            <w:vAlign w:val="center"/>
          </w:tcPr>
          <w:p w14:paraId="37FDA18F">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机械</w:t>
            </w:r>
          </w:p>
        </w:tc>
        <w:tc>
          <w:tcPr>
            <w:tcW w:w="736" w:type="pct"/>
            <w:tcBorders>
              <w:top w:val="single" w:color="auto" w:sz="6" w:space="0"/>
              <w:left w:val="single" w:color="auto" w:sz="6" w:space="0"/>
              <w:bottom w:val="single" w:color="auto" w:sz="6" w:space="0"/>
              <w:right w:val="single" w:color="auto" w:sz="6" w:space="0"/>
            </w:tcBorders>
            <w:vAlign w:val="center"/>
          </w:tcPr>
          <w:p w14:paraId="182BB428">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昼夜连续</w:t>
            </w:r>
          </w:p>
        </w:tc>
        <w:tc>
          <w:tcPr>
            <w:tcW w:w="683" w:type="pct"/>
            <w:tcBorders>
              <w:top w:val="single" w:color="auto" w:sz="6" w:space="0"/>
              <w:left w:val="single" w:color="auto" w:sz="6" w:space="0"/>
              <w:bottom w:val="single" w:color="auto" w:sz="6" w:space="0"/>
              <w:right w:val="nil"/>
            </w:tcBorders>
            <w:vAlign w:val="center"/>
          </w:tcPr>
          <w:p w14:paraId="5FAB27C3">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固定声源</w:t>
            </w:r>
          </w:p>
        </w:tc>
      </w:tr>
      <w:tr w14:paraId="37B30801">
        <w:tblPrEx>
          <w:tblCellMar>
            <w:top w:w="0" w:type="dxa"/>
            <w:left w:w="108" w:type="dxa"/>
            <w:bottom w:w="0" w:type="dxa"/>
            <w:right w:w="108" w:type="dxa"/>
          </w:tblCellMar>
        </w:tblPrEx>
        <w:trPr>
          <w:trHeight w:val="340" w:hRule="atLeast"/>
        </w:trPr>
        <w:tc>
          <w:tcPr>
            <w:tcW w:w="0" w:type="auto"/>
            <w:vMerge w:val="continue"/>
            <w:tcBorders>
              <w:top w:val="single" w:color="auto" w:sz="6" w:space="0"/>
              <w:left w:val="nil"/>
              <w:bottom w:val="single" w:color="auto" w:sz="6" w:space="0"/>
              <w:right w:val="single" w:color="auto" w:sz="6" w:space="0"/>
            </w:tcBorders>
            <w:vAlign w:val="center"/>
          </w:tcPr>
          <w:p w14:paraId="4F165688">
            <w:pPr>
              <w:pStyle w:val="210"/>
              <w:spacing w:line="260" w:lineRule="exact"/>
              <w:rPr>
                <w:rFonts w:hint="eastAsia"/>
                <w:color w:val="000000" w:themeColor="text1"/>
                <w14:textFill>
                  <w14:solidFill>
                    <w14:schemeClr w14:val="tx1"/>
                  </w14:solidFill>
                </w14:textFill>
              </w:rPr>
            </w:pPr>
          </w:p>
        </w:tc>
        <w:tc>
          <w:tcPr>
            <w:tcW w:w="883" w:type="pct"/>
            <w:tcBorders>
              <w:top w:val="single" w:color="auto" w:sz="6" w:space="0"/>
              <w:left w:val="single" w:color="auto" w:sz="6" w:space="0"/>
              <w:bottom w:val="single" w:color="auto" w:sz="6" w:space="0"/>
              <w:right w:val="single" w:color="auto" w:sz="6" w:space="0"/>
            </w:tcBorders>
            <w:vAlign w:val="center"/>
          </w:tcPr>
          <w:p w14:paraId="270279B2">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钻井液泵</w:t>
            </w:r>
          </w:p>
        </w:tc>
        <w:tc>
          <w:tcPr>
            <w:tcW w:w="526" w:type="pct"/>
            <w:tcBorders>
              <w:top w:val="single" w:color="auto" w:sz="6" w:space="0"/>
              <w:left w:val="single" w:color="auto" w:sz="6" w:space="0"/>
              <w:bottom w:val="single" w:color="auto" w:sz="6" w:space="0"/>
              <w:right w:val="single" w:color="auto" w:sz="6" w:space="0"/>
            </w:tcBorders>
            <w:vAlign w:val="center"/>
          </w:tcPr>
          <w:p w14:paraId="250376C9">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08" w:type="pct"/>
            <w:tcBorders>
              <w:top w:val="single" w:color="auto" w:sz="6" w:space="0"/>
              <w:left w:val="single" w:color="auto" w:sz="6" w:space="0"/>
              <w:bottom w:val="single" w:color="auto" w:sz="6" w:space="0"/>
              <w:right w:val="single" w:color="auto" w:sz="6" w:space="0"/>
            </w:tcBorders>
            <w:vAlign w:val="center"/>
          </w:tcPr>
          <w:p w14:paraId="10F0BDB0">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w:t>
            </w:r>
          </w:p>
        </w:tc>
        <w:tc>
          <w:tcPr>
            <w:tcW w:w="506" w:type="pct"/>
            <w:tcBorders>
              <w:top w:val="single" w:color="auto" w:sz="6" w:space="0"/>
              <w:left w:val="single" w:color="auto" w:sz="6" w:space="0"/>
              <w:bottom w:val="single" w:color="auto" w:sz="6" w:space="0"/>
              <w:right w:val="single" w:color="auto" w:sz="6" w:space="0"/>
            </w:tcBorders>
            <w:vAlign w:val="center"/>
          </w:tcPr>
          <w:p w14:paraId="7EA9B30B">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1m</w:t>
            </w:r>
          </w:p>
        </w:tc>
        <w:tc>
          <w:tcPr>
            <w:tcW w:w="595" w:type="pct"/>
            <w:tcBorders>
              <w:top w:val="single" w:color="auto" w:sz="6" w:space="0"/>
              <w:left w:val="single" w:color="auto" w:sz="6" w:space="0"/>
              <w:bottom w:val="single" w:color="auto" w:sz="6" w:space="0"/>
              <w:right w:val="single" w:color="auto" w:sz="6" w:space="0"/>
            </w:tcBorders>
            <w:vAlign w:val="center"/>
          </w:tcPr>
          <w:p w14:paraId="4F46B058">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机械</w:t>
            </w:r>
          </w:p>
        </w:tc>
        <w:tc>
          <w:tcPr>
            <w:tcW w:w="736" w:type="pct"/>
            <w:tcBorders>
              <w:top w:val="single" w:color="auto" w:sz="6" w:space="0"/>
              <w:left w:val="single" w:color="auto" w:sz="6" w:space="0"/>
              <w:bottom w:val="single" w:color="auto" w:sz="6" w:space="0"/>
              <w:right w:val="single" w:color="auto" w:sz="6" w:space="0"/>
            </w:tcBorders>
            <w:vAlign w:val="center"/>
          </w:tcPr>
          <w:p w14:paraId="65E809D7">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昼夜连续</w:t>
            </w:r>
          </w:p>
        </w:tc>
        <w:tc>
          <w:tcPr>
            <w:tcW w:w="683" w:type="pct"/>
            <w:tcBorders>
              <w:top w:val="single" w:color="auto" w:sz="6" w:space="0"/>
              <w:left w:val="single" w:color="auto" w:sz="6" w:space="0"/>
              <w:bottom w:val="single" w:color="auto" w:sz="6" w:space="0"/>
              <w:right w:val="nil"/>
            </w:tcBorders>
            <w:vAlign w:val="center"/>
          </w:tcPr>
          <w:p w14:paraId="11CE7033">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固定声源</w:t>
            </w:r>
          </w:p>
        </w:tc>
      </w:tr>
      <w:tr w14:paraId="45B5AC88">
        <w:tblPrEx>
          <w:tblCellMar>
            <w:top w:w="0" w:type="dxa"/>
            <w:left w:w="108" w:type="dxa"/>
            <w:bottom w:w="0" w:type="dxa"/>
            <w:right w:w="108" w:type="dxa"/>
          </w:tblCellMar>
        </w:tblPrEx>
        <w:trPr>
          <w:trHeight w:val="340" w:hRule="atLeast"/>
        </w:trPr>
        <w:tc>
          <w:tcPr>
            <w:tcW w:w="0" w:type="auto"/>
            <w:vMerge w:val="continue"/>
            <w:tcBorders>
              <w:top w:val="single" w:color="auto" w:sz="6" w:space="0"/>
              <w:left w:val="nil"/>
              <w:bottom w:val="single" w:color="auto" w:sz="6" w:space="0"/>
              <w:right w:val="single" w:color="auto" w:sz="6" w:space="0"/>
            </w:tcBorders>
            <w:vAlign w:val="center"/>
          </w:tcPr>
          <w:p w14:paraId="6A46E008">
            <w:pPr>
              <w:pStyle w:val="210"/>
              <w:spacing w:line="260" w:lineRule="exact"/>
              <w:rPr>
                <w:rFonts w:hint="eastAsia"/>
                <w:color w:val="000000" w:themeColor="text1"/>
                <w14:textFill>
                  <w14:solidFill>
                    <w14:schemeClr w14:val="tx1"/>
                  </w14:solidFill>
                </w14:textFill>
              </w:rPr>
            </w:pPr>
          </w:p>
        </w:tc>
        <w:tc>
          <w:tcPr>
            <w:tcW w:w="883" w:type="pct"/>
            <w:tcBorders>
              <w:top w:val="single" w:color="auto" w:sz="6" w:space="0"/>
              <w:left w:val="single" w:color="auto" w:sz="6" w:space="0"/>
              <w:bottom w:val="single" w:color="auto" w:sz="6" w:space="0"/>
              <w:right w:val="single" w:color="auto" w:sz="6" w:space="0"/>
            </w:tcBorders>
            <w:vAlign w:val="center"/>
          </w:tcPr>
          <w:p w14:paraId="3C0D92A9">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振动筛</w:t>
            </w:r>
          </w:p>
        </w:tc>
        <w:tc>
          <w:tcPr>
            <w:tcW w:w="526" w:type="pct"/>
            <w:tcBorders>
              <w:top w:val="single" w:color="auto" w:sz="6" w:space="0"/>
              <w:left w:val="single" w:color="auto" w:sz="6" w:space="0"/>
              <w:bottom w:val="single" w:color="auto" w:sz="6" w:space="0"/>
              <w:right w:val="single" w:color="auto" w:sz="6" w:space="0"/>
            </w:tcBorders>
            <w:vAlign w:val="center"/>
          </w:tcPr>
          <w:p w14:paraId="6FC02B9E">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08" w:type="pct"/>
            <w:tcBorders>
              <w:top w:val="single" w:color="auto" w:sz="6" w:space="0"/>
              <w:left w:val="single" w:color="auto" w:sz="6" w:space="0"/>
              <w:bottom w:val="single" w:color="auto" w:sz="6" w:space="0"/>
              <w:right w:val="single" w:color="auto" w:sz="6" w:space="0"/>
            </w:tcBorders>
            <w:vAlign w:val="center"/>
          </w:tcPr>
          <w:p w14:paraId="3A563E84">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506" w:type="pct"/>
            <w:tcBorders>
              <w:top w:val="single" w:color="auto" w:sz="6" w:space="0"/>
              <w:left w:val="single" w:color="auto" w:sz="6" w:space="0"/>
              <w:bottom w:val="single" w:color="auto" w:sz="6" w:space="0"/>
              <w:right w:val="single" w:color="auto" w:sz="6" w:space="0"/>
            </w:tcBorders>
            <w:vAlign w:val="center"/>
          </w:tcPr>
          <w:p w14:paraId="19A91A02">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1m</w:t>
            </w:r>
          </w:p>
        </w:tc>
        <w:tc>
          <w:tcPr>
            <w:tcW w:w="595" w:type="pct"/>
            <w:tcBorders>
              <w:top w:val="single" w:color="auto" w:sz="6" w:space="0"/>
              <w:left w:val="single" w:color="auto" w:sz="6" w:space="0"/>
              <w:bottom w:val="single" w:color="auto" w:sz="6" w:space="0"/>
              <w:right w:val="single" w:color="auto" w:sz="6" w:space="0"/>
            </w:tcBorders>
            <w:vAlign w:val="center"/>
          </w:tcPr>
          <w:p w14:paraId="07578038">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机械</w:t>
            </w:r>
          </w:p>
        </w:tc>
        <w:tc>
          <w:tcPr>
            <w:tcW w:w="736" w:type="pct"/>
            <w:tcBorders>
              <w:top w:val="single" w:color="auto" w:sz="6" w:space="0"/>
              <w:left w:val="single" w:color="auto" w:sz="6" w:space="0"/>
              <w:bottom w:val="single" w:color="auto" w:sz="6" w:space="0"/>
              <w:right w:val="single" w:color="auto" w:sz="6" w:space="0"/>
            </w:tcBorders>
            <w:vAlign w:val="center"/>
          </w:tcPr>
          <w:p w14:paraId="42DE8E61">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昼夜连续</w:t>
            </w:r>
          </w:p>
        </w:tc>
        <w:tc>
          <w:tcPr>
            <w:tcW w:w="683" w:type="pct"/>
            <w:tcBorders>
              <w:top w:val="single" w:color="auto" w:sz="6" w:space="0"/>
              <w:left w:val="single" w:color="auto" w:sz="6" w:space="0"/>
              <w:bottom w:val="single" w:color="auto" w:sz="6" w:space="0"/>
              <w:right w:val="nil"/>
            </w:tcBorders>
            <w:vAlign w:val="center"/>
          </w:tcPr>
          <w:p w14:paraId="6F08F541">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固定声源</w:t>
            </w:r>
          </w:p>
        </w:tc>
      </w:tr>
      <w:tr w14:paraId="64C19A86">
        <w:tblPrEx>
          <w:tblCellMar>
            <w:top w:w="0" w:type="dxa"/>
            <w:left w:w="108" w:type="dxa"/>
            <w:bottom w:w="0" w:type="dxa"/>
            <w:right w:w="108" w:type="dxa"/>
          </w:tblCellMar>
        </w:tblPrEx>
        <w:trPr>
          <w:trHeight w:val="340" w:hRule="atLeast"/>
        </w:trPr>
        <w:tc>
          <w:tcPr>
            <w:tcW w:w="0" w:type="auto"/>
            <w:vMerge w:val="continue"/>
            <w:tcBorders>
              <w:top w:val="single" w:color="auto" w:sz="6" w:space="0"/>
              <w:left w:val="nil"/>
              <w:bottom w:val="single" w:color="auto" w:sz="6" w:space="0"/>
              <w:right w:val="single" w:color="auto" w:sz="6" w:space="0"/>
            </w:tcBorders>
            <w:vAlign w:val="center"/>
          </w:tcPr>
          <w:p w14:paraId="65A8C93A">
            <w:pPr>
              <w:pStyle w:val="210"/>
              <w:spacing w:line="260" w:lineRule="exact"/>
              <w:rPr>
                <w:rFonts w:hint="eastAsia"/>
                <w:color w:val="000000" w:themeColor="text1"/>
                <w14:textFill>
                  <w14:solidFill>
                    <w14:schemeClr w14:val="tx1"/>
                  </w14:solidFill>
                </w14:textFill>
              </w:rPr>
            </w:pPr>
          </w:p>
        </w:tc>
        <w:tc>
          <w:tcPr>
            <w:tcW w:w="883" w:type="pct"/>
            <w:tcBorders>
              <w:top w:val="single" w:color="auto" w:sz="6" w:space="0"/>
              <w:left w:val="single" w:color="auto" w:sz="6" w:space="0"/>
              <w:bottom w:val="single" w:color="auto" w:sz="6" w:space="0"/>
              <w:right w:val="single" w:color="auto" w:sz="6" w:space="0"/>
            </w:tcBorders>
            <w:vAlign w:val="center"/>
          </w:tcPr>
          <w:p w14:paraId="173C9E86">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柴油发电机</w:t>
            </w:r>
          </w:p>
        </w:tc>
        <w:tc>
          <w:tcPr>
            <w:tcW w:w="526" w:type="pct"/>
            <w:tcBorders>
              <w:top w:val="single" w:color="auto" w:sz="6" w:space="0"/>
              <w:left w:val="single" w:color="auto" w:sz="6" w:space="0"/>
              <w:bottom w:val="single" w:color="auto" w:sz="6" w:space="0"/>
              <w:right w:val="single" w:color="auto" w:sz="6" w:space="0"/>
            </w:tcBorders>
            <w:vAlign w:val="center"/>
          </w:tcPr>
          <w:p w14:paraId="0B9A361A">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08" w:type="pct"/>
            <w:tcBorders>
              <w:top w:val="single" w:color="auto" w:sz="6" w:space="0"/>
              <w:left w:val="single" w:color="auto" w:sz="6" w:space="0"/>
              <w:bottom w:val="single" w:color="auto" w:sz="6" w:space="0"/>
              <w:right w:val="single" w:color="auto" w:sz="6" w:space="0"/>
            </w:tcBorders>
            <w:vAlign w:val="center"/>
          </w:tcPr>
          <w:p w14:paraId="361A387F">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85</w:t>
            </w:r>
          </w:p>
        </w:tc>
        <w:tc>
          <w:tcPr>
            <w:tcW w:w="506" w:type="pct"/>
            <w:tcBorders>
              <w:top w:val="single" w:color="auto" w:sz="6" w:space="0"/>
              <w:left w:val="single" w:color="auto" w:sz="6" w:space="0"/>
              <w:bottom w:val="single" w:color="auto" w:sz="6" w:space="0"/>
              <w:right w:val="single" w:color="auto" w:sz="6" w:space="0"/>
            </w:tcBorders>
            <w:vAlign w:val="center"/>
          </w:tcPr>
          <w:p w14:paraId="26F62AB1">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1m</w:t>
            </w:r>
          </w:p>
        </w:tc>
        <w:tc>
          <w:tcPr>
            <w:tcW w:w="595" w:type="pct"/>
            <w:tcBorders>
              <w:top w:val="single" w:color="auto" w:sz="6" w:space="0"/>
              <w:left w:val="single" w:color="auto" w:sz="6" w:space="0"/>
              <w:bottom w:val="single" w:color="auto" w:sz="6" w:space="0"/>
              <w:right w:val="single" w:color="auto" w:sz="6" w:space="0"/>
            </w:tcBorders>
            <w:vAlign w:val="center"/>
          </w:tcPr>
          <w:p w14:paraId="4CD097E0">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机械</w:t>
            </w:r>
          </w:p>
        </w:tc>
        <w:tc>
          <w:tcPr>
            <w:tcW w:w="736" w:type="pct"/>
            <w:tcBorders>
              <w:top w:val="single" w:color="auto" w:sz="6" w:space="0"/>
              <w:left w:val="single" w:color="auto" w:sz="6" w:space="0"/>
              <w:bottom w:val="single" w:color="auto" w:sz="6" w:space="0"/>
              <w:right w:val="single" w:color="auto" w:sz="6" w:space="0"/>
            </w:tcBorders>
            <w:vAlign w:val="center"/>
          </w:tcPr>
          <w:p w14:paraId="795F4277">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昼夜连续</w:t>
            </w:r>
          </w:p>
        </w:tc>
        <w:tc>
          <w:tcPr>
            <w:tcW w:w="683" w:type="pct"/>
            <w:tcBorders>
              <w:top w:val="single" w:color="auto" w:sz="6" w:space="0"/>
              <w:left w:val="single" w:color="auto" w:sz="6" w:space="0"/>
              <w:bottom w:val="single" w:color="auto" w:sz="6" w:space="0"/>
              <w:right w:val="nil"/>
            </w:tcBorders>
            <w:vAlign w:val="center"/>
          </w:tcPr>
          <w:p w14:paraId="5685C41E">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固定声源</w:t>
            </w:r>
          </w:p>
        </w:tc>
      </w:tr>
      <w:tr w14:paraId="3C21DC89">
        <w:tblPrEx>
          <w:tblCellMar>
            <w:top w:w="0" w:type="dxa"/>
            <w:left w:w="108" w:type="dxa"/>
            <w:bottom w:w="0" w:type="dxa"/>
            <w:right w:w="108" w:type="dxa"/>
          </w:tblCellMar>
        </w:tblPrEx>
        <w:trPr>
          <w:trHeight w:val="340" w:hRule="atLeast"/>
        </w:trPr>
        <w:tc>
          <w:tcPr>
            <w:tcW w:w="0" w:type="auto"/>
            <w:vMerge w:val="continue"/>
            <w:tcBorders>
              <w:top w:val="single" w:color="auto" w:sz="6" w:space="0"/>
              <w:left w:val="nil"/>
              <w:bottom w:val="single" w:color="auto" w:sz="6" w:space="0"/>
              <w:right w:val="single" w:color="auto" w:sz="6" w:space="0"/>
            </w:tcBorders>
            <w:vAlign w:val="center"/>
          </w:tcPr>
          <w:p w14:paraId="7251E889">
            <w:pPr>
              <w:pStyle w:val="210"/>
              <w:spacing w:line="260" w:lineRule="exact"/>
              <w:rPr>
                <w:rFonts w:hint="eastAsia"/>
                <w:color w:val="000000" w:themeColor="text1"/>
                <w14:textFill>
                  <w14:solidFill>
                    <w14:schemeClr w14:val="tx1"/>
                  </w14:solidFill>
                </w14:textFill>
              </w:rPr>
            </w:pPr>
          </w:p>
        </w:tc>
        <w:tc>
          <w:tcPr>
            <w:tcW w:w="883" w:type="pct"/>
            <w:tcBorders>
              <w:top w:val="single" w:color="auto" w:sz="6" w:space="0"/>
              <w:left w:val="single" w:color="auto" w:sz="6" w:space="0"/>
              <w:bottom w:val="single" w:color="auto" w:sz="6" w:space="0"/>
              <w:right w:val="single" w:color="auto" w:sz="6" w:space="0"/>
            </w:tcBorders>
            <w:vAlign w:val="center"/>
          </w:tcPr>
          <w:p w14:paraId="4B52B226">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柴油机</w:t>
            </w:r>
          </w:p>
        </w:tc>
        <w:tc>
          <w:tcPr>
            <w:tcW w:w="526" w:type="pct"/>
            <w:tcBorders>
              <w:top w:val="single" w:color="auto" w:sz="6" w:space="0"/>
              <w:left w:val="single" w:color="auto" w:sz="6" w:space="0"/>
              <w:bottom w:val="single" w:color="auto" w:sz="6" w:space="0"/>
              <w:right w:val="single" w:color="auto" w:sz="6" w:space="0"/>
            </w:tcBorders>
            <w:vAlign w:val="center"/>
          </w:tcPr>
          <w:p w14:paraId="3E8948AD">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08" w:type="pct"/>
            <w:tcBorders>
              <w:top w:val="single" w:color="auto" w:sz="6" w:space="0"/>
              <w:left w:val="single" w:color="auto" w:sz="6" w:space="0"/>
              <w:bottom w:val="single" w:color="auto" w:sz="6" w:space="0"/>
              <w:right w:val="single" w:color="auto" w:sz="6" w:space="0"/>
            </w:tcBorders>
            <w:vAlign w:val="center"/>
          </w:tcPr>
          <w:p w14:paraId="33B5EBC4">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95</w:t>
            </w:r>
          </w:p>
        </w:tc>
        <w:tc>
          <w:tcPr>
            <w:tcW w:w="506" w:type="pct"/>
            <w:tcBorders>
              <w:top w:val="single" w:color="auto" w:sz="6" w:space="0"/>
              <w:left w:val="single" w:color="auto" w:sz="6" w:space="0"/>
              <w:bottom w:val="single" w:color="auto" w:sz="6" w:space="0"/>
              <w:right w:val="single" w:color="auto" w:sz="6" w:space="0"/>
            </w:tcBorders>
            <w:vAlign w:val="center"/>
          </w:tcPr>
          <w:p w14:paraId="65228CA7">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1m</w:t>
            </w:r>
          </w:p>
        </w:tc>
        <w:tc>
          <w:tcPr>
            <w:tcW w:w="595" w:type="pct"/>
            <w:tcBorders>
              <w:top w:val="single" w:color="auto" w:sz="6" w:space="0"/>
              <w:left w:val="single" w:color="auto" w:sz="6" w:space="0"/>
              <w:bottom w:val="single" w:color="auto" w:sz="6" w:space="0"/>
              <w:right w:val="single" w:color="auto" w:sz="6" w:space="0"/>
            </w:tcBorders>
            <w:vAlign w:val="center"/>
          </w:tcPr>
          <w:p w14:paraId="797AC353">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机械</w:t>
            </w:r>
          </w:p>
        </w:tc>
        <w:tc>
          <w:tcPr>
            <w:tcW w:w="736" w:type="pct"/>
            <w:tcBorders>
              <w:top w:val="single" w:color="auto" w:sz="6" w:space="0"/>
              <w:left w:val="single" w:color="auto" w:sz="6" w:space="0"/>
              <w:bottom w:val="single" w:color="auto" w:sz="6" w:space="0"/>
              <w:right w:val="single" w:color="auto" w:sz="6" w:space="0"/>
            </w:tcBorders>
            <w:vAlign w:val="center"/>
          </w:tcPr>
          <w:p w14:paraId="75A42D20">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昼夜连续</w:t>
            </w:r>
          </w:p>
        </w:tc>
        <w:tc>
          <w:tcPr>
            <w:tcW w:w="683" w:type="pct"/>
            <w:tcBorders>
              <w:top w:val="single" w:color="auto" w:sz="6" w:space="0"/>
              <w:left w:val="single" w:color="auto" w:sz="6" w:space="0"/>
              <w:bottom w:val="single" w:color="auto" w:sz="6" w:space="0"/>
              <w:right w:val="nil"/>
            </w:tcBorders>
            <w:vAlign w:val="center"/>
          </w:tcPr>
          <w:p w14:paraId="36642D12">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固定声源</w:t>
            </w:r>
          </w:p>
        </w:tc>
      </w:tr>
      <w:tr w14:paraId="1B8C6D19">
        <w:tblPrEx>
          <w:tblCellMar>
            <w:top w:w="0" w:type="dxa"/>
            <w:left w:w="108" w:type="dxa"/>
            <w:bottom w:w="0" w:type="dxa"/>
            <w:right w:w="108" w:type="dxa"/>
          </w:tblCellMar>
        </w:tblPrEx>
        <w:trPr>
          <w:trHeight w:val="340" w:hRule="atLeast"/>
        </w:trPr>
        <w:tc>
          <w:tcPr>
            <w:tcW w:w="463" w:type="pct"/>
            <w:vMerge w:val="restart"/>
            <w:tcBorders>
              <w:top w:val="single" w:color="auto" w:sz="6" w:space="0"/>
              <w:left w:val="nil"/>
              <w:bottom w:val="single" w:color="auto" w:sz="12" w:space="0"/>
              <w:right w:val="single" w:color="auto" w:sz="6" w:space="0"/>
            </w:tcBorders>
            <w:vAlign w:val="center"/>
          </w:tcPr>
          <w:p w14:paraId="7A165B2B">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储层改造阶段</w:t>
            </w:r>
          </w:p>
        </w:tc>
        <w:tc>
          <w:tcPr>
            <w:tcW w:w="883" w:type="pct"/>
            <w:tcBorders>
              <w:top w:val="single" w:color="auto" w:sz="6" w:space="0"/>
              <w:left w:val="single" w:color="auto" w:sz="6" w:space="0"/>
              <w:bottom w:val="single" w:color="auto" w:sz="6" w:space="0"/>
              <w:right w:val="single" w:color="auto" w:sz="6" w:space="0"/>
            </w:tcBorders>
            <w:vAlign w:val="center"/>
          </w:tcPr>
          <w:p w14:paraId="46B473F0">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压裂车</w:t>
            </w:r>
          </w:p>
        </w:tc>
        <w:tc>
          <w:tcPr>
            <w:tcW w:w="526" w:type="pct"/>
            <w:tcBorders>
              <w:top w:val="single" w:color="auto" w:sz="6" w:space="0"/>
              <w:left w:val="single" w:color="auto" w:sz="6" w:space="0"/>
              <w:bottom w:val="single" w:color="auto" w:sz="6" w:space="0"/>
              <w:right w:val="single" w:color="auto" w:sz="6" w:space="0"/>
            </w:tcBorders>
            <w:vAlign w:val="center"/>
          </w:tcPr>
          <w:p w14:paraId="13D086A5">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608" w:type="pct"/>
            <w:tcBorders>
              <w:top w:val="single" w:color="auto" w:sz="6" w:space="0"/>
              <w:left w:val="single" w:color="auto" w:sz="6" w:space="0"/>
              <w:bottom w:val="single" w:color="auto" w:sz="6" w:space="0"/>
              <w:right w:val="single" w:color="auto" w:sz="6" w:space="0"/>
            </w:tcBorders>
            <w:vAlign w:val="center"/>
          </w:tcPr>
          <w:p w14:paraId="41CA3438">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506" w:type="pct"/>
            <w:tcBorders>
              <w:top w:val="single" w:color="auto" w:sz="6" w:space="0"/>
              <w:left w:val="single" w:color="auto" w:sz="6" w:space="0"/>
              <w:bottom w:val="single" w:color="auto" w:sz="6" w:space="0"/>
              <w:right w:val="single" w:color="auto" w:sz="6" w:space="0"/>
            </w:tcBorders>
            <w:vAlign w:val="center"/>
          </w:tcPr>
          <w:p w14:paraId="05421EBD">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1m</w:t>
            </w:r>
          </w:p>
        </w:tc>
        <w:tc>
          <w:tcPr>
            <w:tcW w:w="595" w:type="pct"/>
            <w:tcBorders>
              <w:top w:val="single" w:color="auto" w:sz="6" w:space="0"/>
              <w:left w:val="single" w:color="auto" w:sz="6" w:space="0"/>
              <w:bottom w:val="single" w:color="auto" w:sz="6" w:space="0"/>
              <w:right w:val="single" w:color="auto" w:sz="6" w:space="0"/>
            </w:tcBorders>
            <w:vAlign w:val="center"/>
          </w:tcPr>
          <w:p w14:paraId="54A1FCB2">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机械</w:t>
            </w:r>
          </w:p>
        </w:tc>
        <w:tc>
          <w:tcPr>
            <w:tcW w:w="736" w:type="pct"/>
            <w:tcBorders>
              <w:top w:val="single" w:color="auto" w:sz="6" w:space="0"/>
              <w:left w:val="single" w:color="auto" w:sz="6" w:space="0"/>
              <w:bottom w:val="single" w:color="auto" w:sz="6" w:space="0"/>
              <w:right w:val="single" w:color="auto" w:sz="6" w:space="0"/>
            </w:tcBorders>
            <w:vAlign w:val="center"/>
          </w:tcPr>
          <w:p w14:paraId="65680FCE">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昼夜连续</w:t>
            </w:r>
          </w:p>
        </w:tc>
        <w:tc>
          <w:tcPr>
            <w:tcW w:w="683" w:type="pct"/>
            <w:tcBorders>
              <w:top w:val="single" w:color="auto" w:sz="6" w:space="0"/>
              <w:left w:val="single" w:color="auto" w:sz="6" w:space="0"/>
              <w:bottom w:val="single" w:color="auto" w:sz="6" w:space="0"/>
              <w:right w:val="nil"/>
            </w:tcBorders>
            <w:vAlign w:val="center"/>
          </w:tcPr>
          <w:p w14:paraId="64333530">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固定声源</w:t>
            </w:r>
          </w:p>
        </w:tc>
      </w:tr>
      <w:tr w14:paraId="0F5B53BB">
        <w:tblPrEx>
          <w:tblCellMar>
            <w:top w:w="0" w:type="dxa"/>
            <w:left w:w="108" w:type="dxa"/>
            <w:bottom w:w="0" w:type="dxa"/>
            <w:right w:w="108" w:type="dxa"/>
          </w:tblCellMar>
        </w:tblPrEx>
        <w:trPr>
          <w:trHeight w:val="340" w:hRule="atLeast"/>
        </w:trPr>
        <w:tc>
          <w:tcPr>
            <w:tcW w:w="0" w:type="auto"/>
            <w:vMerge w:val="continue"/>
            <w:tcBorders>
              <w:top w:val="single" w:color="auto" w:sz="6" w:space="0"/>
              <w:left w:val="nil"/>
              <w:bottom w:val="single" w:color="auto" w:sz="12" w:space="0"/>
              <w:right w:val="single" w:color="auto" w:sz="6" w:space="0"/>
            </w:tcBorders>
            <w:vAlign w:val="center"/>
          </w:tcPr>
          <w:p w14:paraId="754218D1">
            <w:pPr>
              <w:pStyle w:val="210"/>
              <w:spacing w:line="260" w:lineRule="exact"/>
              <w:rPr>
                <w:rFonts w:hint="eastAsia"/>
                <w:color w:val="000000" w:themeColor="text1"/>
                <w14:textFill>
                  <w14:solidFill>
                    <w14:schemeClr w14:val="tx1"/>
                  </w14:solidFill>
                </w14:textFill>
              </w:rPr>
            </w:pPr>
          </w:p>
        </w:tc>
        <w:tc>
          <w:tcPr>
            <w:tcW w:w="883" w:type="pct"/>
            <w:tcBorders>
              <w:top w:val="single" w:color="auto" w:sz="6" w:space="0"/>
              <w:left w:val="single" w:color="auto" w:sz="6" w:space="0"/>
              <w:bottom w:val="single" w:color="auto" w:sz="12" w:space="0"/>
              <w:right w:val="single" w:color="auto" w:sz="6" w:space="0"/>
            </w:tcBorders>
            <w:vAlign w:val="center"/>
          </w:tcPr>
          <w:p w14:paraId="03BF07BC">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射孔车</w:t>
            </w:r>
          </w:p>
        </w:tc>
        <w:tc>
          <w:tcPr>
            <w:tcW w:w="526" w:type="pct"/>
            <w:tcBorders>
              <w:top w:val="single" w:color="auto" w:sz="6" w:space="0"/>
              <w:left w:val="single" w:color="auto" w:sz="6" w:space="0"/>
              <w:bottom w:val="single" w:color="auto" w:sz="12" w:space="0"/>
              <w:right w:val="single" w:color="auto" w:sz="6" w:space="0"/>
            </w:tcBorders>
            <w:vAlign w:val="center"/>
          </w:tcPr>
          <w:p w14:paraId="529869DF">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08" w:type="pct"/>
            <w:tcBorders>
              <w:top w:val="single" w:color="auto" w:sz="6" w:space="0"/>
              <w:left w:val="single" w:color="auto" w:sz="6" w:space="0"/>
              <w:bottom w:val="single" w:color="auto" w:sz="12" w:space="0"/>
              <w:right w:val="single" w:color="auto" w:sz="6" w:space="0"/>
            </w:tcBorders>
            <w:vAlign w:val="center"/>
          </w:tcPr>
          <w:p w14:paraId="3C228127">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506" w:type="pct"/>
            <w:tcBorders>
              <w:top w:val="single" w:color="auto" w:sz="6" w:space="0"/>
              <w:left w:val="single" w:color="auto" w:sz="6" w:space="0"/>
              <w:bottom w:val="single" w:color="auto" w:sz="12" w:space="0"/>
              <w:right w:val="single" w:color="auto" w:sz="6" w:space="0"/>
            </w:tcBorders>
            <w:vAlign w:val="center"/>
          </w:tcPr>
          <w:p w14:paraId="12C199A6">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1m</w:t>
            </w:r>
          </w:p>
        </w:tc>
        <w:tc>
          <w:tcPr>
            <w:tcW w:w="595" w:type="pct"/>
            <w:tcBorders>
              <w:top w:val="single" w:color="auto" w:sz="6" w:space="0"/>
              <w:left w:val="single" w:color="auto" w:sz="6" w:space="0"/>
              <w:bottom w:val="single" w:color="auto" w:sz="12" w:space="0"/>
              <w:right w:val="single" w:color="auto" w:sz="6" w:space="0"/>
            </w:tcBorders>
            <w:vAlign w:val="center"/>
          </w:tcPr>
          <w:p w14:paraId="28303F09">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机械</w:t>
            </w:r>
          </w:p>
        </w:tc>
        <w:tc>
          <w:tcPr>
            <w:tcW w:w="736" w:type="pct"/>
            <w:tcBorders>
              <w:top w:val="single" w:color="auto" w:sz="6" w:space="0"/>
              <w:left w:val="single" w:color="auto" w:sz="6" w:space="0"/>
              <w:bottom w:val="single" w:color="auto" w:sz="12" w:space="0"/>
              <w:right w:val="single" w:color="auto" w:sz="6" w:space="0"/>
            </w:tcBorders>
            <w:vAlign w:val="center"/>
          </w:tcPr>
          <w:p w14:paraId="5DEF0BEB">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昼夜连续</w:t>
            </w:r>
          </w:p>
        </w:tc>
        <w:tc>
          <w:tcPr>
            <w:tcW w:w="683" w:type="pct"/>
            <w:tcBorders>
              <w:top w:val="single" w:color="auto" w:sz="6" w:space="0"/>
              <w:left w:val="single" w:color="auto" w:sz="6" w:space="0"/>
              <w:bottom w:val="single" w:color="auto" w:sz="12" w:space="0"/>
              <w:right w:val="nil"/>
            </w:tcBorders>
            <w:vAlign w:val="center"/>
          </w:tcPr>
          <w:p w14:paraId="36A9136F">
            <w:pPr>
              <w:pStyle w:val="210"/>
              <w:spacing w:line="26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固定声源</w:t>
            </w:r>
          </w:p>
        </w:tc>
      </w:tr>
    </w:tbl>
    <w:p w14:paraId="3DA7EE9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施工过程中，不同类型施工机械在不同距离处的噪声预测值见表5.1-2。</w:t>
      </w:r>
    </w:p>
    <w:p w14:paraId="6E78355F">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表5.1-2  各种施工机械在不同距离的噪声预测值    [单位：dB（A）]</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40"/>
        <w:gridCol w:w="531"/>
        <w:gridCol w:w="543"/>
        <w:gridCol w:w="426"/>
        <w:gridCol w:w="426"/>
        <w:gridCol w:w="426"/>
        <w:gridCol w:w="426"/>
        <w:gridCol w:w="426"/>
        <w:gridCol w:w="426"/>
        <w:gridCol w:w="426"/>
        <w:gridCol w:w="426"/>
        <w:gridCol w:w="426"/>
        <w:gridCol w:w="426"/>
        <w:gridCol w:w="531"/>
        <w:gridCol w:w="531"/>
        <w:gridCol w:w="531"/>
        <w:gridCol w:w="531"/>
        <w:gridCol w:w="532"/>
      </w:tblGrid>
      <w:tr w14:paraId="3F04C0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1" w:hRule="atLeast"/>
          <w:jc w:val="center"/>
        </w:trPr>
        <w:tc>
          <w:tcPr>
            <w:tcW w:w="424" w:type="pct"/>
            <w:vMerge w:val="restart"/>
            <w:tcBorders>
              <w:top w:val="single" w:color="auto" w:sz="12" w:space="0"/>
              <w:left w:val="nil"/>
              <w:bottom w:val="single" w:color="auto" w:sz="4" w:space="0"/>
              <w:right w:val="single" w:color="auto" w:sz="4" w:space="0"/>
            </w:tcBorders>
            <w:vAlign w:val="center"/>
          </w:tcPr>
          <w:p w14:paraId="14A471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噪声源名称</w:t>
            </w:r>
          </w:p>
        </w:tc>
        <w:tc>
          <w:tcPr>
            <w:tcW w:w="304" w:type="pct"/>
            <w:vMerge w:val="restart"/>
            <w:tcBorders>
              <w:top w:val="single" w:color="auto" w:sz="12" w:space="0"/>
              <w:left w:val="single" w:color="auto" w:sz="4" w:space="0"/>
              <w:bottom w:val="single" w:color="auto" w:sz="4" w:space="0"/>
              <w:right w:val="single" w:color="auto" w:sz="4" w:space="0"/>
            </w:tcBorders>
            <w:vAlign w:val="center"/>
          </w:tcPr>
          <w:p w14:paraId="03A8DC2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源强</w:t>
            </w:r>
          </w:p>
        </w:tc>
        <w:tc>
          <w:tcPr>
            <w:tcW w:w="311" w:type="pct"/>
            <w:vMerge w:val="restart"/>
            <w:tcBorders>
              <w:top w:val="single" w:color="auto" w:sz="12" w:space="0"/>
              <w:left w:val="single" w:color="auto" w:sz="4" w:space="0"/>
              <w:bottom w:val="single" w:color="auto" w:sz="4" w:space="0"/>
              <w:right w:val="single" w:color="auto" w:sz="4" w:space="0"/>
            </w:tcBorders>
            <w:vAlign w:val="center"/>
          </w:tcPr>
          <w:p w14:paraId="001183E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基础减振后</w:t>
            </w:r>
          </w:p>
        </w:tc>
        <w:tc>
          <w:tcPr>
            <w:tcW w:w="3960" w:type="pct"/>
            <w:gridSpan w:val="15"/>
            <w:tcBorders>
              <w:top w:val="single" w:color="auto" w:sz="12" w:space="0"/>
              <w:left w:val="single" w:color="auto" w:sz="4" w:space="0"/>
              <w:bottom w:val="single" w:color="auto" w:sz="4" w:space="0"/>
              <w:right w:val="nil"/>
            </w:tcBorders>
            <w:vAlign w:val="center"/>
          </w:tcPr>
          <w:p w14:paraId="3AFE0B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距离（m）</w:t>
            </w:r>
          </w:p>
        </w:tc>
      </w:tr>
      <w:tr w14:paraId="220FCB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59" w:hRule="atLeast"/>
          <w:jc w:val="center"/>
        </w:trPr>
        <w:tc>
          <w:tcPr>
            <w:tcW w:w="0" w:type="auto"/>
            <w:vMerge w:val="continue"/>
            <w:tcBorders>
              <w:top w:val="single" w:color="auto" w:sz="12" w:space="0"/>
              <w:left w:val="nil"/>
              <w:bottom w:val="single" w:color="auto" w:sz="4" w:space="0"/>
              <w:right w:val="single" w:color="auto" w:sz="4" w:space="0"/>
            </w:tcBorders>
            <w:vAlign w:val="center"/>
          </w:tcPr>
          <w:p w14:paraId="344A63DD">
            <w:pPr>
              <w:pStyle w:val="210"/>
              <w:rPr>
                <w:rFonts w:hint="eastAsia"/>
                <w:color w:val="000000" w:themeColor="text1"/>
                <w14:textFill>
                  <w14:solidFill>
                    <w14:schemeClr w14:val="tx1"/>
                  </w14:solidFill>
                </w14:textFill>
              </w:rPr>
            </w:pPr>
          </w:p>
        </w:tc>
        <w:tc>
          <w:tcPr>
            <w:tcW w:w="0" w:type="auto"/>
            <w:vMerge w:val="continue"/>
            <w:tcBorders>
              <w:top w:val="single" w:color="auto" w:sz="12" w:space="0"/>
              <w:left w:val="single" w:color="auto" w:sz="4" w:space="0"/>
              <w:bottom w:val="single" w:color="auto" w:sz="4" w:space="0"/>
              <w:right w:val="single" w:color="auto" w:sz="4" w:space="0"/>
            </w:tcBorders>
            <w:vAlign w:val="center"/>
          </w:tcPr>
          <w:p w14:paraId="24E5D487">
            <w:pPr>
              <w:pStyle w:val="210"/>
              <w:rPr>
                <w:rFonts w:hint="eastAsia"/>
                <w:color w:val="000000" w:themeColor="text1"/>
                <w14:textFill>
                  <w14:solidFill>
                    <w14:schemeClr w14:val="tx1"/>
                  </w14:solidFill>
                </w14:textFill>
              </w:rPr>
            </w:pPr>
          </w:p>
        </w:tc>
        <w:tc>
          <w:tcPr>
            <w:tcW w:w="0" w:type="auto"/>
            <w:vMerge w:val="continue"/>
            <w:tcBorders>
              <w:top w:val="single" w:color="auto" w:sz="12" w:space="0"/>
              <w:left w:val="single" w:color="auto" w:sz="4" w:space="0"/>
              <w:bottom w:val="single" w:color="auto" w:sz="4" w:space="0"/>
              <w:right w:val="single" w:color="auto" w:sz="4" w:space="0"/>
            </w:tcBorders>
            <w:vAlign w:val="center"/>
          </w:tcPr>
          <w:p w14:paraId="2016FE36">
            <w:pPr>
              <w:pStyle w:val="210"/>
              <w:rPr>
                <w:rFonts w:hint="eastAsia"/>
                <w:color w:val="000000" w:themeColor="text1"/>
                <w14:textFill>
                  <w14:solidFill>
                    <w14:schemeClr w14:val="tx1"/>
                  </w14:solidFill>
                </w14:textFill>
              </w:rPr>
            </w:pPr>
          </w:p>
        </w:tc>
        <w:tc>
          <w:tcPr>
            <w:tcW w:w="244" w:type="pct"/>
            <w:tcBorders>
              <w:top w:val="single" w:color="auto" w:sz="4" w:space="0"/>
              <w:left w:val="single" w:color="auto" w:sz="4" w:space="0"/>
              <w:bottom w:val="single" w:color="auto" w:sz="4" w:space="0"/>
              <w:right w:val="single" w:color="auto" w:sz="4" w:space="0"/>
            </w:tcBorders>
            <w:vAlign w:val="center"/>
          </w:tcPr>
          <w:p w14:paraId="2D2315D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244" w:type="pct"/>
            <w:tcBorders>
              <w:top w:val="single" w:color="auto" w:sz="4" w:space="0"/>
              <w:left w:val="single" w:color="auto" w:sz="4" w:space="0"/>
              <w:bottom w:val="single" w:color="auto" w:sz="4" w:space="0"/>
              <w:right w:val="single" w:color="auto" w:sz="4" w:space="0"/>
            </w:tcBorders>
            <w:vAlign w:val="center"/>
          </w:tcPr>
          <w:p w14:paraId="3608AF3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244" w:type="pct"/>
            <w:tcBorders>
              <w:top w:val="single" w:color="auto" w:sz="4" w:space="0"/>
              <w:left w:val="single" w:color="auto" w:sz="4" w:space="0"/>
              <w:bottom w:val="single" w:color="auto" w:sz="4" w:space="0"/>
              <w:right w:val="single" w:color="auto" w:sz="4" w:space="0"/>
            </w:tcBorders>
            <w:vAlign w:val="center"/>
          </w:tcPr>
          <w:p w14:paraId="0637BF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244" w:type="pct"/>
            <w:tcBorders>
              <w:top w:val="single" w:color="auto" w:sz="4" w:space="0"/>
              <w:left w:val="single" w:color="auto" w:sz="4" w:space="0"/>
              <w:bottom w:val="single" w:color="auto" w:sz="4" w:space="0"/>
              <w:right w:val="single" w:color="auto" w:sz="4" w:space="0"/>
            </w:tcBorders>
            <w:vAlign w:val="center"/>
          </w:tcPr>
          <w:p w14:paraId="23C70DD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244" w:type="pct"/>
            <w:tcBorders>
              <w:top w:val="single" w:color="auto" w:sz="4" w:space="0"/>
              <w:left w:val="single" w:color="auto" w:sz="4" w:space="0"/>
              <w:bottom w:val="single" w:color="auto" w:sz="4" w:space="0"/>
              <w:right w:val="single" w:color="auto" w:sz="4" w:space="0"/>
            </w:tcBorders>
            <w:vAlign w:val="center"/>
          </w:tcPr>
          <w:p w14:paraId="266AEB8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244" w:type="pct"/>
            <w:tcBorders>
              <w:top w:val="single" w:color="auto" w:sz="4" w:space="0"/>
              <w:left w:val="single" w:color="auto" w:sz="4" w:space="0"/>
              <w:bottom w:val="single" w:color="auto" w:sz="4" w:space="0"/>
              <w:right w:val="single" w:color="auto" w:sz="4" w:space="0"/>
            </w:tcBorders>
            <w:vAlign w:val="center"/>
          </w:tcPr>
          <w:p w14:paraId="6EDADF5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244" w:type="pct"/>
            <w:tcBorders>
              <w:top w:val="single" w:color="auto" w:sz="4" w:space="0"/>
              <w:left w:val="single" w:color="auto" w:sz="4" w:space="0"/>
              <w:bottom w:val="single" w:color="auto" w:sz="4" w:space="0"/>
              <w:right w:val="single" w:color="auto" w:sz="4" w:space="0"/>
            </w:tcBorders>
            <w:vAlign w:val="center"/>
          </w:tcPr>
          <w:p w14:paraId="5DB67D5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244" w:type="pct"/>
            <w:tcBorders>
              <w:top w:val="single" w:color="auto" w:sz="4" w:space="0"/>
              <w:left w:val="single" w:color="auto" w:sz="4" w:space="0"/>
              <w:bottom w:val="single" w:color="auto" w:sz="4" w:space="0"/>
              <w:right w:val="single" w:color="auto" w:sz="4" w:space="0"/>
            </w:tcBorders>
            <w:vAlign w:val="center"/>
          </w:tcPr>
          <w:p w14:paraId="3CF28A8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244" w:type="pct"/>
            <w:tcBorders>
              <w:top w:val="single" w:color="auto" w:sz="4" w:space="0"/>
              <w:left w:val="single" w:color="auto" w:sz="4" w:space="0"/>
              <w:bottom w:val="single" w:color="auto" w:sz="4" w:space="0"/>
              <w:right w:val="single" w:color="auto" w:sz="4" w:space="0"/>
            </w:tcBorders>
            <w:vAlign w:val="center"/>
          </w:tcPr>
          <w:p w14:paraId="3FB951C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244" w:type="pct"/>
            <w:tcBorders>
              <w:top w:val="single" w:color="auto" w:sz="4" w:space="0"/>
              <w:left w:val="single" w:color="auto" w:sz="4" w:space="0"/>
              <w:bottom w:val="single" w:color="auto" w:sz="4" w:space="0"/>
              <w:right w:val="single" w:color="auto" w:sz="4" w:space="0"/>
            </w:tcBorders>
            <w:vAlign w:val="center"/>
          </w:tcPr>
          <w:p w14:paraId="43833F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304" w:type="pct"/>
            <w:tcBorders>
              <w:top w:val="single" w:color="auto" w:sz="4" w:space="0"/>
              <w:left w:val="single" w:color="auto" w:sz="4" w:space="0"/>
              <w:bottom w:val="single" w:color="auto" w:sz="4" w:space="0"/>
              <w:right w:val="single" w:color="auto" w:sz="4" w:space="0"/>
            </w:tcBorders>
            <w:vAlign w:val="center"/>
          </w:tcPr>
          <w:p w14:paraId="1D21FD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304" w:type="pct"/>
            <w:tcBorders>
              <w:top w:val="single" w:color="auto" w:sz="4" w:space="0"/>
              <w:left w:val="single" w:color="auto" w:sz="4" w:space="0"/>
              <w:bottom w:val="single" w:color="auto" w:sz="4" w:space="0"/>
              <w:right w:val="single" w:color="auto" w:sz="4" w:space="0"/>
            </w:tcBorders>
            <w:vAlign w:val="center"/>
          </w:tcPr>
          <w:p w14:paraId="3BF656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120</w:t>
            </w:r>
          </w:p>
        </w:tc>
        <w:tc>
          <w:tcPr>
            <w:tcW w:w="304" w:type="pct"/>
            <w:tcBorders>
              <w:top w:val="single" w:color="auto" w:sz="4" w:space="0"/>
              <w:left w:val="single" w:color="auto" w:sz="4" w:space="0"/>
              <w:bottom w:val="single" w:color="auto" w:sz="4" w:space="0"/>
              <w:right w:val="single" w:color="auto" w:sz="4" w:space="0"/>
            </w:tcBorders>
            <w:vAlign w:val="center"/>
          </w:tcPr>
          <w:p w14:paraId="746D10A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140</w:t>
            </w:r>
          </w:p>
        </w:tc>
        <w:tc>
          <w:tcPr>
            <w:tcW w:w="304" w:type="pct"/>
            <w:tcBorders>
              <w:top w:val="single" w:color="auto" w:sz="4" w:space="0"/>
              <w:left w:val="single" w:color="auto" w:sz="4" w:space="0"/>
              <w:bottom w:val="single" w:color="auto" w:sz="4" w:space="0"/>
              <w:right w:val="single" w:color="auto" w:sz="4" w:space="0"/>
            </w:tcBorders>
            <w:vAlign w:val="center"/>
          </w:tcPr>
          <w:p w14:paraId="17258FA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304" w:type="pct"/>
            <w:tcBorders>
              <w:top w:val="single" w:color="auto" w:sz="4" w:space="0"/>
              <w:left w:val="single" w:color="auto" w:sz="4" w:space="0"/>
              <w:bottom w:val="single" w:color="auto" w:sz="4" w:space="0"/>
              <w:right w:val="nil"/>
            </w:tcBorders>
            <w:vAlign w:val="center"/>
          </w:tcPr>
          <w:p w14:paraId="17047BD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r>
      <w:tr w14:paraId="1DB4B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tcBorders>
              <w:top w:val="single" w:color="auto" w:sz="4" w:space="0"/>
              <w:left w:val="nil"/>
              <w:bottom w:val="single" w:color="auto" w:sz="4" w:space="0"/>
              <w:right w:val="single" w:color="auto" w:sz="4" w:space="0"/>
            </w:tcBorders>
            <w:vAlign w:val="center"/>
          </w:tcPr>
          <w:p w14:paraId="52F3A3D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钻机</w:t>
            </w:r>
          </w:p>
        </w:tc>
        <w:tc>
          <w:tcPr>
            <w:tcW w:w="304" w:type="pct"/>
            <w:tcBorders>
              <w:top w:val="single" w:color="auto" w:sz="4" w:space="0"/>
              <w:left w:val="single" w:color="auto" w:sz="4" w:space="0"/>
              <w:bottom w:val="single" w:color="auto" w:sz="4" w:space="0"/>
              <w:right w:val="single" w:color="auto" w:sz="4" w:space="0"/>
            </w:tcBorders>
            <w:vAlign w:val="center"/>
          </w:tcPr>
          <w:p w14:paraId="67E25FE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w:t>
            </w:r>
          </w:p>
        </w:tc>
        <w:tc>
          <w:tcPr>
            <w:tcW w:w="311" w:type="pct"/>
            <w:tcBorders>
              <w:top w:val="single" w:color="auto" w:sz="4" w:space="0"/>
              <w:left w:val="single" w:color="auto" w:sz="4" w:space="0"/>
              <w:bottom w:val="single" w:color="auto" w:sz="4" w:space="0"/>
              <w:right w:val="single" w:color="auto" w:sz="4" w:space="0"/>
            </w:tcBorders>
            <w:vAlign w:val="center"/>
          </w:tcPr>
          <w:p w14:paraId="7285FC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244" w:type="pct"/>
            <w:tcBorders>
              <w:top w:val="single" w:color="auto" w:sz="4" w:space="0"/>
              <w:left w:val="single" w:color="auto" w:sz="4" w:space="0"/>
              <w:bottom w:val="single" w:color="auto" w:sz="4" w:space="0"/>
              <w:right w:val="single" w:color="auto" w:sz="4" w:space="0"/>
            </w:tcBorders>
            <w:vAlign w:val="center"/>
          </w:tcPr>
          <w:p w14:paraId="192573D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66</w:t>
            </w:r>
          </w:p>
        </w:tc>
        <w:tc>
          <w:tcPr>
            <w:tcW w:w="244" w:type="pct"/>
            <w:tcBorders>
              <w:top w:val="single" w:color="auto" w:sz="4" w:space="0"/>
              <w:left w:val="single" w:color="auto" w:sz="4" w:space="0"/>
              <w:bottom w:val="single" w:color="auto" w:sz="4" w:space="0"/>
              <w:right w:val="single" w:color="auto" w:sz="4" w:space="0"/>
            </w:tcBorders>
            <w:vAlign w:val="center"/>
          </w:tcPr>
          <w:p w14:paraId="4CD91B3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244" w:type="pct"/>
            <w:tcBorders>
              <w:top w:val="single" w:color="auto" w:sz="4" w:space="0"/>
              <w:left w:val="single" w:color="auto" w:sz="4" w:space="0"/>
              <w:bottom w:val="single" w:color="auto" w:sz="4" w:space="0"/>
              <w:right w:val="single" w:color="auto" w:sz="4" w:space="0"/>
            </w:tcBorders>
            <w:vAlign w:val="center"/>
          </w:tcPr>
          <w:p w14:paraId="3FF6550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56</w:t>
            </w:r>
          </w:p>
        </w:tc>
        <w:tc>
          <w:tcPr>
            <w:tcW w:w="244" w:type="pct"/>
            <w:tcBorders>
              <w:top w:val="single" w:color="auto" w:sz="4" w:space="0"/>
              <w:left w:val="single" w:color="auto" w:sz="4" w:space="0"/>
              <w:bottom w:val="single" w:color="auto" w:sz="4" w:space="0"/>
              <w:right w:val="single" w:color="auto" w:sz="4" w:space="0"/>
            </w:tcBorders>
            <w:vAlign w:val="center"/>
          </w:tcPr>
          <w:p w14:paraId="682939B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54</w:t>
            </w:r>
          </w:p>
        </w:tc>
        <w:tc>
          <w:tcPr>
            <w:tcW w:w="244" w:type="pct"/>
            <w:tcBorders>
              <w:top w:val="single" w:color="auto" w:sz="4" w:space="0"/>
              <w:left w:val="single" w:color="auto" w:sz="4" w:space="0"/>
              <w:bottom w:val="single" w:color="auto" w:sz="4" w:space="0"/>
              <w:right w:val="single" w:color="auto" w:sz="4" w:space="0"/>
            </w:tcBorders>
            <w:vAlign w:val="center"/>
          </w:tcPr>
          <w:p w14:paraId="109846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244" w:type="pct"/>
            <w:tcBorders>
              <w:top w:val="single" w:color="auto" w:sz="4" w:space="0"/>
              <w:left w:val="single" w:color="auto" w:sz="4" w:space="0"/>
              <w:bottom w:val="single" w:color="auto" w:sz="4" w:space="0"/>
              <w:right w:val="single" w:color="auto" w:sz="4" w:space="0"/>
            </w:tcBorders>
            <w:vAlign w:val="center"/>
          </w:tcPr>
          <w:p w14:paraId="3CE5A7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244" w:type="pct"/>
            <w:tcBorders>
              <w:top w:val="single" w:color="auto" w:sz="4" w:space="0"/>
              <w:left w:val="single" w:color="auto" w:sz="4" w:space="0"/>
              <w:bottom w:val="single" w:color="auto" w:sz="4" w:space="0"/>
              <w:right w:val="single" w:color="auto" w:sz="4" w:space="0"/>
            </w:tcBorders>
            <w:vAlign w:val="center"/>
          </w:tcPr>
          <w:p w14:paraId="5169C5E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244" w:type="pct"/>
            <w:tcBorders>
              <w:top w:val="single" w:color="auto" w:sz="4" w:space="0"/>
              <w:left w:val="single" w:color="auto" w:sz="4" w:space="0"/>
              <w:bottom w:val="single" w:color="auto" w:sz="4" w:space="0"/>
              <w:right w:val="single" w:color="auto" w:sz="4" w:space="0"/>
            </w:tcBorders>
            <w:vAlign w:val="center"/>
          </w:tcPr>
          <w:p w14:paraId="61DB50C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244" w:type="pct"/>
            <w:tcBorders>
              <w:top w:val="single" w:color="auto" w:sz="4" w:space="0"/>
              <w:left w:val="single" w:color="auto" w:sz="4" w:space="0"/>
              <w:bottom w:val="single" w:color="auto" w:sz="4" w:space="0"/>
              <w:right w:val="single" w:color="auto" w:sz="4" w:space="0"/>
            </w:tcBorders>
            <w:vAlign w:val="center"/>
          </w:tcPr>
          <w:p w14:paraId="35B755F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244" w:type="pct"/>
            <w:tcBorders>
              <w:top w:val="single" w:color="auto" w:sz="4" w:space="0"/>
              <w:left w:val="single" w:color="auto" w:sz="4" w:space="0"/>
              <w:bottom w:val="single" w:color="auto" w:sz="4" w:space="0"/>
              <w:right w:val="single" w:color="auto" w:sz="4" w:space="0"/>
            </w:tcBorders>
            <w:vAlign w:val="center"/>
          </w:tcPr>
          <w:p w14:paraId="55698C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304" w:type="pct"/>
            <w:tcBorders>
              <w:top w:val="single" w:color="auto" w:sz="4" w:space="0"/>
              <w:left w:val="single" w:color="auto" w:sz="4" w:space="0"/>
              <w:bottom w:val="single" w:color="auto" w:sz="4" w:space="0"/>
              <w:right w:val="single" w:color="auto" w:sz="4" w:space="0"/>
            </w:tcBorders>
            <w:vAlign w:val="center"/>
          </w:tcPr>
          <w:p w14:paraId="4D408F1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304" w:type="pct"/>
            <w:tcBorders>
              <w:top w:val="single" w:color="auto" w:sz="4" w:space="0"/>
              <w:left w:val="single" w:color="auto" w:sz="4" w:space="0"/>
              <w:bottom w:val="single" w:color="auto" w:sz="4" w:space="0"/>
              <w:right w:val="single" w:color="auto" w:sz="4" w:space="0"/>
            </w:tcBorders>
            <w:vAlign w:val="center"/>
          </w:tcPr>
          <w:p w14:paraId="40BEA88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04" w:type="pct"/>
            <w:tcBorders>
              <w:top w:val="single" w:color="auto" w:sz="4" w:space="0"/>
              <w:left w:val="single" w:color="auto" w:sz="4" w:space="0"/>
              <w:bottom w:val="single" w:color="auto" w:sz="4" w:space="0"/>
              <w:right w:val="single" w:color="auto" w:sz="4" w:space="0"/>
            </w:tcBorders>
            <w:vAlign w:val="center"/>
          </w:tcPr>
          <w:p w14:paraId="6D54BD0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37</w:t>
            </w:r>
          </w:p>
        </w:tc>
        <w:tc>
          <w:tcPr>
            <w:tcW w:w="304" w:type="pct"/>
            <w:tcBorders>
              <w:top w:val="single" w:color="auto" w:sz="4" w:space="0"/>
              <w:left w:val="single" w:color="auto" w:sz="4" w:space="0"/>
              <w:bottom w:val="single" w:color="auto" w:sz="4" w:space="0"/>
              <w:right w:val="single" w:color="auto" w:sz="4" w:space="0"/>
            </w:tcBorders>
            <w:vAlign w:val="center"/>
          </w:tcPr>
          <w:p w14:paraId="66E3A76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304" w:type="pct"/>
            <w:tcBorders>
              <w:top w:val="single" w:color="auto" w:sz="4" w:space="0"/>
              <w:left w:val="single" w:color="auto" w:sz="4" w:space="0"/>
              <w:bottom w:val="single" w:color="auto" w:sz="4" w:space="0"/>
              <w:right w:val="nil"/>
            </w:tcBorders>
            <w:vAlign w:val="center"/>
          </w:tcPr>
          <w:p w14:paraId="469A04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r>
      <w:tr w14:paraId="1835E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tcBorders>
              <w:top w:val="single" w:color="auto" w:sz="4" w:space="0"/>
              <w:left w:val="nil"/>
              <w:bottom w:val="single" w:color="auto" w:sz="4" w:space="0"/>
              <w:right w:val="single" w:color="auto" w:sz="4" w:space="0"/>
            </w:tcBorders>
            <w:vAlign w:val="center"/>
          </w:tcPr>
          <w:p w14:paraId="39CB0E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钻井液泵</w:t>
            </w:r>
          </w:p>
        </w:tc>
        <w:tc>
          <w:tcPr>
            <w:tcW w:w="304" w:type="pct"/>
            <w:tcBorders>
              <w:top w:val="single" w:color="auto" w:sz="4" w:space="0"/>
              <w:left w:val="single" w:color="auto" w:sz="4" w:space="0"/>
              <w:bottom w:val="single" w:color="auto" w:sz="4" w:space="0"/>
              <w:right w:val="single" w:color="auto" w:sz="4" w:space="0"/>
            </w:tcBorders>
            <w:vAlign w:val="center"/>
          </w:tcPr>
          <w:p w14:paraId="3DFD7D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93</w:t>
            </w:r>
          </w:p>
        </w:tc>
        <w:tc>
          <w:tcPr>
            <w:tcW w:w="311" w:type="pct"/>
            <w:tcBorders>
              <w:top w:val="single" w:color="auto" w:sz="4" w:space="0"/>
              <w:left w:val="single" w:color="auto" w:sz="4" w:space="0"/>
              <w:bottom w:val="single" w:color="auto" w:sz="4" w:space="0"/>
              <w:right w:val="single" w:color="auto" w:sz="4" w:space="0"/>
            </w:tcBorders>
            <w:vAlign w:val="center"/>
          </w:tcPr>
          <w:p w14:paraId="40C45BC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86</w:t>
            </w:r>
          </w:p>
        </w:tc>
        <w:tc>
          <w:tcPr>
            <w:tcW w:w="244" w:type="pct"/>
            <w:tcBorders>
              <w:top w:val="single" w:color="auto" w:sz="4" w:space="0"/>
              <w:left w:val="single" w:color="auto" w:sz="4" w:space="0"/>
              <w:bottom w:val="single" w:color="auto" w:sz="4" w:space="0"/>
              <w:right w:val="single" w:color="auto" w:sz="4" w:space="0"/>
            </w:tcBorders>
            <w:vAlign w:val="center"/>
          </w:tcPr>
          <w:p w14:paraId="48010D8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72</w:t>
            </w:r>
          </w:p>
        </w:tc>
        <w:tc>
          <w:tcPr>
            <w:tcW w:w="244" w:type="pct"/>
            <w:tcBorders>
              <w:top w:val="single" w:color="auto" w:sz="4" w:space="0"/>
              <w:left w:val="single" w:color="auto" w:sz="4" w:space="0"/>
              <w:bottom w:val="single" w:color="auto" w:sz="4" w:space="0"/>
              <w:right w:val="single" w:color="auto" w:sz="4" w:space="0"/>
            </w:tcBorders>
            <w:vAlign w:val="center"/>
          </w:tcPr>
          <w:p w14:paraId="6B70A4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66</w:t>
            </w:r>
          </w:p>
        </w:tc>
        <w:tc>
          <w:tcPr>
            <w:tcW w:w="244" w:type="pct"/>
            <w:tcBorders>
              <w:top w:val="single" w:color="auto" w:sz="4" w:space="0"/>
              <w:left w:val="single" w:color="auto" w:sz="4" w:space="0"/>
              <w:bottom w:val="single" w:color="auto" w:sz="4" w:space="0"/>
              <w:right w:val="single" w:color="auto" w:sz="4" w:space="0"/>
            </w:tcBorders>
            <w:vAlign w:val="center"/>
          </w:tcPr>
          <w:p w14:paraId="5B6A2FE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62</w:t>
            </w:r>
          </w:p>
        </w:tc>
        <w:tc>
          <w:tcPr>
            <w:tcW w:w="244" w:type="pct"/>
            <w:tcBorders>
              <w:top w:val="single" w:color="auto" w:sz="4" w:space="0"/>
              <w:left w:val="single" w:color="auto" w:sz="4" w:space="0"/>
              <w:bottom w:val="single" w:color="auto" w:sz="4" w:space="0"/>
              <w:right w:val="single" w:color="auto" w:sz="4" w:space="0"/>
            </w:tcBorders>
            <w:vAlign w:val="center"/>
          </w:tcPr>
          <w:p w14:paraId="13BC8D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244" w:type="pct"/>
            <w:tcBorders>
              <w:top w:val="single" w:color="auto" w:sz="4" w:space="0"/>
              <w:left w:val="single" w:color="auto" w:sz="4" w:space="0"/>
              <w:bottom w:val="single" w:color="auto" w:sz="4" w:space="0"/>
              <w:right w:val="single" w:color="auto" w:sz="4" w:space="0"/>
            </w:tcBorders>
            <w:vAlign w:val="center"/>
          </w:tcPr>
          <w:p w14:paraId="438B817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c>
          <w:tcPr>
            <w:tcW w:w="244" w:type="pct"/>
            <w:tcBorders>
              <w:top w:val="single" w:color="auto" w:sz="4" w:space="0"/>
              <w:left w:val="single" w:color="auto" w:sz="4" w:space="0"/>
              <w:bottom w:val="single" w:color="auto" w:sz="4" w:space="0"/>
              <w:right w:val="single" w:color="auto" w:sz="4" w:space="0"/>
            </w:tcBorders>
            <w:vAlign w:val="center"/>
          </w:tcPr>
          <w:p w14:paraId="59F39D4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56</w:t>
            </w:r>
          </w:p>
        </w:tc>
        <w:tc>
          <w:tcPr>
            <w:tcW w:w="244" w:type="pct"/>
            <w:tcBorders>
              <w:top w:val="single" w:color="auto" w:sz="4" w:space="0"/>
              <w:left w:val="single" w:color="auto" w:sz="4" w:space="0"/>
              <w:bottom w:val="single" w:color="auto" w:sz="4" w:space="0"/>
              <w:right w:val="single" w:color="auto" w:sz="4" w:space="0"/>
            </w:tcBorders>
            <w:vAlign w:val="center"/>
          </w:tcPr>
          <w:p w14:paraId="71E4C8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54</w:t>
            </w:r>
          </w:p>
        </w:tc>
        <w:tc>
          <w:tcPr>
            <w:tcW w:w="244" w:type="pct"/>
            <w:tcBorders>
              <w:top w:val="single" w:color="auto" w:sz="4" w:space="0"/>
              <w:left w:val="single" w:color="auto" w:sz="4" w:space="0"/>
              <w:bottom w:val="single" w:color="auto" w:sz="4" w:space="0"/>
              <w:right w:val="single" w:color="auto" w:sz="4" w:space="0"/>
            </w:tcBorders>
            <w:vAlign w:val="center"/>
          </w:tcPr>
          <w:p w14:paraId="70F3EE5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244" w:type="pct"/>
            <w:tcBorders>
              <w:top w:val="single" w:color="auto" w:sz="4" w:space="0"/>
              <w:left w:val="single" w:color="auto" w:sz="4" w:space="0"/>
              <w:bottom w:val="single" w:color="auto" w:sz="4" w:space="0"/>
              <w:right w:val="single" w:color="auto" w:sz="4" w:space="0"/>
            </w:tcBorders>
            <w:vAlign w:val="center"/>
          </w:tcPr>
          <w:p w14:paraId="590C4B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244" w:type="pct"/>
            <w:tcBorders>
              <w:top w:val="single" w:color="auto" w:sz="4" w:space="0"/>
              <w:left w:val="single" w:color="auto" w:sz="4" w:space="0"/>
              <w:bottom w:val="single" w:color="auto" w:sz="4" w:space="0"/>
              <w:right w:val="single" w:color="auto" w:sz="4" w:space="0"/>
            </w:tcBorders>
            <w:vAlign w:val="center"/>
          </w:tcPr>
          <w:p w14:paraId="47B21A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304" w:type="pct"/>
            <w:tcBorders>
              <w:top w:val="single" w:color="auto" w:sz="4" w:space="0"/>
              <w:left w:val="single" w:color="auto" w:sz="4" w:space="0"/>
              <w:bottom w:val="single" w:color="auto" w:sz="4" w:space="0"/>
              <w:right w:val="single" w:color="auto" w:sz="4" w:space="0"/>
            </w:tcBorders>
            <w:vAlign w:val="center"/>
          </w:tcPr>
          <w:p w14:paraId="16B7085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304" w:type="pct"/>
            <w:tcBorders>
              <w:top w:val="single" w:color="auto" w:sz="4" w:space="0"/>
              <w:left w:val="single" w:color="auto" w:sz="4" w:space="0"/>
              <w:bottom w:val="single" w:color="auto" w:sz="4" w:space="0"/>
              <w:right w:val="single" w:color="auto" w:sz="4" w:space="0"/>
            </w:tcBorders>
            <w:vAlign w:val="center"/>
          </w:tcPr>
          <w:p w14:paraId="06C6C3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304" w:type="pct"/>
            <w:tcBorders>
              <w:top w:val="single" w:color="auto" w:sz="4" w:space="0"/>
              <w:left w:val="single" w:color="auto" w:sz="4" w:space="0"/>
              <w:bottom w:val="single" w:color="auto" w:sz="4" w:space="0"/>
              <w:right w:val="single" w:color="auto" w:sz="4" w:space="0"/>
            </w:tcBorders>
            <w:vAlign w:val="center"/>
          </w:tcPr>
          <w:p w14:paraId="123D2E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304" w:type="pct"/>
            <w:tcBorders>
              <w:top w:val="single" w:color="auto" w:sz="4" w:space="0"/>
              <w:left w:val="single" w:color="auto" w:sz="4" w:space="0"/>
              <w:bottom w:val="single" w:color="auto" w:sz="4" w:space="0"/>
              <w:right w:val="single" w:color="auto" w:sz="4" w:space="0"/>
            </w:tcBorders>
            <w:vAlign w:val="center"/>
          </w:tcPr>
          <w:p w14:paraId="501DF8E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304" w:type="pct"/>
            <w:tcBorders>
              <w:top w:val="single" w:color="auto" w:sz="4" w:space="0"/>
              <w:left w:val="single" w:color="auto" w:sz="4" w:space="0"/>
              <w:bottom w:val="single" w:color="auto" w:sz="4" w:space="0"/>
              <w:right w:val="nil"/>
            </w:tcBorders>
            <w:vAlign w:val="center"/>
          </w:tcPr>
          <w:p w14:paraId="28E299E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r>
      <w:tr w14:paraId="67B75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tcBorders>
              <w:top w:val="single" w:color="auto" w:sz="4" w:space="0"/>
              <w:left w:val="nil"/>
              <w:bottom w:val="single" w:color="auto" w:sz="4" w:space="0"/>
              <w:right w:val="single" w:color="auto" w:sz="4" w:space="0"/>
            </w:tcBorders>
            <w:vAlign w:val="center"/>
          </w:tcPr>
          <w:p w14:paraId="66B97D6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振动筛</w:t>
            </w:r>
          </w:p>
        </w:tc>
        <w:tc>
          <w:tcPr>
            <w:tcW w:w="304" w:type="pct"/>
            <w:tcBorders>
              <w:top w:val="single" w:color="auto" w:sz="4" w:space="0"/>
              <w:left w:val="single" w:color="auto" w:sz="4" w:space="0"/>
              <w:bottom w:val="single" w:color="auto" w:sz="4" w:space="0"/>
              <w:right w:val="single" w:color="auto" w:sz="4" w:space="0"/>
            </w:tcBorders>
            <w:vAlign w:val="center"/>
          </w:tcPr>
          <w:p w14:paraId="750DE5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105</w:t>
            </w:r>
          </w:p>
        </w:tc>
        <w:tc>
          <w:tcPr>
            <w:tcW w:w="311" w:type="pct"/>
            <w:tcBorders>
              <w:top w:val="single" w:color="auto" w:sz="4" w:space="0"/>
              <w:left w:val="single" w:color="auto" w:sz="4" w:space="0"/>
              <w:bottom w:val="single" w:color="auto" w:sz="4" w:space="0"/>
              <w:right w:val="single" w:color="auto" w:sz="4" w:space="0"/>
            </w:tcBorders>
            <w:vAlign w:val="center"/>
          </w:tcPr>
          <w:p w14:paraId="31344CE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95</w:t>
            </w:r>
          </w:p>
        </w:tc>
        <w:tc>
          <w:tcPr>
            <w:tcW w:w="244" w:type="pct"/>
            <w:tcBorders>
              <w:top w:val="single" w:color="auto" w:sz="4" w:space="0"/>
              <w:left w:val="single" w:color="auto" w:sz="4" w:space="0"/>
              <w:bottom w:val="single" w:color="auto" w:sz="4" w:space="0"/>
              <w:right w:val="single" w:color="auto" w:sz="4" w:space="0"/>
            </w:tcBorders>
            <w:vAlign w:val="center"/>
          </w:tcPr>
          <w:p w14:paraId="3E76CC2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81</w:t>
            </w:r>
          </w:p>
        </w:tc>
        <w:tc>
          <w:tcPr>
            <w:tcW w:w="244" w:type="pct"/>
            <w:tcBorders>
              <w:top w:val="single" w:color="auto" w:sz="4" w:space="0"/>
              <w:left w:val="single" w:color="auto" w:sz="4" w:space="0"/>
              <w:bottom w:val="single" w:color="auto" w:sz="4" w:space="0"/>
              <w:right w:val="single" w:color="auto" w:sz="4" w:space="0"/>
            </w:tcBorders>
            <w:vAlign w:val="center"/>
          </w:tcPr>
          <w:p w14:paraId="6E81C6C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244" w:type="pct"/>
            <w:tcBorders>
              <w:top w:val="single" w:color="auto" w:sz="4" w:space="0"/>
              <w:left w:val="single" w:color="auto" w:sz="4" w:space="0"/>
              <w:bottom w:val="single" w:color="auto" w:sz="4" w:space="0"/>
              <w:right w:val="single" w:color="auto" w:sz="4" w:space="0"/>
            </w:tcBorders>
            <w:vAlign w:val="center"/>
          </w:tcPr>
          <w:p w14:paraId="03B3DA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71</w:t>
            </w:r>
          </w:p>
        </w:tc>
        <w:tc>
          <w:tcPr>
            <w:tcW w:w="244" w:type="pct"/>
            <w:tcBorders>
              <w:top w:val="single" w:color="auto" w:sz="4" w:space="0"/>
              <w:left w:val="single" w:color="auto" w:sz="4" w:space="0"/>
              <w:bottom w:val="single" w:color="auto" w:sz="4" w:space="0"/>
              <w:right w:val="single" w:color="auto" w:sz="4" w:space="0"/>
            </w:tcBorders>
            <w:vAlign w:val="center"/>
          </w:tcPr>
          <w:p w14:paraId="25DAAC9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c>
          <w:tcPr>
            <w:tcW w:w="244" w:type="pct"/>
            <w:tcBorders>
              <w:top w:val="single" w:color="auto" w:sz="4" w:space="0"/>
              <w:left w:val="single" w:color="auto" w:sz="4" w:space="0"/>
              <w:bottom w:val="single" w:color="auto" w:sz="4" w:space="0"/>
              <w:right w:val="single" w:color="auto" w:sz="4" w:space="0"/>
            </w:tcBorders>
            <w:vAlign w:val="center"/>
          </w:tcPr>
          <w:p w14:paraId="511D193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67</w:t>
            </w:r>
          </w:p>
        </w:tc>
        <w:tc>
          <w:tcPr>
            <w:tcW w:w="244" w:type="pct"/>
            <w:tcBorders>
              <w:top w:val="single" w:color="auto" w:sz="4" w:space="0"/>
              <w:left w:val="single" w:color="auto" w:sz="4" w:space="0"/>
              <w:bottom w:val="single" w:color="auto" w:sz="4" w:space="0"/>
              <w:right w:val="single" w:color="auto" w:sz="4" w:space="0"/>
            </w:tcBorders>
            <w:vAlign w:val="center"/>
          </w:tcPr>
          <w:p w14:paraId="645C46F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244" w:type="pct"/>
            <w:tcBorders>
              <w:top w:val="single" w:color="auto" w:sz="4" w:space="0"/>
              <w:left w:val="single" w:color="auto" w:sz="4" w:space="0"/>
              <w:bottom w:val="single" w:color="auto" w:sz="4" w:space="0"/>
              <w:right w:val="single" w:color="auto" w:sz="4" w:space="0"/>
            </w:tcBorders>
            <w:vAlign w:val="center"/>
          </w:tcPr>
          <w:p w14:paraId="431A52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63</w:t>
            </w:r>
          </w:p>
        </w:tc>
        <w:tc>
          <w:tcPr>
            <w:tcW w:w="244" w:type="pct"/>
            <w:tcBorders>
              <w:top w:val="single" w:color="auto" w:sz="4" w:space="0"/>
              <w:left w:val="single" w:color="auto" w:sz="4" w:space="0"/>
              <w:bottom w:val="single" w:color="auto" w:sz="4" w:space="0"/>
              <w:right w:val="single" w:color="auto" w:sz="4" w:space="0"/>
            </w:tcBorders>
            <w:vAlign w:val="center"/>
          </w:tcPr>
          <w:p w14:paraId="63E4BF3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61</w:t>
            </w:r>
          </w:p>
        </w:tc>
        <w:tc>
          <w:tcPr>
            <w:tcW w:w="244" w:type="pct"/>
            <w:tcBorders>
              <w:top w:val="single" w:color="auto" w:sz="4" w:space="0"/>
              <w:left w:val="single" w:color="auto" w:sz="4" w:space="0"/>
              <w:bottom w:val="single" w:color="auto" w:sz="4" w:space="0"/>
              <w:right w:val="single" w:color="auto" w:sz="4" w:space="0"/>
            </w:tcBorders>
            <w:vAlign w:val="center"/>
          </w:tcPr>
          <w:p w14:paraId="5987FD9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59</w:t>
            </w:r>
          </w:p>
        </w:tc>
        <w:tc>
          <w:tcPr>
            <w:tcW w:w="244" w:type="pct"/>
            <w:tcBorders>
              <w:top w:val="single" w:color="auto" w:sz="4" w:space="0"/>
              <w:left w:val="single" w:color="auto" w:sz="4" w:space="0"/>
              <w:bottom w:val="single" w:color="auto" w:sz="4" w:space="0"/>
              <w:right w:val="single" w:color="auto" w:sz="4" w:space="0"/>
            </w:tcBorders>
            <w:vAlign w:val="center"/>
          </w:tcPr>
          <w:p w14:paraId="511954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04" w:type="pct"/>
            <w:tcBorders>
              <w:top w:val="single" w:color="auto" w:sz="4" w:space="0"/>
              <w:left w:val="single" w:color="auto" w:sz="4" w:space="0"/>
              <w:bottom w:val="single" w:color="auto" w:sz="4" w:space="0"/>
              <w:right w:val="single" w:color="auto" w:sz="4" w:space="0"/>
            </w:tcBorders>
            <w:vAlign w:val="center"/>
          </w:tcPr>
          <w:p w14:paraId="53BAD67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304" w:type="pct"/>
            <w:tcBorders>
              <w:top w:val="single" w:color="auto" w:sz="4" w:space="0"/>
              <w:left w:val="single" w:color="auto" w:sz="4" w:space="0"/>
              <w:bottom w:val="single" w:color="auto" w:sz="4" w:space="0"/>
              <w:right w:val="single" w:color="auto" w:sz="4" w:space="0"/>
            </w:tcBorders>
            <w:vAlign w:val="center"/>
          </w:tcPr>
          <w:p w14:paraId="41C22EE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53</w:t>
            </w:r>
          </w:p>
        </w:tc>
        <w:tc>
          <w:tcPr>
            <w:tcW w:w="304" w:type="pct"/>
            <w:tcBorders>
              <w:top w:val="single" w:color="auto" w:sz="4" w:space="0"/>
              <w:left w:val="single" w:color="auto" w:sz="4" w:space="0"/>
              <w:bottom w:val="single" w:color="auto" w:sz="4" w:space="0"/>
              <w:right w:val="single" w:color="auto" w:sz="4" w:space="0"/>
            </w:tcBorders>
            <w:vAlign w:val="center"/>
          </w:tcPr>
          <w:p w14:paraId="518D488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304" w:type="pct"/>
            <w:tcBorders>
              <w:top w:val="single" w:color="auto" w:sz="4" w:space="0"/>
              <w:left w:val="single" w:color="auto" w:sz="4" w:space="0"/>
              <w:bottom w:val="single" w:color="auto" w:sz="4" w:space="0"/>
              <w:right w:val="single" w:color="auto" w:sz="4" w:space="0"/>
            </w:tcBorders>
            <w:vAlign w:val="center"/>
          </w:tcPr>
          <w:p w14:paraId="342528C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51</w:t>
            </w:r>
          </w:p>
        </w:tc>
        <w:tc>
          <w:tcPr>
            <w:tcW w:w="304" w:type="pct"/>
            <w:tcBorders>
              <w:top w:val="single" w:color="auto" w:sz="4" w:space="0"/>
              <w:left w:val="single" w:color="auto" w:sz="4" w:space="0"/>
              <w:bottom w:val="single" w:color="auto" w:sz="4" w:space="0"/>
              <w:right w:val="nil"/>
            </w:tcBorders>
            <w:vAlign w:val="center"/>
          </w:tcPr>
          <w:p w14:paraId="109964A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r>
      <w:tr w14:paraId="00D506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tcBorders>
              <w:top w:val="single" w:color="auto" w:sz="4" w:space="0"/>
              <w:left w:val="nil"/>
              <w:bottom w:val="single" w:color="auto" w:sz="4" w:space="0"/>
              <w:right w:val="single" w:color="auto" w:sz="4" w:space="0"/>
            </w:tcBorders>
            <w:vAlign w:val="center"/>
          </w:tcPr>
          <w:p w14:paraId="7F233A5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柴油发电机</w:t>
            </w:r>
          </w:p>
        </w:tc>
        <w:tc>
          <w:tcPr>
            <w:tcW w:w="304" w:type="pct"/>
            <w:tcBorders>
              <w:top w:val="single" w:color="auto" w:sz="4" w:space="0"/>
              <w:left w:val="single" w:color="auto" w:sz="4" w:space="0"/>
              <w:bottom w:val="single" w:color="auto" w:sz="4" w:space="0"/>
              <w:right w:val="single" w:color="auto" w:sz="4" w:space="0"/>
            </w:tcBorders>
            <w:vAlign w:val="center"/>
          </w:tcPr>
          <w:p w14:paraId="05814E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88</w:t>
            </w:r>
          </w:p>
        </w:tc>
        <w:tc>
          <w:tcPr>
            <w:tcW w:w="311" w:type="pct"/>
            <w:tcBorders>
              <w:top w:val="single" w:color="auto" w:sz="4" w:space="0"/>
              <w:left w:val="single" w:color="auto" w:sz="4" w:space="0"/>
              <w:bottom w:val="single" w:color="auto" w:sz="4" w:space="0"/>
              <w:right w:val="single" w:color="auto" w:sz="4" w:space="0"/>
            </w:tcBorders>
            <w:vAlign w:val="center"/>
          </w:tcPr>
          <w:p w14:paraId="4CB907C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68</w:t>
            </w:r>
          </w:p>
        </w:tc>
        <w:tc>
          <w:tcPr>
            <w:tcW w:w="244" w:type="pct"/>
            <w:tcBorders>
              <w:top w:val="single" w:color="auto" w:sz="4" w:space="0"/>
              <w:left w:val="single" w:color="auto" w:sz="4" w:space="0"/>
              <w:bottom w:val="single" w:color="auto" w:sz="4" w:space="0"/>
              <w:right w:val="single" w:color="auto" w:sz="4" w:space="0"/>
            </w:tcBorders>
            <w:vAlign w:val="center"/>
          </w:tcPr>
          <w:p w14:paraId="716C60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54</w:t>
            </w:r>
          </w:p>
        </w:tc>
        <w:tc>
          <w:tcPr>
            <w:tcW w:w="244" w:type="pct"/>
            <w:tcBorders>
              <w:top w:val="single" w:color="auto" w:sz="4" w:space="0"/>
              <w:left w:val="single" w:color="auto" w:sz="4" w:space="0"/>
              <w:bottom w:val="single" w:color="auto" w:sz="4" w:space="0"/>
              <w:right w:val="single" w:color="auto" w:sz="4" w:space="0"/>
            </w:tcBorders>
            <w:vAlign w:val="center"/>
          </w:tcPr>
          <w:p w14:paraId="65BBBDC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244" w:type="pct"/>
            <w:tcBorders>
              <w:top w:val="single" w:color="auto" w:sz="4" w:space="0"/>
              <w:left w:val="single" w:color="auto" w:sz="4" w:space="0"/>
              <w:bottom w:val="single" w:color="auto" w:sz="4" w:space="0"/>
              <w:right w:val="single" w:color="auto" w:sz="4" w:space="0"/>
            </w:tcBorders>
            <w:vAlign w:val="center"/>
          </w:tcPr>
          <w:p w14:paraId="6E6BDA6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244" w:type="pct"/>
            <w:tcBorders>
              <w:top w:val="single" w:color="auto" w:sz="4" w:space="0"/>
              <w:left w:val="single" w:color="auto" w:sz="4" w:space="0"/>
              <w:bottom w:val="single" w:color="auto" w:sz="4" w:space="0"/>
              <w:right w:val="single" w:color="auto" w:sz="4" w:space="0"/>
            </w:tcBorders>
            <w:vAlign w:val="center"/>
          </w:tcPr>
          <w:p w14:paraId="3AA65ED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244" w:type="pct"/>
            <w:tcBorders>
              <w:top w:val="single" w:color="auto" w:sz="4" w:space="0"/>
              <w:left w:val="single" w:color="auto" w:sz="4" w:space="0"/>
              <w:bottom w:val="single" w:color="auto" w:sz="4" w:space="0"/>
              <w:right w:val="single" w:color="auto" w:sz="4" w:space="0"/>
            </w:tcBorders>
            <w:vAlign w:val="center"/>
          </w:tcPr>
          <w:p w14:paraId="1B91F5A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244" w:type="pct"/>
            <w:tcBorders>
              <w:top w:val="single" w:color="auto" w:sz="4" w:space="0"/>
              <w:left w:val="single" w:color="auto" w:sz="4" w:space="0"/>
              <w:bottom w:val="single" w:color="auto" w:sz="4" w:space="0"/>
              <w:right w:val="single" w:color="auto" w:sz="4" w:space="0"/>
            </w:tcBorders>
            <w:vAlign w:val="center"/>
          </w:tcPr>
          <w:p w14:paraId="498A492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244" w:type="pct"/>
            <w:tcBorders>
              <w:top w:val="single" w:color="auto" w:sz="4" w:space="0"/>
              <w:left w:val="single" w:color="auto" w:sz="4" w:space="0"/>
              <w:bottom w:val="single" w:color="auto" w:sz="4" w:space="0"/>
              <w:right w:val="single" w:color="auto" w:sz="4" w:space="0"/>
            </w:tcBorders>
            <w:vAlign w:val="center"/>
          </w:tcPr>
          <w:p w14:paraId="5924770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244" w:type="pct"/>
            <w:tcBorders>
              <w:top w:val="single" w:color="auto" w:sz="4" w:space="0"/>
              <w:left w:val="single" w:color="auto" w:sz="4" w:space="0"/>
              <w:bottom w:val="single" w:color="auto" w:sz="4" w:space="0"/>
              <w:right w:val="single" w:color="auto" w:sz="4" w:space="0"/>
            </w:tcBorders>
            <w:vAlign w:val="center"/>
          </w:tcPr>
          <w:p w14:paraId="66F7A4B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244" w:type="pct"/>
            <w:tcBorders>
              <w:top w:val="single" w:color="auto" w:sz="4" w:space="0"/>
              <w:left w:val="single" w:color="auto" w:sz="4" w:space="0"/>
              <w:bottom w:val="single" w:color="auto" w:sz="4" w:space="0"/>
              <w:right w:val="single" w:color="auto" w:sz="4" w:space="0"/>
            </w:tcBorders>
            <w:vAlign w:val="center"/>
          </w:tcPr>
          <w:p w14:paraId="45777B9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w:t>
            </w:r>
          </w:p>
        </w:tc>
        <w:tc>
          <w:tcPr>
            <w:tcW w:w="244" w:type="pct"/>
            <w:tcBorders>
              <w:top w:val="single" w:color="auto" w:sz="4" w:space="0"/>
              <w:left w:val="single" w:color="auto" w:sz="4" w:space="0"/>
              <w:bottom w:val="single" w:color="auto" w:sz="4" w:space="0"/>
              <w:right w:val="single" w:color="auto" w:sz="4" w:space="0"/>
            </w:tcBorders>
            <w:vAlign w:val="center"/>
          </w:tcPr>
          <w:p w14:paraId="13CC372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tcBorders>
              <w:top w:val="single" w:color="auto" w:sz="4" w:space="0"/>
              <w:left w:val="single" w:color="auto" w:sz="4" w:space="0"/>
              <w:bottom w:val="single" w:color="auto" w:sz="4" w:space="0"/>
              <w:right w:val="single" w:color="auto" w:sz="4" w:space="0"/>
            </w:tcBorders>
            <w:vAlign w:val="center"/>
          </w:tcPr>
          <w:p w14:paraId="1C6CA5F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tcBorders>
              <w:top w:val="single" w:color="auto" w:sz="4" w:space="0"/>
              <w:left w:val="single" w:color="auto" w:sz="4" w:space="0"/>
              <w:bottom w:val="single" w:color="auto" w:sz="4" w:space="0"/>
              <w:right w:val="single" w:color="auto" w:sz="4" w:space="0"/>
            </w:tcBorders>
            <w:vAlign w:val="center"/>
          </w:tcPr>
          <w:p w14:paraId="0F27C3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tcBorders>
              <w:top w:val="single" w:color="auto" w:sz="4" w:space="0"/>
              <w:left w:val="single" w:color="auto" w:sz="4" w:space="0"/>
              <w:bottom w:val="single" w:color="auto" w:sz="4" w:space="0"/>
              <w:right w:val="single" w:color="auto" w:sz="4" w:space="0"/>
            </w:tcBorders>
            <w:vAlign w:val="center"/>
          </w:tcPr>
          <w:p w14:paraId="0385FBB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tcBorders>
              <w:top w:val="single" w:color="auto" w:sz="4" w:space="0"/>
              <w:left w:val="single" w:color="auto" w:sz="4" w:space="0"/>
              <w:bottom w:val="single" w:color="auto" w:sz="4" w:space="0"/>
              <w:right w:val="single" w:color="auto" w:sz="4" w:space="0"/>
            </w:tcBorders>
            <w:vAlign w:val="center"/>
          </w:tcPr>
          <w:p w14:paraId="4616B99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04" w:type="pct"/>
            <w:tcBorders>
              <w:top w:val="single" w:color="auto" w:sz="4" w:space="0"/>
              <w:left w:val="single" w:color="auto" w:sz="4" w:space="0"/>
              <w:bottom w:val="single" w:color="auto" w:sz="4" w:space="0"/>
              <w:right w:val="nil"/>
            </w:tcBorders>
            <w:vAlign w:val="center"/>
          </w:tcPr>
          <w:p w14:paraId="70DA46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8A50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tcBorders>
              <w:top w:val="single" w:color="auto" w:sz="4" w:space="0"/>
              <w:left w:val="nil"/>
              <w:bottom w:val="single" w:color="auto" w:sz="4" w:space="0"/>
              <w:right w:val="single" w:color="auto" w:sz="4" w:space="0"/>
            </w:tcBorders>
            <w:vAlign w:val="center"/>
          </w:tcPr>
          <w:p w14:paraId="076CFE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柴油机</w:t>
            </w:r>
          </w:p>
        </w:tc>
        <w:tc>
          <w:tcPr>
            <w:tcW w:w="304" w:type="pct"/>
            <w:tcBorders>
              <w:top w:val="single" w:color="auto" w:sz="4" w:space="0"/>
              <w:left w:val="single" w:color="auto" w:sz="4" w:space="0"/>
              <w:bottom w:val="single" w:color="auto" w:sz="4" w:space="0"/>
              <w:right w:val="single" w:color="auto" w:sz="4" w:space="0"/>
            </w:tcBorders>
            <w:vAlign w:val="center"/>
          </w:tcPr>
          <w:p w14:paraId="7B7C7DC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101</w:t>
            </w:r>
          </w:p>
        </w:tc>
        <w:tc>
          <w:tcPr>
            <w:tcW w:w="311" w:type="pct"/>
            <w:tcBorders>
              <w:top w:val="single" w:color="auto" w:sz="4" w:space="0"/>
              <w:left w:val="single" w:color="auto" w:sz="4" w:space="0"/>
              <w:bottom w:val="single" w:color="auto" w:sz="4" w:space="0"/>
              <w:right w:val="single" w:color="auto" w:sz="4" w:space="0"/>
            </w:tcBorders>
            <w:vAlign w:val="center"/>
          </w:tcPr>
          <w:p w14:paraId="71F2ED2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81</w:t>
            </w:r>
          </w:p>
        </w:tc>
        <w:tc>
          <w:tcPr>
            <w:tcW w:w="244" w:type="pct"/>
            <w:tcBorders>
              <w:top w:val="single" w:color="auto" w:sz="4" w:space="0"/>
              <w:left w:val="single" w:color="auto" w:sz="4" w:space="0"/>
              <w:bottom w:val="single" w:color="auto" w:sz="4" w:space="0"/>
              <w:right w:val="single" w:color="auto" w:sz="4" w:space="0"/>
            </w:tcBorders>
            <w:vAlign w:val="center"/>
          </w:tcPr>
          <w:p w14:paraId="0F82263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67</w:t>
            </w:r>
          </w:p>
        </w:tc>
        <w:tc>
          <w:tcPr>
            <w:tcW w:w="244" w:type="pct"/>
            <w:tcBorders>
              <w:top w:val="single" w:color="auto" w:sz="4" w:space="0"/>
              <w:left w:val="single" w:color="auto" w:sz="4" w:space="0"/>
              <w:bottom w:val="single" w:color="auto" w:sz="4" w:space="0"/>
              <w:right w:val="single" w:color="auto" w:sz="4" w:space="0"/>
            </w:tcBorders>
            <w:vAlign w:val="center"/>
          </w:tcPr>
          <w:p w14:paraId="0F01462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61</w:t>
            </w:r>
          </w:p>
        </w:tc>
        <w:tc>
          <w:tcPr>
            <w:tcW w:w="244" w:type="pct"/>
            <w:tcBorders>
              <w:top w:val="single" w:color="auto" w:sz="4" w:space="0"/>
              <w:left w:val="single" w:color="auto" w:sz="4" w:space="0"/>
              <w:bottom w:val="single" w:color="auto" w:sz="4" w:space="0"/>
              <w:right w:val="single" w:color="auto" w:sz="4" w:space="0"/>
            </w:tcBorders>
            <w:vAlign w:val="center"/>
          </w:tcPr>
          <w:p w14:paraId="3EEE14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244" w:type="pct"/>
            <w:tcBorders>
              <w:top w:val="single" w:color="auto" w:sz="4" w:space="0"/>
              <w:left w:val="single" w:color="auto" w:sz="4" w:space="0"/>
              <w:bottom w:val="single" w:color="auto" w:sz="4" w:space="0"/>
              <w:right w:val="single" w:color="auto" w:sz="4" w:space="0"/>
            </w:tcBorders>
            <w:vAlign w:val="center"/>
          </w:tcPr>
          <w:p w14:paraId="4E9AF8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244" w:type="pct"/>
            <w:tcBorders>
              <w:top w:val="single" w:color="auto" w:sz="4" w:space="0"/>
              <w:left w:val="single" w:color="auto" w:sz="4" w:space="0"/>
              <w:bottom w:val="single" w:color="auto" w:sz="4" w:space="0"/>
              <w:right w:val="single" w:color="auto" w:sz="4" w:space="0"/>
            </w:tcBorders>
            <w:vAlign w:val="center"/>
          </w:tcPr>
          <w:p w14:paraId="2A2EAD7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53</w:t>
            </w:r>
          </w:p>
        </w:tc>
        <w:tc>
          <w:tcPr>
            <w:tcW w:w="244" w:type="pct"/>
            <w:tcBorders>
              <w:top w:val="single" w:color="auto" w:sz="4" w:space="0"/>
              <w:left w:val="single" w:color="auto" w:sz="4" w:space="0"/>
              <w:bottom w:val="single" w:color="auto" w:sz="4" w:space="0"/>
              <w:right w:val="single" w:color="auto" w:sz="4" w:space="0"/>
            </w:tcBorders>
            <w:vAlign w:val="center"/>
          </w:tcPr>
          <w:p w14:paraId="5BC151A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51</w:t>
            </w:r>
          </w:p>
        </w:tc>
        <w:tc>
          <w:tcPr>
            <w:tcW w:w="244" w:type="pct"/>
            <w:tcBorders>
              <w:top w:val="single" w:color="auto" w:sz="4" w:space="0"/>
              <w:left w:val="single" w:color="auto" w:sz="4" w:space="0"/>
              <w:bottom w:val="single" w:color="auto" w:sz="4" w:space="0"/>
              <w:right w:val="single" w:color="auto" w:sz="4" w:space="0"/>
            </w:tcBorders>
            <w:vAlign w:val="center"/>
          </w:tcPr>
          <w:p w14:paraId="22670A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244" w:type="pct"/>
            <w:tcBorders>
              <w:top w:val="single" w:color="auto" w:sz="4" w:space="0"/>
              <w:left w:val="single" w:color="auto" w:sz="4" w:space="0"/>
              <w:bottom w:val="single" w:color="auto" w:sz="4" w:space="0"/>
              <w:right w:val="single" w:color="auto" w:sz="4" w:space="0"/>
            </w:tcBorders>
            <w:vAlign w:val="center"/>
          </w:tcPr>
          <w:p w14:paraId="65FB606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w:t>
            </w:r>
          </w:p>
        </w:tc>
        <w:tc>
          <w:tcPr>
            <w:tcW w:w="244" w:type="pct"/>
            <w:tcBorders>
              <w:top w:val="single" w:color="auto" w:sz="4" w:space="0"/>
              <w:left w:val="single" w:color="auto" w:sz="4" w:space="0"/>
              <w:bottom w:val="single" w:color="auto" w:sz="4" w:space="0"/>
              <w:right w:val="single" w:color="auto" w:sz="4" w:space="0"/>
            </w:tcBorders>
            <w:vAlign w:val="center"/>
          </w:tcPr>
          <w:p w14:paraId="77AD80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244" w:type="pct"/>
            <w:tcBorders>
              <w:top w:val="single" w:color="auto" w:sz="4" w:space="0"/>
              <w:left w:val="single" w:color="auto" w:sz="4" w:space="0"/>
              <w:bottom w:val="single" w:color="auto" w:sz="4" w:space="0"/>
              <w:right w:val="single" w:color="auto" w:sz="4" w:space="0"/>
            </w:tcBorders>
            <w:vAlign w:val="center"/>
          </w:tcPr>
          <w:p w14:paraId="5630DD8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304" w:type="pct"/>
            <w:tcBorders>
              <w:top w:val="single" w:color="auto" w:sz="4" w:space="0"/>
              <w:left w:val="single" w:color="auto" w:sz="4" w:space="0"/>
              <w:bottom w:val="single" w:color="auto" w:sz="4" w:space="0"/>
              <w:right w:val="single" w:color="auto" w:sz="4" w:space="0"/>
            </w:tcBorders>
            <w:vAlign w:val="center"/>
          </w:tcPr>
          <w:p w14:paraId="2BAE67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41</w:t>
            </w:r>
          </w:p>
        </w:tc>
        <w:tc>
          <w:tcPr>
            <w:tcW w:w="304" w:type="pct"/>
            <w:tcBorders>
              <w:top w:val="single" w:color="auto" w:sz="4" w:space="0"/>
              <w:left w:val="single" w:color="auto" w:sz="4" w:space="0"/>
              <w:bottom w:val="single" w:color="auto" w:sz="4" w:space="0"/>
              <w:right w:val="single" w:color="auto" w:sz="4" w:space="0"/>
            </w:tcBorders>
            <w:vAlign w:val="center"/>
          </w:tcPr>
          <w:p w14:paraId="5CCBE1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39</w:t>
            </w:r>
          </w:p>
        </w:tc>
        <w:tc>
          <w:tcPr>
            <w:tcW w:w="304" w:type="pct"/>
            <w:tcBorders>
              <w:top w:val="single" w:color="auto" w:sz="4" w:space="0"/>
              <w:left w:val="single" w:color="auto" w:sz="4" w:space="0"/>
              <w:bottom w:val="single" w:color="auto" w:sz="4" w:space="0"/>
              <w:right w:val="single" w:color="auto" w:sz="4" w:space="0"/>
            </w:tcBorders>
            <w:vAlign w:val="center"/>
          </w:tcPr>
          <w:p w14:paraId="149FE89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04" w:type="pct"/>
            <w:tcBorders>
              <w:top w:val="single" w:color="auto" w:sz="4" w:space="0"/>
              <w:left w:val="single" w:color="auto" w:sz="4" w:space="0"/>
              <w:bottom w:val="single" w:color="auto" w:sz="4" w:space="0"/>
              <w:right w:val="single" w:color="auto" w:sz="4" w:space="0"/>
            </w:tcBorders>
            <w:vAlign w:val="center"/>
          </w:tcPr>
          <w:p w14:paraId="55AB26B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37</w:t>
            </w:r>
          </w:p>
        </w:tc>
        <w:tc>
          <w:tcPr>
            <w:tcW w:w="304" w:type="pct"/>
            <w:tcBorders>
              <w:top w:val="single" w:color="auto" w:sz="4" w:space="0"/>
              <w:left w:val="single" w:color="auto" w:sz="4" w:space="0"/>
              <w:bottom w:val="single" w:color="auto" w:sz="4" w:space="0"/>
              <w:right w:val="nil"/>
            </w:tcBorders>
            <w:vAlign w:val="center"/>
          </w:tcPr>
          <w:p w14:paraId="21F96BB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r>
      <w:tr w14:paraId="4B5D15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tcBorders>
              <w:top w:val="single" w:color="auto" w:sz="4" w:space="0"/>
              <w:left w:val="nil"/>
              <w:bottom w:val="single" w:color="auto" w:sz="4" w:space="0"/>
              <w:right w:val="single" w:color="auto" w:sz="4" w:space="0"/>
            </w:tcBorders>
            <w:vAlign w:val="center"/>
          </w:tcPr>
          <w:p w14:paraId="6E4A57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压裂车</w:t>
            </w:r>
          </w:p>
        </w:tc>
        <w:tc>
          <w:tcPr>
            <w:tcW w:w="304" w:type="pct"/>
            <w:tcBorders>
              <w:top w:val="single" w:color="auto" w:sz="4" w:space="0"/>
              <w:left w:val="single" w:color="auto" w:sz="4" w:space="0"/>
              <w:bottom w:val="single" w:color="auto" w:sz="4" w:space="0"/>
              <w:right w:val="single" w:color="auto" w:sz="4" w:space="0"/>
            </w:tcBorders>
            <w:vAlign w:val="center"/>
          </w:tcPr>
          <w:p w14:paraId="3515FDB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109</w:t>
            </w:r>
          </w:p>
        </w:tc>
        <w:tc>
          <w:tcPr>
            <w:tcW w:w="311" w:type="pct"/>
            <w:tcBorders>
              <w:top w:val="single" w:color="auto" w:sz="4" w:space="0"/>
              <w:left w:val="single" w:color="auto" w:sz="4" w:space="0"/>
              <w:bottom w:val="single" w:color="auto" w:sz="4" w:space="0"/>
              <w:right w:val="single" w:color="auto" w:sz="4" w:space="0"/>
            </w:tcBorders>
            <w:vAlign w:val="center"/>
          </w:tcPr>
          <w:p w14:paraId="27B2B3D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99</w:t>
            </w:r>
          </w:p>
        </w:tc>
        <w:tc>
          <w:tcPr>
            <w:tcW w:w="244" w:type="pct"/>
            <w:tcBorders>
              <w:top w:val="single" w:color="auto" w:sz="4" w:space="0"/>
              <w:left w:val="single" w:color="auto" w:sz="4" w:space="0"/>
              <w:bottom w:val="single" w:color="auto" w:sz="4" w:space="0"/>
              <w:right w:val="single" w:color="auto" w:sz="4" w:space="0"/>
            </w:tcBorders>
            <w:vAlign w:val="center"/>
          </w:tcPr>
          <w:p w14:paraId="0DAA039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85</w:t>
            </w:r>
          </w:p>
        </w:tc>
        <w:tc>
          <w:tcPr>
            <w:tcW w:w="244" w:type="pct"/>
            <w:tcBorders>
              <w:top w:val="single" w:color="auto" w:sz="4" w:space="0"/>
              <w:left w:val="single" w:color="auto" w:sz="4" w:space="0"/>
              <w:bottom w:val="single" w:color="auto" w:sz="4" w:space="0"/>
              <w:right w:val="single" w:color="auto" w:sz="4" w:space="0"/>
            </w:tcBorders>
            <w:vAlign w:val="center"/>
          </w:tcPr>
          <w:p w14:paraId="4E58927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79</w:t>
            </w:r>
          </w:p>
        </w:tc>
        <w:tc>
          <w:tcPr>
            <w:tcW w:w="244" w:type="pct"/>
            <w:tcBorders>
              <w:top w:val="single" w:color="auto" w:sz="4" w:space="0"/>
              <w:left w:val="single" w:color="auto" w:sz="4" w:space="0"/>
              <w:bottom w:val="single" w:color="auto" w:sz="4" w:space="0"/>
              <w:right w:val="single" w:color="auto" w:sz="4" w:space="0"/>
            </w:tcBorders>
            <w:vAlign w:val="center"/>
          </w:tcPr>
          <w:p w14:paraId="36F6EA0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244" w:type="pct"/>
            <w:tcBorders>
              <w:top w:val="single" w:color="auto" w:sz="4" w:space="0"/>
              <w:left w:val="single" w:color="auto" w:sz="4" w:space="0"/>
              <w:bottom w:val="single" w:color="auto" w:sz="4" w:space="0"/>
              <w:right w:val="single" w:color="auto" w:sz="4" w:space="0"/>
            </w:tcBorders>
            <w:vAlign w:val="center"/>
          </w:tcPr>
          <w:p w14:paraId="397D7E8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73</w:t>
            </w:r>
          </w:p>
        </w:tc>
        <w:tc>
          <w:tcPr>
            <w:tcW w:w="244" w:type="pct"/>
            <w:tcBorders>
              <w:top w:val="single" w:color="auto" w:sz="4" w:space="0"/>
              <w:left w:val="single" w:color="auto" w:sz="4" w:space="0"/>
              <w:bottom w:val="single" w:color="auto" w:sz="4" w:space="0"/>
              <w:right w:val="single" w:color="auto" w:sz="4" w:space="0"/>
            </w:tcBorders>
            <w:vAlign w:val="center"/>
          </w:tcPr>
          <w:p w14:paraId="1E6C46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71</w:t>
            </w:r>
          </w:p>
        </w:tc>
        <w:tc>
          <w:tcPr>
            <w:tcW w:w="244" w:type="pct"/>
            <w:tcBorders>
              <w:top w:val="single" w:color="auto" w:sz="4" w:space="0"/>
              <w:left w:val="single" w:color="auto" w:sz="4" w:space="0"/>
              <w:bottom w:val="single" w:color="auto" w:sz="4" w:space="0"/>
              <w:right w:val="single" w:color="auto" w:sz="4" w:space="0"/>
            </w:tcBorders>
            <w:vAlign w:val="center"/>
          </w:tcPr>
          <w:p w14:paraId="3ACA48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69</w:t>
            </w:r>
          </w:p>
        </w:tc>
        <w:tc>
          <w:tcPr>
            <w:tcW w:w="244" w:type="pct"/>
            <w:tcBorders>
              <w:top w:val="single" w:color="auto" w:sz="4" w:space="0"/>
              <w:left w:val="single" w:color="auto" w:sz="4" w:space="0"/>
              <w:bottom w:val="single" w:color="auto" w:sz="4" w:space="0"/>
              <w:right w:val="single" w:color="auto" w:sz="4" w:space="0"/>
            </w:tcBorders>
            <w:vAlign w:val="center"/>
          </w:tcPr>
          <w:p w14:paraId="7D542B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67</w:t>
            </w:r>
          </w:p>
        </w:tc>
        <w:tc>
          <w:tcPr>
            <w:tcW w:w="244" w:type="pct"/>
            <w:tcBorders>
              <w:top w:val="single" w:color="auto" w:sz="4" w:space="0"/>
              <w:left w:val="single" w:color="auto" w:sz="4" w:space="0"/>
              <w:bottom w:val="single" w:color="auto" w:sz="4" w:space="0"/>
              <w:right w:val="single" w:color="auto" w:sz="4" w:space="0"/>
            </w:tcBorders>
            <w:vAlign w:val="center"/>
          </w:tcPr>
          <w:p w14:paraId="212364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244" w:type="pct"/>
            <w:tcBorders>
              <w:top w:val="single" w:color="auto" w:sz="4" w:space="0"/>
              <w:left w:val="single" w:color="auto" w:sz="4" w:space="0"/>
              <w:bottom w:val="single" w:color="auto" w:sz="4" w:space="0"/>
              <w:right w:val="single" w:color="auto" w:sz="4" w:space="0"/>
            </w:tcBorders>
            <w:vAlign w:val="center"/>
          </w:tcPr>
          <w:p w14:paraId="65C6D0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63</w:t>
            </w:r>
          </w:p>
        </w:tc>
        <w:tc>
          <w:tcPr>
            <w:tcW w:w="244" w:type="pct"/>
            <w:tcBorders>
              <w:top w:val="single" w:color="auto" w:sz="4" w:space="0"/>
              <w:left w:val="single" w:color="auto" w:sz="4" w:space="0"/>
              <w:bottom w:val="single" w:color="auto" w:sz="4" w:space="0"/>
              <w:right w:val="single" w:color="auto" w:sz="4" w:space="0"/>
            </w:tcBorders>
            <w:vAlign w:val="center"/>
          </w:tcPr>
          <w:p w14:paraId="17326F3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61</w:t>
            </w:r>
          </w:p>
        </w:tc>
        <w:tc>
          <w:tcPr>
            <w:tcW w:w="304" w:type="pct"/>
            <w:tcBorders>
              <w:top w:val="single" w:color="auto" w:sz="4" w:space="0"/>
              <w:left w:val="single" w:color="auto" w:sz="4" w:space="0"/>
              <w:bottom w:val="single" w:color="auto" w:sz="4" w:space="0"/>
              <w:right w:val="single" w:color="auto" w:sz="4" w:space="0"/>
            </w:tcBorders>
            <w:vAlign w:val="center"/>
          </w:tcPr>
          <w:p w14:paraId="04E18F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59</w:t>
            </w:r>
          </w:p>
        </w:tc>
        <w:tc>
          <w:tcPr>
            <w:tcW w:w="304" w:type="pct"/>
            <w:tcBorders>
              <w:top w:val="single" w:color="auto" w:sz="4" w:space="0"/>
              <w:left w:val="single" w:color="auto" w:sz="4" w:space="0"/>
              <w:bottom w:val="single" w:color="auto" w:sz="4" w:space="0"/>
              <w:right w:val="single" w:color="auto" w:sz="4" w:space="0"/>
            </w:tcBorders>
            <w:vAlign w:val="center"/>
          </w:tcPr>
          <w:p w14:paraId="5C40CD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04" w:type="pct"/>
            <w:tcBorders>
              <w:top w:val="single" w:color="auto" w:sz="4" w:space="0"/>
              <w:left w:val="single" w:color="auto" w:sz="4" w:space="0"/>
              <w:bottom w:val="single" w:color="auto" w:sz="4" w:space="0"/>
              <w:right w:val="single" w:color="auto" w:sz="4" w:space="0"/>
            </w:tcBorders>
            <w:vAlign w:val="center"/>
          </w:tcPr>
          <w:p w14:paraId="3D097C9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56</w:t>
            </w:r>
          </w:p>
        </w:tc>
        <w:tc>
          <w:tcPr>
            <w:tcW w:w="304" w:type="pct"/>
            <w:tcBorders>
              <w:top w:val="single" w:color="auto" w:sz="4" w:space="0"/>
              <w:left w:val="single" w:color="auto" w:sz="4" w:space="0"/>
              <w:bottom w:val="single" w:color="auto" w:sz="4" w:space="0"/>
              <w:right w:val="single" w:color="auto" w:sz="4" w:space="0"/>
            </w:tcBorders>
            <w:vAlign w:val="center"/>
          </w:tcPr>
          <w:p w14:paraId="2FFEA43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304" w:type="pct"/>
            <w:tcBorders>
              <w:top w:val="single" w:color="auto" w:sz="4" w:space="0"/>
              <w:left w:val="single" w:color="auto" w:sz="4" w:space="0"/>
              <w:bottom w:val="single" w:color="auto" w:sz="4" w:space="0"/>
              <w:right w:val="nil"/>
            </w:tcBorders>
            <w:vAlign w:val="center"/>
          </w:tcPr>
          <w:p w14:paraId="56EFDF7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53</w:t>
            </w:r>
          </w:p>
        </w:tc>
      </w:tr>
      <w:tr w14:paraId="19EFF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tcBorders>
              <w:top w:val="single" w:color="auto" w:sz="4" w:space="0"/>
              <w:left w:val="nil"/>
              <w:bottom w:val="single" w:color="auto" w:sz="12" w:space="0"/>
              <w:right w:val="single" w:color="auto" w:sz="4" w:space="0"/>
            </w:tcBorders>
            <w:vAlign w:val="center"/>
          </w:tcPr>
          <w:p w14:paraId="4D1FE1D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射孔车</w:t>
            </w:r>
          </w:p>
        </w:tc>
        <w:tc>
          <w:tcPr>
            <w:tcW w:w="304" w:type="pct"/>
            <w:tcBorders>
              <w:top w:val="single" w:color="auto" w:sz="4" w:space="0"/>
              <w:left w:val="single" w:color="auto" w:sz="4" w:space="0"/>
              <w:bottom w:val="single" w:color="auto" w:sz="12" w:space="0"/>
              <w:right w:val="single" w:color="auto" w:sz="4" w:space="0"/>
            </w:tcBorders>
            <w:vAlign w:val="center"/>
          </w:tcPr>
          <w:p w14:paraId="5B27074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311" w:type="pct"/>
            <w:tcBorders>
              <w:top w:val="single" w:color="auto" w:sz="4" w:space="0"/>
              <w:left w:val="single" w:color="auto" w:sz="4" w:space="0"/>
              <w:bottom w:val="single" w:color="auto" w:sz="12" w:space="0"/>
              <w:right w:val="single" w:color="auto" w:sz="4" w:space="0"/>
            </w:tcBorders>
            <w:vAlign w:val="center"/>
          </w:tcPr>
          <w:p w14:paraId="034E643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90</w:t>
            </w:r>
          </w:p>
        </w:tc>
        <w:tc>
          <w:tcPr>
            <w:tcW w:w="244" w:type="pct"/>
            <w:tcBorders>
              <w:top w:val="single" w:color="auto" w:sz="4" w:space="0"/>
              <w:left w:val="single" w:color="auto" w:sz="4" w:space="0"/>
              <w:bottom w:val="single" w:color="auto" w:sz="12" w:space="0"/>
              <w:right w:val="single" w:color="auto" w:sz="4" w:space="0"/>
            </w:tcBorders>
            <w:vAlign w:val="center"/>
          </w:tcPr>
          <w:p w14:paraId="71685C4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76</w:t>
            </w:r>
          </w:p>
        </w:tc>
        <w:tc>
          <w:tcPr>
            <w:tcW w:w="244" w:type="pct"/>
            <w:tcBorders>
              <w:top w:val="single" w:color="auto" w:sz="4" w:space="0"/>
              <w:left w:val="single" w:color="auto" w:sz="4" w:space="0"/>
              <w:bottom w:val="single" w:color="auto" w:sz="12" w:space="0"/>
              <w:right w:val="single" w:color="auto" w:sz="4" w:space="0"/>
            </w:tcBorders>
            <w:vAlign w:val="center"/>
          </w:tcPr>
          <w:p w14:paraId="4BA869F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244" w:type="pct"/>
            <w:tcBorders>
              <w:top w:val="single" w:color="auto" w:sz="4" w:space="0"/>
              <w:left w:val="single" w:color="auto" w:sz="4" w:space="0"/>
              <w:bottom w:val="single" w:color="auto" w:sz="12" w:space="0"/>
              <w:right w:val="single" w:color="auto" w:sz="4" w:space="0"/>
            </w:tcBorders>
            <w:vAlign w:val="center"/>
          </w:tcPr>
          <w:p w14:paraId="16F5B0E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66</w:t>
            </w:r>
          </w:p>
        </w:tc>
        <w:tc>
          <w:tcPr>
            <w:tcW w:w="244" w:type="pct"/>
            <w:tcBorders>
              <w:top w:val="single" w:color="auto" w:sz="4" w:space="0"/>
              <w:left w:val="single" w:color="auto" w:sz="4" w:space="0"/>
              <w:bottom w:val="single" w:color="auto" w:sz="12" w:space="0"/>
              <w:right w:val="single" w:color="auto" w:sz="4" w:space="0"/>
            </w:tcBorders>
            <w:vAlign w:val="center"/>
          </w:tcPr>
          <w:p w14:paraId="6A9039A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64</w:t>
            </w:r>
          </w:p>
        </w:tc>
        <w:tc>
          <w:tcPr>
            <w:tcW w:w="244" w:type="pct"/>
            <w:tcBorders>
              <w:top w:val="single" w:color="auto" w:sz="4" w:space="0"/>
              <w:left w:val="single" w:color="auto" w:sz="4" w:space="0"/>
              <w:bottom w:val="single" w:color="auto" w:sz="12" w:space="0"/>
              <w:right w:val="single" w:color="auto" w:sz="4" w:space="0"/>
            </w:tcBorders>
            <w:vAlign w:val="center"/>
          </w:tcPr>
          <w:p w14:paraId="3A017E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62</w:t>
            </w:r>
          </w:p>
        </w:tc>
        <w:tc>
          <w:tcPr>
            <w:tcW w:w="244" w:type="pct"/>
            <w:tcBorders>
              <w:top w:val="single" w:color="auto" w:sz="4" w:space="0"/>
              <w:left w:val="single" w:color="auto" w:sz="4" w:space="0"/>
              <w:bottom w:val="single" w:color="auto" w:sz="12" w:space="0"/>
              <w:right w:val="single" w:color="auto" w:sz="4" w:space="0"/>
            </w:tcBorders>
            <w:vAlign w:val="center"/>
          </w:tcPr>
          <w:p w14:paraId="6665DB6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244" w:type="pct"/>
            <w:tcBorders>
              <w:top w:val="single" w:color="auto" w:sz="4" w:space="0"/>
              <w:left w:val="single" w:color="auto" w:sz="4" w:space="0"/>
              <w:bottom w:val="single" w:color="auto" w:sz="12" w:space="0"/>
              <w:right w:val="single" w:color="auto" w:sz="4" w:space="0"/>
            </w:tcBorders>
            <w:vAlign w:val="center"/>
          </w:tcPr>
          <w:p w14:paraId="6CA025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c>
          <w:tcPr>
            <w:tcW w:w="244" w:type="pct"/>
            <w:tcBorders>
              <w:top w:val="single" w:color="auto" w:sz="4" w:space="0"/>
              <w:left w:val="single" w:color="auto" w:sz="4" w:space="0"/>
              <w:bottom w:val="single" w:color="auto" w:sz="12" w:space="0"/>
              <w:right w:val="single" w:color="auto" w:sz="4" w:space="0"/>
            </w:tcBorders>
            <w:vAlign w:val="center"/>
          </w:tcPr>
          <w:p w14:paraId="56D2AE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56</w:t>
            </w:r>
          </w:p>
        </w:tc>
        <w:tc>
          <w:tcPr>
            <w:tcW w:w="244" w:type="pct"/>
            <w:tcBorders>
              <w:top w:val="single" w:color="auto" w:sz="4" w:space="0"/>
              <w:left w:val="single" w:color="auto" w:sz="4" w:space="0"/>
              <w:bottom w:val="single" w:color="auto" w:sz="12" w:space="0"/>
              <w:right w:val="single" w:color="auto" w:sz="4" w:space="0"/>
            </w:tcBorders>
            <w:vAlign w:val="center"/>
          </w:tcPr>
          <w:p w14:paraId="6B6FC02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54</w:t>
            </w:r>
          </w:p>
        </w:tc>
        <w:tc>
          <w:tcPr>
            <w:tcW w:w="244" w:type="pct"/>
            <w:tcBorders>
              <w:top w:val="single" w:color="auto" w:sz="4" w:space="0"/>
              <w:left w:val="single" w:color="auto" w:sz="4" w:space="0"/>
              <w:bottom w:val="single" w:color="auto" w:sz="12" w:space="0"/>
              <w:right w:val="single" w:color="auto" w:sz="4" w:space="0"/>
            </w:tcBorders>
            <w:vAlign w:val="center"/>
          </w:tcPr>
          <w:p w14:paraId="392B2B3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304" w:type="pct"/>
            <w:tcBorders>
              <w:top w:val="single" w:color="auto" w:sz="4" w:space="0"/>
              <w:left w:val="single" w:color="auto" w:sz="4" w:space="0"/>
              <w:bottom w:val="single" w:color="auto" w:sz="12" w:space="0"/>
              <w:right w:val="single" w:color="auto" w:sz="4" w:space="0"/>
            </w:tcBorders>
            <w:vAlign w:val="center"/>
          </w:tcPr>
          <w:p w14:paraId="482522C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304" w:type="pct"/>
            <w:tcBorders>
              <w:top w:val="single" w:color="auto" w:sz="4" w:space="0"/>
              <w:left w:val="single" w:color="auto" w:sz="4" w:space="0"/>
              <w:bottom w:val="single" w:color="auto" w:sz="12" w:space="0"/>
              <w:right w:val="single" w:color="auto" w:sz="4" w:space="0"/>
            </w:tcBorders>
            <w:vAlign w:val="center"/>
          </w:tcPr>
          <w:p w14:paraId="53B3678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304" w:type="pct"/>
            <w:tcBorders>
              <w:top w:val="single" w:color="auto" w:sz="4" w:space="0"/>
              <w:left w:val="single" w:color="auto" w:sz="4" w:space="0"/>
              <w:bottom w:val="single" w:color="auto" w:sz="12" w:space="0"/>
              <w:right w:val="single" w:color="auto" w:sz="4" w:space="0"/>
            </w:tcBorders>
            <w:vAlign w:val="center"/>
          </w:tcPr>
          <w:p w14:paraId="2496C9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w:t>
            </w:r>
          </w:p>
        </w:tc>
        <w:tc>
          <w:tcPr>
            <w:tcW w:w="304" w:type="pct"/>
            <w:tcBorders>
              <w:top w:val="single" w:color="auto" w:sz="4" w:space="0"/>
              <w:left w:val="single" w:color="auto" w:sz="4" w:space="0"/>
              <w:bottom w:val="single" w:color="auto" w:sz="12" w:space="0"/>
              <w:right w:val="single" w:color="auto" w:sz="4" w:space="0"/>
            </w:tcBorders>
            <w:vAlign w:val="center"/>
          </w:tcPr>
          <w:p w14:paraId="47C8CD0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304" w:type="pct"/>
            <w:tcBorders>
              <w:top w:val="single" w:color="auto" w:sz="4" w:space="0"/>
              <w:left w:val="single" w:color="auto" w:sz="4" w:space="0"/>
              <w:bottom w:val="single" w:color="auto" w:sz="12" w:space="0"/>
              <w:right w:val="nil"/>
            </w:tcBorders>
            <w:vAlign w:val="center"/>
          </w:tcPr>
          <w:p w14:paraId="7D6EAD0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r>
    </w:tbl>
    <w:p w14:paraId="26FB51B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预测结果，施工期间，各类施工机械的噪声在距离声源160m处时噪声均可满足《建筑施工噪声排放标准》（GB12523-2025）标准要求[昼间70dB（A），夜间55dB（A）]。同时，对高噪声设备采取隔声措施，并加强机械设备的保养，保证机械设备的正常运转，以降低设备正常运转的噪声。进一步落实以上措施后，施工期噪声对周边环境及施工人员的影响将进一步减少，施工期产生噪声对周边环境影响不大</w:t>
      </w:r>
      <w:bookmarkEnd w:id="425"/>
      <w:r>
        <w:rPr>
          <w:rFonts w:hint="eastAsia"/>
          <w:color w:val="000000" w:themeColor="text1"/>
          <w14:textFill>
            <w14:solidFill>
              <w14:schemeClr w14:val="tx1"/>
            </w14:solidFill>
          </w14:textFill>
        </w:rPr>
        <w:t>。</w:t>
      </w:r>
    </w:p>
    <w:bookmarkEnd w:id="424"/>
    <w:p w14:paraId="1279FA53">
      <w:pPr>
        <w:pStyle w:val="8"/>
        <w:rPr>
          <w:rFonts w:hint="eastAsia"/>
          <w:color w:val="000000" w:themeColor="text1"/>
          <w14:textFill>
            <w14:solidFill>
              <w14:schemeClr w14:val="tx1"/>
            </w14:solidFill>
          </w14:textFill>
        </w:rPr>
      </w:pPr>
      <w:bookmarkStart w:id="426" w:name="_Toc445996421"/>
      <w:bookmarkStart w:id="427" w:name="_Toc22582"/>
      <w:bookmarkStart w:id="428" w:name="_Toc445842100"/>
      <w:bookmarkStart w:id="429" w:name="_Hlk175257732"/>
      <w:bookmarkStart w:id="430" w:name="_Hlk175257753"/>
      <w:r>
        <w:rPr>
          <w:rFonts w:hint="eastAsia"/>
          <w:color w:val="000000" w:themeColor="text1"/>
          <w14:textFill>
            <w14:solidFill>
              <w14:schemeClr w14:val="tx1"/>
            </w14:solidFill>
          </w14:textFill>
        </w:rPr>
        <w:t>施工期固体废物环境</w:t>
      </w:r>
      <w:r>
        <w:rPr>
          <w:color w:val="000000" w:themeColor="text1"/>
          <w14:textFill>
            <w14:solidFill>
              <w14:schemeClr w14:val="tx1"/>
            </w14:solidFill>
          </w14:textFill>
        </w:rPr>
        <w:t>影响</w:t>
      </w:r>
      <w:bookmarkEnd w:id="426"/>
      <w:bookmarkEnd w:id="427"/>
      <w:bookmarkEnd w:id="428"/>
      <w:r>
        <w:rPr>
          <w:rFonts w:hint="eastAsia"/>
          <w:color w:val="000000" w:themeColor="text1"/>
          <w14:textFill>
            <w14:solidFill>
              <w14:schemeClr w14:val="tx1"/>
            </w14:solidFill>
          </w14:textFill>
        </w:rPr>
        <w:t>分析</w:t>
      </w:r>
    </w:p>
    <w:bookmarkEnd w:id="429"/>
    <w:p w14:paraId="6C8501C4">
      <w:pPr>
        <w:pStyle w:val="193"/>
        <w:rPr>
          <w:rFonts w:hint="eastAsia"/>
          <w:color w:val="000000" w:themeColor="text1"/>
          <w14:textFill>
            <w14:solidFill>
              <w14:schemeClr w14:val="tx1"/>
            </w14:solidFill>
          </w14:textFill>
        </w:rPr>
      </w:pPr>
      <w:bookmarkStart w:id="431" w:name="_Hlk175134881"/>
      <w:r>
        <w:rPr>
          <w:rFonts w:hint="eastAsia"/>
          <w:color w:val="000000" w:themeColor="text1"/>
          <w14:textFill>
            <w14:solidFill>
              <w14:schemeClr w14:val="tx1"/>
            </w14:solidFill>
          </w14:textFill>
        </w:rPr>
        <w:t>施工过程中的挖方全部回填，无弃方产生，固体废物主要为废弃水基钻井液、钻井岩屑（水基钻井岩屑）、建筑垃圾、废润滑油、焊接废渣、废危化品包装材料、废润滑油桶和沾油废防渗材料。</w:t>
      </w:r>
    </w:p>
    <w:p w14:paraId="45A19E36">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（1）钻井岩屑</w:t>
      </w:r>
    </w:p>
    <w:p w14:paraId="643F4792">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一开和二开钻井采用非磺化水基钻井液，钻井时井筒返排的钻井液及岩屑经不落地设备分离，分离出的液相回用于钻井液配置，</w:t>
      </w:r>
      <w:bookmarkStart w:id="432" w:name="_Hlk69139413"/>
      <w:r>
        <w:rPr>
          <w:rFonts w:hint="eastAsia"/>
          <w:color w:val="000000" w:themeColor="text1"/>
          <w14:textFill>
            <w14:solidFill>
              <w14:schemeClr w14:val="tx1"/>
            </w14:solidFill>
          </w14:textFill>
        </w:rPr>
        <w:t>钻井过程中钻井液的循环利用率约为95%，剩余未利用的约为5%沾到钻井岩屑上未完全分离，作为废弃钻井液同钻井岩屑一同处置。废弃水基钻井液和水基钻井岩屑进入专用储罐暂存，委托新疆盛洁环境技术有限责任公司拉运处置</w:t>
      </w:r>
      <w:bookmarkEnd w:id="432"/>
      <w:r>
        <w:rPr>
          <w:rFonts w:hint="eastAsia"/>
          <w:color w:val="000000" w:themeColor="text1"/>
          <w14:textFill>
            <w14:solidFill>
              <w14:schemeClr w14:val="tx1"/>
            </w14:solidFill>
          </w14:textFill>
        </w:rPr>
        <w:t>。</w:t>
      </w:r>
    </w:p>
    <w:bookmarkEnd w:id="430"/>
    <w:p w14:paraId="1DF9EDE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）废润滑油和废润滑油桶</w:t>
      </w:r>
    </w:p>
    <w:p w14:paraId="18286DF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施工期产生的废润滑油和废润滑油桶均属于《国家危险废物名录（2025年版）》</w:t>
      </w:r>
      <w:r>
        <w:rPr>
          <w:color w:val="000000" w:themeColor="text1"/>
          <w14:textFill>
            <w14:solidFill>
              <w14:schemeClr w14:val="tx1"/>
            </w14:solidFill>
          </w14:textFill>
        </w:rPr>
        <w:t>HW08废矿物油与含矿物油废物</w:t>
      </w:r>
      <w:r>
        <w:rPr>
          <w:rFonts w:hint="eastAsia"/>
          <w:color w:val="000000" w:themeColor="text1"/>
          <w14:textFill>
            <w14:solidFill>
              <w14:schemeClr w14:val="tx1"/>
            </w14:solidFill>
          </w14:textFill>
        </w:rPr>
        <w:t>，废物代码：</w:t>
      </w:r>
      <w:r>
        <w:rPr>
          <w:color w:val="000000" w:themeColor="text1"/>
          <w14:textFill>
            <w14:solidFill>
              <w14:schemeClr w14:val="tx1"/>
            </w14:solidFill>
          </w14:textFill>
        </w:rPr>
        <w:t>900-249-08</w:t>
      </w:r>
      <w:r>
        <w:rPr>
          <w:rFonts w:hint="eastAsia"/>
          <w:color w:val="000000" w:themeColor="text1"/>
          <w14:textFill>
            <w14:solidFill>
              <w14:schemeClr w14:val="tx1"/>
            </w14:solidFill>
          </w14:textFill>
        </w:rPr>
        <w:t>，危险特性为毒性和易燃性，</w:t>
      </w:r>
      <w:bookmarkStart w:id="433" w:name="_Hlk115122985"/>
      <w:r>
        <w:rPr>
          <w:rFonts w:hint="eastAsia"/>
          <w:color w:val="000000" w:themeColor="text1"/>
          <w14:textFill>
            <w14:solidFill>
              <w14:schemeClr w14:val="tx1"/>
            </w14:solidFill>
          </w14:textFill>
        </w:rPr>
        <w:t>集中收集后分区暂存</w:t>
      </w:r>
      <w:r>
        <w:rPr>
          <w:rFonts w:hint="eastAsia"/>
          <w:color w:val="000000" w:themeColor="text1"/>
          <w:lang w:val="en-US" w:eastAsia="zh-CN"/>
          <w14:textFill>
            <w14:solidFill>
              <w14:schemeClr w14:val="tx1"/>
            </w14:solidFill>
          </w14:textFill>
        </w:rPr>
        <w:t>在</w:t>
      </w:r>
      <w:r>
        <w:rPr>
          <w:rFonts w:hint="eastAsia"/>
          <w:color w:val="000000" w:themeColor="text1"/>
          <w14:textFill>
            <w14:solidFill>
              <w14:schemeClr w14:val="tx1"/>
            </w14:solidFill>
          </w14:textFill>
        </w:rPr>
        <w:t>钻井井场内设置</w:t>
      </w:r>
      <w:r>
        <w:rPr>
          <w:rFonts w:hint="eastAsia"/>
          <w:color w:val="000000" w:themeColor="text1"/>
          <w:lang w:val="en-US" w:eastAsia="zh-CN"/>
          <w14:textFill>
            <w14:solidFill>
              <w14:schemeClr w14:val="tx1"/>
            </w14:solidFill>
          </w14:textFill>
        </w:rPr>
        <w:t>的</w:t>
      </w:r>
      <w:r>
        <w:rPr>
          <w:rFonts w:hint="eastAsia"/>
          <w:color w:val="000000" w:themeColor="text1"/>
          <w14:textFill>
            <w14:solidFill>
              <w14:schemeClr w14:val="tx1"/>
            </w14:solidFill>
          </w14:textFill>
        </w:rPr>
        <w:t>临时危险废物</w:t>
      </w:r>
      <w:r>
        <w:rPr>
          <w:color w:val="000000" w:themeColor="text1"/>
          <w14:textFill>
            <w14:solidFill>
              <w14:schemeClr w14:val="tx1"/>
            </w14:solidFill>
          </w14:textFill>
        </w:rPr>
        <w:t>贮存点，</w:t>
      </w:r>
      <w:r>
        <w:rPr>
          <w:rFonts w:hint="eastAsia"/>
          <w:color w:val="000000" w:themeColor="text1"/>
          <w:lang w:val="en-US" w:eastAsia="zh-CN"/>
          <w14:textFill>
            <w14:solidFill>
              <w14:schemeClr w14:val="tx1"/>
            </w14:solidFill>
          </w14:textFill>
        </w:rPr>
        <w:t>最终</w:t>
      </w:r>
      <w:r>
        <w:rPr>
          <w:rFonts w:hint="eastAsia"/>
          <w:color w:val="000000" w:themeColor="text1"/>
          <w14:textFill>
            <w14:solidFill>
              <w14:schemeClr w14:val="tx1"/>
            </w14:solidFill>
          </w14:textFill>
        </w:rPr>
        <w:t>交由有相应危险废物处置资质的单位进行回收处置。</w:t>
      </w:r>
    </w:p>
    <w:bookmarkEnd w:id="433"/>
    <w:p w14:paraId="62107027">
      <w:pPr>
        <w:pStyle w:val="120"/>
        <w:rPr>
          <w:rFonts w:hint="eastAsia"/>
          <w:color w:val="000000" w:themeColor="text1"/>
          <w14:textFill>
            <w14:solidFill>
              <w14:schemeClr w14:val="tx1"/>
            </w14:solidFill>
          </w14:textFill>
        </w:rPr>
      </w:pPr>
      <w:bookmarkStart w:id="434" w:name="_Hlk175257769"/>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）沾油废防渗材料</w:t>
      </w:r>
    </w:p>
    <w:p w14:paraId="2BAB81E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沾油废防渗材料主要为钻井井场产生的</w:t>
      </w:r>
      <w:r>
        <w:rPr>
          <w:rFonts w:hint="eastAsia" w:cs="宋体"/>
          <w:color w:val="000000" w:themeColor="text1"/>
          <w14:textFill>
            <w14:solidFill>
              <w14:schemeClr w14:val="tx1"/>
            </w14:solidFill>
          </w14:textFill>
        </w:rPr>
        <w:t>沾油废防渗膜，</w:t>
      </w:r>
      <w:r>
        <w:rPr>
          <w:rFonts w:hint="eastAsia"/>
          <w:color w:val="000000" w:themeColor="text1"/>
          <w14:textFill>
            <w14:solidFill>
              <w14:schemeClr w14:val="tx1"/>
            </w14:solidFill>
          </w14:textFill>
        </w:rPr>
        <w:t>属于《国家危险废物名录（2025年版）》</w:t>
      </w:r>
      <w:r>
        <w:rPr>
          <w:color w:val="000000" w:themeColor="text1"/>
          <w14:textFill>
            <w14:solidFill>
              <w14:schemeClr w14:val="tx1"/>
            </w14:solidFill>
          </w14:textFill>
        </w:rPr>
        <w:t>HW08废矿物油与含矿物油废物</w:t>
      </w:r>
      <w:r>
        <w:rPr>
          <w:rFonts w:hint="eastAsia"/>
          <w:color w:val="000000" w:themeColor="text1"/>
          <w14:textFill>
            <w14:solidFill>
              <w14:schemeClr w14:val="tx1"/>
            </w14:solidFill>
          </w14:textFill>
        </w:rPr>
        <w:t>，废物代码：</w:t>
      </w:r>
      <w:r>
        <w:rPr>
          <w:color w:val="000000" w:themeColor="text1"/>
          <w14:textFill>
            <w14:solidFill>
              <w14:schemeClr w14:val="tx1"/>
            </w14:solidFill>
          </w14:textFill>
        </w:rPr>
        <w:t>900-249-08</w:t>
      </w:r>
      <w:r>
        <w:rPr>
          <w:rFonts w:hint="eastAsia"/>
          <w:color w:val="000000" w:themeColor="text1"/>
          <w14:textFill>
            <w14:solidFill>
              <w14:schemeClr w14:val="tx1"/>
            </w14:solidFill>
          </w14:textFill>
        </w:rPr>
        <w:t>，危险特性为毒性和易燃性，集中收集后分区暂存</w:t>
      </w:r>
      <w:r>
        <w:rPr>
          <w:rFonts w:hint="eastAsia"/>
          <w:color w:val="000000" w:themeColor="text1"/>
          <w:lang w:val="en-US" w:eastAsia="zh-CN"/>
          <w14:textFill>
            <w14:solidFill>
              <w14:schemeClr w14:val="tx1"/>
            </w14:solidFill>
          </w14:textFill>
        </w:rPr>
        <w:t>在</w:t>
      </w:r>
      <w:r>
        <w:rPr>
          <w:rFonts w:hint="eastAsia"/>
          <w:color w:val="000000" w:themeColor="text1"/>
          <w14:textFill>
            <w14:solidFill>
              <w14:schemeClr w14:val="tx1"/>
            </w14:solidFill>
          </w14:textFill>
        </w:rPr>
        <w:t>钻井井场内设置</w:t>
      </w:r>
      <w:r>
        <w:rPr>
          <w:rFonts w:hint="eastAsia"/>
          <w:color w:val="000000" w:themeColor="text1"/>
          <w:lang w:val="en-US" w:eastAsia="zh-CN"/>
          <w14:textFill>
            <w14:solidFill>
              <w14:schemeClr w14:val="tx1"/>
            </w14:solidFill>
          </w14:textFill>
        </w:rPr>
        <w:t>的</w:t>
      </w:r>
      <w:r>
        <w:rPr>
          <w:rFonts w:hint="eastAsia"/>
          <w:color w:val="000000" w:themeColor="text1"/>
          <w14:textFill>
            <w14:solidFill>
              <w14:schemeClr w14:val="tx1"/>
            </w14:solidFill>
          </w14:textFill>
        </w:rPr>
        <w:t>临时危险废物</w:t>
      </w:r>
      <w:r>
        <w:rPr>
          <w:color w:val="000000" w:themeColor="text1"/>
          <w14:textFill>
            <w14:solidFill>
              <w14:schemeClr w14:val="tx1"/>
            </w14:solidFill>
          </w14:textFill>
        </w:rPr>
        <w:t>贮存点，</w:t>
      </w:r>
      <w:r>
        <w:rPr>
          <w:rFonts w:hint="eastAsia"/>
          <w:color w:val="000000" w:themeColor="text1"/>
          <w:lang w:val="en-US" w:eastAsia="zh-CN"/>
          <w14:textFill>
            <w14:solidFill>
              <w14:schemeClr w14:val="tx1"/>
            </w14:solidFill>
          </w14:textFill>
        </w:rPr>
        <w:t>最终</w:t>
      </w:r>
      <w:r>
        <w:rPr>
          <w:rFonts w:hint="eastAsia"/>
          <w:color w:val="000000" w:themeColor="text1"/>
          <w14:textFill>
            <w14:solidFill>
              <w14:schemeClr w14:val="tx1"/>
            </w14:solidFill>
          </w14:textFill>
        </w:rPr>
        <w:t>交由具有相关危险废物处置资质的单位接收、转运以及处置。</w:t>
      </w:r>
    </w:p>
    <w:bookmarkEnd w:id="434"/>
    <w:p w14:paraId="6DA4414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）固体废物主要为建筑垃圾，施工过程中使用材料产生的废边角料等尽量由施工单位统一回收利用，无法再利用的集中堆放，</w:t>
      </w:r>
      <w:r>
        <w:rPr>
          <w:rFonts w:hint="eastAsia"/>
          <w:color w:val="000000" w:themeColor="text1"/>
          <w:lang w:val="en-US" w:eastAsia="zh-CN"/>
          <w14:textFill>
            <w14:solidFill>
              <w14:schemeClr w14:val="tx1"/>
            </w14:solidFill>
          </w14:textFill>
        </w:rPr>
        <w:t>最终</w:t>
      </w:r>
      <w:r>
        <w:rPr>
          <w:rFonts w:hint="eastAsia"/>
          <w:color w:val="000000" w:themeColor="text1"/>
          <w14:textFill>
            <w14:solidFill>
              <w14:schemeClr w14:val="tx1"/>
            </w14:solidFill>
          </w14:textFill>
        </w:rPr>
        <w:t>交由环卫部门统一处置。</w:t>
      </w:r>
    </w:p>
    <w:p w14:paraId="516A2FD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）焊接废渣</w:t>
      </w:r>
    </w:p>
    <w:p w14:paraId="71BB2C1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管线施工过程中会产生少量的焊接废渣，在每个焊接作业点配备铁桶或纸箱，焊接废渣直接放入容器中，施工结束后由施工队集中回收处置。</w:t>
      </w:r>
    </w:p>
    <w:p w14:paraId="34976365">
      <w:pPr>
        <w:pStyle w:val="120"/>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w:t>
      </w:r>
      <w:r>
        <w:rPr>
          <w:rFonts w:hint="eastAsia" w:cs="宋体"/>
          <w:color w:val="000000" w:themeColor="text1"/>
          <w:lang w:val="en-US" w:eastAsia="zh-CN"/>
          <w14:textFill>
            <w14:solidFill>
              <w14:schemeClr w14:val="tx1"/>
            </w14:solidFill>
          </w14:textFill>
        </w:rPr>
        <w:t>6</w:t>
      </w:r>
      <w:r>
        <w:rPr>
          <w:rFonts w:hint="eastAsia" w:cs="宋体"/>
          <w:color w:val="000000" w:themeColor="text1"/>
          <w14:textFill>
            <w14:solidFill>
              <w14:schemeClr w14:val="tx1"/>
            </w14:solidFill>
          </w14:textFill>
        </w:rPr>
        <w:t>）</w:t>
      </w:r>
      <w:r>
        <w:rPr>
          <w:rFonts w:hint="eastAsia"/>
          <w:color w:val="000000" w:themeColor="text1"/>
          <w14:textFill>
            <w14:solidFill>
              <w14:schemeClr w14:val="tx1"/>
            </w14:solidFill>
          </w14:textFill>
        </w:rPr>
        <w:t>废危化品包装材料</w:t>
      </w:r>
    </w:p>
    <w:p w14:paraId="2ECCE90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拟建项目钻井液配置辅料涉及氢氧化钠，会产生废危化品包装材料，属于《国家危险废物名录（2025年版）》HW49其他废物，废物代码：900-041-49，危险特性为毒性和感染性，分区暂存</w:t>
      </w:r>
      <w:r>
        <w:rPr>
          <w:rFonts w:hint="eastAsia"/>
          <w:color w:val="000000" w:themeColor="text1"/>
          <w:lang w:val="en-US" w:eastAsia="zh-CN"/>
          <w14:textFill>
            <w14:solidFill>
              <w14:schemeClr w14:val="tx1"/>
            </w14:solidFill>
          </w14:textFill>
        </w:rPr>
        <w:t>在</w:t>
      </w:r>
      <w:r>
        <w:rPr>
          <w:rFonts w:hint="eastAsia"/>
          <w:color w:val="000000" w:themeColor="text1"/>
          <w14:textFill>
            <w14:solidFill>
              <w14:schemeClr w14:val="tx1"/>
            </w14:solidFill>
          </w14:textFill>
        </w:rPr>
        <w:t>钻井井场内设置</w:t>
      </w:r>
      <w:r>
        <w:rPr>
          <w:rFonts w:hint="eastAsia"/>
          <w:color w:val="000000" w:themeColor="text1"/>
          <w:lang w:val="en-US" w:eastAsia="zh-CN"/>
          <w14:textFill>
            <w14:solidFill>
              <w14:schemeClr w14:val="tx1"/>
            </w14:solidFill>
          </w14:textFill>
        </w:rPr>
        <w:t>的</w:t>
      </w:r>
      <w:r>
        <w:rPr>
          <w:rFonts w:hint="eastAsia"/>
          <w:color w:val="000000" w:themeColor="text1"/>
          <w14:textFill>
            <w14:solidFill>
              <w14:schemeClr w14:val="tx1"/>
            </w14:solidFill>
          </w14:textFill>
        </w:rPr>
        <w:t>临时危险废物</w:t>
      </w:r>
      <w:r>
        <w:rPr>
          <w:color w:val="000000" w:themeColor="text1"/>
          <w14:textFill>
            <w14:solidFill>
              <w14:schemeClr w14:val="tx1"/>
            </w14:solidFill>
          </w14:textFill>
        </w:rPr>
        <w:t>贮存点，</w:t>
      </w:r>
      <w:r>
        <w:rPr>
          <w:rFonts w:hint="eastAsia"/>
          <w:color w:val="000000" w:themeColor="text1"/>
          <w:lang w:val="en-US" w:eastAsia="zh-CN"/>
          <w14:textFill>
            <w14:solidFill>
              <w14:schemeClr w14:val="tx1"/>
            </w14:solidFill>
          </w14:textFill>
        </w:rPr>
        <w:t>最终</w:t>
      </w:r>
      <w:r>
        <w:rPr>
          <w:rFonts w:hint="eastAsia"/>
          <w:color w:val="000000" w:themeColor="text1"/>
          <w14:textFill>
            <w14:solidFill>
              <w14:schemeClr w14:val="tx1"/>
            </w14:solidFill>
          </w14:textFill>
        </w:rPr>
        <w:t>交由具有相关危险废物处置资质的单位接收、转运以及处置。</w:t>
      </w:r>
    </w:p>
    <w:p w14:paraId="06150C3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综上所述，产生的各类固体废物均按相应类别进行了收集，且均得到了妥善处置，正常情况下不会对周围环境产生不利影响。</w:t>
      </w:r>
    </w:p>
    <w:bookmarkEnd w:id="431"/>
    <w:p w14:paraId="708141F6">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施工期土壤环境</w:t>
      </w:r>
      <w:r>
        <w:rPr>
          <w:color w:val="000000" w:themeColor="text1"/>
          <w14:textFill>
            <w14:solidFill>
              <w14:schemeClr w14:val="tx1"/>
            </w14:solidFill>
          </w14:textFill>
        </w:rPr>
        <w:t>影响</w:t>
      </w:r>
      <w:r>
        <w:rPr>
          <w:rFonts w:hint="eastAsia"/>
          <w:color w:val="000000" w:themeColor="text1"/>
          <w14:textFill>
            <w14:solidFill>
              <w14:schemeClr w14:val="tx1"/>
            </w14:solidFill>
          </w14:textFill>
        </w:rPr>
        <w:t>分析</w:t>
      </w:r>
    </w:p>
    <w:p w14:paraId="29CC60D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施工期对土壤环境质量的影响主要为人为扰动、车辆行驶和机械施工、各种废弃物污染影响。</w:t>
      </w:r>
    </w:p>
    <w:p w14:paraId="20AD111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（1）人为扰动对土壤的影响分析</w:t>
      </w:r>
    </w:p>
    <w:p w14:paraId="2A74B30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项目实施过程中不可避免地会对土壤造成扰动，主要是</w:t>
      </w:r>
      <w:r>
        <w:rPr>
          <w:rFonts w:hint="eastAsia"/>
          <w:color w:val="000000" w:themeColor="text1"/>
          <w:lang w:val="en-US"/>
          <w14:textFill>
            <w14:solidFill>
              <w14:schemeClr w14:val="tx1"/>
            </w14:solidFill>
          </w14:textFill>
        </w:rPr>
        <w:t>单井采油</w:t>
      </w:r>
      <w:r>
        <w:rPr>
          <w:rFonts w:hint="eastAsia"/>
          <w:color w:val="000000" w:themeColor="text1"/>
          <w14:textFill>
            <w14:solidFill>
              <w14:schemeClr w14:val="tx1"/>
            </w14:solidFill>
          </w14:textFill>
        </w:rPr>
        <w:t>井场、</w:t>
      </w:r>
      <w:r>
        <w:rPr>
          <w:rFonts w:hint="eastAsia"/>
          <w:color w:val="000000" w:themeColor="text1"/>
          <w:lang w:val="en-US"/>
          <w14:textFill>
            <w14:solidFill>
              <w14:schemeClr w14:val="tx1"/>
            </w14:solidFill>
          </w14:textFill>
        </w:rPr>
        <w:t>注水井场和2井式平台井场</w:t>
      </w:r>
      <w:r>
        <w:rPr>
          <w:rFonts w:hint="eastAsia"/>
          <w:color w:val="000000" w:themeColor="text1"/>
          <w14:textFill>
            <w14:solidFill>
              <w14:schemeClr w14:val="tx1"/>
            </w14:solidFill>
          </w14:textFill>
        </w:rPr>
        <w:t>设备建设、管道敷设等工程建设过程中对土壤的开挖，以及车辆行驶、机械施工碾压和踩踏破坏土壤结构。</w:t>
      </w:r>
    </w:p>
    <w:p w14:paraId="5A043AE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施工中，设备碾压、人员踩踏等都会对土壤的紧实度产生影响，而开挖作业则会改变土壤层次。机械碾压和人员踩踏致使土壤紧实度增高，地表水入渗减少，土壤团粒结构遭到破坏，土壤养分流失，不利于植物生长。各种车辆（尤其是重型卡车）反复碾压后的土壤，植物很难再生长。管道的开挖和回填过程中势必会对土壤原有层次产生扰动和破坏，若不同质地、不同层次的土壤混合，将直接影响植物的生长。</w:t>
      </w:r>
    </w:p>
    <w:p w14:paraId="6F548E5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）废弃物排放对土壤环境的影响分析</w:t>
      </w:r>
    </w:p>
    <w:p w14:paraId="19E5014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施工期各种原辅料堆放，如各类施工设备、原辅料堆放及各类施工废弃物暂存等，若遇防渗措施破损或大雨淋滤等情况，导致物料泄漏、废弃物渗滤液直接进入土壤，对土壤造成污染影响。</w:t>
      </w:r>
    </w:p>
    <w:p w14:paraId="016E2B9B">
      <w:pPr>
        <w:pStyle w:val="8"/>
        <w:rPr>
          <w:rFonts w:hint="eastAsia"/>
          <w:color w:val="000000" w:themeColor="text1"/>
          <w14:textFill>
            <w14:solidFill>
              <w14:schemeClr w14:val="tx1"/>
            </w14:solidFill>
          </w14:textFill>
        </w:rPr>
      </w:pPr>
      <w:bookmarkStart w:id="435" w:name="_Hlk175251833"/>
      <w:bookmarkStart w:id="436" w:name="_Hlk175252060"/>
      <w:r>
        <w:rPr>
          <w:rFonts w:hint="eastAsia"/>
          <w:color w:val="000000" w:themeColor="text1"/>
          <w14:textFill>
            <w14:solidFill>
              <w14:schemeClr w14:val="tx1"/>
            </w14:solidFill>
          </w14:textFill>
        </w:rPr>
        <w:t>施工期生态环境影响分析</w:t>
      </w:r>
    </w:p>
    <w:bookmarkEnd w:id="435"/>
    <w:p w14:paraId="7A8B78A0">
      <w:pPr>
        <w:pStyle w:val="120"/>
        <w:rPr>
          <w:rFonts w:hint="eastAsia"/>
          <w:color w:val="000000" w:themeColor="text1"/>
          <w14:textFill>
            <w14:solidFill>
              <w14:schemeClr w14:val="tx1"/>
            </w14:solidFill>
          </w14:textFill>
        </w:rPr>
      </w:pPr>
      <w:bookmarkStart w:id="437" w:name="_Hlk147587115"/>
      <w:r>
        <w:rPr>
          <w:rFonts w:hint="eastAsia"/>
          <w:color w:val="000000" w:themeColor="text1"/>
          <w14:textFill>
            <w14:solidFill>
              <w14:schemeClr w14:val="tx1"/>
            </w14:solidFill>
          </w14:textFill>
        </w:rPr>
        <w:t>（1）对土地利用类型的影响分析</w:t>
      </w:r>
    </w:p>
    <w:p w14:paraId="539F8F7B">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生态影响主要表现为占地影响，临时占地主要为单井采油管线/单井掺热水管线（同沟敷设）、单井注水管线、输电线（除电杆占地）等施工临时占用，永久占地主要为新建2井式平台井场、单井采油井场、注水井场和巡检道路占地。施工结束后，永久占地被永久性构筑物代替，这部分占地的土壤类型、土地利用类型和植被类型将发生彻底的改变，永久占地使原先土壤—植被复合体构成的自然地表被各类人工构造物长期取代；临时占地伴随着永久性占地的工程建设而发生，也不可避免地对原有地表造成破坏，使原有土壤—植被自然体系受到影响或瓦解，在扰动结束后，临时占地影响区的土壤—植被体系的恢复能力与程度取决于临时占地影响程度的大小及原先的生态背景状况。施工活动和工程占地在油区范围内并呈点线状分布，对土壤、植物、野生动物等各生态要素产生不同程度的影响，同时也对原有景观结构和生态系统产生一定程度影响。</w:t>
      </w:r>
    </w:p>
    <w:p w14:paraId="2B5042B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（2）对植物影响分析</w:t>
      </w:r>
    </w:p>
    <w:p w14:paraId="411C48F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①工程占地对植物的影响分析</w:t>
      </w:r>
    </w:p>
    <w:p w14:paraId="7526EC96">
      <w:pPr>
        <w:pStyle w:val="120"/>
        <w:rPr>
          <w:rFonts w:hint="eastAsia"/>
          <w:color w:val="000000" w:themeColor="text1"/>
          <w14:textFill>
            <w14:solidFill>
              <w14:schemeClr w14:val="tx1"/>
            </w14:solidFill>
          </w14:textFill>
        </w:rPr>
      </w:pPr>
      <w:bookmarkStart w:id="438" w:name="_Hlk175090354"/>
      <w:r>
        <w:rPr>
          <w:rFonts w:hint="eastAsia"/>
          <w:color w:val="000000" w:themeColor="text1"/>
          <w14:textFill>
            <w14:solidFill>
              <w14:schemeClr w14:val="tx1"/>
            </w14:solidFill>
          </w14:textFill>
        </w:rPr>
        <w:t>工程占地类型为草地（天然牧草地）、</w:t>
      </w:r>
      <w:bookmarkEnd w:id="438"/>
      <w:r>
        <w:rPr>
          <w:rFonts w:hint="eastAsia"/>
          <w:color w:val="000000" w:themeColor="text1"/>
          <w:lang w:val="en-US"/>
          <w14:textFill>
            <w14:solidFill>
              <w14:schemeClr w14:val="tx1"/>
            </w14:solidFill>
          </w14:textFill>
        </w:rPr>
        <w:t>其他园地和采矿用地</w:t>
      </w:r>
      <w:r>
        <w:rPr>
          <w:rFonts w:hint="eastAsia"/>
          <w:color w:val="000000" w:themeColor="text1"/>
          <w14:textFill>
            <w14:solidFill>
              <w14:schemeClr w14:val="tx1"/>
            </w14:solidFill>
          </w14:textFill>
        </w:rPr>
        <w:t>，各项施工作业对植被的主要影响是土地的占用和施工阶段清场过程中对地表植被的清理和碾压。井场和巡检道路占地范围内地表土地被各种构筑物或砾石覆盖，永久性地改变了原有土地的利用类型，对植物造成了永久的破坏</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使生物量降低，植被种类可能会减少</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但由于项目占地范围内植被稀疏，施工期不会对区域的生物量产生明显影响。输电线路（除电杆占地）、单井采油管线</w:t>
      </w:r>
      <w:r>
        <w:rPr>
          <w:rFonts w:hint="eastAsia"/>
          <w:color w:val="000000" w:themeColor="text1"/>
          <w:lang w:val="en-US" w:eastAsia="zh-CN"/>
          <w14:textFill>
            <w14:solidFill>
              <w14:schemeClr w14:val="tx1"/>
            </w14:solidFill>
          </w14:textFill>
        </w:rPr>
        <w:t>/单井掺热水管线</w:t>
      </w:r>
      <w:r>
        <w:rPr>
          <w:rFonts w:hint="eastAsia"/>
          <w:color w:val="000000" w:themeColor="text1"/>
          <w14:textFill>
            <w14:solidFill>
              <w14:schemeClr w14:val="tx1"/>
            </w14:solidFill>
          </w14:textFill>
        </w:rPr>
        <w:t>和单井注</w:t>
      </w:r>
      <w:r>
        <w:rPr>
          <w:rFonts w:hint="eastAsia"/>
          <w:color w:val="000000" w:themeColor="text1"/>
          <w:lang w:val="en-US" w:eastAsia="zh-CN"/>
          <w14:textFill>
            <w14:solidFill>
              <w14:schemeClr w14:val="tx1"/>
            </w14:solidFill>
          </w14:textFill>
        </w:rPr>
        <w:t>水</w:t>
      </w:r>
      <w:r>
        <w:rPr>
          <w:rFonts w:hint="eastAsia"/>
          <w:color w:val="000000" w:themeColor="text1"/>
          <w14:textFill>
            <w14:solidFill>
              <w14:schemeClr w14:val="tx1"/>
            </w14:solidFill>
          </w14:textFill>
        </w:rPr>
        <w:t>管线等临时占地范围内地表植被及地表结构却发生了较大的变化，地表保护层被破坏后，稳定性下降，防止水土流失的能力也随之下降。临时占地范围内地表结构、土壤理化性质发生了变化，随着地表结构及土壤理化性质的恢复，地表植被在一定时期内得到初步恢复，由施工人员踩踏及机械碾压的植被在一定时间内得到恢复，故项目实施后不会使区域植被覆盖度发生明显变化；临时占地范围内的植被逐渐恢复至与周围生态环境相协调，故项目实施不会使区域植被类型发生明显变化。</w:t>
      </w:r>
    </w:p>
    <w:p w14:paraId="03C68F28">
      <w:pPr>
        <w:pStyle w:val="120"/>
        <w:rPr>
          <w:rFonts w:hint="eastAsia"/>
          <w:color w:val="000000" w:themeColor="text1"/>
          <w14:textFill>
            <w14:solidFill>
              <w14:schemeClr w14:val="tx1"/>
            </w14:solidFill>
          </w14:textFill>
        </w:rPr>
      </w:pPr>
      <w:bookmarkStart w:id="439" w:name="_Hlk175218241"/>
      <w:r>
        <w:rPr>
          <w:rFonts w:hint="eastAsia"/>
          <w:color w:val="000000" w:themeColor="text1"/>
          <w14:textFill>
            <w14:solidFill>
              <w14:schemeClr w14:val="tx1"/>
            </w14:solidFill>
          </w14:textFill>
        </w:rPr>
        <w:t>本项目总占地面积为</w:t>
      </w:r>
      <w:r>
        <w:rPr>
          <w:rFonts w:hint="eastAsia"/>
          <w:color w:val="000000" w:themeColor="text1"/>
          <w:lang w:eastAsia="zh-CN"/>
          <w14:textFill>
            <w14:solidFill>
              <w14:schemeClr w14:val="tx1"/>
            </w14:solidFill>
          </w14:textFill>
        </w:rPr>
        <w:t>90517</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，其中永久占地12462m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，临时占地</w:t>
      </w:r>
      <w:r>
        <w:rPr>
          <w:rFonts w:hint="eastAsia"/>
          <w:color w:val="000000" w:themeColor="text1"/>
          <w:lang w:eastAsia="zh-CN"/>
          <w14:textFill>
            <w14:solidFill>
              <w14:schemeClr w14:val="tx1"/>
            </w14:solidFill>
          </w14:textFill>
        </w:rPr>
        <w:t>78055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bookmarkEnd w:id="439"/>
      <w:r>
        <w:rPr>
          <w:rFonts w:hint="eastAsia"/>
          <w:color w:val="000000" w:themeColor="text1"/>
          <w14:textFill>
            <w14:solidFill>
              <w14:schemeClr w14:val="tx1"/>
            </w14:solidFill>
          </w14:textFill>
        </w:rPr>
        <w:t>占地类型为</w:t>
      </w:r>
      <w:r>
        <w:rPr>
          <w:rFonts w:hint="eastAsia"/>
          <w:color w:val="000000" w:themeColor="text1"/>
          <w:lang w:val="en-US" w:eastAsia="zh-CN"/>
          <w14:textFill>
            <w14:solidFill>
              <w14:schemeClr w14:val="tx1"/>
            </w14:solidFill>
          </w14:textFill>
        </w:rPr>
        <w:t>天然牧草地</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其他</w:t>
      </w:r>
      <w:r>
        <w:rPr>
          <w:rFonts w:hint="eastAsia"/>
          <w:color w:val="000000" w:themeColor="text1"/>
          <w:lang w:val="en-US" w:eastAsia="zh-CN"/>
          <w14:textFill>
            <w14:solidFill>
              <w14:schemeClr w14:val="tx1"/>
            </w14:solidFill>
          </w14:textFill>
        </w:rPr>
        <w:t>园地和采矿用地</w:t>
      </w:r>
      <w:r>
        <w:rPr>
          <w:rFonts w:hint="eastAsia"/>
          <w:color w:val="000000" w:themeColor="text1"/>
          <w14:textFill>
            <w14:solidFill>
              <w14:schemeClr w14:val="tx1"/>
            </w14:solidFill>
          </w14:textFill>
        </w:rPr>
        <w:t>。在施工结束的</w:t>
      </w:r>
      <w:r>
        <w:rPr>
          <w:color w:val="000000" w:themeColor="text1"/>
          <w14:textFill>
            <w14:solidFill>
              <w14:schemeClr w14:val="tx1"/>
            </w14:solidFill>
          </w14:textFill>
        </w:rPr>
        <w:t>2a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3a</w:t>
      </w:r>
      <w:r>
        <w:rPr>
          <w:rFonts w:hint="eastAsia"/>
          <w:color w:val="000000" w:themeColor="text1"/>
          <w14:textFill>
            <w14:solidFill>
              <w14:schemeClr w14:val="tx1"/>
            </w14:solidFill>
          </w14:textFill>
        </w:rPr>
        <w:t>中，将影响占地范围之内的植被初级生产力，其生物损失量根据《陆地石油天然气开发建设项目环境影响评价技术导则》（</w:t>
      </w:r>
      <w:r>
        <w:rPr>
          <w:color w:val="000000" w:themeColor="text1"/>
          <w14:textFill>
            <w14:solidFill>
              <w14:schemeClr w14:val="tx1"/>
            </w14:solidFill>
          </w14:textFill>
        </w:rPr>
        <w:t>HJ/T349-2007</w:t>
      </w:r>
      <w:r>
        <w:rPr>
          <w:rFonts w:hint="eastAsia"/>
          <w:color w:val="000000" w:themeColor="text1"/>
          <w14:textFill>
            <w14:solidFill>
              <w14:schemeClr w14:val="tx1"/>
            </w14:solidFill>
          </w14:textFill>
        </w:rPr>
        <w:t>）中荒漠化量化指标1.2</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）计算，约为</w:t>
      </w:r>
      <w:r>
        <w:rPr>
          <w:rFonts w:hint="eastAsia"/>
          <w:color w:val="000000" w:themeColor="text1"/>
          <w:lang w:val="en-US" w:eastAsia="zh-CN"/>
          <w14:textFill>
            <w14:solidFill>
              <w14:schemeClr w14:val="tx1"/>
            </w14:solidFill>
          </w14:textFill>
        </w:rPr>
        <w:t>10.86</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，当临时性占地的植被得到初步恢复后，这种损失将逐渐减少。通过加强环保宣传教育，以及严格的环境保护管理措施，可以有效地避免施工及人员活动对保护植物的破坏。</w:t>
      </w:r>
    </w:p>
    <w:p w14:paraId="736EA707">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单位正在严格按照有关规定办理用地审批手续，按照正式征地文件对所占用的草地和林地进行经济补偿，施工结束后及时对占地进行植被恢复；运输车辆沿道路行驶，禁止乱压乱碾；通过加强环保宣传教育，普及野生动物保护相关法律法规，以及严格的环境保护管理措施，可以有效地避免施工及人员活动对保护植物的破坏，项目实施不会对项目区的植被类型及植被覆盖度产生太大影响。</w:t>
      </w:r>
    </w:p>
    <w:p w14:paraId="770AABE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②施工人员活动对植物的影响分析</w:t>
      </w:r>
    </w:p>
    <w:p w14:paraId="6F71C09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区开发建设过程中大量人员、机械进入项目区，使项目区环境中人类活动频率大幅度增加，对植被的影响主要表现在人类和机械对植物的踩踏和碾压，使原生植被生境发生较大变化。荒漠区单位面积上人口密度的增加将导致工程开发范围内及边缘区域地表土壤被践踏和自然植被覆盖率减少，使工程区域内局部地带沙漠化的可能性增加。</w:t>
      </w:r>
    </w:p>
    <w:p w14:paraId="79F55A0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③对</w:t>
      </w:r>
      <w:r>
        <w:rPr>
          <w:rFonts w:hint="eastAsia"/>
          <w:color w:val="000000" w:themeColor="text1"/>
          <w:lang w:val="en-US" w:eastAsia="zh-CN"/>
          <w14:textFill>
            <w14:solidFill>
              <w14:schemeClr w14:val="tx1"/>
            </w14:solidFill>
          </w14:textFill>
        </w:rPr>
        <w:t>一般耕地、</w:t>
      </w:r>
      <w:r>
        <w:rPr>
          <w:rFonts w:hint="eastAsia"/>
          <w:color w:val="000000" w:themeColor="text1"/>
          <w14:textFill>
            <w14:solidFill>
              <w14:schemeClr w14:val="tx1"/>
            </w14:solidFill>
          </w14:textFill>
        </w:rPr>
        <w:t>永久基本农田、农作物的影响分析</w:t>
      </w:r>
    </w:p>
    <w:p w14:paraId="548CD421">
      <w:pPr>
        <w:pStyle w:val="462"/>
        <w:rPr>
          <w:rFonts w:hint="eastAsia"/>
          <w:color w:val="000000" w:themeColor="text1"/>
          <w14:textFill>
            <w14:solidFill>
              <w14:schemeClr w14:val="tx1"/>
            </w14:solidFill>
          </w14:textFill>
        </w:rPr>
      </w:pPr>
      <w:r>
        <w:rPr>
          <w:rFonts w:hint="eastAsia"/>
          <w:color w:val="000000" w:themeColor="text1"/>
          <w:lang w:val="en-US"/>
          <w14:textFill>
            <w14:solidFill>
              <w14:schemeClr w14:val="tx1"/>
            </w14:solidFill>
          </w14:textFill>
        </w:rPr>
        <w:t>项目区</w:t>
      </w:r>
      <w:r>
        <w:rPr>
          <w:rFonts w:hint="eastAsia"/>
          <w:color w:val="000000" w:themeColor="text1"/>
          <w14:textFill>
            <w14:solidFill>
              <w14:schemeClr w14:val="tx1"/>
            </w14:solidFill>
          </w14:textFill>
        </w:rPr>
        <w:t>周围有永久基本农田分布，农作物主要为玉米和棉花，项目不占用永久基本农田，施工期严格控制施工作业带宽度，并加强施工人员活动范围，禁止随意踩踏农作物，禁止将废水及固体废物倒入耕地中，加强施工期的环境管理，施工期尽量避开农作物的生长和收获期，不会对周围农田的土壤及农作物产生明显不利影响。</w:t>
      </w:r>
    </w:p>
    <w:bookmarkEnd w:id="437"/>
    <w:p w14:paraId="39B2D85F">
      <w:pPr>
        <w:pStyle w:val="12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bidi="ar"/>
          <w14:textFill>
            <w14:solidFill>
              <w14:schemeClr w14:val="tx1"/>
            </w14:solidFill>
          </w14:textFill>
        </w:rPr>
        <w:t>对野生动物影响分析</w:t>
      </w:r>
    </w:p>
    <w:p w14:paraId="1D237AF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钻井和地面工程施工对陆栖动物的影响具体表现为破坏植被导致动物栖息地受到损害，管线施工可能阻断动物活动路线，以及施工与运营噪声、废气对动物的不良影响等方面。</w:t>
      </w:r>
    </w:p>
    <w:p w14:paraId="753065D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的实施对野生动物生存环境、分布范围和种群数量的影响，主要分为直接影响和间接影响两个方面。直接影响主要表现为建设项目占地，使野生动物的原始生存环境被破坏或改变；间接影响主要表现为由于植被的减少或污染破坏而引起野生动物食物来源减少。施工过程中，由于机械设备的轰鸣惊扰，人群活动的增加，项目区内的野生动物将远离施工现场，使区域内单位面积上的动物种群数量下降，原有的野生动物将逐渐避开人类活动的干扰迁至其他区域，远离影响范围；施工期设备及车辆发出的噪声、人为活动会惊扰项目区附近的野生动物，影响其觅食、活动等行为。新建2井式平台井场、单井采油井场、注水井场和</w:t>
      </w:r>
      <w:r>
        <w:rPr>
          <w:rFonts w:hint="eastAsia"/>
          <w:color w:val="000000" w:themeColor="text1"/>
          <w:lang w:val="en-US"/>
          <w14:textFill>
            <w14:solidFill>
              <w14:schemeClr w14:val="tx1"/>
            </w14:solidFill>
          </w14:textFill>
        </w:rPr>
        <w:t>巡检</w:t>
      </w:r>
      <w:r>
        <w:rPr>
          <w:rFonts w:hint="eastAsia"/>
          <w:color w:val="000000" w:themeColor="text1"/>
          <w14:textFill>
            <w14:solidFill>
              <w14:schemeClr w14:val="tx1"/>
            </w14:solidFill>
          </w14:textFill>
        </w:rPr>
        <w:t>道路等永久占地范围内对植物造成了永久的破坏，使生物量降低，植被种类可能会减少，进而破坏了赖以生存的野生动物的生境，使生境连通性变差，生境破碎化程度加重，生物多样性受到影响。但由于项目区及周边野生动物主要为伴人型鸟类如麻雀、家燕、鼠类、爬行类和小型啮齿类动物等，麻雀、鼠类等伴人型野生动物一般在离施工区不远处活动，待无噪声干扰时较常见于施工区附近，施工活动对爬行类和小型啮齿类动物干扰不大，加上工程占地面积较小，该区域替代生境较多，项目区不是野生动物的唯一栖息地，故该建设项目对动物区域性生境不产生明显影响。而且施工结束后，各种机械噪声显著减少，且人类活动也大大减少。由于生活习惯，野生动物有可能逐渐返回原来的区域。故该建设项目对动物区域性生境不产生明显影响。</w:t>
      </w:r>
    </w:p>
    <w:p w14:paraId="5CC0A1D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本项目建成后人类活动降低，仅日常巡井和管线巡检等检查活动，对区域野生动物影响较小。</w:t>
      </w:r>
    </w:p>
    <w:p w14:paraId="650E2EF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（4）对生态系统结构、功能的影响</w:t>
      </w:r>
    </w:p>
    <w:p w14:paraId="6C2D975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管线工程、2井式平台井场、单井采油井场、注水井场、</w:t>
      </w:r>
      <w:r>
        <w:rPr>
          <w:rFonts w:hint="eastAsia"/>
          <w:color w:val="000000" w:themeColor="text1"/>
          <w:lang w:val="en-US"/>
          <w14:textFill>
            <w14:solidFill>
              <w14:schemeClr w14:val="tx1"/>
            </w14:solidFill>
          </w14:textFill>
        </w:rPr>
        <w:t>架空线路及巡检道路</w:t>
      </w:r>
      <w:r>
        <w:rPr>
          <w:rFonts w:hint="eastAsia"/>
          <w:color w:val="000000" w:themeColor="text1"/>
          <w14:textFill>
            <w14:solidFill>
              <w14:schemeClr w14:val="tx1"/>
            </w14:solidFill>
          </w14:textFill>
        </w:rPr>
        <w:t>等建设活动对原有生态系统结构的完整性有一定的影响，会降低生态系统的生产力，导致生态系统部分物质循环受阻，能量流动中断，因此将对区域内生物的栖息环境产生不良影响。同时项目区内系统自我调节能力减弱，受扰动后恢复能力降低，生态稳定性降低，生物种群、数量将受到一定程度的影响，但项目占地面积小，对生态系统结构和功能的影响较小，对评价范围内生态系统完整性影响亦较小，生态系统完整性变化主要受区域自然环境变化影响。项目建设加大了评价区人为干扰的力度，同时也加剧局部区域由自然荒漠生态系统向人工生态系统演替的趋势。项目工程占地类型为草地（天然牧草地）、</w:t>
      </w:r>
      <w:r>
        <w:rPr>
          <w:rFonts w:hint="eastAsia"/>
          <w:color w:val="000000" w:themeColor="text1"/>
          <w:lang w:val="en-US" w:eastAsia="zh-CN"/>
          <w14:textFill>
            <w14:solidFill>
              <w14:schemeClr w14:val="tx1"/>
            </w14:solidFill>
          </w14:textFill>
        </w:rPr>
        <w:t>其他园地和采矿用地</w:t>
      </w:r>
      <w:r>
        <w:rPr>
          <w:rFonts w:hint="eastAsia"/>
          <w:color w:val="000000" w:themeColor="text1"/>
          <w14:textFill>
            <w14:solidFill>
              <w14:schemeClr w14:val="tx1"/>
            </w14:solidFill>
          </w14:textFill>
        </w:rPr>
        <w:t>，地表植被稀疏，由工程造成的生物量损失较小，不会造成区域的生物多样性下降，加上占地面积有限，区域生态系统仍保持开放、物质循环和能量流动。因此对于评价区生态系统的完整性影响较小，其生态稳定性及其结构与功能也不会受到明显影响，项目实施造成的不利影响均在可接受的范围内。</w:t>
      </w:r>
    </w:p>
    <w:p w14:paraId="2C13F957">
      <w:pPr>
        <w:pStyle w:val="120"/>
        <w:rPr>
          <w:rFonts w:hint="eastAsia"/>
          <w:color w:val="000000" w:themeColor="text1"/>
          <w:kern w:val="0"/>
          <w:lang w:bidi="ar"/>
          <w14:textFill>
            <w14:solidFill>
              <w14:schemeClr w14:val="tx1"/>
            </w14:solidFill>
          </w14:textFill>
        </w:rPr>
      </w:pP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5</w:t>
      </w:r>
      <w:r>
        <w:rPr>
          <w:rFonts w:hint="eastAsia"/>
          <w:color w:val="000000" w:themeColor="text1"/>
          <w:lang w:bidi="ar"/>
          <w14:textFill>
            <w14:solidFill>
              <w14:schemeClr w14:val="tx1"/>
            </w14:solidFill>
          </w14:textFill>
        </w:rPr>
        <w:t>）对区域景观影响分析</w:t>
      </w:r>
    </w:p>
    <w:p w14:paraId="1551478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景观是指地表空间相对稳定的景物或景象，是一个空间高度异质性的区域，由相互作用的景观元素或生态系统，按一定的空间组合规律及相似的形式重复出现而形成。</w:t>
      </w:r>
    </w:p>
    <w:p w14:paraId="6A313C5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输电线路为10kV的架空线路，产生的辐射影响较小；输电线路为临时占地，施工结束后自然恢复，不会改变区域景观；井场和输电电杆等永久</w:t>
      </w:r>
      <w:r>
        <w:rPr>
          <w:rFonts w:hint="eastAsia"/>
          <w:bCs/>
          <w:color w:val="000000" w:themeColor="text1"/>
          <w14:textFill>
            <w14:solidFill>
              <w14:schemeClr w14:val="tx1"/>
            </w14:solidFill>
          </w14:textFill>
        </w:rPr>
        <w:t>占地，被永久性构筑物代替，可能对周围景观产生一定的影响，</w:t>
      </w:r>
      <w:r>
        <w:rPr>
          <w:rFonts w:hint="eastAsia"/>
          <w:color w:val="000000" w:themeColor="text1"/>
          <w14:textFill>
            <w14:solidFill>
              <w14:schemeClr w14:val="tx1"/>
            </w14:solidFill>
          </w14:textFill>
        </w:rPr>
        <w:t>类比现有工程，油田开发不会对各景观功能发挥及景观类型之间能量流通产生较大影响，也不会改变该区域景观基底类型。</w:t>
      </w:r>
    </w:p>
    <w:p w14:paraId="7DE3AD17">
      <w:pPr>
        <w:pStyle w:val="120"/>
        <w:rPr>
          <w:rFonts w:hint="eastAsia"/>
          <w:color w:val="000000" w:themeColor="text1"/>
          <w14:textFill>
            <w14:solidFill>
              <w14:schemeClr w14:val="tx1"/>
            </w14:solidFill>
          </w14:textFill>
        </w:rPr>
      </w:pPr>
      <w:bookmarkStart w:id="440" w:name="OLE_LINK163"/>
      <w:r>
        <w:rPr>
          <w:rFonts w:hint="eastAsia"/>
          <w:color w:val="000000" w:themeColor="text1"/>
          <w14:textFill>
            <w14:solidFill>
              <w14:schemeClr w14:val="tx1"/>
            </w14:solidFill>
          </w14:textFill>
        </w:rPr>
        <w:t>（6）生态系统稳定性、完整性分析</w:t>
      </w:r>
    </w:p>
    <w:p w14:paraId="2274380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开发区的基质主要是荒漠生态与农田生态系统镶嵌的景观。油田开发如井场、管线及架空输电线等建设中，新设施的增加及永久性构筑物会使区域内异质化程度增加。区域的异质性越大，抵抗外界干扰的能力就越大。因而油田开发建设不会改变区域内景观生态的稳定性及完整性。</w:t>
      </w:r>
    </w:p>
    <w:p w14:paraId="5F95408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油田开发加大了评价区人为干扰的力度，同时也加剧局部区域有自然荒漠生态系统向人工生态系统演替的趋势；但是由于本项目占地面积较小，区域生态系统仍保持开放、物质循环和能量流动。因此对于评价区生态系统的完整性影响较小，其生态稳定性及其结构与功能也不会受到明显影响。</w:t>
      </w:r>
    </w:p>
    <w:bookmarkEnd w:id="436"/>
    <w:bookmarkEnd w:id="440"/>
    <w:p w14:paraId="7BD93D6D">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水土流失影响分析</w:t>
      </w:r>
    </w:p>
    <w:p w14:paraId="58167C40">
      <w:pPr>
        <w:pStyle w:val="462"/>
        <w:rPr>
          <w:rFonts w:hint="eastAsia"/>
          <w:color w:val="000000" w:themeColor="text1"/>
          <w14:textFill>
            <w14:solidFill>
              <w14:schemeClr w14:val="tx1"/>
            </w14:solidFill>
          </w14:textFill>
        </w:rPr>
      </w:pPr>
      <w:bookmarkStart w:id="441" w:name="_Hlk160376615"/>
      <w:r>
        <w:rPr>
          <w:rFonts w:hint="eastAsia"/>
          <w:color w:val="000000" w:themeColor="text1"/>
          <w14:textFill>
            <w14:solidFill>
              <w14:schemeClr w14:val="tx1"/>
            </w14:solidFill>
          </w14:textFill>
        </w:rPr>
        <w:t>对水土流失影响的方式包括地表扰动、植被损坏、管沟开挖及破坏原地貌、地表土壤结构。施工时场地平整、土方堆放、机械作业人员活动等都会加剧水土流失。</w:t>
      </w:r>
    </w:p>
    <w:p w14:paraId="71A9949D">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施工时施工车辆对地表的大面积碾压，使所经过地段的植被和地表结构遭到不同程度的破坏，</w:t>
      </w:r>
      <w:r>
        <w:rPr>
          <w:color w:val="000000" w:themeColor="text1"/>
          <w14:textFill>
            <w14:solidFill>
              <w14:schemeClr w14:val="tx1"/>
            </w14:solidFill>
          </w14:textFill>
        </w:rPr>
        <w:t>降低了项目占地范围内的土壤抗侵蚀能力，若在施工过程中不加以治理和防护，遇大风天气易产生严重的水土流失现象。</w:t>
      </w:r>
    </w:p>
    <w:p w14:paraId="11B7446C">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临时占地范围内的土壤地表表层遭到破坏，下层的粉细物质暴露在地层表面，在风力的作用下，风蚀量会明显加大，这种影响在短时间内不会完全恢复。但随着时间的推移，风蚀量会随着地表新保护层的逐渐形成而减弱。管沟开挖土方在管道一侧临时堆放，施工期内，管沟边堆起一道临时土垄，在大风状态下易发生风力侵蚀，即使在堆土回填后风蚀量会有所减少，但地表仍为疏松地带，需要一个较长的恢复阶段。永久占地范围内采用砾石铺垫或地面硬化处理，不会加剧区域水土流失。</w:t>
      </w:r>
    </w:p>
    <w:bookmarkEnd w:id="441"/>
    <w:p w14:paraId="3EC8A09A">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土地沙化环境影响分析</w:t>
      </w:r>
    </w:p>
    <w:p w14:paraId="31C604B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所在区域为非沙化土地，井场平整、管沟开挖、车辆碾压等工程将扰动原有地貌，施工过程中对地表的大面积碾压，使所经过地段的植被和地表结构遭到不同程度的破坏，使风蚀荒漠化的过程加剧，降低项目占地范围内的土壤抗侵蚀能力，造成局部土地沙化。</w:t>
      </w:r>
      <w:r>
        <w:rPr>
          <w:color w:val="000000" w:themeColor="text1"/>
          <w14:textFill>
            <w14:solidFill>
              <w14:schemeClr w14:val="tx1"/>
            </w14:solidFill>
          </w14:textFill>
        </w:rPr>
        <w:t>管沟开挖过程中，若未采取分层开挖、分层回填措施，可能导致土壤的蓄水保肥能力降低，影响区域植被生长，造成土壤逐渐沙化。</w:t>
      </w:r>
      <w:r>
        <w:rPr>
          <w:rFonts w:hint="eastAsia"/>
          <w:color w:val="000000" w:themeColor="text1"/>
          <w14:textFill>
            <w14:solidFill>
              <w14:schemeClr w14:val="tx1"/>
            </w14:solidFill>
          </w14:textFill>
        </w:rPr>
        <w:t>此外，在施工过程中，各种车辆（尤其是重型卡车）如乱碾压行驶，将使经过的土壤变得紧实，严重的经过多次碾压后植物很难再生长，甚至退化为沙地。</w:t>
      </w:r>
    </w:p>
    <w:p w14:paraId="14AFD95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结束后对永久占地进行地面硬化，以减少风蚀量，对临时占地范围内场地进行平整和清理，尽量利用施工时产生的表层弃土对临时占地进行覆盖，采用自然恢复的方式对区域植被进行恢复，建设过程中严格落实防沙治沙措施，严格控制施工占地范围。综上所述，本项目对区域土地沙化影响不大。</w:t>
      </w:r>
    </w:p>
    <w:p w14:paraId="3931B7EC">
      <w:pPr>
        <w:pStyle w:val="7"/>
        <w:rPr>
          <w:rFonts w:hint="eastAsia"/>
          <w:color w:val="000000" w:themeColor="text1"/>
          <w14:textFill>
            <w14:solidFill>
              <w14:schemeClr w14:val="tx1"/>
            </w14:solidFill>
          </w14:textFill>
        </w:rPr>
      </w:pPr>
      <w:bookmarkStart w:id="442" w:name="_Toc16023"/>
      <w:r>
        <w:rPr>
          <w:rFonts w:hint="eastAsia"/>
          <w:color w:val="000000" w:themeColor="text1"/>
          <w14:textFill>
            <w14:solidFill>
              <w14:schemeClr w14:val="tx1"/>
            </w14:solidFill>
          </w14:textFill>
        </w:rPr>
        <w:t>运营期环境影响预测与评价</w:t>
      </w:r>
      <w:bookmarkEnd w:id="442"/>
    </w:p>
    <w:bookmarkEnd w:id="412"/>
    <w:bookmarkEnd w:id="413"/>
    <w:bookmarkEnd w:id="414"/>
    <w:p w14:paraId="43699FFE">
      <w:pPr>
        <w:pStyle w:val="8"/>
        <w:rPr>
          <w:rFonts w:hint="eastAsia"/>
          <w:color w:val="000000" w:themeColor="text1"/>
          <w14:textFill>
            <w14:solidFill>
              <w14:schemeClr w14:val="tx1"/>
            </w14:solidFill>
          </w14:textFill>
        </w:rPr>
      </w:pPr>
      <w:bookmarkStart w:id="443" w:name="_Toc459026579"/>
      <w:bookmarkStart w:id="444" w:name="_Toc474416139"/>
      <w:r>
        <w:rPr>
          <w:rFonts w:hint="eastAsia"/>
          <w:color w:val="000000" w:themeColor="text1"/>
          <w14:textFill>
            <w14:solidFill>
              <w14:schemeClr w14:val="tx1"/>
            </w14:solidFill>
          </w14:textFill>
        </w:rPr>
        <w:t>运营期大气环境影响预测与评价</w:t>
      </w:r>
      <w:bookmarkEnd w:id="443"/>
      <w:bookmarkEnd w:id="444"/>
    </w:p>
    <w:p w14:paraId="462BA326">
      <w:pPr>
        <w:pStyle w:val="92"/>
        <w:spacing w:line="480" w:lineRule="exact"/>
        <w:ind w:firstLine="480"/>
        <w:rPr>
          <w:rFonts w:hint="eastAsia"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w:t>
      </w:r>
      <w:r>
        <w:rPr>
          <w:rFonts w:ascii="宋体" w:hAnsi="宋体" w:eastAsia="宋体"/>
          <w:color w:val="000000" w:themeColor="text1"/>
          <w14:textFill>
            <w14:solidFill>
              <w14:schemeClr w14:val="tx1"/>
            </w14:solidFill>
          </w14:textFill>
        </w:rPr>
        <w:t>1）相关判定</w:t>
      </w:r>
    </w:p>
    <w:p w14:paraId="131EB469">
      <w:pPr>
        <w:pStyle w:val="12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本项目大气环境影响评价等级为二级，根据</w:t>
      </w:r>
      <w:r>
        <w:rPr>
          <w:color w:val="000000" w:themeColor="text1"/>
          <w14:textFill>
            <w14:solidFill>
              <w14:schemeClr w14:val="tx1"/>
            </w14:solidFill>
          </w14:textFill>
        </w:rPr>
        <w:t>《环境影响评价技术导则 大气环境》（HJ2.2-2018）</w:t>
      </w:r>
      <w:r>
        <w:rPr>
          <w:rFonts w:hint="eastAsia"/>
          <w:color w:val="000000" w:themeColor="text1"/>
          <w14:textFill>
            <w14:solidFill>
              <w14:schemeClr w14:val="tx1"/>
            </w14:solidFill>
          </w14:textFill>
        </w:rPr>
        <w:t>的相关规定，</w:t>
      </w:r>
      <w:r>
        <w:rPr>
          <w:rFonts w:hint="eastAsia" w:cs="宋体"/>
          <w:color w:val="000000" w:themeColor="text1"/>
          <w14:textFill>
            <w14:solidFill>
              <w14:schemeClr w14:val="tx1"/>
            </w14:solidFill>
          </w14:textFill>
        </w:rPr>
        <w:t>本次采用</w:t>
      </w:r>
      <w:r>
        <w:rPr>
          <w:color w:val="000000" w:themeColor="text1"/>
          <w14:textFill>
            <w14:solidFill>
              <w14:schemeClr w14:val="tx1"/>
            </w14:solidFill>
          </w14:textFill>
        </w:rPr>
        <w:t>AERSCREEN模式预测的结果进行评价，不进行进一步预测</w:t>
      </w:r>
      <w:r>
        <w:rPr>
          <w:rFonts w:hint="eastAsia" w:cs="宋体"/>
          <w:color w:val="000000" w:themeColor="text1"/>
          <w14:textFill>
            <w14:solidFill>
              <w14:schemeClr w14:val="tx1"/>
            </w14:solidFill>
          </w14:textFill>
        </w:rPr>
        <w:t>。</w:t>
      </w:r>
    </w:p>
    <w:p w14:paraId="1BFBDE30">
      <w:pPr>
        <w:pStyle w:val="92"/>
        <w:spacing w:line="480" w:lineRule="exact"/>
        <w:ind w:firstLine="480"/>
        <w:rPr>
          <w:rFonts w:hint="eastAsia"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w:t>
      </w:r>
      <w:r>
        <w:rPr>
          <w:rFonts w:ascii="宋体" w:hAnsi="宋体" w:eastAsia="宋体"/>
          <w:color w:val="000000" w:themeColor="text1"/>
          <w14:textFill>
            <w14:solidFill>
              <w14:schemeClr w14:val="tx1"/>
            </w14:solidFill>
          </w14:textFill>
        </w:rPr>
        <w:t>2）模型选用</w:t>
      </w:r>
    </w:p>
    <w:p w14:paraId="28879A33">
      <w:pPr>
        <w:pStyle w:val="92"/>
        <w:spacing w:line="480" w:lineRule="exact"/>
        <w:ind w:firstLine="480"/>
        <w:rPr>
          <w:rFonts w:hint="eastAsia"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采用</w:t>
      </w:r>
      <w:r>
        <w:rPr>
          <w:rFonts w:ascii="宋体" w:hAnsi="宋体" w:eastAsia="宋体"/>
          <w:color w:val="000000" w:themeColor="text1"/>
          <w14:textFill>
            <w14:solidFill>
              <w14:schemeClr w14:val="tx1"/>
            </w14:solidFill>
          </w14:textFill>
        </w:rPr>
        <w:t>《环境影响评价技术导则 大气环境》（HJ2.2-2018）</w:t>
      </w:r>
      <w:r>
        <w:rPr>
          <w:rFonts w:hint="eastAsia" w:ascii="宋体" w:hAnsi="宋体" w:eastAsia="宋体"/>
          <w:color w:val="000000" w:themeColor="text1"/>
          <w14:textFill>
            <w14:solidFill>
              <w14:schemeClr w14:val="tx1"/>
            </w14:solidFill>
          </w14:textFill>
        </w:rPr>
        <w:t>中推荐的估算模型</w:t>
      </w:r>
      <w:r>
        <w:rPr>
          <w:rFonts w:ascii="宋体" w:hAnsi="宋体" w:eastAsia="宋体"/>
          <w:color w:val="000000" w:themeColor="text1"/>
          <w14:textFill>
            <w14:solidFill>
              <w14:schemeClr w14:val="tx1"/>
            </w14:solidFill>
          </w14:textFill>
        </w:rPr>
        <w:t>AERSCREEN</w:t>
      </w:r>
      <w:r>
        <w:rPr>
          <w:rFonts w:hint="eastAsia" w:ascii="宋体" w:hAnsi="宋体" w:eastAsia="宋体"/>
          <w:color w:val="000000" w:themeColor="text1"/>
          <w14:textFill>
            <w14:solidFill>
              <w14:schemeClr w14:val="tx1"/>
            </w14:solidFill>
          </w14:textFill>
        </w:rPr>
        <w:t>进行估算。</w:t>
      </w:r>
    </w:p>
    <w:p w14:paraId="75336A4B">
      <w:pPr>
        <w:pStyle w:val="92"/>
        <w:spacing w:line="480" w:lineRule="exact"/>
        <w:ind w:firstLine="480"/>
        <w:rPr>
          <w:rFonts w:hint="eastAsia"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w:t>
      </w:r>
      <w:r>
        <w:rPr>
          <w:rFonts w:ascii="宋体" w:hAnsi="宋体" w:eastAsia="宋体"/>
          <w:color w:val="000000" w:themeColor="text1"/>
          <w14:textFill>
            <w14:solidFill>
              <w14:schemeClr w14:val="tx1"/>
            </w14:solidFill>
          </w14:textFill>
        </w:rPr>
        <w:t>3）估算模型使用数据来源</w:t>
      </w:r>
    </w:p>
    <w:p w14:paraId="5081C24C">
      <w:pPr>
        <w:pStyle w:val="92"/>
        <w:spacing w:line="480" w:lineRule="exact"/>
        <w:ind w:firstLine="480"/>
        <w:rPr>
          <w:rFonts w:hint="eastAsia"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①地形数据</w:t>
      </w:r>
    </w:p>
    <w:p w14:paraId="1D07AB9D">
      <w:pPr>
        <w:pStyle w:val="92"/>
        <w:spacing w:line="480" w:lineRule="exact"/>
        <w:ind w:firstLine="480"/>
        <w:rPr>
          <w:rFonts w:hint="eastAsia"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估算模型使用的原始地形数据为美国</w:t>
      </w:r>
      <w:r>
        <w:rPr>
          <w:rFonts w:ascii="宋体" w:hAnsi="宋体" w:eastAsia="宋体"/>
          <w:color w:val="000000" w:themeColor="text1"/>
          <w14:textFill>
            <w14:solidFill>
              <w14:schemeClr w14:val="tx1"/>
            </w14:solidFill>
          </w14:textFill>
        </w:rPr>
        <w:t>NASA和NIMA联合测量并公布的全球90</w:t>
      </w:r>
      <w:r>
        <w:rPr>
          <w:rFonts w:hint="eastAsia" w:ascii="宋体" w:hAnsi="宋体" w:eastAsia="宋体"/>
          <w:color w:val="000000" w:themeColor="text1"/>
          <w14:textFill>
            <w14:solidFill>
              <w14:schemeClr w14:val="tx1"/>
            </w14:solidFill>
          </w14:textFill>
        </w:rPr>
        <w:t>m</w:t>
      </w:r>
      <w:r>
        <w:rPr>
          <w:rFonts w:ascii="宋体" w:hAnsi="宋体" w:eastAsia="宋体"/>
          <w:color w:val="000000" w:themeColor="text1"/>
          <w14:textFill>
            <w14:solidFill>
              <w14:schemeClr w14:val="tx1"/>
            </w14:solidFill>
          </w14:textFill>
        </w:rPr>
        <w:t>×90m地形数据，自CSI的SRTM网站获取（http：//srtm.csi.cgiar.org），符合导则要求。</w:t>
      </w:r>
    </w:p>
    <w:p w14:paraId="4A4F5CE2">
      <w:pPr>
        <w:pStyle w:val="92"/>
        <w:spacing w:line="480" w:lineRule="exact"/>
        <w:ind w:firstLine="480" w:firstLineChars="0"/>
        <w:rPr>
          <w:rFonts w:hint="eastAsia"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②地表参数</w:t>
      </w:r>
    </w:p>
    <w:p w14:paraId="61AB227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大气评价</w:t>
      </w:r>
      <w:r>
        <w:rPr>
          <w:color w:val="000000" w:themeColor="text1"/>
          <w14:textFill>
            <w14:solidFill>
              <w14:schemeClr w14:val="tx1"/>
            </w14:solidFill>
          </w14:textFill>
        </w:rPr>
        <w:t>范围</w:t>
      </w:r>
      <w:r>
        <w:rPr>
          <w:rFonts w:hint="eastAsia"/>
          <w:color w:val="000000" w:themeColor="text1"/>
          <w14:textFill>
            <w14:solidFill>
              <w14:schemeClr w14:val="tx1"/>
            </w14:solidFill>
          </w14:textFill>
        </w:rPr>
        <w:t>内通用地表类型为草地，通用地表湿度为干燥气候，不同</w:t>
      </w:r>
      <w:r>
        <w:rPr>
          <w:color w:val="000000" w:themeColor="text1"/>
          <w14:textFill>
            <w14:solidFill>
              <w14:schemeClr w14:val="tx1"/>
            </w14:solidFill>
          </w14:textFill>
        </w:rPr>
        <w:t>土地类型的</w:t>
      </w:r>
      <w:r>
        <w:rPr>
          <w:rFonts w:hint="eastAsia"/>
          <w:color w:val="000000" w:themeColor="text1"/>
          <w14:textFill>
            <w14:solidFill>
              <w14:schemeClr w14:val="tx1"/>
            </w14:solidFill>
          </w14:textFill>
        </w:rPr>
        <w:t>地表特征参数</w:t>
      </w:r>
      <w:r>
        <w:rPr>
          <w:color w:val="000000" w:themeColor="text1"/>
          <w14:textFill>
            <w14:solidFill>
              <w14:schemeClr w14:val="tx1"/>
            </w14:solidFill>
          </w14:textFill>
        </w:rPr>
        <w:t>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.2-1。</w:t>
      </w:r>
    </w:p>
    <w:p w14:paraId="7D5528CE">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 xml:space="preserve">  </w:t>
      </w:r>
      <w:bookmarkStart w:id="445" w:name="_Hlk173418585"/>
      <w:r>
        <w:rPr>
          <w:rFonts w:hint="eastAsia"/>
          <w:color w:val="000000" w:themeColor="text1"/>
          <w14:textFill>
            <w14:solidFill>
              <w14:schemeClr w14:val="tx1"/>
            </w14:solidFill>
          </w14:textFill>
        </w:rPr>
        <w:t>地表特征参数</w:t>
      </w:r>
      <w:bookmarkEnd w:id="445"/>
      <w:r>
        <w:rPr>
          <w:rFonts w:hint="eastAsia"/>
          <w:color w:val="000000" w:themeColor="text1"/>
          <w14:textFill>
            <w14:solidFill>
              <w14:schemeClr w14:val="tx1"/>
            </w14:solidFill>
          </w14:textFill>
        </w:rPr>
        <w:t>一览表</w:t>
      </w:r>
    </w:p>
    <w:tbl>
      <w:tblPr>
        <w:tblStyle w:val="51"/>
        <w:tblW w:w="894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18"/>
        <w:gridCol w:w="1134"/>
        <w:gridCol w:w="1027"/>
        <w:gridCol w:w="1789"/>
        <w:gridCol w:w="1789"/>
        <w:gridCol w:w="1789"/>
      </w:tblGrid>
      <w:tr w14:paraId="4FED05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418" w:type="dxa"/>
            <w:tcBorders>
              <w:right w:val="single" w:color="auto" w:sz="4" w:space="0"/>
            </w:tcBorders>
            <w:vAlign w:val="center"/>
          </w:tcPr>
          <w:p w14:paraId="470B6C48">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地表类型</w:t>
            </w:r>
          </w:p>
        </w:tc>
        <w:tc>
          <w:tcPr>
            <w:tcW w:w="1134" w:type="dxa"/>
            <w:tcBorders>
              <w:left w:val="single" w:color="auto" w:sz="4" w:space="0"/>
            </w:tcBorders>
            <w:vAlign w:val="center"/>
          </w:tcPr>
          <w:p w14:paraId="1C45F354">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扇区</w:t>
            </w:r>
          </w:p>
        </w:tc>
        <w:tc>
          <w:tcPr>
            <w:tcW w:w="1027" w:type="dxa"/>
            <w:vAlign w:val="center"/>
          </w:tcPr>
          <w:p w14:paraId="4294A9F1">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时段</w:t>
            </w:r>
          </w:p>
        </w:tc>
        <w:tc>
          <w:tcPr>
            <w:tcW w:w="1789" w:type="dxa"/>
            <w:vAlign w:val="center"/>
          </w:tcPr>
          <w:p w14:paraId="5C4866E1">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正午反照率</w:t>
            </w:r>
          </w:p>
        </w:tc>
        <w:tc>
          <w:tcPr>
            <w:tcW w:w="1789" w:type="dxa"/>
            <w:vAlign w:val="center"/>
          </w:tcPr>
          <w:p w14:paraId="609FA7E5">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ascii="宋体" w:hAnsi="宋体" w:eastAsia="宋体"/>
                <w:color w:val="000000" w:themeColor="text1"/>
                <w:sz w:val="21"/>
                <w:szCs w:val="21"/>
                <w14:textFill>
                  <w14:solidFill>
                    <w14:schemeClr w14:val="tx1"/>
                  </w14:solidFill>
                </w14:textFill>
              </w:rPr>
              <w:t>BOWEN</w:t>
            </w:r>
          </w:p>
        </w:tc>
        <w:tc>
          <w:tcPr>
            <w:tcW w:w="1789" w:type="dxa"/>
            <w:vAlign w:val="center"/>
          </w:tcPr>
          <w:p w14:paraId="67F8D415">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粗糙度</w:t>
            </w:r>
          </w:p>
        </w:tc>
      </w:tr>
      <w:tr w14:paraId="2D78DF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418" w:type="dxa"/>
            <w:tcBorders>
              <w:right w:val="single" w:color="auto" w:sz="4" w:space="0"/>
            </w:tcBorders>
            <w:vAlign w:val="center"/>
          </w:tcPr>
          <w:p w14:paraId="5309BFFF">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草地</w:t>
            </w:r>
          </w:p>
        </w:tc>
        <w:tc>
          <w:tcPr>
            <w:tcW w:w="1134" w:type="dxa"/>
            <w:tcBorders>
              <w:left w:val="single" w:color="auto" w:sz="4" w:space="0"/>
            </w:tcBorders>
            <w:vAlign w:val="center"/>
          </w:tcPr>
          <w:p w14:paraId="3817847C">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ascii="宋体" w:hAnsi="宋体" w:eastAsia="宋体"/>
                <w:color w:val="000000" w:themeColor="text1"/>
                <w:sz w:val="21"/>
                <w:szCs w:val="21"/>
                <w14:textFill>
                  <w14:solidFill>
                    <w14:schemeClr w14:val="tx1"/>
                  </w14:solidFill>
                </w14:textFill>
              </w:rPr>
              <w:t>0</w:t>
            </w:r>
            <w:r>
              <w:rPr>
                <w:rFonts w:hint="eastAsia" w:ascii="宋体" w:hAnsi="宋体" w:eastAsia="宋体"/>
                <w:color w:val="000000" w:themeColor="text1"/>
                <w:sz w:val="21"/>
                <w:szCs w:val="21"/>
                <w14:textFill>
                  <w14:solidFill>
                    <w14:schemeClr w14:val="tx1"/>
                  </w14:solidFill>
                </w14:textFill>
              </w:rPr>
              <w:t>～</w:t>
            </w:r>
            <w:r>
              <w:rPr>
                <w:rFonts w:ascii="宋体" w:hAnsi="宋体" w:eastAsia="宋体"/>
                <w:color w:val="000000" w:themeColor="text1"/>
                <w:sz w:val="21"/>
                <w:szCs w:val="21"/>
                <w14:textFill>
                  <w14:solidFill>
                    <w14:schemeClr w14:val="tx1"/>
                  </w14:solidFill>
                </w14:textFill>
              </w:rPr>
              <w:t>360</w:t>
            </w:r>
          </w:p>
        </w:tc>
        <w:tc>
          <w:tcPr>
            <w:tcW w:w="1027" w:type="dxa"/>
            <w:vAlign w:val="center"/>
          </w:tcPr>
          <w:p w14:paraId="794263A2">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全年</w:t>
            </w:r>
          </w:p>
        </w:tc>
        <w:tc>
          <w:tcPr>
            <w:tcW w:w="1789" w:type="dxa"/>
            <w:vAlign w:val="center"/>
          </w:tcPr>
          <w:p w14:paraId="02F52ED9">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0.29</w:t>
            </w:r>
          </w:p>
        </w:tc>
        <w:tc>
          <w:tcPr>
            <w:tcW w:w="1789" w:type="dxa"/>
            <w:vAlign w:val="center"/>
          </w:tcPr>
          <w:p w14:paraId="1312EB04">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1.75</w:t>
            </w:r>
          </w:p>
        </w:tc>
        <w:tc>
          <w:tcPr>
            <w:tcW w:w="1789" w:type="dxa"/>
            <w:vAlign w:val="center"/>
          </w:tcPr>
          <w:p w14:paraId="57CEA410">
            <w:pPr>
              <w:pStyle w:val="92"/>
              <w:adjustRightInd w:val="0"/>
              <w:snapToGrid w:val="0"/>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0.04025</w:t>
            </w:r>
          </w:p>
        </w:tc>
      </w:tr>
    </w:tbl>
    <w:p w14:paraId="112B4A86">
      <w:pPr>
        <w:pStyle w:val="92"/>
        <w:ind w:firstLine="480" w:firstLineChars="0"/>
        <w:rPr>
          <w:rFonts w:hint="eastAsia"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③气象数据</w:t>
      </w:r>
    </w:p>
    <w:p w14:paraId="44D69E64">
      <w:pPr>
        <w:pStyle w:val="92"/>
        <w:ind w:firstLine="480"/>
        <w:rPr>
          <w:rStyle w:val="203"/>
          <w:rFonts w:hint="eastAsia"/>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以下资料为项目区近</w:t>
      </w:r>
      <w:r>
        <w:rPr>
          <w:rStyle w:val="203"/>
          <w:rFonts w:hint="eastAsia"/>
          <w:color w:val="000000" w:themeColor="text1"/>
          <w14:textFill>
            <w14:solidFill>
              <w14:schemeClr w14:val="tx1"/>
            </w14:solidFill>
          </w14:textFill>
        </w:rPr>
        <w:t>20年气象数据统计分析，具体详见表</w:t>
      </w:r>
      <w:r>
        <w:rPr>
          <w:rStyle w:val="203"/>
          <w:color w:val="000000" w:themeColor="text1"/>
          <w14:textFill>
            <w14:solidFill>
              <w14:schemeClr w14:val="tx1"/>
            </w14:solidFill>
          </w14:textFill>
        </w:rPr>
        <w:t>5</w:t>
      </w:r>
      <w:r>
        <w:rPr>
          <w:rStyle w:val="203"/>
          <w:rFonts w:hint="eastAsia"/>
          <w:color w:val="000000" w:themeColor="text1"/>
          <w14:textFill>
            <w14:solidFill>
              <w14:schemeClr w14:val="tx1"/>
            </w14:solidFill>
          </w14:textFill>
        </w:rPr>
        <w:t>.2-2。</w:t>
      </w:r>
    </w:p>
    <w:p w14:paraId="6F694494">
      <w:pPr>
        <w:pStyle w:val="112"/>
        <w:rPr>
          <w:rFonts w:hint="eastAsia"/>
          <w:color w:val="000000" w:themeColor="text1"/>
          <w14:textFill>
            <w14:solidFill>
              <w14:schemeClr w14:val="tx1"/>
            </w14:solidFill>
          </w14:textFill>
        </w:rPr>
      </w:pPr>
    </w:p>
    <w:p w14:paraId="78874681">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.2-2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气象数据一览表</w:t>
      </w:r>
    </w:p>
    <w:tbl>
      <w:tblPr>
        <w:tblStyle w:val="51"/>
        <w:tblW w:w="89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90"/>
        <w:gridCol w:w="1789"/>
        <w:gridCol w:w="1789"/>
      </w:tblGrid>
      <w:tr w14:paraId="23042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9" w:type="dxa"/>
            <w:vAlign w:val="center"/>
          </w:tcPr>
          <w:p w14:paraId="78A8BD71">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统计时间</w:t>
            </w:r>
          </w:p>
        </w:tc>
        <w:tc>
          <w:tcPr>
            <w:tcW w:w="1789" w:type="dxa"/>
            <w:vAlign w:val="center"/>
          </w:tcPr>
          <w:p w14:paraId="7C789E8B">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最低温度</w:t>
            </w:r>
          </w:p>
        </w:tc>
        <w:tc>
          <w:tcPr>
            <w:tcW w:w="1790" w:type="dxa"/>
            <w:vAlign w:val="center"/>
          </w:tcPr>
          <w:p w14:paraId="3A673C7F">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最高温度</w:t>
            </w:r>
          </w:p>
        </w:tc>
        <w:tc>
          <w:tcPr>
            <w:tcW w:w="1789" w:type="dxa"/>
            <w:vAlign w:val="center"/>
          </w:tcPr>
          <w:p w14:paraId="2588B3AC">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最小风速</w:t>
            </w:r>
          </w:p>
        </w:tc>
        <w:tc>
          <w:tcPr>
            <w:tcW w:w="1789" w:type="dxa"/>
            <w:vAlign w:val="center"/>
          </w:tcPr>
          <w:p w14:paraId="086197AB">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测风高度</w:t>
            </w:r>
          </w:p>
        </w:tc>
      </w:tr>
      <w:tr w14:paraId="5C95A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9" w:type="dxa"/>
            <w:vAlign w:val="center"/>
          </w:tcPr>
          <w:p w14:paraId="7179C0E4">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ascii="宋体" w:hAnsi="宋体" w:eastAsia="宋体"/>
                <w:color w:val="000000" w:themeColor="text1"/>
                <w:sz w:val="21"/>
                <w:szCs w:val="21"/>
                <w14:textFill>
                  <w14:solidFill>
                    <w14:schemeClr w14:val="tx1"/>
                  </w14:solidFill>
                </w14:textFill>
              </w:rPr>
              <w:t>20</w:t>
            </w:r>
            <w:r>
              <w:rPr>
                <w:rFonts w:hint="eastAsia" w:ascii="宋体" w:hAnsi="宋体" w:eastAsia="宋体"/>
                <w:color w:val="000000" w:themeColor="text1"/>
                <w:sz w:val="21"/>
                <w:szCs w:val="21"/>
                <w14:textFill>
                  <w14:solidFill>
                    <w14:schemeClr w14:val="tx1"/>
                  </w14:solidFill>
                </w14:textFill>
              </w:rPr>
              <w:t>年</w:t>
            </w:r>
          </w:p>
        </w:tc>
        <w:tc>
          <w:tcPr>
            <w:tcW w:w="1789" w:type="dxa"/>
            <w:vAlign w:val="center"/>
          </w:tcPr>
          <w:p w14:paraId="66E9DDD7">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ascii="宋体" w:hAnsi="宋体" w:eastAsia="宋体"/>
                <w:color w:val="000000" w:themeColor="text1"/>
                <w:sz w:val="21"/>
                <w:szCs w:val="21"/>
                <w14:textFill>
                  <w14:solidFill>
                    <w14:schemeClr w14:val="tx1"/>
                  </w14:solidFill>
                </w14:textFill>
              </w:rPr>
              <w:t>-</w:t>
            </w:r>
            <w:r>
              <w:rPr>
                <w:rFonts w:hint="eastAsia" w:ascii="宋体" w:hAnsi="宋体" w:eastAsia="宋体"/>
                <w:color w:val="000000" w:themeColor="text1"/>
                <w:sz w:val="21"/>
                <w:szCs w:val="21"/>
                <w14:textFill>
                  <w14:solidFill>
                    <w14:schemeClr w14:val="tx1"/>
                  </w14:solidFill>
                </w14:textFill>
              </w:rPr>
              <w:t>26℃</w:t>
            </w:r>
          </w:p>
        </w:tc>
        <w:tc>
          <w:tcPr>
            <w:tcW w:w="1790" w:type="dxa"/>
            <w:vAlign w:val="center"/>
          </w:tcPr>
          <w:p w14:paraId="34F07A6A">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38.9℃</w:t>
            </w:r>
          </w:p>
        </w:tc>
        <w:tc>
          <w:tcPr>
            <w:tcW w:w="1789" w:type="dxa"/>
            <w:vAlign w:val="center"/>
          </w:tcPr>
          <w:p w14:paraId="08951146">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ascii="宋体" w:hAnsi="宋体" w:eastAsia="宋体"/>
                <w:color w:val="000000" w:themeColor="text1"/>
                <w:sz w:val="21"/>
                <w:szCs w:val="21"/>
                <w14:textFill>
                  <w14:solidFill>
                    <w14:schemeClr w14:val="tx1"/>
                  </w14:solidFill>
                </w14:textFill>
              </w:rPr>
              <w:t>0.5m/s</w:t>
            </w:r>
          </w:p>
        </w:tc>
        <w:tc>
          <w:tcPr>
            <w:tcW w:w="1789" w:type="dxa"/>
            <w:vAlign w:val="center"/>
          </w:tcPr>
          <w:p w14:paraId="59C458F5">
            <w:pPr>
              <w:pStyle w:val="92"/>
              <w:spacing w:line="300" w:lineRule="exact"/>
              <w:ind w:firstLine="0" w:firstLineChars="0"/>
              <w:jc w:val="center"/>
              <w:rPr>
                <w:rFonts w:hint="eastAsia" w:ascii="宋体" w:hAnsi="宋体" w:eastAsia="宋体"/>
                <w:color w:val="000000" w:themeColor="text1"/>
                <w:sz w:val="21"/>
                <w:szCs w:val="21"/>
                <w14:textFill>
                  <w14:solidFill>
                    <w14:schemeClr w14:val="tx1"/>
                  </w14:solidFill>
                </w14:textFill>
              </w:rPr>
            </w:pPr>
            <w:r>
              <w:rPr>
                <w:rFonts w:ascii="宋体" w:hAnsi="宋体" w:eastAsia="宋体"/>
                <w:color w:val="000000" w:themeColor="text1"/>
                <w:sz w:val="21"/>
                <w:szCs w:val="21"/>
                <w14:textFill>
                  <w14:solidFill>
                    <w14:schemeClr w14:val="tx1"/>
                  </w14:solidFill>
                </w14:textFill>
              </w:rPr>
              <w:t>10</w:t>
            </w:r>
            <w:r>
              <w:rPr>
                <w:rFonts w:hint="eastAsia" w:ascii="宋体" w:hAnsi="宋体" w:eastAsia="宋体"/>
                <w:color w:val="000000" w:themeColor="text1"/>
                <w:sz w:val="21"/>
                <w:szCs w:val="21"/>
                <w14:textFill>
                  <w14:solidFill>
                    <w14:schemeClr w14:val="tx1"/>
                  </w14:solidFill>
                </w14:textFill>
              </w:rPr>
              <w:t>m</w:t>
            </w:r>
          </w:p>
        </w:tc>
      </w:tr>
    </w:tbl>
    <w:p w14:paraId="7447433E">
      <w:pPr>
        <w:pStyle w:val="92"/>
        <w:ind w:firstLine="480"/>
        <w:rPr>
          <w:rFonts w:hint="eastAsia"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w:t>
      </w:r>
      <w:r>
        <w:rPr>
          <w:rFonts w:ascii="宋体" w:hAnsi="宋体" w:eastAsia="宋体"/>
          <w:color w:val="000000" w:themeColor="text1"/>
          <w14:textFill>
            <w14:solidFill>
              <w14:schemeClr w14:val="tx1"/>
            </w14:solidFill>
          </w14:textFill>
        </w:rPr>
        <w:t>4）估算模型参数</w:t>
      </w:r>
    </w:p>
    <w:p w14:paraId="6CEBA3BF">
      <w:pPr>
        <w:pStyle w:val="92"/>
        <w:ind w:firstLine="480"/>
        <w:rPr>
          <w:rFonts w:hint="eastAsia"/>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估算模型参数</w:t>
      </w:r>
      <w:r>
        <w:rPr>
          <w:rStyle w:val="235"/>
          <w:rFonts w:hint="eastAsia"/>
          <w:color w:val="000000" w:themeColor="text1"/>
          <w14:textFill>
            <w14:solidFill>
              <w14:schemeClr w14:val="tx1"/>
            </w14:solidFill>
          </w14:textFill>
        </w:rPr>
        <w:t>选择见表</w:t>
      </w:r>
      <w:r>
        <w:rPr>
          <w:rStyle w:val="235"/>
          <w:color w:val="000000" w:themeColor="text1"/>
          <w14:textFill>
            <w14:solidFill>
              <w14:schemeClr w14:val="tx1"/>
            </w14:solidFill>
          </w14:textFill>
        </w:rPr>
        <w:t>5</w:t>
      </w:r>
      <w:r>
        <w:rPr>
          <w:rStyle w:val="235"/>
          <w:rFonts w:hint="eastAsia"/>
          <w:color w:val="000000" w:themeColor="text1"/>
          <w14:textFill>
            <w14:solidFill>
              <w14:schemeClr w14:val="tx1"/>
            </w14:solidFill>
          </w14:textFill>
        </w:rPr>
        <w:t>.2-3。</w:t>
      </w:r>
    </w:p>
    <w:p w14:paraId="26F5CAE7">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.2-3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估算模型参数选择一览表</w:t>
      </w:r>
    </w:p>
    <w:tbl>
      <w:tblPr>
        <w:tblStyle w:val="51"/>
        <w:tblW w:w="0" w:type="auto"/>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1932"/>
        <w:gridCol w:w="4437"/>
        <w:gridCol w:w="2361"/>
      </w:tblGrid>
      <w:tr w14:paraId="06DAEED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3E75C4C7">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参数</w:t>
            </w:r>
          </w:p>
        </w:tc>
        <w:tc>
          <w:tcPr>
            <w:tcW w:w="2361" w:type="dxa"/>
            <w:vAlign w:val="center"/>
          </w:tcPr>
          <w:p w14:paraId="470ADD5C">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取值</w:t>
            </w:r>
          </w:p>
        </w:tc>
      </w:tr>
      <w:tr w14:paraId="215AC0F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restart"/>
            <w:vAlign w:val="center"/>
          </w:tcPr>
          <w:p w14:paraId="1808539E">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城市/农村选项</w:t>
            </w:r>
          </w:p>
        </w:tc>
        <w:tc>
          <w:tcPr>
            <w:tcW w:w="4437" w:type="dxa"/>
            <w:vAlign w:val="center"/>
          </w:tcPr>
          <w:p w14:paraId="127C94C4">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城市/农村</w:t>
            </w:r>
          </w:p>
        </w:tc>
        <w:tc>
          <w:tcPr>
            <w:tcW w:w="2361" w:type="dxa"/>
            <w:vAlign w:val="center"/>
          </w:tcPr>
          <w:p w14:paraId="5063D7CD">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农村</w:t>
            </w:r>
          </w:p>
        </w:tc>
      </w:tr>
      <w:tr w14:paraId="71B367A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continue"/>
            <w:vAlign w:val="center"/>
          </w:tcPr>
          <w:p w14:paraId="31A8C5DA">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p>
        </w:tc>
        <w:tc>
          <w:tcPr>
            <w:tcW w:w="4437" w:type="dxa"/>
            <w:vAlign w:val="center"/>
          </w:tcPr>
          <w:p w14:paraId="32BB100B">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人口数（城市选项时）</w:t>
            </w:r>
          </w:p>
        </w:tc>
        <w:tc>
          <w:tcPr>
            <w:tcW w:w="2361" w:type="dxa"/>
            <w:vAlign w:val="center"/>
          </w:tcPr>
          <w:p w14:paraId="4D633349">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w:t>
            </w:r>
          </w:p>
        </w:tc>
      </w:tr>
      <w:tr w14:paraId="5BE70ED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0A9DA18F">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最高环境温度/℃</w:t>
            </w:r>
          </w:p>
        </w:tc>
        <w:tc>
          <w:tcPr>
            <w:tcW w:w="2361" w:type="dxa"/>
            <w:vAlign w:val="center"/>
          </w:tcPr>
          <w:p w14:paraId="5C4B9D86">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38.9℃</w:t>
            </w:r>
          </w:p>
        </w:tc>
      </w:tr>
      <w:tr w14:paraId="5364684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4A3072C5">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最低环境温度/℃</w:t>
            </w:r>
          </w:p>
        </w:tc>
        <w:tc>
          <w:tcPr>
            <w:tcW w:w="2361" w:type="dxa"/>
            <w:vAlign w:val="center"/>
          </w:tcPr>
          <w:p w14:paraId="3FAFB94C">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-26℃</w:t>
            </w:r>
          </w:p>
        </w:tc>
      </w:tr>
      <w:tr w14:paraId="68CBB44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4E008909">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土地利用类型</w:t>
            </w:r>
          </w:p>
        </w:tc>
        <w:tc>
          <w:tcPr>
            <w:tcW w:w="2361" w:type="dxa"/>
            <w:vAlign w:val="center"/>
          </w:tcPr>
          <w:p w14:paraId="05960F0A">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荒漠</w:t>
            </w:r>
          </w:p>
        </w:tc>
      </w:tr>
      <w:tr w14:paraId="2458907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69CF9966">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区域湿度条件</w:t>
            </w:r>
          </w:p>
        </w:tc>
        <w:tc>
          <w:tcPr>
            <w:tcW w:w="2361" w:type="dxa"/>
            <w:vAlign w:val="center"/>
          </w:tcPr>
          <w:p w14:paraId="5C3CD231">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干燥气候</w:t>
            </w:r>
          </w:p>
        </w:tc>
      </w:tr>
      <w:tr w14:paraId="3F7CFC0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restart"/>
            <w:vAlign w:val="center"/>
          </w:tcPr>
          <w:p w14:paraId="74AB304B">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是否考虑地形</w:t>
            </w:r>
          </w:p>
        </w:tc>
        <w:tc>
          <w:tcPr>
            <w:tcW w:w="4437" w:type="dxa"/>
            <w:vAlign w:val="center"/>
          </w:tcPr>
          <w:p w14:paraId="6668B23E">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考虑地形</w:t>
            </w:r>
          </w:p>
        </w:tc>
        <w:tc>
          <w:tcPr>
            <w:tcW w:w="2361" w:type="dxa"/>
            <w:vAlign w:val="center"/>
          </w:tcPr>
          <w:p w14:paraId="598ADE3F">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sym w:font="Wingdings 2" w:char="0052"/>
            </w:r>
            <w:r>
              <w:rPr>
                <w:rFonts w:hint="eastAsia" w:ascii="宋体" w:hAnsi="宋体" w:cs="宋体"/>
                <w:color w:val="000000" w:themeColor="text1"/>
                <w:kern w:val="0"/>
                <w:szCs w:val="21"/>
                <w14:textFill>
                  <w14:solidFill>
                    <w14:schemeClr w14:val="tx1"/>
                  </w14:solidFill>
                </w14:textFill>
              </w:rPr>
              <w:t xml:space="preserve">是  </w:t>
            </w:r>
            <w:r>
              <w:rPr>
                <w:rFonts w:hint="eastAsia" w:ascii="宋体" w:hAnsi="宋体" w:cs="宋体"/>
                <w:color w:val="000000" w:themeColor="text1"/>
                <w:kern w:val="0"/>
                <w:szCs w:val="21"/>
                <w14:textFill>
                  <w14:solidFill>
                    <w14:schemeClr w14:val="tx1"/>
                  </w14:solidFill>
                </w14:textFill>
              </w:rPr>
              <w:fldChar w:fldCharType="begin"/>
            </w:r>
            <w:r>
              <w:rPr>
                <w:rFonts w:hint="eastAsia" w:ascii="宋体" w:hAnsi="宋体" w:cs="宋体"/>
                <w:color w:val="000000" w:themeColor="text1"/>
                <w:kern w:val="0"/>
                <w:szCs w:val="21"/>
                <w14:textFill>
                  <w14:solidFill>
                    <w14:schemeClr w14:val="tx1"/>
                  </w14:solidFill>
                </w14:textFill>
              </w:rPr>
              <w:instrText xml:space="preserve"> eq \o\ac(</w:instrText>
            </w:r>
            <w:r>
              <w:rPr>
                <w:rFonts w:hint="eastAsia" w:ascii="宋体" w:hAnsi="宋体" w:cs="宋体"/>
                <w:color w:val="000000" w:themeColor="text1"/>
                <w:kern w:val="0"/>
                <w:position w:val="-4"/>
                <w:sz w:val="31"/>
                <w:szCs w:val="21"/>
                <w14:textFill>
                  <w14:solidFill>
                    <w14:schemeClr w14:val="tx1"/>
                  </w14:solidFill>
                </w14:textFill>
              </w:rPr>
              <w:instrText xml:space="preserve">□</w:instrText>
            </w:r>
            <w:r>
              <w:rPr>
                <w:rFonts w:hint="eastAsia" w:ascii="宋体" w:hAnsi="宋体" w:cs="宋体"/>
                <w:color w:val="000000" w:themeColor="text1"/>
                <w:kern w:val="0"/>
                <w:szCs w:val="21"/>
                <w14:textFill>
                  <w14:solidFill>
                    <w14:schemeClr w14:val="tx1"/>
                  </w14:solidFill>
                </w14:textFill>
              </w:rPr>
              <w:instrText xml:space="preserve">)</w:instrText>
            </w:r>
            <w:r>
              <w:rPr>
                <w:rFonts w:hint="eastAsia" w:ascii="宋体" w:hAnsi="宋体" w:cs="宋体"/>
                <w:color w:val="000000" w:themeColor="text1"/>
                <w:kern w:val="0"/>
                <w:szCs w:val="21"/>
                <w14:textFill>
                  <w14:solidFill>
                    <w14:schemeClr w14:val="tx1"/>
                  </w14:solidFill>
                </w14:textFill>
              </w:rPr>
              <w:fldChar w:fldCharType="end"/>
            </w:r>
            <w:r>
              <w:rPr>
                <w:rFonts w:hint="eastAsia" w:ascii="宋体" w:hAnsi="宋体" w:cs="宋体"/>
                <w:color w:val="000000" w:themeColor="text1"/>
                <w:kern w:val="0"/>
                <w:szCs w:val="21"/>
                <w14:textFill>
                  <w14:solidFill>
                    <w14:schemeClr w14:val="tx1"/>
                  </w14:solidFill>
                </w14:textFill>
              </w:rPr>
              <w:t>否</w:t>
            </w:r>
          </w:p>
        </w:tc>
      </w:tr>
      <w:tr w14:paraId="074EB54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continue"/>
            <w:vAlign w:val="center"/>
          </w:tcPr>
          <w:p w14:paraId="38DDEDB7">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p>
        </w:tc>
        <w:tc>
          <w:tcPr>
            <w:tcW w:w="4437" w:type="dxa"/>
            <w:vAlign w:val="center"/>
          </w:tcPr>
          <w:p w14:paraId="34F55667">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地形数据分辨率/m</w:t>
            </w:r>
          </w:p>
        </w:tc>
        <w:tc>
          <w:tcPr>
            <w:tcW w:w="2361" w:type="dxa"/>
            <w:vAlign w:val="center"/>
          </w:tcPr>
          <w:p w14:paraId="43008DDA">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90</w:t>
            </w:r>
          </w:p>
        </w:tc>
      </w:tr>
      <w:tr w14:paraId="5C30A4D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restart"/>
            <w:vAlign w:val="center"/>
          </w:tcPr>
          <w:p w14:paraId="718CE012">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是否考虑岸线熏烟</w:t>
            </w:r>
          </w:p>
        </w:tc>
        <w:tc>
          <w:tcPr>
            <w:tcW w:w="4437" w:type="dxa"/>
            <w:vAlign w:val="center"/>
          </w:tcPr>
          <w:p w14:paraId="447D01BC">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考虑岸线熏烟</w:t>
            </w:r>
          </w:p>
        </w:tc>
        <w:tc>
          <w:tcPr>
            <w:tcW w:w="2361" w:type="dxa"/>
            <w:vAlign w:val="center"/>
          </w:tcPr>
          <w:p w14:paraId="0AB8520E">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 xml:space="preserve">□是 </w:t>
            </w:r>
            <w:r>
              <w:rPr>
                <w:rFonts w:hint="eastAsia" w:ascii="宋体" w:hAnsi="宋体" w:cs="宋体"/>
                <w:color w:val="000000" w:themeColor="text1"/>
                <w:kern w:val="0"/>
                <w:szCs w:val="21"/>
                <w14:textFill>
                  <w14:solidFill>
                    <w14:schemeClr w14:val="tx1"/>
                  </w14:solidFill>
                </w14:textFill>
              </w:rPr>
              <w:fldChar w:fldCharType="begin"/>
            </w:r>
            <w:r>
              <w:rPr>
                <w:rFonts w:hint="eastAsia" w:ascii="宋体" w:hAnsi="宋体" w:cs="宋体"/>
                <w:color w:val="000000" w:themeColor="text1"/>
                <w:kern w:val="0"/>
                <w:szCs w:val="21"/>
                <w14:textFill>
                  <w14:solidFill>
                    <w14:schemeClr w14:val="tx1"/>
                  </w14:solidFill>
                </w14:textFill>
              </w:rPr>
              <w:instrText xml:space="preserve"> eq \o\ac(</w:instrText>
            </w:r>
            <w:r>
              <w:rPr>
                <w:rFonts w:hint="eastAsia" w:ascii="宋体" w:hAnsi="宋体" w:cs="宋体"/>
                <w:color w:val="000000" w:themeColor="text1"/>
                <w:kern w:val="0"/>
                <w:position w:val="-4"/>
                <w:sz w:val="31"/>
                <w:szCs w:val="21"/>
                <w14:textFill>
                  <w14:solidFill>
                    <w14:schemeClr w14:val="tx1"/>
                  </w14:solidFill>
                </w14:textFill>
              </w:rPr>
              <w:instrText xml:space="preserve">□</w:instrText>
            </w:r>
            <w:r>
              <w:rPr>
                <w:rFonts w:hint="eastAsia" w:ascii="宋体" w:hAnsi="宋体" w:cs="宋体"/>
                <w:color w:val="000000" w:themeColor="text1"/>
                <w:kern w:val="0"/>
                <w:szCs w:val="21"/>
                <w14:textFill>
                  <w14:solidFill>
                    <w14:schemeClr w14:val="tx1"/>
                  </w14:solidFill>
                </w14:textFill>
              </w:rPr>
              <w:instrText xml:space="preserve">,√)</w:instrText>
            </w:r>
            <w:r>
              <w:rPr>
                <w:rFonts w:hint="eastAsia" w:ascii="宋体" w:hAnsi="宋体" w:cs="宋体"/>
                <w:color w:val="000000" w:themeColor="text1"/>
                <w:kern w:val="0"/>
                <w:szCs w:val="21"/>
                <w14:textFill>
                  <w14:solidFill>
                    <w14:schemeClr w14:val="tx1"/>
                  </w14:solidFill>
                </w14:textFill>
              </w:rPr>
              <w:fldChar w:fldCharType="end"/>
            </w:r>
            <w:r>
              <w:rPr>
                <w:rFonts w:hint="eastAsia" w:ascii="宋体" w:hAnsi="宋体" w:cs="宋体"/>
                <w:color w:val="000000" w:themeColor="text1"/>
                <w:kern w:val="0"/>
                <w:szCs w:val="21"/>
                <w14:textFill>
                  <w14:solidFill>
                    <w14:schemeClr w14:val="tx1"/>
                  </w14:solidFill>
                </w14:textFill>
              </w:rPr>
              <w:t>否</w:t>
            </w:r>
          </w:p>
        </w:tc>
      </w:tr>
      <w:tr w14:paraId="7C93D9B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continue"/>
            <w:vAlign w:val="center"/>
          </w:tcPr>
          <w:p w14:paraId="5131EB48">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p>
        </w:tc>
        <w:tc>
          <w:tcPr>
            <w:tcW w:w="4437" w:type="dxa"/>
            <w:vAlign w:val="center"/>
          </w:tcPr>
          <w:p w14:paraId="031C150F">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岸线距离/km</w:t>
            </w:r>
          </w:p>
        </w:tc>
        <w:tc>
          <w:tcPr>
            <w:tcW w:w="2361" w:type="dxa"/>
            <w:vAlign w:val="center"/>
          </w:tcPr>
          <w:p w14:paraId="67608324">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w:t>
            </w:r>
          </w:p>
        </w:tc>
      </w:tr>
      <w:tr w14:paraId="518696C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continue"/>
            <w:vAlign w:val="center"/>
          </w:tcPr>
          <w:p w14:paraId="4F151A73">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p>
        </w:tc>
        <w:tc>
          <w:tcPr>
            <w:tcW w:w="4437" w:type="dxa"/>
            <w:vAlign w:val="center"/>
          </w:tcPr>
          <w:p w14:paraId="77A4921A">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岸线方向/°</w:t>
            </w:r>
          </w:p>
        </w:tc>
        <w:tc>
          <w:tcPr>
            <w:tcW w:w="2361" w:type="dxa"/>
            <w:vAlign w:val="center"/>
          </w:tcPr>
          <w:p w14:paraId="7F85F7F6">
            <w:pPr>
              <w:adjustRightInd w:val="0"/>
              <w:spacing w:line="300" w:lineRule="exact"/>
              <w:ind w:firstLine="480"/>
              <w:jc w:val="center"/>
              <w:textAlignment w:val="baseline"/>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w:t>
            </w:r>
          </w:p>
        </w:tc>
      </w:tr>
    </w:tbl>
    <w:p w14:paraId="3352EDE4">
      <w:pPr>
        <w:pStyle w:val="120"/>
        <w:rPr>
          <w:rFonts w:hint="eastAsia"/>
          <w:color w:val="000000" w:themeColor="text1"/>
          <w14:textFill>
            <w14:solidFill>
              <w14:schemeClr w14:val="tx1"/>
            </w14:solidFill>
          </w14:textFill>
        </w:rPr>
      </w:pPr>
      <w:bookmarkStart w:id="446" w:name="_Hlk147587577"/>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）污染源参数</w:t>
      </w:r>
    </w:p>
    <w:p w14:paraId="0F7D1401">
      <w:pPr>
        <w:pStyle w:val="92"/>
        <w:ind w:firstLine="480"/>
        <w:rPr>
          <w:rFonts w:hint="eastAsia" w:ascii="宋体" w:hAnsi="宋体" w:eastAsia="宋体"/>
          <w:color w:val="000000" w:themeColor="text1"/>
          <w14:textFill>
            <w14:solidFill>
              <w14:schemeClr w14:val="tx1"/>
            </w14:solidFill>
          </w14:textFill>
        </w:rPr>
      </w:pPr>
      <w:bookmarkStart w:id="447" w:name="_Ref78375761"/>
      <w:r>
        <w:rPr>
          <w:rFonts w:hint="eastAsia" w:ascii="宋体" w:hAnsi="宋体" w:eastAsia="宋体"/>
          <w:color w:val="000000" w:themeColor="text1"/>
          <w14:textFill>
            <w14:solidFill>
              <w14:schemeClr w14:val="tx1"/>
            </w14:solidFill>
          </w14:textFill>
        </w:rPr>
        <w:t>各无组织排放源非甲烷总烃和硫化氢排放情况见表</w:t>
      </w:r>
      <w:r>
        <w:rPr>
          <w:rFonts w:ascii="宋体" w:hAnsi="宋体" w:eastAsia="宋体"/>
          <w:color w:val="000000" w:themeColor="text1"/>
          <w14:textFill>
            <w14:solidFill>
              <w14:schemeClr w14:val="tx1"/>
            </w14:solidFill>
          </w14:textFill>
        </w:rPr>
        <w:t>5.2</w:t>
      </w:r>
      <w:r>
        <w:rPr>
          <w:rFonts w:hint="eastAsia" w:ascii="宋体" w:hAnsi="宋体" w:eastAsia="宋体"/>
          <w:color w:val="000000" w:themeColor="text1"/>
          <w14:textFill>
            <w14:solidFill>
              <w14:schemeClr w14:val="tx1"/>
            </w14:solidFill>
          </w14:textFill>
        </w:rPr>
        <w:t>-</w:t>
      </w:r>
      <w:r>
        <w:rPr>
          <w:rFonts w:ascii="宋体" w:hAnsi="宋体" w:eastAsia="宋体"/>
          <w:color w:val="000000" w:themeColor="text1"/>
          <w14:textFill>
            <w14:solidFill>
              <w14:schemeClr w14:val="tx1"/>
            </w14:solidFill>
          </w14:textFill>
        </w:rPr>
        <w:t>4</w:t>
      </w:r>
      <w:r>
        <w:rPr>
          <w:rFonts w:hint="eastAsia" w:ascii="宋体" w:hAnsi="宋体" w:eastAsia="宋体"/>
          <w:color w:val="000000" w:themeColor="text1"/>
          <w14:textFill>
            <w14:solidFill>
              <w14:schemeClr w14:val="tx1"/>
            </w14:solidFill>
          </w14:textFill>
        </w:rPr>
        <w:t>。</w:t>
      </w:r>
    </w:p>
    <w:bookmarkEnd w:id="446"/>
    <w:bookmarkEnd w:id="447"/>
    <w:p w14:paraId="7F880A04">
      <w:pPr>
        <w:ind w:firstLine="480"/>
        <w:jc w:val="center"/>
        <w:rPr>
          <w:rFonts w:hint="eastAsia" w:ascii="黑体" w:hAnsi="黑体" w:eastAsia="黑体"/>
          <w:bCs/>
          <w:color w:val="000000" w:themeColor="text1"/>
          <w:szCs w:val="21"/>
          <w14:textFill>
            <w14:solidFill>
              <w14:schemeClr w14:val="tx1"/>
            </w14:solidFill>
          </w14:textFill>
        </w:rPr>
      </w:pPr>
      <w:bookmarkStart w:id="448" w:name="_Hlk147587602"/>
      <w:r>
        <w:rPr>
          <w:rFonts w:hint="eastAsia" w:ascii="黑体" w:hAnsi="黑体" w:eastAsia="黑体"/>
          <w:bCs/>
          <w:color w:val="000000" w:themeColor="text1"/>
          <w:szCs w:val="21"/>
          <w14:textFill>
            <w14:solidFill>
              <w14:schemeClr w14:val="tx1"/>
            </w14:solidFill>
          </w14:textFill>
        </w:rPr>
        <w:t>表</w:t>
      </w:r>
      <w:r>
        <w:rPr>
          <w:rFonts w:ascii="黑体" w:hAnsi="黑体" w:eastAsia="黑体"/>
          <w:bCs/>
          <w:color w:val="000000" w:themeColor="text1"/>
          <w:szCs w:val="21"/>
          <w14:textFill>
            <w14:solidFill>
              <w14:schemeClr w14:val="tx1"/>
            </w14:solidFill>
          </w14:textFill>
        </w:rPr>
        <w:t>5</w:t>
      </w:r>
      <w:r>
        <w:rPr>
          <w:rFonts w:hint="eastAsia" w:ascii="黑体" w:hAnsi="黑体" w:eastAsia="黑体"/>
          <w:bCs/>
          <w:color w:val="000000" w:themeColor="text1"/>
          <w:szCs w:val="21"/>
          <w14:textFill>
            <w14:solidFill>
              <w14:schemeClr w14:val="tx1"/>
            </w14:solidFill>
          </w14:textFill>
        </w:rPr>
        <w:t>.2-</w:t>
      </w:r>
      <w:r>
        <w:rPr>
          <w:rFonts w:ascii="黑体" w:hAnsi="黑体" w:eastAsia="黑体"/>
          <w:bCs/>
          <w:color w:val="000000" w:themeColor="text1"/>
          <w:szCs w:val="21"/>
          <w14:textFill>
            <w14:solidFill>
              <w14:schemeClr w14:val="tx1"/>
            </w14:solidFill>
          </w14:textFill>
        </w:rPr>
        <w:t>4</w:t>
      </w:r>
      <w:r>
        <w:rPr>
          <w:rFonts w:hint="eastAsia" w:ascii="黑体" w:hAnsi="黑体" w:eastAsia="黑体"/>
          <w:bCs/>
          <w:color w:val="000000" w:themeColor="text1"/>
          <w:szCs w:val="21"/>
          <w14:textFill>
            <w14:solidFill>
              <w14:schemeClr w14:val="tx1"/>
            </w14:solidFill>
          </w14:textFill>
        </w:rPr>
        <w:t xml:space="preserve"> </w:t>
      </w:r>
      <w:r>
        <w:rPr>
          <w:rFonts w:ascii="黑体" w:hAnsi="黑体" w:eastAsia="黑体"/>
          <w:bCs/>
          <w:color w:val="000000" w:themeColor="text1"/>
          <w:szCs w:val="21"/>
          <w14:textFill>
            <w14:solidFill>
              <w14:schemeClr w14:val="tx1"/>
            </w14:solidFill>
          </w14:textFill>
        </w:rPr>
        <w:t xml:space="preserve"> </w:t>
      </w:r>
      <w:r>
        <w:rPr>
          <w:rFonts w:hint="eastAsia" w:ascii="黑体" w:hAnsi="黑体" w:eastAsia="黑体"/>
          <w:bCs/>
          <w:color w:val="000000" w:themeColor="text1"/>
          <w:szCs w:val="21"/>
          <w14:textFill>
            <w14:solidFill>
              <w14:schemeClr w14:val="tx1"/>
            </w14:solidFill>
          </w14:textFill>
        </w:rPr>
        <w:t>面源污染源参数一览表</w:t>
      </w:r>
    </w:p>
    <w:tbl>
      <w:tblPr>
        <w:tblStyle w:val="51"/>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
      <w:tblGrid>
        <w:gridCol w:w="1123"/>
        <w:gridCol w:w="650"/>
        <w:gridCol w:w="738"/>
        <w:gridCol w:w="738"/>
        <w:gridCol w:w="738"/>
        <w:gridCol w:w="765"/>
        <w:gridCol w:w="503"/>
        <w:gridCol w:w="847"/>
        <w:gridCol w:w="847"/>
        <w:gridCol w:w="847"/>
        <w:gridCol w:w="932"/>
      </w:tblGrid>
      <w:tr w14:paraId="25738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jc w:val="center"/>
        </w:trPr>
        <w:tc>
          <w:tcPr>
            <w:tcW w:w="643" w:type="pct"/>
            <w:vMerge w:val="restart"/>
            <w:vAlign w:val="center"/>
          </w:tcPr>
          <w:p w14:paraId="20F53E5B">
            <w:pPr>
              <w:pStyle w:val="280"/>
              <w:rPr>
                <w:rFonts w:hint="eastAsia"/>
                <w:color w:val="000000" w:themeColor="text1"/>
                <w:sz w:val="21"/>
                <w:szCs w:val="21"/>
                <w14:textFill>
                  <w14:solidFill>
                    <w14:schemeClr w14:val="tx1"/>
                  </w14:solidFill>
                </w14:textFill>
              </w:rPr>
            </w:pPr>
            <w:bookmarkStart w:id="449" w:name="_Hlk169023041"/>
            <w:r>
              <w:rPr>
                <w:rFonts w:hint="eastAsia"/>
                <w:color w:val="000000" w:themeColor="text1"/>
                <w:sz w:val="21"/>
                <w:szCs w:val="21"/>
                <w14:textFill>
                  <w14:solidFill>
                    <w14:schemeClr w14:val="tx1"/>
                  </w14:solidFill>
                </w14:textFill>
              </w:rPr>
              <w:t>平台号</w:t>
            </w:r>
          </w:p>
        </w:tc>
        <w:tc>
          <w:tcPr>
            <w:tcW w:w="372" w:type="pct"/>
            <w:vMerge w:val="restart"/>
            <w:vAlign w:val="center"/>
          </w:tcPr>
          <w:p w14:paraId="7B65E91E">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海拔高度（m）</w:t>
            </w:r>
          </w:p>
        </w:tc>
        <w:tc>
          <w:tcPr>
            <w:tcW w:w="423" w:type="pct"/>
            <w:vMerge w:val="restart"/>
            <w:vAlign w:val="center"/>
          </w:tcPr>
          <w:p w14:paraId="0FAD2FB8">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面源长度（m）</w:t>
            </w:r>
          </w:p>
        </w:tc>
        <w:tc>
          <w:tcPr>
            <w:tcW w:w="423" w:type="pct"/>
            <w:vMerge w:val="restart"/>
            <w:vAlign w:val="center"/>
          </w:tcPr>
          <w:p w14:paraId="020C573A">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面源宽度（m）</w:t>
            </w:r>
          </w:p>
        </w:tc>
        <w:tc>
          <w:tcPr>
            <w:tcW w:w="423" w:type="pct"/>
            <w:vMerge w:val="restart"/>
            <w:vAlign w:val="center"/>
          </w:tcPr>
          <w:p w14:paraId="2E7AF415">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有效排放高度（m）</w:t>
            </w:r>
          </w:p>
        </w:tc>
        <w:tc>
          <w:tcPr>
            <w:tcW w:w="438" w:type="pct"/>
            <w:vMerge w:val="restart"/>
            <w:vAlign w:val="center"/>
          </w:tcPr>
          <w:p w14:paraId="3DF2A352">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年排放小时数（h）</w:t>
            </w:r>
          </w:p>
        </w:tc>
        <w:tc>
          <w:tcPr>
            <w:tcW w:w="288" w:type="pct"/>
            <w:vMerge w:val="restart"/>
            <w:vAlign w:val="center"/>
          </w:tcPr>
          <w:p w14:paraId="20705B88">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排放工况</w:t>
            </w:r>
          </w:p>
        </w:tc>
        <w:tc>
          <w:tcPr>
            <w:tcW w:w="970" w:type="pct"/>
            <w:gridSpan w:val="2"/>
            <w:vAlign w:val="center"/>
          </w:tcPr>
          <w:p w14:paraId="1174229D">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NMHC排放量</w:t>
            </w:r>
          </w:p>
        </w:tc>
        <w:tc>
          <w:tcPr>
            <w:tcW w:w="1019" w:type="pct"/>
            <w:gridSpan w:val="2"/>
            <w:vAlign w:val="center"/>
          </w:tcPr>
          <w:p w14:paraId="2F6088F9">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硫化氢排放量</w:t>
            </w:r>
          </w:p>
        </w:tc>
      </w:tr>
      <w:tr w14:paraId="5CD92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jc w:val="center"/>
        </w:trPr>
        <w:tc>
          <w:tcPr>
            <w:tcW w:w="643" w:type="pct"/>
            <w:vMerge w:val="continue"/>
            <w:vAlign w:val="center"/>
          </w:tcPr>
          <w:p w14:paraId="5CAF2B91">
            <w:pPr>
              <w:pStyle w:val="280"/>
              <w:rPr>
                <w:rFonts w:hint="eastAsia"/>
                <w:color w:val="000000" w:themeColor="text1"/>
                <w:sz w:val="21"/>
                <w:szCs w:val="21"/>
                <w14:textFill>
                  <w14:solidFill>
                    <w14:schemeClr w14:val="tx1"/>
                  </w14:solidFill>
                </w14:textFill>
              </w:rPr>
            </w:pPr>
          </w:p>
        </w:tc>
        <w:tc>
          <w:tcPr>
            <w:tcW w:w="372" w:type="pct"/>
            <w:vMerge w:val="continue"/>
            <w:vAlign w:val="center"/>
          </w:tcPr>
          <w:p w14:paraId="47273AEF">
            <w:pPr>
              <w:pStyle w:val="280"/>
              <w:rPr>
                <w:rFonts w:hint="eastAsia"/>
                <w:color w:val="000000" w:themeColor="text1"/>
                <w:sz w:val="21"/>
                <w:szCs w:val="21"/>
                <w14:textFill>
                  <w14:solidFill>
                    <w14:schemeClr w14:val="tx1"/>
                  </w14:solidFill>
                </w14:textFill>
              </w:rPr>
            </w:pPr>
          </w:p>
        </w:tc>
        <w:tc>
          <w:tcPr>
            <w:tcW w:w="423" w:type="pct"/>
            <w:vMerge w:val="continue"/>
            <w:vAlign w:val="center"/>
          </w:tcPr>
          <w:p w14:paraId="470CB3D2">
            <w:pPr>
              <w:pStyle w:val="280"/>
              <w:rPr>
                <w:rFonts w:hint="eastAsia"/>
                <w:color w:val="000000" w:themeColor="text1"/>
                <w:sz w:val="21"/>
                <w:szCs w:val="21"/>
                <w14:textFill>
                  <w14:solidFill>
                    <w14:schemeClr w14:val="tx1"/>
                  </w14:solidFill>
                </w14:textFill>
              </w:rPr>
            </w:pPr>
          </w:p>
        </w:tc>
        <w:tc>
          <w:tcPr>
            <w:tcW w:w="423" w:type="pct"/>
            <w:vMerge w:val="continue"/>
            <w:vAlign w:val="center"/>
          </w:tcPr>
          <w:p w14:paraId="4D5B66B1">
            <w:pPr>
              <w:pStyle w:val="280"/>
              <w:rPr>
                <w:rFonts w:hint="eastAsia"/>
                <w:color w:val="000000" w:themeColor="text1"/>
                <w:sz w:val="21"/>
                <w:szCs w:val="21"/>
                <w14:textFill>
                  <w14:solidFill>
                    <w14:schemeClr w14:val="tx1"/>
                  </w14:solidFill>
                </w14:textFill>
              </w:rPr>
            </w:pPr>
          </w:p>
        </w:tc>
        <w:tc>
          <w:tcPr>
            <w:tcW w:w="423" w:type="pct"/>
            <w:vMerge w:val="continue"/>
            <w:vAlign w:val="center"/>
          </w:tcPr>
          <w:p w14:paraId="467F6141">
            <w:pPr>
              <w:pStyle w:val="280"/>
              <w:rPr>
                <w:rFonts w:hint="eastAsia"/>
                <w:color w:val="000000" w:themeColor="text1"/>
                <w:sz w:val="21"/>
                <w:szCs w:val="21"/>
                <w14:textFill>
                  <w14:solidFill>
                    <w14:schemeClr w14:val="tx1"/>
                  </w14:solidFill>
                </w14:textFill>
              </w:rPr>
            </w:pPr>
          </w:p>
        </w:tc>
        <w:tc>
          <w:tcPr>
            <w:tcW w:w="438" w:type="pct"/>
            <w:vMerge w:val="continue"/>
            <w:vAlign w:val="center"/>
          </w:tcPr>
          <w:p w14:paraId="1FC2C2FF">
            <w:pPr>
              <w:pStyle w:val="280"/>
              <w:rPr>
                <w:rFonts w:hint="eastAsia"/>
                <w:color w:val="000000" w:themeColor="text1"/>
                <w:sz w:val="21"/>
                <w:szCs w:val="21"/>
                <w14:textFill>
                  <w14:solidFill>
                    <w14:schemeClr w14:val="tx1"/>
                  </w14:solidFill>
                </w14:textFill>
              </w:rPr>
            </w:pPr>
          </w:p>
        </w:tc>
        <w:tc>
          <w:tcPr>
            <w:tcW w:w="288" w:type="pct"/>
            <w:vMerge w:val="continue"/>
            <w:vAlign w:val="center"/>
          </w:tcPr>
          <w:p w14:paraId="0DBF75F3">
            <w:pPr>
              <w:pStyle w:val="280"/>
              <w:rPr>
                <w:rFonts w:hint="eastAsia"/>
                <w:color w:val="000000" w:themeColor="text1"/>
                <w:sz w:val="21"/>
                <w:szCs w:val="21"/>
                <w14:textFill>
                  <w14:solidFill>
                    <w14:schemeClr w14:val="tx1"/>
                  </w14:solidFill>
                </w14:textFill>
              </w:rPr>
            </w:pPr>
          </w:p>
        </w:tc>
        <w:tc>
          <w:tcPr>
            <w:tcW w:w="485" w:type="pct"/>
            <w:vAlign w:val="center"/>
          </w:tcPr>
          <w:p w14:paraId="051C9F6E">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t/a</w:t>
            </w:r>
          </w:p>
        </w:tc>
        <w:tc>
          <w:tcPr>
            <w:tcW w:w="485" w:type="pct"/>
            <w:vAlign w:val="center"/>
          </w:tcPr>
          <w:p w14:paraId="361D029F">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kg</w:t>
            </w:r>
            <w:r>
              <w:rPr>
                <w:color w:val="000000" w:themeColor="text1"/>
                <w:sz w:val="21"/>
                <w:szCs w:val="21"/>
                <w14:textFill>
                  <w14:solidFill>
                    <w14:schemeClr w14:val="tx1"/>
                  </w14:solidFill>
                </w14:textFill>
              </w:rPr>
              <w:t>/h</w:t>
            </w:r>
          </w:p>
        </w:tc>
        <w:tc>
          <w:tcPr>
            <w:tcW w:w="485" w:type="pct"/>
            <w:vAlign w:val="center"/>
          </w:tcPr>
          <w:p w14:paraId="11FA686E">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g/a</w:t>
            </w:r>
          </w:p>
        </w:tc>
        <w:tc>
          <w:tcPr>
            <w:tcW w:w="534" w:type="pct"/>
            <w:vAlign w:val="center"/>
          </w:tcPr>
          <w:p w14:paraId="4E84EF32">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mg</w:t>
            </w:r>
            <w:r>
              <w:rPr>
                <w:color w:val="000000" w:themeColor="text1"/>
                <w:sz w:val="21"/>
                <w:szCs w:val="21"/>
                <w14:textFill>
                  <w14:solidFill>
                    <w14:schemeClr w14:val="tx1"/>
                  </w14:solidFill>
                </w14:textFill>
              </w:rPr>
              <w:t>/h</w:t>
            </w:r>
          </w:p>
        </w:tc>
      </w:tr>
      <w:tr w14:paraId="1A1EB1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jc w:val="center"/>
        </w:trPr>
        <w:tc>
          <w:tcPr>
            <w:tcW w:w="643" w:type="pct"/>
            <w:vAlign w:val="center"/>
          </w:tcPr>
          <w:p w14:paraId="113703D7">
            <w:pPr>
              <w:pStyle w:val="280"/>
              <w:rPr>
                <w:rFonts w:hint="eastAsia"/>
                <w:color w:val="000000" w:themeColor="text1"/>
                <w:sz w:val="21"/>
                <w:szCs w:val="21"/>
                <w14:textFill>
                  <w14:solidFill>
                    <w14:schemeClr w14:val="tx1"/>
                  </w14:solidFill>
                </w14:textFill>
              </w:rPr>
            </w:pPr>
            <w:bookmarkStart w:id="450" w:name="_Hlk172923019"/>
            <w:r>
              <w:rPr>
                <w:rFonts w:hint="eastAsia"/>
                <w:snapToGrid w:val="0"/>
                <w:color w:val="000000" w:themeColor="text1"/>
                <w:sz w:val="21"/>
                <w:szCs w:val="21"/>
                <w14:textFill>
                  <w14:solidFill>
                    <w14:schemeClr w14:val="tx1"/>
                  </w14:solidFill>
                </w14:textFill>
              </w:rPr>
              <w:t>平台-1（JD6110、JD6089）</w:t>
            </w:r>
          </w:p>
        </w:tc>
        <w:tc>
          <w:tcPr>
            <w:tcW w:w="372" w:type="pct"/>
            <w:vAlign w:val="center"/>
          </w:tcPr>
          <w:p w14:paraId="069B1A7D">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852</w:t>
            </w:r>
          </w:p>
        </w:tc>
        <w:tc>
          <w:tcPr>
            <w:tcW w:w="423" w:type="pct"/>
            <w:vAlign w:val="center"/>
          </w:tcPr>
          <w:p w14:paraId="0753D68D">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w:t>
            </w:r>
          </w:p>
        </w:tc>
        <w:tc>
          <w:tcPr>
            <w:tcW w:w="423" w:type="pct"/>
            <w:vAlign w:val="center"/>
          </w:tcPr>
          <w:p w14:paraId="365A87FC">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23" w:type="pct"/>
            <w:vAlign w:val="center"/>
          </w:tcPr>
          <w:p w14:paraId="4A1FA131">
            <w:pPr>
              <w:pStyle w:val="280"/>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438" w:type="pct"/>
            <w:vAlign w:val="center"/>
          </w:tcPr>
          <w:p w14:paraId="3A77BC0D">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7920</w:t>
            </w:r>
          </w:p>
        </w:tc>
        <w:tc>
          <w:tcPr>
            <w:tcW w:w="288" w:type="pct"/>
            <w:vMerge w:val="restart"/>
            <w:vAlign w:val="center"/>
          </w:tcPr>
          <w:p w14:paraId="1E76241A">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正常工况</w:t>
            </w:r>
          </w:p>
        </w:tc>
        <w:tc>
          <w:tcPr>
            <w:tcW w:w="485" w:type="pct"/>
            <w:vAlign w:val="center"/>
          </w:tcPr>
          <w:p w14:paraId="3553CA12">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0.1354</w:t>
            </w:r>
          </w:p>
        </w:tc>
        <w:tc>
          <w:tcPr>
            <w:tcW w:w="485" w:type="pct"/>
            <w:vAlign w:val="center"/>
          </w:tcPr>
          <w:p w14:paraId="6A7BD919">
            <w:pPr>
              <w:widowControl/>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0.0171</w:t>
            </w:r>
          </w:p>
        </w:tc>
        <w:tc>
          <w:tcPr>
            <w:tcW w:w="848" w:type="dxa"/>
            <w:vAlign w:val="center"/>
          </w:tcPr>
          <w:p w14:paraId="2C4475A4">
            <w:pPr>
              <w:keepNext w:val="0"/>
              <w:keepLines w:val="0"/>
              <w:widowControl/>
              <w:suppressLineNumbers w:val="0"/>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0.0219</w:t>
            </w:r>
          </w:p>
        </w:tc>
        <w:tc>
          <w:tcPr>
            <w:tcW w:w="933" w:type="dxa"/>
            <w:vAlign w:val="center"/>
          </w:tcPr>
          <w:p w14:paraId="5961DB16">
            <w:pPr>
              <w:keepNext w:val="0"/>
              <w:keepLines w:val="0"/>
              <w:widowControl/>
              <w:suppressLineNumbers w:val="0"/>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0.0028</w:t>
            </w:r>
          </w:p>
        </w:tc>
      </w:tr>
      <w:tr w14:paraId="54E786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jc w:val="center"/>
        </w:trPr>
        <w:tc>
          <w:tcPr>
            <w:tcW w:w="643" w:type="pct"/>
            <w:vAlign w:val="center"/>
          </w:tcPr>
          <w:p w14:paraId="269C0619">
            <w:pPr>
              <w:pStyle w:val="280"/>
              <w:rPr>
                <w:rFonts w:hint="eastAsia"/>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平台-2（JD6167、JD6186）</w:t>
            </w:r>
          </w:p>
        </w:tc>
        <w:tc>
          <w:tcPr>
            <w:tcW w:w="372" w:type="pct"/>
            <w:vAlign w:val="center"/>
          </w:tcPr>
          <w:p w14:paraId="4AA2A760">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845</w:t>
            </w:r>
          </w:p>
        </w:tc>
        <w:tc>
          <w:tcPr>
            <w:tcW w:w="423" w:type="pct"/>
            <w:vAlign w:val="center"/>
          </w:tcPr>
          <w:p w14:paraId="5CFBF3DA">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w:t>
            </w:r>
          </w:p>
        </w:tc>
        <w:tc>
          <w:tcPr>
            <w:tcW w:w="423" w:type="pct"/>
            <w:vAlign w:val="center"/>
          </w:tcPr>
          <w:p w14:paraId="48C6D434">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23" w:type="pct"/>
            <w:vAlign w:val="center"/>
          </w:tcPr>
          <w:p w14:paraId="0EC798D9">
            <w:pPr>
              <w:pStyle w:val="280"/>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438" w:type="pct"/>
            <w:vAlign w:val="center"/>
          </w:tcPr>
          <w:p w14:paraId="1A3F7B06">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7920</w:t>
            </w:r>
          </w:p>
        </w:tc>
        <w:tc>
          <w:tcPr>
            <w:tcW w:w="288" w:type="pct"/>
            <w:vMerge w:val="continue"/>
            <w:vAlign w:val="center"/>
          </w:tcPr>
          <w:p w14:paraId="105F65E1">
            <w:pPr>
              <w:pStyle w:val="280"/>
              <w:rPr>
                <w:rFonts w:hint="eastAsia"/>
                <w:color w:val="000000" w:themeColor="text1"/>
                <w:sz w:val="21"/>
                <w:szCs w:val="21"/>
                <w14:textFill>
                  <w14:solidFill>
                    <w14:schemeClr w14:val="tx1"/>
                  </w14:solidFill>
                </w14:textFill>
              </w:rPr>
            </w:pPr>
          </w:p>
        </w:tc>
        <w:tc>
          <w:tcPr>
            <w:tcW w:w="485" w:type="pct"/>
            <w:vAlign w:val="center"/>
          </w:tcPr>
          <w:p w14:paraId="36D43444">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0.1354</w:t>
            </w:r>
          </w:p>
        </w:tc>
        <w:tc>
          <w:tcPr>
            <w:tcW w:w="485" w:type="pct"/>
            <w:vAlign w:val="center"/>
          </w:tcPr>
          <w:p w14:paraId="05E5F224">
            <w:pPr>
              <w:widowControl/>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0.0171</w:t>
            </w:r>
          </w:p>
        </w:tc>
        <w:tc>
          <w:tcPr>
            <w:tcW w:w="848" w:type="dxa"/>
            <w:vAlign w:val="center"/>
          </w:tcPr>
          <w:p w14:paraId="618715F5">
            <w:pPr>
              <w:keepNext w:val="0"/>
              <w:keepLines w:val="0"/>
              <w:widowControl/>
              <w:suppressLineNumbers w:val="0"/>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0.0219</w:t>
            </w:r>
          </w:p>
        </w:tc>
        <w:tc>
          <w:tcPr>
            <w:tcW w:w="933" w:type="dxa"/>
            <w:vAlign w:val="center"/>
          </w:tcPr>
          <w:p w14:paraId="166251C4">
            <w:pPr>
              <w:keepNext w:val="0"/>
              <w:keepLines w:val="0"/>
              <w:widowControl/>
              <w:suppressLineNumbers w:val="0"/>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0.0028</w:t>
            </w:r>
          </w:p>
        </w:tc>
      </w:tr>
      <w:tr w14:paraId="6431F6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jc w:val="center"/>
        </w:trPr>
        <w:tc>
          <w:tcPr>
            <w:tcW w:w="643" w:type="pct"/>
            <w:vAlign w:val="center"/>
          </w:tcPr>
          <w:p w14:paraId="510E5CE4">
            <w:pPr>
              <w:pStyle w:val="280"/>
              <w:rPr>
                <w:rFonts w:hint="eastAsia"/>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平台-3（仅</w:t>
            </w:r>
            <w:r>
              <w:rPr>
                <w:rFonts w:hint="eastAsia"/>
                <w:color w:val="000000" w:themeColor="text1"/>
                <w:sz w:val="21"/>
                <w:szCs w:val="21"/>
                <w:lang w:bidi="ar"/>
                <w14:textFill>
                  <w14:solidFill>
                    <w14:schemeClr w14:val="tx1"/>
                  </w14:solidFill>
                </w14:textFill>
              </w:rPr>
              <w:t>J9100A参与核算，JD8399A为注水井，无废气产生</w:t>
            </w:r>
            <w:r>
              <w:rPr>
                <w:rFonts w:hint="eastAsia"/>
                <w:snapToGrid w:val="0"/>
                <w:color w:val="000000" w:themeColor="text1"/>
                <w:sz w:val="21"/>
                <w:szCs w:val="21"/>
                <w14:textFill>
                  <w14:solidFill>
                    <w14:schemeClr w14:val="tx1"/>
                  </w14:solidFill>
                </w14:textFill>
              </w:rPr>
              <w:t>）</w:t>
            </w:r>
          </w:p>
        </w:tc>
        <w:tc>
          <w:tcPr>
            <w:tcW w:w="372" w:type="pct"/>
            <w:vAlign w:val="center"/>
          </w:tcPr>
          <w:p w14:paraId="2F0E6B33">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874</w:t>
            </w:r>
          </w:p>
        </w:tc>
        <w:tc>
          <w:tcPr>
            <w:tcW w:w="423" w:type="pct"/>
            <w:vAlign w:val="center"/>
          </w:tcPr>
          <w:p w14:paraId="57334B3C">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w:t>
            </w:r>
          </w:p>
        </w:tc>
        <w:tc>
          <w:tcPr>
            <w:tcW w:w="423" w:type="pct"/>
            <w:vAlign w:val="center"/>
          </w:tcPr>
          <w:p w14:paraId="65DA101D">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23" w:type="pct"/>
            <w:vAlign w:val="center"/>
          </w:tcPr>
          <w:p w14:paraId="79A92823">
            <w:pPr>
              <w:pStyle w:val="280"/>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438" w:type="pct"/>
            <w:vAlign w:val="center"/>
          </w:tcPr>
          <w:p w14:paraId="6975AD5D">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7920</w:t>
            </w:r>
          </w:p>
        </w:tc>
        <w:tc>
          <w:tcPr>
            <w:tcW w:w="288" w:type="pct"/>
            <w:vMerge w:val="continue"/>
            <w:vAlign w:val="center"/>
          </w:tcPr>
          <w:p w14:paraId="6288C34B">
            <w:pPr>
              <w:pStyle w:val="280"/>
              <w:rPr>
                <w:rFonts w:hint="eastAsia"/>
                <w:color w:val="000000" w:themeColor="text1"/>
                <w:sz w:val="21"/>
                <w:szCs w:val="21"/>
                <w14:textFill>
                  <w14:solidFill>
                    <w14:schemeClr w14:val="tx1"/>
                  </w14:solidFill>
                </w14:textFill>
              </w:rPr>
            </w:pPr>
          </w:p>
        </w:tc>
        <w:tc>
          <w:tcPr>
            <w:tcW w:w="485" w:type="pct"/>
            <w:vAlign w:val="center"/>
          </w:tcPr>
          <w:p w14:paraId="33B8ED69">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0.0677</w:t>
            </w:r>
          </w:p>
        </w:tc>
        <w:tc>
          <w:tcPr>
            <w:tcW w:w="485" w:type="pct"/>
            <w:vAlign w:val="center"/>
          </w:tcPr>
          <w:p w14:paraId="5878B4D4">
            <w:pPr>
              <w:widowControl/>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0.0085</w:t>
            </w:r>
          </w:p>
        </w:tc>
        <w:tc>
          <w:tcPr>
            <w:tcW w:w="848" w:type="dxa"/>
            <w:vAlign w:val="center"/>
          </w:tcPr>
          <w:p w14:paraId="29BE0122">
            <w:pPr>
              <w:keepNext w:val="0"/>
              <w:keepLines w:val="0"/>
              <w:widowControl/>
              <w:suppressLineNumbers w:val="0"/>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0.0123</w:t>
            </w:r>
          </w:p>
        </w:tc>
        <w:tc>
          <w:tcPr>
            <w:tcW w:w="933" w:type="dxa"/>
            <w:vAlign w:val="center"/>
          </w:tcPr>
          <w:p w14:paraId="793E4034">
            <w:pPr>
              <w:keepNext w:val="0"/>
              <w:keepLines w:val="0"/>
              <w:widowControl/>
              <w:suppressLineNumbers w:val="0"/>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0.0016</w:t>
            </w:r>
          </w:p>
        </w:tc>
      </w:tr>
      <w:tr w14:paraId="796447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340" w:hRule="atLeast"/>
          <w:jc w:val="center"/>
        </w:trPr>
        <w:tc>
          <w:tcPr>
            <w:tcW w:w="643" w:type="pct"/>
            <w:vAlign w:val="center"/>
          </w:tcPr>
          <w:p w14:paraId="6BC42D5D">
            <w:pPr>
              <w:pStyle w:val="280"/>
              <w:rPr>
                <w:rFonts w:hint="eastAsia"/>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单井采油井（</w:t>
            </w:r>
            <w:r>
              <w:rPr>
                <w:snapToGrid w:val="0"/>
                <w:color w:val="000000" w:themeColor="text1"/>
                <w:sz w:val="21"/>
                <w:szCs w:val="21"/>
                <w14:textFill>
                  <w14:solidFill>
                    <w14:schemeClr w14:val="tx1"/>
                  </w14:solidFill>
                </w14:textFill>
              </w:rPr>
              <w:t>J6093A</w:t>
            </w:r>
            <w:r>
              <w:rPr>
                <w:rFonts w:hint="eastAsia"/>
                <w:snapToGrid w:val="0"/>
                <w:color w:val="000000" w:themeColor="text1"/>
                <w:sz w:val="21"/>
                <w:szCs w:val="21"/>
                <w14:textFill>
                  <w14:solidFill>
                    <w14:schemeClr w14:val="tx1"/>
                  </w14:solidFill>
                </w14:textFill>
              </w:rPr>
              <w:t>）</w:t>
            </w:r>
          </w:p>
        </w:tc>
        <w:tc>
          <w:tcPr>
            <w:tcW w:w="372" w:type="pct"/>
            <w:vAlign w:val="center"/>
          </w:tcPr>
          <w:p w14:paraId="600D26BE">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855</w:t>
            </w:r>
          </w:p>
        </w:tc>
        <w:tc>
          <w:tcPr>
            <w:tcW w:w="423" w:type="pct"/>
            <w:vAlign w:val="center"/>
          </w:tcPr>
          <w:p w14:paraId="73943ED5">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w:t>
            </w:r>
          </w:p>
        </w:tc>
        <w:tc>
          <w:tcPr>
            <w:tcW w:w="423" w:type="pct"/>
            <w:vAlign w:val="center"/>
          </w:tcPr>
          <w:p w14:paraId="193B5C3B">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c>
          <w:tcPr>
            <w:tcW w:w="423" w:type="pct"/>
            <w:vAlign w:val="center"/>
          </w:tcPr>
          <w:p w14:paraId="154DF7D0">
            <w:pPr>
              <w:pStyle w:val="280"/>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438" w:type="pct"/>
            <w:vAlign w:val="center"/>
          </w:tcPr>
          <w:p w14:paraId="6B2898C3">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7920</w:t>
            </w:r>
          </w:p>
        </w:tc>
        <w:tc>
          <w:tcPr>
            <w:tcW w:w="288" w:type="pct"/>
            <w:vMerge w:val="continue"/>
            <w:vAlign w:val="center"/>
          </w:tcPr>
          <w:p w14:paraId="0F796582">
            <w:pPr>
              <w:pStyle w:val="280"/>
              <w:rPr>
                <w:rFonts w:hint="eastAsia"/>
                <w:color w:val="000000" w:themeColor="text1"/>
                <w:sz w:val="21"/>
                <w:szCs w:val="21"/>
                <w14:textFill>
                  <w14:solidFill>
                    <w14:schemeClr w14:val="tx1"/>
                  </w14:solidFill>
                </w14:textFill>
              </w:rPr>
            </w:pPr>
          </w:p>
        </w:tc>
        <w:tc>
          <w:tcPr>
            <w:tcW w:w="485" w:type="pct"/>
            <w:vAlign w:val="center"/>
          </w:tcPr>
          <w:p w14:paraId="3F37D8A9">
            <w:pPr>
              <w:pStyle w:val="28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0.0677</w:t>
            </w:r>
          </w:p>
        </w:tc>
        <w:tc>
          <w:tcPr>
            <w:tcW w:w="485" w:type="pct"/>
            <w:vAlign w:val="center"/>
          </w:tcPr>
          <w:p w14:paraId="5C7F9A38">
            <w:pPr>
              <w:widowControl/>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0.0085</w:t>
            </w:r>
          </w:p>
        </w:tc>
        <w:tc>
          <w:tcPr>
            <w:tcW w:w="848" w:type="dxa"/>
            <w:vAlign w:val="center"/>
          </w:tcPr>
          <w:p w14:paraId="264C337B">
            <w:pPr>
              <w:keepNext w:val="0"/>
              <w:keepLines w:val="0"/>
              <w:widowControl/>
              <w:suppressLineNumbers w:val="0"/>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0.0092</w:t>
            </w:r>
          </w:p>
        </w:tc>
        <w:tc>
          <w:tcPr>
            <w:tcW w:w="933" w:type="dxa"/>
            <w:vAlign w:val="center"/>
          </w:tcPr>
          <w:p w14:paraId="545FC70E">
            <w:pPr>
              <w:keepNext w:val="0"/>
              <w:keepLines w:val="0"/>
              <w:widowControl/>
              <w:suppressLineNumbers w:val="0"/>
              <w:jc w:val="center"/>
              <w:textAlignment w:val="center"/>
              <w:rPr>
                <w:rFonts w:hint="eastAsia" w:ascii="宋体" w:hAnsi="宋体"/>
                <w:color w:val="000000" w:themeColor="text1"/>
                <w:kern w:val="0"/>
                <w:sz w:val="21"/>
                <w:szCs w:val="21"/>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0.0012</w:t>
            </w:r>
          </w:p>
        </w:tc>
      </w:tr>
      <w:bookmarkEnd w:id="449"/>
      <w:bookmarkEnd w:id="450"/>
    </w:tbl>
    <w:p w14:paraId="1729AD71">
      <w:pPr>
        <w:pStyle w:val="120"/>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r>
        <w:rPr>
          <w:rFonts w:hint="eastAsia"/>
          <w:color w:val="000000" w:themeColor="text1"/>
          <w14:textFill>
            <w14:solidFill>
              <w14:schemeClr w14:val="tx1"/>
            </w14:solidFill>
          </w14:textFill>
        </w:rPr>
        <w:t>（6）预测结果</w:t>
      </w:r>
    </w:p>
    <w:p w14:paraId="34EF924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预测结果详见表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bookmarkEnd w:id="448"/>
      <w:bookmarkStart w:id="451" w:name="_Hlk129688515"/>
    </w:p>
    <w:p w14:paraId="65CC9466">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表5</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预测结果一览表</w:t>
      </w:r>
    </w:p>
    <w:bookmarkEnd w:id="451"/>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365"/>
        <w:gridCol w:w="1593"/>
        <w:gridCol w:w="1137"/>
        <w:gridCol w:w="1362"/>
        <w:gridCol w:w="1142"/>
        <w:gridCol w:w="1504"/>
        <w:gridCol w:w="1769"/>
        <w:gridCol w:w="1187"/>
        <w:gridCol w:w="1769"/>
        <w:gridCol w:w="1174"/>
      </w:tblGrid>
      <w:tr w14:paraId="6DEB39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2356" w:type="pct"/>
            <w:gridSpan w:val="5"/>
            <w:vAlign w:val="center"/>
          </w:tcPr>
          <w:p w14:paraId="7465F3A1">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bookmarkStart w:id="452" w:name="_Hlk173442476"/>
            <w:r>
              <w:rPr>
                <w:rFonts w:hint="eastAsia"/>
                <w:color w:val="000000" w:themeColor="text1"/>
                <w:sz w:val="21"/>
                <w:szCs w:val="21"/>
                <w14:textFill>
                  <w14:solidFill>
                    <w14:schemeClr w14:val="tx1"/>
                  </w14:solidFill>
                </w14:textFill>
              </w:rPr>
              <w:t>平台-1（JD6110、JD6089）</w:t>
            </w:r>
          </w:p>
        </w:tc>
        <w:tc>
          <w:tcPr>
            <w:tcW w:w="2643" w:type="pct"/>
            <w:gridSpan w:val="5"/>
            <w:vAlign w:val="center"/>
          </w:tcPr>
          <w:p w14:paraId="06405AE2">
            <w:pPr>
              <w:keepNext w:val="0"/>
              <w:keepLines w:val="0"/>
              <w:pageBreakBefore w:val="0"/>
              <w:kinsoku/>
              <w:wordWrap/>
              <w:overflowPunct/>
              <w:topLinePunct w:val="0"/>
              <w:autoSpaceDE/>
              <w:autoSpaceDN/>
              <w:bidi w:val="0"/>
              <w:adjustRightInd/>
              <w:snapToGrid/>
              <w:spacing w:line="300" w:lineRule="exact"/>
              <w:ind w:firstLine="0"/>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平台-2（JD6167、JD6186）</w:t>
            </w:r>
          </w:p>
        </w:tc>
      </w:tr>
      <w:tr w14:paraId="4554A8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62" w:type="pct"/>
            <w:gridSpan w:val="3"/>
            <w:vAlign w:val="center"/>
          </w:tcPr>
          <w:p w14:paraId="73F9E88A">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非甲烷总烃</w:t>
            </w:r>
          </w:p>
        </w:tc>
        <w:tc>
          <w:tcPr>
            <w:tcW w:w="894" w:type="pct"/>
            <w:gridSpan w:val="2"/>
            <w:vAlign w:val="center"/>
          </w:tcPr>
          <w:p w14:paraId="555AF788">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硫化氢</w:t>
            </w:r>
          </w:p>
        </w:tc>
        <w:tc>
          <w:tcPr>
            <w:tcW w:w="1592" w:type="pct"/>
            <w:gridSpan w:val="3"/>
            <w:vAlign w:val="center"/>
          </w:tcPr>
          <w:p w14:paraId="1DD710EC">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非甲烷总烃</w:t>
            </w:r>
          </w:p>
        </w:tc>
        <w:tc>
          <w:tcPr>
            <w:tcW w:w="1050" w:type="pct"/>
            <w:gridSpan w:val="2"/>
            <w:vAlign w:val="center"/>
          </w:tcPr>
          <w:p w14:paraId="5EB0F284">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硫化氢</w:t>
            </w:r>
          </w:p>
        </w:tc>
      </w:tr>
      <w:tr w14:paraId="160EEB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BCDCB04">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离源距离/m</w:t>
            </w:r>
          </w:p>
        </w:tc>
        <w:tc>
          <w:tcPr>
            <w:tcW w:w="568" w:type="pct"/>
            <w:vAlign w:val="center"/>
          </w:tcPr>
          <w:p w14:paraId="00F2307F">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浓度/u</w:t>
            </w:r>
            <w:r>
              <w:rPr>
                <w:color w:val="000000" w:themeColor="text1"/>
                <w:sz w:val="21"/>
                <w:szCs w:val="21"/>
                <w14:textFill>
                  <w14:solidFill>
                    <w14:schemeClr w14:val="tx1"/>
                  </w14:solidFill>
                </w14:textFill>
              </w:rPr>
              <w:t>g/m</w:t>
            </w:r>
            <w:r>
              <w:rPr>
                <w:color w:val="000000" w:themeColor="text1"/>
                <w:sz w:val="21"/>
                <w:szCs w:val="21"/>
                <w:vertAlign w:val="superscript"/>
                <w14:textFill>
                  <w14:solidFill>
                    <w14:schemeClr w14:val="tx1"/>
                  </w14:solidFill>
                </w14:textFill>
              </w:rPr>
              <w:t>3</w:t>
            </w:r>
          </w:p>
        </w:tc>
        <w:tc>
          <w:tcPr>
            <w:tcW w:w="406" w:type="pct"/>
            <w:vAlign w:val="center"/>
          </w:tcPr>
          <w:p w14:paraId="663B3C05">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占标率/%</w:t>
            </w:r>
          </w:p>
        </w:tc>
        <w:tc>
          <w:tcPr>
            <w:tcW w:w="486" w:type="pct"/>
            <w:vAlign w:val="center"/>
          </w:tcPr>
          <w:p w14:paraId="097A7B64">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浓度/u</w:t>
            </w:r>
            <w:r>
              <w:rPr>
                <w:color w:val="000000" w:themeColor="text1"/>
                <w:sz w:val="21"/>
                <w:szCs w:val="21"/>
                <w14:textFill>
                  <w14:solidFill>
                    <w14:schemeClr w14:val="tx1"/>
                  </w14:solidFill>
                </w14:textFill>
              </w:rPr>
              <w:t>g/m</w:t>
            </w:r>
            <w:r>
              <w:rPr>
                <w:color w:val="000000" w:themeColor="text1"/>
                <w:sz w:val="21"/>
                <w:szCs w:val="21"/>
                <w:vertAlign w:val="superscript"/>
                <w14:textFill>
                  <w14:solidFill>
                    <w14:schemeClr w14:val="tx1"/>
                  </w14:solidFill>
                </w14:textFill>
              </w:rPr>
              <w:t>3</w:t>
            </w:r>
          </w:p>
        </w:tc>
        <w:tc>
          <w:tcPr>
            <w:tcW w:w="407" w:type="pct"/>
            <w:vAlign w:val="center"/>
          </w:tcPr>
          <w:p w14:paraId="3ADC55AA">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占标率/%</w:t>
            </w:r>
          </w:p>
        </w:tc>
        <w:tc>
          <w:tcPr>
            <w:tcW w:w="537" w:type="pct"/>
            <w:vAlign w:val="center"/>
          </w:tcPr>
          <w:p w14:paraId="31CF2649">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离源距离/m</w:t>
            </w:r>
          </w:p>
        </w:tc>
        <w:tc>
          <w:tcPr>
            <w:tcW w:w="631" w:type="pct"/>
            <w:vAlign w:val="center"/>
          </w:tcPr>
          <w:p w14:paraId="72FC9BF4">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浓度/u</w:t>
            </w:r>
            <w:r>
              <w:rPr>
                <w:color w:val="000000" w:themeColor="text1"/>
                <w:sz w:val="21"/>
                <w:szCs w:val="21"/>
                <w14:textFill>
                  <w14:solidFill>
                    <w14:schemeClr w14:val="tx1"/>
                  </w14:solidFill>
                </w14:textFill>
              </w:rPr>
              <w:t>g/m</w:t>
            </w:r>
            <w:r>
              <w:rPr>
                <w:color w:val="000000" w:themeColor="text1"/>
                <w:sz w:val="21"/>
                <w:szCs w:val="21"/>
                <w:vertAlign w:val="superscript"/>
                <w14:textFill>
                  <w14:solidFill>
                    <w14:schemeClr w14:val="tx1"/>
                  </w14:solidFill>
                </w14:textFill>
              </w:rPr>
              <w:t>3</w:t>
            </w:r>
          </w:p>
        </w:tc>
        <w:tc>
          <w:tcPr>
            <w:tcW w:w="423" w:type="pct"/>
            <w:vAlign w:val="center"/>
          </w:tcPr>
          <w:p w14:paraId="5FF7CCE2">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占标率/%</w:t>
            </w:r>
          </w:p>
        </w:tc>
        <w:tc>
          <w:tcPr>
            <w:tcW w:w="631" w:type="pct"/>
            <w:vAlign w:val="center"/>
          </w:tcPr>
          <w:p w14:paraId="407BF403">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浓度/u</w:t>
            </w:r>
            <w:r>
              <w:rPr>
                <w:color w:val="000000" w:themeColor="text1"/>
                <w:sz w:val="21"/>
                <w:szCs w:val="21"/>
                <w14:textFill>
                  <w14:solidFill>
                    <w14:schemeClr w14:val="tx1"/>
                  </w14:solidFill>
                </w14:textFill>
              </w:rPr>
              <w:t>g/m</w:t>
            </w:r>
            <w:r>
              <w:rPr>
                <w:color w:val="000000" w:themeColor="text1"/>
                <w:sz w:val="21"/>
                <w:szCs w:val="21"/>
                <w:vertAlign w:val="superscript"/>
                <w14:textFill>
                  <w14:solidFill>
                    <w14:schemeClr w14:val="tx1"/>
                  </w14:solidFill>
                </w14:textFill>
              </w:rPr>
              <w:t>3</w:t>
            </w:r>
          </w:p>
        </w:tc>
        <w:tc>
          <w:tcPr>
            <w:tcW w:w="419" w:type="pct"/>
            <w:vAlign w:val="center"/>
          </w:tcPr>
          <w:p w14:paraId="6E4CDEDE">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占标率/%</w:t>
            </w:r>
          </w:p>
        </w:tc>
      </w:tr>
      <w:tr w14:paraId="585C1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565BE2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w:t>
            </w:r>
          </w:p>
        </w:tc>
        <w:tc>
          <w:tcPr>
            <w:tcW w:w="568" w:type="pct"/>
            <w:vAlign w:val="center"/>
          </w:tcPr>
          <w:p w14:paraId="3B3D3F4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36.863</w:t>
            </w:r>
          </w:p>
        </w:tc>
        <w:tc>
          <w:tcPr>
            <w:tcW w:w="406" w:type="pct"/>
            <w:vAlign w:val="center"/>
          </w:tcPr>
          <w:p w14:paraId="37B06CF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1.84</w:t>
            </w:r>
          </w:p>
        </w:tc>
        <w:tc>
          <w:tcPr>
            <w:tcW w:w="486" w:type="pct"/>
            <w:vAlign w:val="center"/>
          </w:tcPr>
          <w:p w14:paraId="06511D1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0.000006</w:t>
            </w:r>
          </w:p>
        </w:tc>
        <w:tc>
          <w:tcPr>
            <w:tcW w:w="407" w:type="pct"/>
            <w:vAlign w:val="center"/>
          </w:tcPr>
          <w:p w14:paraId="70D5E1A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0.00006</w:t>
            </w:r>
          </w:p>
        </w:tc>
        <w:tc>
          <w:tcPr>
            <w:tcW w:w="537" w:type="pct"/>
            <w:vAlign w:val="center"/>
          </w:tcPr>
          <w:p w14:paraId="583DDB5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w:t>
            </w:r>
          </w:p>
        </w:tc>
        <w:tc>
          <w:tcPr>
            <w:tcW w:w="631" w:type="pct"/>
            <w:vAlign w:val="center"/>
          </w:tcPr>
          <w:p w14:paraId="581584F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36.862</w:t>
            </w:r>
          </w:p>
        </w:tc>
        <w:tc>
          <w:tcPr>
            <w:tcW w:w="423" w:type="pct"/>
            <w:vAlign w:val="center"/>
          </w:tcPr>
          <w:p w14:paraId="4C9B773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1.84</w:t>
            </w:r>
          </w:p>
        </w:tc>
        <w:tc>
          <w:tcPr>
            <w:tcW w:w="631" w:type="pct"/>
            <w:vAlign w:val="center"/>
          </w:tcPr>
          <w:p w14:paraId="033A21C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0.000006</w:t>
            </w:r>
          </w:p>
        </w:tc>
        <w:tc>
          <w:tcPr>
            <w:tcW w:w="419" w:type="pct"/>
            <w:vAlign w:val="center"/>
          </w:tcPr>
          <w:p w14:paraId="682E6EC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0.00006</w:t>
            </w:r>
          </w:p>
        </w:tc>
      </w:tr>
      <w:tr w14:paraId="5EB35E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F6F50B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w:t>
            </w:r>
          </w:p>
        </w:tc>
        <w:tc>
          <w:tcPr>
            <w:tcW w:w="568" w:type="pct"/>
            <w:vAlign w:val="center"/>
          </w:tcPr>
          <w:p w14:paraId="4C79839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54.217</w:t>
            </w:r>
          </w:p>
        </w:tc>
        <w:tc>
          <w:tcPr>
            <w:tcW w:w="406" w:type="pct"/>
            <w:vAlign w:val="center"/>
          </w:tcPr>
          <w:p w14:paraId="6CBAB17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2.71</w:t>
            </w:r>
          </w:p>
        </w:tc>
        <w:tc>
          <w:tcPr>
            <w:tcW w:w="486" w:type="pct"/>
            <w:vAlign w:val="center"/>
          </w:tcPr>
          <w:p w14:paraId="5136179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0.000009</w:t>
            </w:r>
          </w:p>
        </w:tc>
        <w:tc>
          <w:tcPr>
            <w:tcW w:w="407" w:type="pct"/>
            <w:vAlign w:val="center"/>
          </w:tcPr>
          <w:p w14:paraId="2334BAA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0.00009</w:t>
            </w:r>
          </w:p>
        </w:tc>
        <w:tc>
          <w:tcPr>
            <w:tcW w:w="537" w:type="pct"/>
            <w:vAlign w:val="center"/>
          </w:tcPr>
          <w:p w14:paraId="38EA541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w:t>
            </w:r>
          </w:p>
        </w:tc>
        <w:tc>
          <w:tcPr>
            <w:tcW w:w="631" w:type="pct"/>
            <w:vAlign w:val="center"/>
          </w:tcPr>
          <w:p w14:paraId="10A9D18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54.217</w:t>
            </w:r>
          </w:p>
        </w:tc>
        <w:tc>
          <w:tcPr>
            <w:tcW w:w="423" w:type="pct"/>
            <w:vAlign w:val="center"/>
          </w:tcPr>
          <w:p w14:paraId="5DD6E3B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2.71</w:t>
            </w:r>
          </w:p>
        </w:tc>
        <w:tc>
          <w:tcPr>
            <w:tcW w:w="631" w:type="pct"/>
            <w:vAlign w:val="center"/>
          </w:tcPr>
          <w:p w14:paraId="17EB5AA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0.000009</w:t>
            </w:r>
          </w:p>
        </w:tc>
        <w:tc>
          <w:tcPr>
            <w:tcW w:w="419" w:type="pct"/>
            <w:vAlign w:val="center"/>
          </w:tcPr>
          <w:p w14:paraId="3B0234E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0.00009</w:t>
            </w:r>
          </w:p>
        </w:tc>
      </w:tr>
      <w:tr w14:paraId="17FB3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2242E80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50</w:t>
            </w:r>
          </w:p>
        </w:tc>
        <w:tc>
          <w:tcPr>
            <w:tcW w:w="568" w:type="pct"/>
            <w:vAlign w:val="center"/>
          </w:tcPr>
          <w:p w14:paraId="7BCB8F8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77.433</w:t>
            </w:r>
          </w:p>
        </w:tc>
        <w:tc>
          <w:tcPr>
            <w:tcW w:w="406" w:type="pct"/>
            <w:vAlign w:val="center"/>
          </w:tcPr>
          <w:p w14:paraId="4B4E497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3.87</w:t>
            </w:r>
          </w:p>
        </w:tc>
        <w:tc>
          <w:tcPr>
            <w:tcW w:w="486" w:type="pct"/>
            <w:vAlign w:val="center"/>
          </w:tcPr>
          <w:p w14:paraId="156469C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0.000013</w:t>
            </w:r>
          </w:p>
        </w:tc>
        <w:tc>
          <w:tcPr>
            <w:tcW w:w="407" w:type="pct"/>
            <w:vAlign w:val="center"/>
          </w:tcPr>
          <w:p w14:paraId="483A456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0.00013</w:t>
            </w:r>
          </w:p>
        </w:tc>
        <w:tc>
          <w:tcPr>
            <w:tcW w:w="537" w:type="pct"/>
            <w:vAlign w:val="center"/>
          </w:tcPr>
          <w:p w14:paraId="7E84E83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50</w:t>
            </w:r>
          </w:p>
        </w:tc>
        <w:tc>
          <w:tcPr>
            <w:tcW w:w="631" w:type="pct"/>
            <w:vAlign w:val="center"/>
          </w:tcPr>
          <w:p w14:paraId="4BCD6C7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77.433</w:t>
            </w:r>
          </w:p>
        </w:tc>
        <w:tc>
          <w:tcPr>
            <w:tcW w:w="423" w:type="pct"/>
            <w:vAlign w:val="center"/>
          </w:tcPr>
          <w:p w14:paraId="22C7971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3.87</w:t>
            </w:r>
          </w:p>
        </w:tc>
        <w:tc>
          <w:tcPr>
            <w:tcW w:w="631" w:type="pct"/>
            <w:vAlign w:val="center"/>
          </w:tcPr>
          <w:p w14:paraId="5DFCBA4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0.000013</w:t>
            </w:r>
          </w:p>
        </w:tc>
        <w:tc>
          <w:tcPr>
            <w:tcW w:w="419" w:type="pct"/>
            <w:vAlign w:val="center"/>
          </w:tcPr>
          <w:p w14:paraId="43831CF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0.00013</w:t>
            </w:r>
          </w:p>
        </w:tc>
      </w:tr>
      <w:tr w14:paraId="17522E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1B1A0D9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67</w:t>
            </w:r>
          </w:p>
        </w:tc>
        <w:tc>
          <w:tcPr>
            <w:tcW w:w="568" w:type="pct"/>
            <w:vAlign w:val="center"/>
          </w:tcPr>
          <w:p w14:paraId="5188DDD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80.493</w:t>
            </w:r>
          </w:p>
        </w:tc>
        <w:tc>
          <w:tcPr>
            <w:tcW w:w="406" w:type="pct"/>
            <w:vAlign w:val="center"/>
          </w:tcPr>
          <w:p w14:paraId="0AB3FFA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4.02</w:t>
            </w:r>
          </w:p>
        </w:tc>
        <w:tc>
          <w:tcPr>
            <w:tcW w:w="486" w:type="pct"/>
            <w:vAlign w:val="center"/>
          </w:tcPr>
          <w:p w14:paraId="3662EB5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0.000013</w:t>
            </w:r>
          </w:p>
        </w:tc>
        <w:tc>
          <w:tcPr>
            <w:tcW w:w="407" w:type="pct"/>
            <w:vAlign w:val="center"/>
          </w:tcPr>
          <w:p w14:paraId="0BEACA9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0.00013</w:t>
            </w:r>
          </w:p>
        </w:tc>
        <w:tc>
          <w:tcPr>
            <w:tcW w:w="537" w:type="pct"/>
            <w:vAlign w:val="center"/>
          </w:tcPr>
          <w:p w14:paraId="4969B00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67</w:t>
            </w:r>
          </w:p>
        </w:tc>
        <w:tc>
          <w:tcPr>
            <w:tcW w:w="631" w:type="pct"/>
            <w:vAlign w:val="center"/>
          </w:tcPr>
          <w:p w14:paraId="7692115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80.493</w:t>
            </w:r>
          </w:p>
        </w:tc>
        <w:tc>
          <w:tcPr>
            <w:tcW w:w="423" w:type="pct"/>
            <w:vAlign w:val="center"/>
          </w:tcPr>
          <w:p w14:paraId="5CAF536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4.02</w:t>
            </w:r>
          </w:p>
        </w:tc>
        <w:tc>
          <w:tcPr>
            <w:tcW w:w="631" w:type="pct"/>
            <w:vAlign w:val="center"/>
          </w:tcPr>
          <w:p w14:paraId="4D1F5D6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0.000013</w:t>
            </w:r>
          </w:p>
        </w:tc>
        <w:tc>
          <w:tcPr>
            <w:tcW w:w="419" w:type="pct"/>
            <w:vAlign w:val="center"/>
          </w:tcPr>
          <w:p w14:paraId="474E063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0.00013</w:t>
            </w:r>
          </w:p>
        </w:tc>
      </w:tr>
      <w:tr w14:paraId="7833EC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46C509C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75</w:t>
            </w:r>
          </w:p>
        </w:tc>
        <w:tc>
          <w:tcPr>
            <w:tcW w:w="568" w:type="pct"/>
            <w:vAlign w:val="center"/>
          </w:tcPr>
          <w:p w14:paraId="1015819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79.849</w:t>
            </w:r>
          </w:p>
        </w:tc>
        <w:tc>
          <w:tcPr>
            <w:tcW w:w="406" w:type="pct"/>
            <w:vAlign w:val="center"/>
          </w:tcPr>
          <w:p w14:paraId="24197DA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3.99</w:t>
            </w:r>
          </w:p>
        </w:tc>
        <w:tc>
          <w:tcPr>
            <w:tcW w:w="486" w:type="pct"/>
            <w:vAlign w:val="center"/>
          </w:tcPr>
          <w:p w14:paraId="00F777C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0.000013</w:t>
            </w:r>
          </w:p>
        </w:tc>
        <w:tc>
          <w:tcPr>
            <w:tcW w:w="407" w:type="pct"/>
            <w:vAlign w:val="center"/>
          </w:tcPr>
          <w:p w14:paraId="30BA883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0.00013</w:t>
            </w:r>
          </w:p>
        </w:tc>
        <w:tc>
          <w:tcPr>
            <w:tcW w:w="537" w:type="pct"/>
            <w:vAlign w:val="center"/>
          </w:tcPr>
          <w:p w14:paraId="7F07D8E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75</w:t>
            </w:r>
          </w:p>
        </w:tc>
        <w:tc>
          <w:tcPr>
            <w:tcW w:w="631" w:type="pct"/>
            <w:vAlign w:val="center"/>
          </w:tcPr>
          <w:p w14:paraId="6B18189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79.849</w:t>
            </w:r>
          </w:p>
        </w:tc>
        <w:tc>
          <w:tcPr>
            <w:tcW w:w="423" w:type="pct"/>
            <w:vAlign w:val="center"/>
          </w:tcPr>
          <w:p w14:paraId="16749A8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3.99</w:t>
            </w:r>
          </w:p>
        </w:tc>
        <w:tc>
          <w:tcPr>
            <w:tcW w:w="631" w:type="pct"/>
            <w:vAlign w:val="center"/>
          </w:tcPr>
          <w:p w14:paraId="1259B52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0.000013</w:t>
            </w:r>
          </w:p>
        </w:tc>
        <w:tc>
          <w:tcPr>
            <w:tcW w:w="419" w:type="pct"/>
            <w:vAlign w:val="center"/>
          </w:tcPr>
          <w:p w14:paraId="1687F0F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0.00013</w:t>
            </w:r>
          </w:p>
        </w:tc>
      </w:tr>
      <w:tr w14:paraId="73068F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AF1A5A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100</w:t>
            </w:r>
          </w:p>
        </w:tc>
        <w:tc>
          <w:tcPr>
            <w:tcW w:w="568" w:type="pct"/>
            <w:vAlign w:val="center"/>
          </w:tcPr>
          <w:p w14:paraId="236CAFA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74.272</w:t>
            </w:r>
          </w:p>
        </w:tc>
        <w:tc>
          <w:tcPr>
            <w:tcW w:w="406" w:type="pct"/>
            <w:vAlign w:val="center"/>
          </w:tcPr>
          <w:p w14:paraId="1B9AF46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3.71</w:t>
            </w:r>
          </w:p>
        </w:tc>
        <w:tc>
          <w:tcPr>
            <w:tcW w:w="486" w:type="pct"/>
            <w:vAlign w:val="center"/>
          </w:tcPr>
          <w:p w14:paraId="229FEF3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0.000012</w:t>
            </w:r>
          </w:p>
        </w:tc>
        <w:tc>
          <w:tcPr>
            <w:tcW w:w="407" w:type="pct"/>
            <w:vAlign w:val="center"/>
          </w:tcPr>
          <w:p w14:paraId="6CA9B16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0.00012</w:t>
            </w:r>
          </w:p>
        </w:tc>
        <w:tc>
          <w:tcPr>
            <w:tcW w:w="537" w:type="pct"/>
            <w:vAlign w:val="center"/>
          </w:tcPr>
          <w:p w14:paraId="4506B53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100</w:t>
            </w:r>
          </w:p>
        </w:tc>
        <w:tc>
          <w:tcPr>
            <w:tcW w:w="631" w:type="pct"/>
            <w:vAlign w:val="center"/>
          </w:tcPr>
          <w:p w14:paraId="2D64180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74.272</w:t>
            </w:r>
          </w:p>
        </w:tc>
        <w:tc>
          <w:tcPr>
            <w:tcW w:w="423" w:type="pct"/>
            <w:vAlign w:val="center"/>
          </w:tcPr>
          <w:p w14:paraId="73FA1B0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3.71</w:t>
            </w:r>
          </w:p>
        </w:tc>
        <w:tc>
          <w:tcPr>
            <w:tcW w:w="631" w:type="pct"/>
            <w:vAlign w:val="center"/>
          </w:tcPr>
          <w:p w14:paraId="5CEBE9F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0.000012</w:t>
            </w:r>
          </w:p>
        </w:tc>
        <w:tc>
          <w:tcPr>
            <w:tcW w:w="419" w:type="pct"/>
            <w:vAlign w:val="center"/>
          </w:tcPr>
          <w:p w14:paraId="617C278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0.00012</w:t>
            </w:r>
          </w:p>
        </w:tc>
      </w:tr>
      <w:tr w14:paraId="46603C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DCCAEB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125</w:t>
            </w:r>
          </w:p>
        </w:tc>
        <w:tc>
          <w:tcPr>
            <w:tcW w:w="568" w:type="pct"/>
            <w:vAlign w:val="center"/>
          </w:tcPr>
          <w:p w14:paraId="1058B70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68.119</w:t>
            </w:r>
          </w:p>
        </w:tc>
        <w:tc>
          <w:tcPr>
            <w:tcW w:w="406" w:type="pct"/>
            <w:vAlign w:val="center"/>
          </w:tcPr>
          <w:p w14:paraId="3672084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3.41</w:t>
            </w:r>
          </w:p>
        </w:tc>
        <w:tc>
          <w:tcPr>
            <w:tcW w:w="486" w:type="pct"/>
            <w:vAlign w:val="center"/>
          </w:tcPr>
          <w:p w14:paraId="4FB4F80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0.000011</w:t>
            </w:r>
          </w:p>
        </w:tc>
        <w:tc>
          <w:tcPr>
            <w:tcW w:w="407" w:type="pct"/>
            <w:vAlign w:val="center"/>
          </w:tcPr>
          <w:p w14:paraId="6C9C8CD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0.00011</w:t>
            </w:r>
          </w:p>
        </w:tc>
        <w:tc>
          <w:tcPr>
            <w:tcW w:w="537" w:type="pct"/>
            <w:vAlign w:val="center"/>
          </w:tcPr>
          <w:p w14:paraId="4CD3316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125</w:t>
            </w:r>
          </w:p>
        </w:tc>
        <w:tc>
          <w:tcPr>
            <w:tcW w:w="631" w:type="pct"/>
            <w:vAlign w:val="center"/>
          </w:tcPr>
          <w:p w14:paraId="5D1BF40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68.119</w:t>
            </w:r>
          </w:p>
        </w:tc>
        <w:tc>
          <w:tcPr>
            <w:tcW w:w="423" w:type="pct"/>
            <w:vAlign w:val="center"/>
          </w:tcPr>
          <w:p w14:paraId="146E34D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3.41</w:t>
            </w:r>
          </w:p>
        </w:tc>
        <w:tc>
          <w:tcPr>
            <w:tcW w:w="631" w:type="pct"/>
            <w:vAlign w:val="center"/>
          </w:tcPr>
          <w:p w14:paraId="62EE1D0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0.000011</w:t>
            </w:r>
          </w:p>
        </w:tc>
        <w:tc>
          <w:tcPr>
            <w:tcW w:w="419" w:type="pct"/>
            <w:vAlign w:val="center"/>
          </w:tcPr>
          <w:p w14:paraId="63DD931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0.00011</w:t>
            </w:r>
          </w:p>
        </w:tc>
      </w:tr>
      <w:tr w14:paraId="467EA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509A32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150</w:t>
            </w:r>
          </w:p>
        </w:tc>
        <w:tc>
          <w:tcPr>
            <w:tcW w:w="568" w:type="pct"/>
            <w:vAlign w:val="center"/>
          </w:tcPr>
          <w:p w14:paraId="0DC59DE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61.932</w:t>
            </w:r>
          </w:p>
        </w:tc>
        <w:tc>
          <w:tcPr>
            <w:tcW w:w="406" w:type="pct"/>
            <w:vAlign w:val="center"/>
          </w:tcPr>
          <w:p w14:paraId="7146CB4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3.1</w:t>
            </w:r>
          </w:p>
        </w:tc>
        <w:tc>
          <w:tcPr>
            <w:tcW w:w="486" w:type="pct"/>
            <w:vAlign w:val="center"/>
          </w:tcPr>
          <w:p w14:paraId="43F15D6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407" w:type="pct"/>
            <w:vAlign w:val="center"/>
          </w:tcPr>
          <w:p w14:paraId="1D980C0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w:t>
            </w:r>
          </w:p>
        </w:tc>
        <w:tc>
          <w:tcPr>
            <w:tcW w:w="537" w:type="pct"/>
            <w:vAlign w:val="center"/>
          </w:tcPr>
          <w:p w14:paraId="6D11844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150</w:t>
            </w:r>
          </w:p>
        </w:tc>
        <w:tc>
          <w:tcPr>
            <w:tcW w:w="631" w:type="pct"/>
            <w:vAlign w:val="center"/>
          </w:tcPr>
          <w:p w14:paraId="540CE35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61.932</w:t>
            </w:r>
          </w:p>
        </w:tc>
        <w:tc>
          <w:tcPr>
            <w:tcW w:w="423" w:type="pct"/>
            <w:vAlign w:val="center"/>
          </w:tcPr>
          <w:p w14:paraId="0D7BA14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3.1</w:t>
            </w:r>
          </w:p>
        </w:tc>
        <w:tc>
          <w:tcPr>
            <w:tcW w:w="631" w:type="pct"/>
            <w:vAlign w:val="center"/>
          </w:tcPr>
          <w:p w14:paraId="5AE724F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419" w:type="pct"/>
            <w:vAlign w:val="center"/>
          </w:tcPr>
          <w:p w14:paraId="7082017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0.0001</w:t>
            </w:r>
          </w:p>
        </w:tc>
      </w:tr>
      <w:tr w14:paraId="212F4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0371B37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175</w:t>
            </w:r>
          </w:p>
        </w:tc>
        <w:tc>
          <w:tcPr>
            <w:tcW w:w="568" w:type="pct"/>
            <w:vAlign w:val="center"/>
          </w:tcPr>
          <w:p w14:paraId="3BFF2E2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56.409</w:t>
            </w:r>
          </w:p>
        </w:tc>
        <w:tc>
          <w:tcPr>
            <w:tcW w:w="406" w:type="pct"/>
            <w:vAlign w:val="center"/>
          </w:tcPr>
          <w:p w14:paraId="479B72E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2.82</w:t>
            </w:r>
          </w:p>
        </w:tc>
        <w:tc>
          <w:tcPr>
            <w:tcW w:w="486" w:type="pct"/>
            <w:vAlign w:val="center"/>
          </w:tcPr>
          <w:p w14:paraId="3193D9B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0.000009</w:t>
            </w:r>
          </w:p>
        </w:tc>
        <w:tc>
          <w:tcPr>
            <w:tcW w:w="407" w:type="pct"/>
            <w:vAlign w:val="center"/>
          </w:tcPr>
          <w:p w14:paraId="10150EF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0.00009</w:t>
            </w:r>
          </w:p>
        </w:tc>
        <w:tc>
          <w:tcPr>
            <w:tcW w:w="537" w:type="pct"/>
            <w:vAlign w:val="center"/>
          </w:tcPr>
          <w:p w14:paraId="12ECC5E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200</w:t>
            </w:r>
          </w:p>
        </w:tc>
        <w:tc>
          <w:tcPr>
            <w:tcW w:w="631" w:type="pct"/>
            <w:vAlign w:val="center"/>
          </w:tcPr>
          <w:p w14:paraId="2070AEB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51.391</w:t>
            </w:r>
          </w:p>
        </w:tc>
        <w:tc>
          <w:tcPr>
            <w:tcW w:w="423" w:type="pct"/>
            <w:vAlign w:val="center"/>
          </w:tcPr>
          <w:p w14:paraId="1DEAA79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2.57</w:t>
            </w:r>
          </w:p>
        </w:tc>
        <w:tc>
          <w:tcPr>
            <w:tcW w:w="631" w:type="pct"/>
            <w:vAlign w:val="center"/>
          </w:tcPr>
          <w:p w14:paraId="4E2C769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0.000008</w:t>
            </w:r>
          </w:p>
        </w:tc>
        <w:tc>
          <w:tcPr>
            <w:tcW w:w="419" w:type="pct"/>
            <w:vAlign w:val="center"/>
          </w:tcPr>
          <w:p w14:paraId="1ACF63A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0.00008</w:t>
            </w:r>
          </w:p>
        </w:tc>
      </w:tr>
      <w:tr w14:paraId="2F93C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2E25631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200</w:t>
            </w:r>
          </w:p>
        </w:tc>
        <w:tc>
          <w:tcPr>
            <w:tcW w:w="568" w:type="pct"/>
            <w:vAlign w:val="center"/>
          </w:tcPr>
          <w:p w14:paraId="6B56498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51.391</w:t>
            </w:r>
          </w:p>
        </w:tc>
        <w:tc>
          <w:tcPr>
            <w:tcW w:w="406" w:type="pct"/>
            <w:vAlign w:val="center"/>
          </w:tcPr>
          <w:p w14:paraId="684FD5B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2.57</w:t>
            </w:r>
          </w:p>
        </w:tc>
        <w:tc>
          <w:tcPr>
            <w:tcW w:w="486" w:type="pct"/>
            <w:vAlign w:val="center"/>
          </w:tcPr>
          <w:p w14:paraId="59C7FD9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0.000008</w:t>
            </w:r>
          </w:p>
        </w:tc>
        <w:tc>
          <w:tcPr>
            <w:tcW w:w="407" w:type="pct"/>
            <w:vAlign w:val="center"/>
          </w:tcPr>
          <w:p w14:paraId="685877B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0.00008</w:t>
            </w:r>
          </w:p>
        </w:tc>
        <w:tc>
          <w:tcPr>
            <w:tcW w:w="537" w:type="pct"/>
            <w:vAlign w:val="center"/>
          </w:tcPr>
          <w:p w14:paraId="24F4F2C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225</w:t>
            </w:r>
          </w:p>
        </w:tc>
        <w:tc>
          <w:tcPr>
            <w:tcW w:w="631" w:type="pct"/>
            <w:vAlign w:val="center"/>
          </w:tcPr>
          <w:p w14:paraId="6413AE7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46.869</w:t>
            </w:r>
          </w:p>
        </w:tc>
        <w:tc>
          <w:tcPr>
            <w:tcW w:w="423" w:type="pct"/>
            <w:vAlign w:val="center"/>
          </w:tcPr>
          <w:p w14:paraId="6217E43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2.34</w:t>
            </w:r>
          </w:p>
        </w:tc>
        <w:tc>
          <w:tcPr>
            <w:tcW w:w="631" w:type="pct"/>
            <w:vAlign w:val="center"/>
          </w:tcPr>
          <w:p w14:paraId="499AF08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0.000008</w:t>
            </w:r>
          </w:p>
        </w:tc>
        <w:tc>
          <w:tcPr>
            <w:tcW w:w="419" w:type="pct"/>
            <w:vAlign w:val="center"/>
          </w:tcPr>
          <w:p w14:paraId="580AC0D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0.00008</w:t>
            </w:r>
          </w:p>
        </w:tc>
      </w:tr>
      <w:tr w14:paraId="6491B5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44DA37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225</w:t>
            </w:r>
          </w:p>
        </w:tc>
        <w:tc>
          <w:tcPr>
            <w:tcW w:w="568" w:type="pct"/>
            <w:vAlign w:val="center"/>
          </w:tcPr>
          <w:p w14:paraId="4185536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46.869</w:t>
            </w:r>
          </w:p>
        </w:tc>
        <w:tc>
          <w:tcPr>
            <w:tcW w:w="406" w:type="pct"/>
            <w:vAlign w:val="center"/>
          </w:tcPr>
          <w:p w14:paraId="32DCF58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2.34</w:t>
            </w:r>
          </w:p>
        </w:tc>
        <w:tc>
          <w:tcPr>
            <w:tcW w:w="486" w:type="pct"/>
            <w:vAlign w:val="center"/>
          </w:tcPr>
          <w:p w14:paraId="61C3F97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0.000008</w:t>
            </w:r>
          </w:p>
        </w:tc>
        <w:tc>
          <w:tcPr>
            <w:tcW w:w="407" w:type="pct"/>
            <w:vAlign w:val="center"/>
          </w:tcPr>
          <w:p w14:paraId="3646E1C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0.00008</w:t>
            </w:r>
          </w:p>
        </w:tc>
        <w:tc>
          <w:tcPr>
            <w:tcW w:w="537" w:type="pct"/>
            <w:vAlign w:val="center"/>
          </w:tcPr>
          <w:p w14:paraId="5850D0C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250</w:t>
            </w:r>
          </w:p>
        </w:tc>
        <w:tc>
          <w:tcPr>
            <w:tcW w:w="631" w:type="pct"/>
            <w:vAlign w:val="center"/>
          </w:tcPr>
          <w:p w14:paraId="2F657C2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44.372</w:t>
            </w:r>
          </w:p>
        </w:tc>
        <w:tc>
          <w:tcPr>
            <w:tcW w:w="423" w:type="pct"/>
            <w:vAlign w:val="center"/>
          </w:tcPr>
          <w:p w14:paraId="6359415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2.22</w:t>
            </w:r>
          </w:p>
        </w:tc>
        <w:tc>
          <w:tcPr>
            <w:tcW w:w="631" w:type="pct"/>
            <w:vAlign w:val="center"/>
          </w:tcPr>
          <w:p w14:paraId="722D21B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0.000007</w:t>
            </w:r>
          </w:p>
        </w:tc>
        <w:tc>
          <w:tcPr>
            <w:tcW w:w="419" w:type="pct"/>
            <w:vAlign w:val="center"/>
          </w:tcPr>
          <w:p w14:paraId="487250C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0.00007</w:t>
            </w:r>
          </w:p>
        </w:tc>
      </w:tr>
      <w:tr w14:paraId="5F9DF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44E2C1E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250</w:t>
            </w:r>
          </w:p>
        </w:tc>
        <w:tc>
          <w:tcPr>
            <w:tcW w:w="568" w:type="pct"/>
            <w:vAlign w:val="center"/>
          </w:tcPr>
          <w:p w14:paraId="4A364FA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44.372</w:t>
            </w:r>
          </w:p>
        </w:tc>
        <w:tc>
          <w:tcPr>
            <w:tcW w:w="406" w:type="pct"/>
            <w:vAlign w:val="center"/>
          </w:tcPr>
          <w:p w14:paraId="2099A59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2.22</w:t>
            </w:r>
          </w:p>
        </w:tc>
        <w:tc>
          <w:tcPr>
            <w:tcW w:w="486" w:type="pct"/>
            <w:vAlign w:val="center"/>
          </w:tcPr>
          <w:p w14:paraId="41732E8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0.000007</w:t>
            </w:r>
          </w:p>
        </w:tc>
        <w:tc>
          <w:tcPr>
            <w:tcW w:w="407" w:type="pct"/>
            <w:vAlign w:val="center"/>
          </w:tcPr>
          <w:p w14:paraId="7ACC0D1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0.00007</w:t>
            </w:r>
          </w:p>
        </w:tc>
        <w:tc>
          <w:tcPr>
            <w:tcW w:w="537" w:type="pct"/>
            <w:vAlign w:val="center"/>
          </w:tcPr>
          <w:p w14:paraId="011EF95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275</w:t>
            </w:r>
          </w:p>
        </w:tc>
        <w:tc>
          <w:tcPr>
            <w:tcW w:w="631" w:type="pct"/>
            <w:vAlign w:val="center"/>
          </w:tcPr>
          <w:p w14:paraId="1C50F55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42.045</w:t>
            </w:r>
          </w:p>
        </w:tc>
        <w:tc>
          <w:tcPr>
            <w:tcW w:w="423" w:type="pct"/>
            <w:vAlign w:val="center"/>
          </w:tcPr>
          <w:p w14:paraId="68E1104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2.1</w:t>
            </w:r>
          </w:p>
        </w:tc>
        <w:tc>
          <w:tcPr>
            <w:tcW w:w="631" w:type="pct"/>
            <w:vAlign w:val="center"/>
          </w:tcPr>
          <w:p w14:paraId="1D3A5AE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0.000007</w:t>
            </w:r>
          </w:p>
        </w:tc>
        <w:tc>
          <w:tcPr>
            <w:tcW w:w="419" w:type="pct"/>
            <w:vAlign w:val="center"/>
          </w:tcPr>
          <w:p w14:paraId="62BF4A9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0.00007</w:t>
            </w:r>
          </w:p>
        </w:tc>
      </w:tr>
      <w:tr w14:paraId="323618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4A0A20B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300</w:t>
            </w:r>
          </w:p>
        </w:tc>
        <w:tc>
          <w:tcPr>
            <w:tcW w:w="568" w:type="pct"/>
            <w:vAlign w:val="center"/>
          </w:tcPr>
          <w:p w14:paraId="01955A0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39.817</w:t>
            </w:r>
          </w:p>
        </w:tc>
        <w:tc>
          <w:tcPr>
            <w:tcW w:w="406" w:type="pct"/>
            <w:vAlign w:val="center"/>
          </w:tcPr>
          <w:p w14:paraId="59AC9B8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1.99</w:t>
            </w:r>
          </w:p>
        </w:tc>
        <w:tc>
          <w:tcPr>
            <w:tcW w:w="486" w:type="pct"/>
            <w:vAlign w:val="center"/>
          </w:tcPr>
          <w:p w14:paraId="4DD899F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0.000007</w:t>
            </w:r>
          </w:p>
        </w:tc>
        <w:tc>
          <w:tcPr>
            <w:tcW w:w="407" w:type="pct"/>
            <w:vAlign w:val="center"/>
          </w:tcPr>
          <w:p w14:paraId="09965B1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0.00007</w:t>
            </w:r>
          </w:p>
        </w:tc>
        <w:tc>
          <w:tcPr>
            <w:tcW w:w="537" w:type="pct"/>
            <w:vAlign w:val="center"/>
          </w:tcPr>
          <w:p w14:paraId="68313F1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300</w:t>
            </w:r>
          </w:p>
        </w:tc>
        <w:tc>
          <w:tcPr>
            <w:tcW w:w="631" w:type="pct"/>
            <w:vAlign w:val="center"/>
          </w:tcPr>
          <w:p w14:paraId="444E6F5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39.817</w:t>
            </w:r>
          </w:p>
        </w:tc>
        <w:tc>
          <w:tcPr>
            <w:tcW w:w="423" w:type="pct"/>
            <w:vAlign w:val="center"/>
          </w:tcPr>
          <w:p w14:paraId="1011F42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1.99</w:t>
            </w:r>
          </w:p>
        </w:tc>
        <w:tc>
          <w:tcPr>
            <w:tcW w:w="631" w:type="pct"/>
            <w:vAlign w:val="center"/>
          </w:tcPr>
          <w:p w14:paraId="1BCF978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0.000007</w:t>
            </w:r>
          </w:p>
        </w:tc>
        <w:tc>
          <w:tcPr>
            <w:tcW w:w="419" w:type="pct"/>
            <w:vAlign w:val="center"/>
          </w:tcPr>
          <w:p w14:paraId="05F5652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0.00007</w:t>
            </w:r>
          </w:p>
        </w:tc>
      </w:tr>
      <w:tr w14:paraId="39DAC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6052163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400</w:t>
            </w:r>
          </w:p>
        </w:tc>
        <w:tc>
          <w:tcPr>
            <w:tcW w:w="568" w:type="pct"/>
            <w:vAlign w:val="center"/>
          </w:tcPr>
          <w:p w14:paraId="482AC85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32.62</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0</w:t>
            </w:r>
          </w:p>
        </w:tc>
        <w:tc>
          <w:tcPr>
            <w:tcW w:w="406" w:type="pct"/>
            <w:vAlign w:val="center"/>
          </w:tcPr>
          <w:p w14:paraId="2C54B0A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1.63</w:t>
            </w:r>
          </w:p>
        </w:tc>
        <w:tc>
          <w:tcPr>
            <w:tcW w:w="486" w:type="pct"/>
            <w:vAlign w:val="center"/>
          </w:tcPr>
          <w:p w14:paraId="480B05D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07" w:type="pct"/>
            <w:vAlign w:val="center"/>
          </w:tcPr>
          <w:p w14:paraId="69EAC70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c>
          <w:tcPr>
            <w:tcW w:w="537" w:type="pct"/>
            <w:vAlign w:val="center"/>
          </w:tcPr>
          <w:p w14:paraId="6EE2B99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400</w:t>
            </w:r>
          </w:p>
        </w:tc>
        <w:tc>
          <w:tcPr>
            <w:tcW w:w="631" w:type="pct"/>
            <w:vAlign w:val="center"/>
          </w:tcPr>
          <w:p w14:paraId="0AF7232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32.62</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0</w:t>
            </w:r>
          </w:p>
        </w:tc>
        <w:tc>
          <w:tcPr>
            <w:tcW w:w="423" w:type="pct"/>
            <w:vAlign w:val="center"/>
          </w:tcPr>
          <w:p w14:paraId="460CAA0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1.63</w:t>
            </w:r>
          </w:p>
        </w:tc>
        <w:tc>
          <w:tcPr>
            <w:tcW w:w="631" w:type="pct"/>
            <w:vAlign w:val="center"/>
          </w:tcPr>
          <w:p w14:paraId="6EE4532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19" w:type="pct"/>
            <w:vAlign w:val="center"/>
          </w:tcPr>
          <w:p w14:paraId="4856828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r>
      <w:tr w14:paraId="2765D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1952F37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500</w:t>
            </w:r>
          </w:p>
        </w:tc>
        <w:tc>
          <w:tcPr>
            <w:tcW w:w="568" w:type="pct"/>
            <w:vAlign w:val="center"/>
          </w:tcPr>
          <w:p w14:paraId="1E53E88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27.797</w:t>
            </w:r>
          </w:p>
        </w:tc>
        <w:tc>
          <w:tcPr>
            <w:tcW w:w="406" w:type="pct"/>
            <w:vAlign w:val="center"/>
          </w:tcPr>
          <w:p w14:paraId="140CBFB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1.39</w:t>
            </w:r>
          </w:p>
        </w:tc>
        <w:tc>
          <w:tcPr>
            <w:tcW w:w="486" w:type="pct"/>
            <w:vAlign w:val="center"/>
          </w:tcPr>
          <w:p w14:paraId="4823913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07" w:type="pct"/>
            <w:vAlign w:val="center"/>
          </w:tcPr>
          <w:p w14:paraId="1785EA1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c>
          <w:tcPr>
            <w:tcW w:w="537" w:type="pct"/>
            <w:vAlign w:val="center"/>
          </w:tcPr>
          <w:p w14:paraId="0772D77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500</w:t>
            </w:r>
          </w:p>
        </w:tc>
        <w:tc>
          <w:tcPr>
            <w:tcW w:w="631" w:type="pct"/>
            <w:vAlign w:val="center"/>
          </w:tcPr>
          <w:p w14:paraId="5BC0B8E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27.797</w:t>
            </w:r>
          </w:p>
        </w:tc>
        <w:tc>
          <w:tcPr>
            <w:tcW w:w="423" w:type="pct"/>
            <w:vAlign w:val="center"/>
          </w:tcPr>
          <w:p w14:paraId="0B82A3D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1.39</w:t>
            </w:r>
          </w:p>
        </w:tc>
        <w:tc>
          <w:tcPr>
            <w:tcW w:w="631" w:type="pct"/>
            <w:vAlign w:val="center"/>
          </w:tcPr>
          <w:p w14:paraId="2DD3C60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19" w:type="pct"/>
            <w:vAlign w:val="center"/>
          </w:tcPr>
          <w:p w14:paraId="30617F8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r>
      <w:tr w14:paraId="7B7201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09FE661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600</w:t>
            </w:r>
          </w:p>
        </w:tc>
        <w:tc>
          <w:tcPr>
            <w:tcW w:w="568" w:type="pct"/>
            <w:vAlign w:val="center"/>
          </w:tcPr>
          <w:p w14:paraId="7F9F80A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24.24</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0</w:t>
            </w:r>
          </w:p>
        </w:tc>
        <w:tc>
          <w:tcPr>
            <w:tcW w:w="406" w:type="pct"/>
            <w:vAlign w:val="center"/>
          </w:tcPr>
          <w:p w14:paraId="25169F7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1.21</w:t>
            </w:r>
          </w:p>
        </w:tc>
        <w:tc>
          <w:tcPr>
            <w:tcW w:w="486" w:type="pct"/>
            <w:vAlign w:val="center"/>
          </w:tcPr>
          <w:p w14:paraId="6FF17A1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0.000004</w:t>
            </w:r>
          </w:p>
        </w:tc>
        <w:tc>
          <w:tcPr>
            <w:tcW w:w="407" w:type="pct"/>
            <w:vAlign w:val="center"/>
          </w:tcPr>
          <w:p w14:paraId="1DE6A67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0.00004</w:t>
            </w:r>
          </w:p>
        </w:tc>
        <w:tc>
          <w:tcPr>
            <w:tcW w:w="537" w:type="pct"/>
            <w:vAlign w:val="center"/>
          </w:tcPr>
          <w:p w14:paraId="348D0DD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600</w:t>
            </w:r>
          </w:p>
        </w:tc>
        <w:tc>
          <w:tcPr>
            <w:tcW w:w="631" w:type="pct"/>
            <w:vAlign w:val="center"/>
          </w:tcPr>
          <w:p w14:paraId="2259503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24.24</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0</w:t>
            </w:r>
          </w:p>
        </w:tc>
        <w:tc>
          <w:tcPr>
            <w:tcW w:w="423" w:type="pct"/>
            <w:vAlign w:val="center"/>
          </w:tcPr>
          <w:p w14:paraId="5768318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1.21</w:t>
            </w:r>
          </w:p>
        </w:tc>
        <w:tc>
          <w:tcPr>
            <w:tcW w:w="631" w:type="pct"/>
            <w:vAlign w:val="center"/>
          </w:tcPr>
          <w:p w14:paraId="53406A5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0.000004</w:t>
            </w:r>
          </w:p>
        </w:tc>
        <w:tc>
          <w:tcPr>
            <w:tcW w:w="419" w:type="pct"/>
            <w:vAlign w:val="center"/>
          </w:tcPr>
          <w:p w14:paraId="693D9B0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0.00004</w:t>
            </w:r>
          </w:p>
        </w:tc>
      </w:tr>
      <w:tr w14:paraId="2FC335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FB8819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700</w:t>
            </w:r>
          </w:p>
        </w:tc>
        <w:tc>
          <w:tcPr>
            <w:tcW w:w="568" w:type="pct"/>
            <w:vAlign w:val="center"/>
          </w:tcPr>
          <w:p w14:paraId="4450CCB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21.294</w:t>
            </w:r>
          </w:p>
        </w:tc>
        <w:tc>
          <w:tcPr>
            <w:tcW w:w="406" w:type="pct"/>
            <w:vAlign w:val="center"/>
          </w:tcPr>
          <w:p w14:paraId="6ACB0F5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1.06</w:t>
            </w:r>
          </w:p>
        </w:tc>
        <w:tc>
          <w:tcPr>
            <w:tcW w:w="486" w:type="pct"/>
            <w:vAlign w:val="center"/>
          </w:tcPr>
          <w:p w14:paraId="0B17EAD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07" w:type="pct"/>
            <w:vAlign w:val="center"/>
          </w:tcPr>
          <w:p w14:paraId="2F995EE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c>
          <w:tcPr>
            <w:tcW w:w="537" w:type="pct"/>
            <w:vAlign w:val="center"/>
          </w:tcPr>
          <w:p w14:paraId="29D97B4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700</w:t>
            </w:r>
          </w:p>
        </w:tc>
        <w:tc>
          <w:tcPr>
            <w:tcW w:w="631" w:type="pct"/>
            <w:vAlign w:val="center"/>
          </w:tcPr>
          <w:p w14:paraId="175A828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21.294</w:t>
            </w:r>
          </w:p>
        </w:tc>
        <w:tc>
          <w:tcPr>
            <w:tcW w:w="423" w:type="pct"/>
            <w:vAlign w:val="center"/>
          </w:tcPr>
          <w:p w14:paraId="064EFA1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1.06</w:t>
            </w:r>
          </w:p>
        </w:tc>
        <w:tc>
          <w:tcPr>
            <w:tcW w:w="631" w:type="pct"/>
            <w:vAlign w:val="center"/>
          </w:tcPr>
          <w:p w14:paraId="1EDD3E4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19" w:type="pct"/>
            <w:vAlign w:val="center"/>
          </w:tcPr>
          <w:p w14:paraId="28AA7E7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r>
      <w:tr w14:paraId="78C9D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6EE1F95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800</w:t>
            </w:r>
          </w:p>
        </w:tc>
        <w:tc>
          <w:tcPr>
            <w:tcW w:w="568" w:type="pct"/>
            <w:vAlign w:val="center"/>
          </w:tcPr>
          <w:p w14:paraId="6E28257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18.861</w:t>
            </w:r>
          </w:p>
        </w:tc>
        <w:tc>
          <w:tcPr>
            <w:tcW w:w="406" w:type="pct"/>
            <w:vAlign w:val="center"/>
          </w:tcPr>
          <w:p w14:paraId="15317D5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0.94</w:t>
            </w:r>
          </w:p>
        </w:tc>
        <w:tc>
          <w:tcPr>
            <w:tcW w:w="486" w:type="pct"/>
            <w:vAlign w:val="center"/>
          </w:tcPr>
          <w:p w14:paraId="26A1BD2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07" w:type="pct"/>
            <w:vAlign w:val="center"/>
          </w:tcPr>
          <w:p w14:paraId="25E37A5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c>
          <w:tcPr>
            <w:tcW w:w="537" w:type="pct"/>
            <w:vAlign w:val="center"/>
          </w:tcPr>
          <w:p w14:paraId="22D9DD7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800</w:t>
            </w:r>
          </w:p>
        </w:tc>
        <w:tc>
          <w:tcPr>
            <w:tcW w:w="631" w:type="pct"/>
            <w:vAlign w:val="center"/>
          </w:tcPr>
          <w:p w14:paraId="1B10C62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18.861</w:t>
            </w:r>
          </w:p>
        </w:tc>
        <w:tc>
          <w:tcPr>
            <w:tcW w:w="423" w:type="pct"/>
            <w:vAlign w:val="center"/>
          </w:tcPr>
          <w:p w14:paraId="6D8E0C3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0.94</w:t>
            </w:r>
          </w:p>
        </w:tc>
        <w:tc>
          <w:tcPr>
            <w:tcW w:w="631" w:type="pct"/>
            <w:vAlign w:val="center"/>
          </w:tcPr>
          <w:p w14:paraId="7D78BD6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19" w:type="pct"/>
            <w:vAlign w:val="center"/>
          </w:tcPr>
          <w:p w14:paraId="1C07F83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r>
      <w:tr w14:paraId="21196C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2FA6E5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900</w:t>
            </w:r>
          </w:p>
        </w:tc>
        <w:tc>
          <w:tcPr>
            <w:tcW w:w="568" w:type="pct"/>
            <w:vAlign w:val="center"/>
          </w:tcPr>
          <w:p w14:paraId="0C6735C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16.825</w:t>
            </w:r>
          </w:p>
        </w:tc>
        <w:tc>
          <w:tcPr>
            <w:tcW w:w="406" w:type="pct"/>
            <w:vAlign w:val="center"/>
          </w:tcPr>
          <w:p w14:paraId="6E87D69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0.84</w:t>
            </w:r>
          </w:p>
        </w:tc>
        <w:tc>
          <w:tcPr>
            <w:tcW w:w="486" w:type="pct"/>
            <w:vAlign w:val="center"/>
          </w:tcPr>
          <w:p w14:paraId="6C40F00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07" w:type="pct"/>
            <w:vAlign w:val="center"/>
          </w:tcPr>
          <w:p w14:paraId="1245BA0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c>
          <w:tcPr>
            <w:tcW w:w="537" w:type="pct"/>
            <w:vAlign w:val="center"/>
          </w:tcPr>
          <w:p w14:paraId="17FE64E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900</w:t>
            </w:r>
          </w:p>
        </w:tc>
        <w:tc>
          <w:tcPr>
            <w:tcW w:w="631" w:type="pct"/>
            <w:vAlign w:val="center"/>
          </w:tcPr>
          <w:p w14:paraId="1571BAE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16.825</w:t>
            </w:r>
          </w:p>
        </w:tc>
        <w:tc>
          <w:tcPr>
            <w:tcW w:w="423" w:type="pct"/>
            <w:vAlign w:val="center"/>
          </w:tcPr>
          <w:p w14:paraId="471BE03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0.84</w:t>
            </w:r>
          </w:p>
        </w:tc>
        <w:tc>
          <w:tcPr>
            <w:tcW w:w="631" w:type="pct"/>
            <w:vAlign w:val="center"/>
          </w:tcPr>
          <w:p w14:paraId="1376B0C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19" w:type="pct"/>
            <w:vAlign w:val="center"/>
          </w:tcPr>
          <w:p w14:paraId="4B6948C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r>
      <w:tr w14:paraId="512BB7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675341A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1000</w:t>
            </w:r>
          </w:p>
        </w:tc>
        <w:tc>
          <w:tcPr>
            <w:tcW w:w="568" w:type="pct"/>
            <w:vAlign w:val="center"/>
          </w:tcPr>
          <w:p w14:paraId="000AAB7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15.135</w:t>
            </w:r>
          </w:p>
        </w:tc>
        <w:tc>
          <w:tcPr>
            <w:tcW w:w="406" w:type="pct"/>
            <w:vAlign w:val="center"/>
          </w:tcPr>
          <w:p w14:paraId="345FC69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0.76</w:t>
            </w:r>
          </w:p>
        </w:tc>
        <w:tc>
          <w:tcPr>
            <w:tcW w:w="486" w:type="pct"/>
            <w:vAlign w:val="center"/>
          </w:tcPr>
          <w:p w14:paraId="5953A0E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07" w:type="pct"/>
            <w:vAlign w:val="center"/>
          </w:tcPr>
          <w:p w14:paraId="7851591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c>
          <w:tcPr>
            <w:tcW w:w="537" w:type="pct"/>
            <w:vAlign w:val="center"/>
          </w:tcPr>
          <w:p w14:paraId="63D2F17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1000</w:t>
            </w:r>
          </w:p>
        </w:tc>
        <w:tc>
          <w:tcPr>
            <w:tcW w:w="631" w:type="pct"/>
            <w:vAlign w:val="center"/>
          </w:tcPr>
          <w:p w14:paraId="2E871C4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15.135</w:t>
            </w:r>
          </w:p>
        </w:tc>
        <w:tc>
          <w:tcPr>
            <w:tcW w:w="423" w:type="pct"/>
            <w:vAlign w:val="center"/>
          </w:tcPr>
          <w:p w14:paraId="1053CD4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0.76</w:t>
            </w:r>
          </w:p>
        </w:tc>
        <w:tc>
          <w:tcPr>
            <w:tcW w:w="631" w:type="pct"/>
            <w:vAlign w:val="center"/>
          </w:tcPr>
          <w:p w14:paraId="79F699D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19" w:type="pct"/>
            <w:vAlign w:val="center"/>
          </w:tcPr>
          <w:p w14:paraId="0479D6A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r>
      <w:tr w14:paraId="028AB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33D1AA3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1200</w:t>
            </w:r>
          </w:p>
        </w:tc>
        <w:tc>
          <w:tcPr>
            <w:tcW w:w="568" w:type="pct"/>
            <w:vAlign w:val="center"/>
          </w:tcPr>
          <w:p w14:paraId="0D7B0C8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12.476</w:t>
            </w:r>
          </w:p>
        </w:tc>
        <w:tc>
          <w:tcPr>
            <w:tcW w:w="406" w:type="pct"/>
            <w:vAlign w:val="center"/>
          </w:tcPr>
          <w:p w14:paraId="449C015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0.62</w:t>
            </w:r>
          </w:p>
        </w:tc>
        <w:tc>
          <w:tcPr>
            <w:tcW w:w="486" w:type="pct"/>
            <w:vAlign w:val="center"/>
          </w:tcPr>
          <w:p w14:paraId="2FEB405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07" w:type="pct"/>
            <w:vAlign w:val="center"/>
          </w:tcPr>
          <w:p w14:paraId="6F10211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c>
          <w:tcPr>
            <w:tcW w:w="537" w:type="pct"/>
            <w:vAlign w:val="center"/>
          </w:tcPr>
          <w:p w14:paraId="58D3821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1200</w:t>
            </w:r>
          </w:p>
        </w:tc>
        <w:tc>
          <w:tcPr>
            <w:tcW w:w="631" w:type="pct"/>
            <w:vAlign w:val="center"/>
          </w:tcPr>
          <w:p w14:paraId="4532B8D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12.477</w:t>
            </w:r>
          </w:p>
        </w:tc>
        <w:tc>
          <w:tcPr>
            <w:tcW w:w="423" w:type="pct"/>
            <w:vAlign w:val="center"/>
          </w:tcPr>
          <w:p w14:paraId="45EA266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0.62</w:t>
            </w:r>
          </w:p>
        </w:tc>
        <w:tc>
          <w:tcPr>
            <w:tcW w:w="631" w:type="pct"/>
            <w:vAlign w:val="center"/>
          </w:tcPr>
          <w:p w14:paraId="42D0723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19" w:type="pct"/>
            <w:vAlign w:val="center"/>
          </w:tcPr>
          <w:p w14:paraId="51BAB3A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r>
      <w:tr w14:paraId="7CEDD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4E28FD5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1400</w:t>
            </w:r>
          </w:p>
        </w:tc>
        <w:tc>
          <w:tcPr>
            <w:tcW w:w="568" w:type="pct"/>
            <w:vAlign w:val="center"/>
          </w:tcPr>
          <w:p w14:paraId="158BEA9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10.806</w:t>
            </w:r>
          </w:p>
        </w:tc>
        <w:tc>
          <w:tcPr>
            <w:tcW w:w="406" w:type="pct"/>
            <w:vAlign w:val="center"/>
          </w:tcPr>
          <w:p w14:paraId="33B28F1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0.54</w:t>
            </w:r>
          </w:p>
        </w:tc>
        <w:tc>
          <w:tcPr>
            <w:tcW w:w="486" w:type="pct"/>
            <w:vAlign w:val="center"/>
          </w:tcPr>
          <w:p w14:paraId="6428846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07" w:type="pct"/>
            <w:vAlign w:val="center"/>
          </w:tcPr>
          <w:p w14:paraId="016D3B5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c>
          <w:tcPr>
            <w:tcW w:w="537" w:type="pct"/>
            <w:vAlign w:val="center"/>
          </w:tcPr>
          <w:p w14:paraId="568A481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1400</w:t>
            </w:r>
          </w:p>
        </w:tc>
        <w:tc>
          <w:tcPr>
            <w:tcW w:w="631" w:type="pct"/>
            <w:vAlign w:val="center"/>
          </w:tcPr>
          <w:p w14:paraId="11FD02F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10.806</w:t>
            </w:r>
          </w:p>
        </w:tc>
        <w:tc>
          <w:tcPr>
            <w:tcW w:w="423" w:type="pct"/>
            <w:vAlign w:val="center"/>
          </w:tcPr>
          <w:p w14:paraId="326668E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0.54</w:t>
            </w:r>
          </w:p>
        </w:tc>
        <w:tc>
          <w:tcPr>
            <w:tcW w:w="631" w:type="pct"/>
            <w:vAlign w:val="center"/>
          </w:tcPr>
          <w:p w14:paraId="1DD4780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19" w:type="pct"/>
            <w:vAlign w:val="center"/>
          </w:tcPr>
          <w:p w14:paraId="7B0EAC1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r>
      <w:tr w14:paraId="41F8F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6766532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1600</w:t>
            </w:r>
          </w:p>
        </w:tc>
        <w:tc>
          <w:tcPr>
            <w:tcW w:w="568" w:type="pct"/>
            <w:vAlign w:val="center"/>
          </w:tcPr>
          <w:p w14:paraId="5B90B4F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9.23</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7</w:t>
            </w:r>
          </w:p>
        </w:tc>
        <w:tc>
          <w:tcPr>
            <w:tcW w:w="406" w:type="pct"/>
            <w:vAlign w:val="center"/>
          </w:tcPr>
          <w:p w14:paraId="597B519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0.46</w:t>
            </w:r>
          </w:p>
        </w:tc>
        <w:tc>
          <w:tcPr>
            <w:tcW w:w="486" w:type="pct"/>
            <w:vAlign w:val="center"/>
          </w:tcPr>
          <w:p w14:paraId="6AF6740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07" w:type="pct"/>
            <w:vAlign w:val="center"/>
          </w:tcPr>
          <w:p w14:paraId="0BCE571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c>
          <w:tcPr>
            <w:tcW w:w="537" w:type="pct"/>
            <w:vAlign w:val="center"/>
          </w:tcPr>
          <w:p w14:paraId="05F09EE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1600</w:t>
            </w:r>
          </w:p>
        </w:tc>
        <w:tc>
          <w:tcPr>
            <w:tcW w:w="631" w:type="pct"/>
            <w:vAlign w:val="center"/>
          </w:tcPr>
          <w:p w14:paraId="7B0D7DB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9.23</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7</w:t>
            </w:r>
          </w:p>
        </w:tc>
        <w:tc>
          <w:tcPr>
            <w:tcW w:w="423" w:type="pct"/>
            <w:vAlign w:val="center"/>
          </w:tcPr>
          <w:p w14:paraId="4F9D390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0.46</w:t>
            </w:r>
          </w:p>
        </w:tc>
        <w:tc>
          <w:tcPr>
            <w:tcW w:w="631" w:type="pct"/>
            <w:vAlign w:val="center"/>
          </w:tcPr>
          <w:p w14:paraId="5DA200D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19" w:type="pct"/>
            <w:vAlign w:val="center"/>
          </w:tcPr>
          <w:p w14:paraId="2B06E12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r>
      <w:tr w14:paraId="74CAD0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1BC4532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1800</w:t>
            </w:r>
          </w:p>
        </w:tc>
        <w:tc>
          <w:tcPr>
            <w:tcW w:w="568" w:type="pct"/>
            <w:vAlign w:val="center"/>
          </w:tcPr>
          <w:p w14:paraId="217BC1B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8.02</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3</w:t>
            </w:r>
          </w:p>
        </w:tc>
        <w:tc>
          <w:tcPr>
            <w:tcW w:w="406" w:type="pct"/>
            <w:vAlign w:val="center"/>
          </w:tcPr>
          <w:p w14:paraId="16AD7C5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0.4</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0</w:t>
            </w:r>
          </w:p>
        </w:tc>
        <w:tc>
          <w:tcPr>
            <w:tcW w:w="486" w:type="pct"/>
            <w:vAlign w:val="center"/>
          </w:tcPr>
          <w:p w14:paraId="6290889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07" w:type="pct"/>
            <w:vAlign w:val="center"/>
          </w:tcPr>
          <w:p w14:paraId="406CFE7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537" w:type="pct"/>
            <w:vAlign w:val="center"/>
          </w:tcPr>
          <w:p w14:paraId="399EACB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1800</w:t>
            </w:r>
          </w:p>
        </w:tc>
        <w:tc>
          <w:tcPr>
            <w:tcW w:w="631" w:type="pct"/>
            <w:vAlign w:val="center"/>
          </w:tcPr>
          <w:p w14:paraId="5F601A8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8.02</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3</w:t>
            </w:r>
          </w:p>
        </w:tc>
        <w:tc>
          <w:tcPr>
            <w:tcW w:w="423" w:type="pct"/>
            <w:vAlign w:val="center"/>
          </w:tcPr>
          <w:p w14:paraId="5A96A15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0.4</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0</w:t>
            </w:r>
          </w:p>
        </w:tc>
        <w:tc>
          <w:tcPr>
            <w:tcW w:w="631" w:type="pct"/>
            <w:vAlign w:val="center"/>
          </w:tcPr>
          <w:p w14:paraId="19278BD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19" w:type="pct"/>
            <w:vAlign w:val="center"/>
          </w:tcPr>
          <w:p w14:paraId="331808D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r>
      <w:tr w14:paraId="0E867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9AC382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2000</w:t>
            </w:r>
          </w:p>
        </w:tc>
        <w:tc>
          <w:tcPr>
            <w:tcW w:w="568" w:type="pct"/>
            <w:vAlign w:val="center"/>
          </w:tcPr>
          <w:p w14:paraId="2F1B4B2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7.0</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60</w:t>
            </w:r>
          </w:p>
        </w:tc>
        <w:tc>
          <w:tcPr>
            <w:tcW w:w="406" w:type="pct"/>
            <w:vAlign w:val="center"/>
          </w:tcPr>
          <w:p w14:paraId="2C052F1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0.35</w:t>
            </w:r>
          </w:p>
        </w:tc>
        <w:tc>
          <w:tcPr>
            <w:tcW w:w="486" w:type="pct"/>
            <w:vAlign w:val="center"/>
          </w:tcPr>
          <w:p w14:paraId="6CF06D4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07" w:type="pct"/>
            <w:vAlign w:val="center"/>
          </w:tcPr>
          <w:p w14:paraId="4E1F29C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537" w:type="pct"/>
            <w:vAlign w:val="center"/>
          </w:tcPr>
          <w:p w14:paraId="75E93B1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2000</w:t>
            </w:r>
          </w:p>
        </w:tc>
        <w:tc>
          <w:tcPr>
            <w:tcW w:w="631" w:type="pct"/>
            <w:vAlign w:val="center"/>
          </w:tcPr>
          <w:p w14:paraId="7FD1489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7.0</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60</w:t>
            </w:r>
          </w:p>
        </w:tc>
        <w:tc>
          <w:tcPr>
            <w:tcW w:w="423" w:type="pct"/>
            <w:vAlign w:val="center"/>
          </w:tcPr>
          <w:p w14:paraId="259051C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0.35</w:t>
            </w:r>
          </w:p>
        </w:tc>
        <w:tc>
          <w:tcPr>
            <w:tcW w:w="631" w:type="pct"/>
            <w:vAlign w:val="center"/>
          </w:tcPr>
          <w:p w14:paraId="168A96B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19" w:type="pct"/>
            <w:vAlign w:val="center"/>
          </w:tcPr>
          <w:p w14:paraId="335211A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r>
      <w:tr w14:paraId="49B1B2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56" w:type="pct"/>
            <w:gridSpan w:val="5"/>
            <w:vAlign w:val="center"/>
          </w:tcPr>
          <w:p w14:paraId="1528C1BE">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平台-3（仅J9100A参与核算，JD8399A为注水井，无废气产生）</w:t>
            </w:r>
          </w:p>
        </w:tc>
        <w:tc>
          <w:tcPr>
            <w:tcW w:w="2643" w:type="pct"/>
            <w:gridSpan w:val="5"/>
            <w:vAlign w:val="center"/>
          </w:tcPr>
          <w:p w14:paraId="579D5423">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单井采油井（</w:t>
            </w:r>
            <w:r>
              <w:rPr>
                <w:color w:val="000000" w:themeColor="text1"/>
                <w:sz w:val="21"/>
                <w:szCs w:val="21"/>
                <w14:textFill>
                  <w14:solidFill>
                    <w14:schemeClr w14:val="tx1"/>
                  </w14:solidFill>
                </w14:textFill>
              </w:rPr>
              <w:t>J6093A</w:t>
            </w:r>
            <w:r>
              <w:rPr>
                <w:rFonts w:hint="eastAsia"/>
                <w:color w:val="000000" w:themeColor="text1"/>
                <w:sz w:val="21"/>
                <w:szCs w:val="21"/>
                <w14:textFill>
                  <w14:solidFill>
                    <w14:schemeClr w14:val="tx1"/>
                  </w14:solidFill>
                </w14:textFill>
              </w:rPr>
              <w:t>）</w:t>
            </w:r>
          </w:p>
        </w:tc>
      </w:tr>
      <w:tr w14:paraId="7AE9CB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62" w:type="pct"/>
            <w:gridSpan w:val="3"/>
            <w:vAlign w:val="center"/>
          </w:tcPr>
          <w:p w14:paraId="41257ED9">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非甲烷总烃</w:t>
            </w:r>
          </w:p>
        </w:tc>
        <w:tc>
          <w:tcPr>
            <w:tcW w:w="894" w:type="pct"/>
            <w:gridSpan w:val="2"/>
            <w:vAlign w:val="center"/>
          </w:tcPr>
          <w:p w14:paraId="568027E4">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硫化氢</w:t>
            </w:r>
          </w:p>
        </w:tc>
        <w:tc>
          <w:tcPr>
            <w:tcW w:w="1592" w:type="pct"/>
            <w:gridSpan w:val="3"/>
            <w:vAlign w:val="center"/>
          </w:tcPr>
          <w:p w14:paraId="0D874699">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非甲烷总烃</w:t>
            </w:r>
          </w:p>
        </w:tc>
        <w:tc>
          <w:tcPr>
            <w:tcW w:w="1050" w:type="pct"/>
            <w:gridSpan w:val="2"/>
            <w:vAlign w:val="center"/>
          </w:tcPr>
          <w:p w14:paraId="19AC1D39">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硫化氢</w:t>
            </w:r>
          </w:p>
        </w:tc>
      </w:tr>
      <w:tr w14:paraId="60970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487" w:type="pct"/>
            <w:vAlign w:val="center"/>
          </w:tcPr>
          <w:p w14:paraId="76379FFC">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离源距离/m</w:t>
            </w:r>
          </w:p>
        </w:tc>
        <w:tc>
          <w:tcPr>
            <w:tcW w:w="568" w:type="pct"/>
            <w:vAlign w:val="center"/>
          </w:tcPr>
          <w:p w14:paraId="4F01755D">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浓度/u</w:t>
            </w:r>
            <w:r>
              <w:rPr>
                <w:color w:val="000000" w:themeColor="text1"/>
                <w:sz w:val="21"/>
                <w:szCs w:val="21"/>
                <w14:textFill>
                  <w14:solidFill>
                    <w14:schemeClr w14:val="tx1"/>
                  </w14:solidFill>
                </w14:textFill>
              </w:rPr>
              <w:t>g/m</w:t>
            </w:r>
            <w:r>
              <w:rPr>
                <w:color w:val="000000" w:themeColor="text1"/>
                <w:sz w:val="21"/>
                <w:szCs w:val="21"/>
                <w:vertAlign w:val="superscript"/>
                <w14:textFill>
                  <w14:solidFill>
                    <w14:schemeClr w14:val="tx1"/>
                  </w14:solidFill>
                </w14:textFill>
              </w:rPr>
              <w:t>3</w:t>
            </w:r>
          </w:p>
        </w:tc>
        <w:tc>
          <w:tcPr>
            <w:tcW w:w="406" w:type="pct"/>
            <w:vAlign w:val="center"/>
          </w:tcPr>
          <w:p w14:paraId="06006381">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占标率/%</w:t>
            </w:r>
          </w:p>
        </w:tc>
        <w:tc>
          <w:tcPr>
            <w:tcW w:w="486" w:type="pct"/>
            <w:vAlign w:val="center"/>
          </w:tcPr>
          <w:p w14:paraId="57F602DC">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浓度/u</w:t>
            </w:r>
            <w:r>
              <w:rPr>
                <w:color w:val="000000" w:themeColor="text1"/>
                <w:sz w:val="21"/>
                <w:szCs w:val="21"/>
                <w14:textFill>
                  <w14:solidFill>
                    <w14:schemeClr w14:val="tx1"/>
                  </w14:solidFill>
                </w14:textFill>
              </w:rPr>
              <w:t>g/m</w:t>
            </w:r>
            <w:r>
              <w:rPr>
                <w:color w:val="000000" w:themeColor="text1"/>
                <w:sz w:val="21"/>
                <w:szCs w:val="21"/>
                <w:vertAlign w:val="superscript"/>
                <w14:textFill>
                  <w14:solidFill>
                    <w14:schemeClr w14:val="tx1"/>
                  </w14:solidFill>
                </w14:textFill>
              </w:rPr>
              <w:t>3</w:t>
            </w:r>
          </w:p>
        </w:tc>
        <w:tc>
          <w:tcPr>
            <w:tcW w:w="407" w:type="pct"/>
            <w:vAlign w:val="center"/>
          </w:tcPr>
          <w:p w14:paraId="13D89834">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占标率/%</w:t>
            </w:r>
          </w:p>
        </w:tc>
        <w:tc>
          <w:tcPr>
            <w:tcW w:w="537" w:type="pct"/>
            <w:vAlign w:val="center"/>
          </w:tcPr>
          <w:p w14:paraId="7753B40A">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离源距离/m</w:t>
            </w:r>
          </w:p>
        </w:tc>
        <w:tc>
          <w:tcPr>
            <w:tcW w:w="631" w:type="pct"/>
            <w:vAlign w:val="center"/>
          </w:tcPr>
          <w:p w14:paraId="612EE9D4">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浓度/u</w:t>
            </w:r>
            <w:r>
              <w:rPr>
                <w:color w:val="000000" w:themeColor="text1"/>
                <w:sz w:val="21"/>
                <w:szCs w:val="21"/>
                <w14:textFill>
                  <w14:solidFill>
                    <w14:schemeClr w14:val="tx1"/>
                  </w14:solidFill>
                </w14:textFill>
              </w:rPr>
              <w:t>g/m</w:t>
            </w:r>
            <w:r>
              <w:rPr>
                <w:color w:val="000000" w:themeColor="text1"/>
                <w:sz w:val="21"/>
                <w:szCs w:val="21"/>
                <w:vertAlign w:val="superscript"/>
                <w14:textFill>
                  <w14:solidFill>
                    <w14:schemeClr w14:val="tx1"/>
                  </w14:solidFill>
                </w14:textFill>
              </w:rPr>
              <w:t>3</w:t>
            </w:r>
          </w:p>
        </w:tc>
        <w:tc>
          <w:tcPr>
            <w:tcW w:w="423" w:type="pct"/>
            <w:vAlign w:val="center"/>
          </w:tcPr>
          <w:p w14:paraId="5FCD5024">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占标率/%</w:t>
            </w:r>
          </w:p>
        </w:tc>
        <w:tc>
          <w:tcPr>
            <w:tcW w:w="631" w:type="pct"/>
            <w:vAlign w:val="center"/>
          </w:tcPr>
          <w:p w14:paraId="62886505">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浓度/u</w:t>
            </w:r>
            <w:r>
              <w:rPr>
                <w:color w:val="000000" w:themeColor="text1"/>
                <w:sz w:val="21"/>
                <w:szCs w:val="21"/>
                <w14:textFill>
                  <w14:solidFill>
                    <w14:schemeClr w14:val="tx1"/>
                  </w14:solidFill>
                </w14:textFill>
              </w:rPr>
              <w:t>g/m</w:t>
            </w:r>
            <w:r>
              <w:rPr>
                <w:color w:val="000000" w:themeColor="text1"/>
                <w:sz w:val="21"/>
                <w:szCs w:val="21"/>
                <w:vertAlign w:val="superscript"/>
                <w14:textFill>
                  <w14:solidFill>
                    <w14:schemeClr w14:val="tx1"/>
                  </w14:solidFill>
                </w14:textFill>
              </w:rPr>
              <w:t>3</w:t>
            </w:r>
          </w:p>
        </w:tc>
        <w:tc>
          <w:tcPr>
            <w:tcW w:w="419" w:type="pct"/>
            <w:vAlign w:val="center"/>
          </w:tcPr>
          <w:p w14:paraId="259858E5">
            <w:pPr>
              <w:pStyle w:val="280"/>
              <w:keepNext w:val="0"/>
              <w:keepLines w:val="0"/>
              <w:pageBreakBefore w:val="0"/>
              <w:kinsoku/>
              <w:wordWrap/>
              <w:overflowPunct/>
              <w:topLinePunct w:val="0"/>
              <w:autoSpaceDE/>
              <w:autoSpaceDN/>
              <w:bidi w:val="0"/>
              <w:adjustRightInd/>
              <w:snapToGrid/>
              <w:spacing w:line="300" w:lineRule="exact"/>
              <w:ind w:firstLine="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占标率/%</w:t>
            </w:r>
          </w:p>
        </w:tc>
      </w:tr>
      <w:tr w14:paraId="0B9532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1D1FCA0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w:t>
            </w:r>
          </w:p>
        </w:tc>
        <w:tc>
          <w:tcPr>
            <w:tcW w:w="568" w:type="pct"/>
            <w:shd w:val="clear" w:color="auto" w:fill="auto"/>
            <w:vAlign w:val="center"/>
          </w:tcPr>
          <w:p w14:paraId="6795776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18.327</w:t>
            </w:r>
          </w:p>
        </w:tc>
        <w:tc>
          <w:tcPr>
            <w:tcW w:w="406" w:type="pct"/>
            <w:shd w:val="clear" w:color="auto" w:fill="auto"/>
            <w:vAlign w:val="center"/>
          </w:tcPr>
          <w:p w14:paraId="6C12B1F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0.92</w:t>
            </w:r>
          </w:p>
        </w:tc>
        <w:tc>
          <w:tcPr>
            <w:tcW w:w="486" w:type="pct"/>
            <w:shd w:val="clear" w:color="auto" w:fill="auto"/>
            <w:vAlign w:val="center"/>
          </w:tcPr>
          <w:p w14:paraId="24421AC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07" w:type="pct"/>
            <w:vAlign w:val="center"/>
          </w:tcPr>
          <w:p w14:paraId="1709700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c>
          <w:tcPr>
            <w:tcW w:w="537" w:type="pct"/>
            <w:vAlign w:val="center"/>
          </w:tcPr>
          <w:p w14:paraId="601A7C9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w:t>
            </w:r>
          </w:p>
        </w:tc>
        <w:tc>
          <w:tcPr>
            <w:tcW w:w="631" w:type="pct"/>
            <w:vAlign w:val="center"/>
          </w:tcPr>
          <w:p w14:paraId="732A05A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38.751</w:t>
            </w:r>
          </w:p>
        </w:tc>
        <w:tc>
          <w:tcPr>
            <w:tcW w:w="423" w:type="pct"/>
            <w:vAlign w:val="center"/>
          </w:tcPr>
          <w:p w14:paraId="2E284B0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1.94</w:t>
            </w:r>
          </w:p>
        </w:tc>
        <w:tc>
          <w:tcPr>
            <w:tcW w:w="631" w:type="pct"/>
            <w:vAlign w:val="center"/>
          </w:tcPr>
          <w:p w14:paraId="5AD370E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19" w:type="pct"/>
            <w:vAlign w:val="center"/>
          </w:tcPr>
          <w:p w14:paraId="7C9F6FE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r>
      <w:tr w14:paraId="200B6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5C352F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w:t>
            </w:r>
          </w:p>
        </w:tc>
        <w:tc>
          <w:tcPr>
            <w:tcW w:w="568" w:type="pct"/>
            <w:shd w:val="clear" w:color="auto" w:fill="auto"/>
            <w:vAlign w:val="center"/>
          </w:tcPr>
          <w:p w14:paraId="6153258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26.955</w:t>
            </w:r>
          </w:p>
        </w:tc>
        <w:tc>
          <w:tcPr>
            <w:tcW w:w="406" w:type="pct"/>
            <w:shd w:val="clear" w:color="auto" w:fill="auto"/>
            <w:vAlign w:val="center"/>
          </w:tcPr>
          <w:p w14:paraId="4DD3645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1.35</w:t>
            </w:r>
          </w:p>
        </w:tc>
        <w:tc>
          <w:tcPr>
            <w:tcW w:w="486" w:type="pct"/>
            <w:shd w:val="clear" w:color="auto" w:fill="auto"/>
            <w:vAlign w:val="center"/>
          </w:tcPr>
          <w:p w14:paraId="41BC3AB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07" w:type="pct"/>
            <w:vAlign w:val="center"/>
          </w:tcPr>
          <w:p w14:paraId="6D25364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c>
          <w:tcPr>
            <w:tcW w:w="537" w:type="pct"/>
            <w:vAlign w:val="center"/>
          </w:tcPr>
          <w:p w14:paraId="47A10E2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w:t>
            </w:r>
          </w:p>
        </w:tc>
        <w:tc>
          <w:tcPr>
            <w:tcW w:w="631" w:type="pct"/>
            <w:vAlign w:val="center"/>
          </w:tcPr>
          <w:p w14:paraId="08A9A4E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57.163</w:t>
            </w:r>
          </w:p>
        </w:tc>
        <w:tc>
          <w:tcPr>
            <w:tcW w:w="423" w:type="pct"/>
            <w:vAlign w:val="center"/>
          </w:tcPr>
          <w:p w14:paraId="6F27C92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2.86</w:t>
            </w:r>
          </w:p>
        </w:tc>
        <w:tc>
          <w:tcPr>
            <w:tcW w:w="631" w:type="pct"/>
            <w:vAlign w:val="center"/>
          </w:tcPr>
          <w:p w14:paraId="645C761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0.000008</w:t>
            </w:r>
          </w:p>
        </w:tc>
        <w:tc>
          <w:tcPr>
            <w:tcW w:w="419" w:type="pct"/>
            <w:vAlign w:val="center"/>
          </w:tcPr>
          <w:p w14:paraId="4A2C497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0.00008</w:t>
            </w:r>
          </w:p>
        </w:tc>
      </w:tr>
      <w:tr w14:paraId="32805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6FBB78E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50</w:t>
            </w:r>
          </w:p>
        </w:tc>
        <w:tc>
          <w:tcPr>
            <w:tcW w:w="568" w:type="pct"/>
            <w:shd w:val="clear" w:color="auto" w:fill="auto"/>
            <w:vAlign w:val="center"/>
          </w:tcPr>
          <w:p w14:paraId="061B47F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38.497</w:t>
            </w:r>
          </w:p>
        </w:tc>
        <w:tc>
          <w:tcPr>
            <w:tcW w:w="406" w:type="pct"/>
            <w:shd w:val="clear" w:color="auto" w:fill="auto"/>
            <w:vAlign w:val="center"/>
          </w:tcPr>
          <w:p w14:paraId="5FA55C6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1.92</w:t>
            </w:r>
          </w:p>
        </w:tc>
        <w:tc>
          <w:tcPr>
            <w:tcW w:w="486" w:type="pct"/>
            <w:shd w:val="clear" w:color="auto" w:fill="auto"/>
            <w:vAlign w:val="center"/>
          </w:tcPr>
          <w:p w14:paraId="65D6845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0.000007</w:t>
            </w:r>
          </w:p>
        </w:tc>
        <w:tc>
          <w:tcPr>
            <w:tcW w:w="407" w:type="pct"/>
            <w:vAlign w:val="center"/>
          </w:tcPr>
          <w:p w14:paraId="719F6B1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0.00007</w:t>
            </w:r>
          </w:p>
        </w:tc>
        <w:tc>
          <w:tcPr>
            <w:tcW w:w="537" w:type="pct"/>
            <w:vAlign w:val="center"/>
          </w:tcPr>
          <w:p w14:paraId="0BDC7D1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48</w:t>
            </w:r>
          </w:p>
        </w:tc>
        <w:tc>
          <w:tcPr>
            <w:tcW w:w="631" w:type="pct"/>
            <w:vAlign w:val="center"/>
          </w:tcPr>
          <w:p w14:paraId="24B7C17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63.834</w:t>
            </w:r>
          </w:p>
        </w:tc>
        <w:tc>
          <w:tcPr>
            <w:tcW w:w="423" w:type="pct"/>
            <w:vAlign w:val="center"/>
          </w:tcPr>
          <w:p w14:paraId="38867BA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3.19</w:t>
            </w:r>
          </w:p>
        </w:tc>
        <w:tc>
          <w:tcPr>
            <w:tcW w:w="631" w:type="pct"/>
            <w:vAlign w:val="center"/>
          </w:tcPr>
          <w:p w14:paraId="1A41913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0.000009</w:t>
            </w:r>
          </w:p>
        </w:tc>
        <w:tc>
          <w:tcPr>
            <w:tcW w:w="419" w:type="pct"/>
            <w:vAlign w:val="center"/>
          </w:tcPr>
          <w:p w14:paraId="606C36D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0.00009</w:t>
            </w:r>
          </w:p>
        </w:tc>
      </w:tr>
      <w:tr w14:paraId="578D1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FFE48F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67</w:t>
            </w:r>
          </w:p>
        </w:tc>
        <w:tc>
          <w:tcPr>
            <w:tcW w:w="568" w:type="pct"/>
            <w:shd w:val="clear" w:color="auto" w:fill="auto"/>
            <w:vAlign w:val="center"/>
          </w:tcPr>
          <w:p w14:paraId="5941737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40.018</w:t>
            </w:r>
          </w:p>
        </w:tc>
        <w:tc>
          <w:tcPr>
            <w:tcW w:w="406" w:type="pct"/>
            <w:shd w:val="clear" w:color="auto" w:fill="auto"/>
            <w:vAlign w:val="center"/>
          </w:tcPr>
          <w:p w14:paraId="3EF73FF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2</w:t>
            </w:r>
          </w:p>
        </w:tc>
        <w:tc>
          <w:tcPr>
            <w:tcW w:w="486" w:type="pct"/>
            <w:shd w:val="clear" w:color="auto" w:fill="auto"/>
            <w:vAlign w:val="center"/>
          </w:tcPr>
          <w:p w14:paraId="2E5DFF9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0.000008</w:t>
            </w:r>
          </w:p>
        </w:tc>
        <w:tc>
          <w:tcPr>
            <w:tcW w:w="407" w:type="pct"/>
            <w:vAlign w:val="center"/>
          </w:tcPr>
          <w:p w14:paraId="6722E5F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0.00008</w:t>
            </w:r>
          </w:p>
        </w:tc>
        <w:tc>
          <w:tcPr>
            <w:tcW w:w="537" w:type="pct"/>
            <w:vAlign w:val="center"/>
          </w:tcPr>
          <w:p w14:paraId="40DC678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50</w:t>
            </w:r>
          </w:p>
        </w:tc>
        <w:tc>
          <w:tcPr>
            <w:tcW w:w="631" w:type="pct"/>
            <w:vAlign w:val="center"/>
          </w:tcPr>
          <w:p w14:paraId="627D88F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63.749</w:t>
            </w:r>
          </w:p>
        </w:tc>
        <w:tc>
          <w:tcPr>
            <w:tcW w:w="423" w:type="pct"/>
            <w:vAlign w:val="center"/>
          </w:tcPr>
          <w:p w14:paraId="04FCC93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3.19</w:t>
            </w:r>
          </w:p>
        </w:tc>
        <w:tc>
          <w:tcPr>
            <w:tcW w:w="631" w:type="pct"/>
            <w:vAlign w:val="center"/>
          </w:tcPr>
          <w:p w14:paraId="70C0407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0.000009</w:t>
            </w:r>
          </w:p>
        </w:tc>
        <w:tc>
          <w:tcPr>
            <w:tcW w:w="419" w:type="pct"/>
            <w:vAlign w:val="center"/>
          </w:tcPr>
          <w:p w14:paraId="1A76B86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0.00009</w:t>
            </w:r>
          </w:p>
        </w:tc>
      </w:tr>
      <w:tr w14:paraId="2CA40E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B72BBF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75</w:t>
            </w:r>
          </w:p>
        </w:tc>
        <w:tc>
          <w:tcPr>
            <w:tcW w:w="568" w:type="pct"/>
            <w:shd w:val="clear" w:color="auto" w:fill="auto"/>
            <w:vAlign w:val="center"/>
          </w:tcPr>
          <w:p w14:paraId="5BA19B9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b/>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39.697</w:t>
            </w:r>
          </w:p>
        </w:tc>
        <w:tc>
          <w:tcPr>
            <w:tcW w:w="406" w:type="pct"/>
            <w:shd w:val="clear" w:color="auto" w:fill="auto"/>
            <w:vAlign w:val="center"/>
          </w:tcPr>
          <w:p w14:paraId="61D9E34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b/>
                <w:bCs/>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1.98</w:t>
            </w:r>
          </w:p>
        </w:tc>
        <w:tc>
          <w:tcPr>
            <w:tcW w:w="486" w:type="pct"/>
            <w:shd w:val="clear" w:color="auto" w:fill="auto"/>
            <w:vAlign w:val="center"/>
          </w:tcPr>
          <w:p w14:paraId="7EF1710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b/>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0.000007</w:t>
            </w:r>
          </w:p>
        </w:tc>
        <w:tc>
          <w:tcPr>
            <w:tcW w:w="407" w:type="pct"/>
            <w:vAlign w:val="center"/>
          </w:tcPr>
          <w:p w14:paraId="0F8965D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b/>
                <w:bCs/>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0.00007</w:t>
            </w:r>
          </w:p>
        </w:tc>
        <w:tc>
          <w:tcPr>
            <w:tcW w:w="537" w:type="pct"/>
            <w:vAlign w:val="center"/>
          </w:tcPr>
          <w:p w14:paraId="2514DCB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75</w:t>
            </w:r>
          </w:p>
        </w:tc>
        <w:tc>
          <w:tcPr>
            <w:tcW w:w="631" w:type="pct"/>
            <w:vAlign w:val="center"/>
          </w:tcPr>
          <w:p w14:paraId="2C64631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57.974</w:t>
            </w:r>
          </w:p>
        </w:tc>
        <w:tc>
          <w:tcPr>
            <w:tcW w:w="423" w:type="pct"/>
            <w:vAlign w:val="center"/>
          </w:tcPr>
          <w:p w14:paraId="223A914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2.9</w:t>
            </w:r>
          </w:p>
        </w:tc>
        <w:tc>
          <w:tcPr>
            <w:tcW w:w="631" w:type="pct"/>
            <w:vAlign w:val="center"/>
          </w:tcPr>
          <w:p w14:paraId="3BE3E01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0.000008</w:t>
            </w:r>
          </w:p>
        </w:tc>
        <w:tc>
          <w:tcPr>
            <w:tcW w:w="419" w:type="pct"/>
            <w:vAlign w:val="center"/>
          </w:tcPr>
          <w:p w14:paraId="30183B3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0.00008</w:t>
            </w:r>
          </w:p>
        </w:tc>
      </w:tr>
      <w:tr w14:paraId="0530F8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2CDAE70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100</w:t>
            </w:r>
          </w:p>
        </w:tc>
        <w:tc>
          <w:tcPr>
            <w:tcW w:w="568" w:type="pct"/>
            <w:shd w:val="clear" w:color="auto" w:fill="auto"/>
            <w:vAlign w:val="center"/>
          </w:tcPr>
          <w:p w14:paraId="64DD36C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36.925</w:t>
            </w:r>
          </w:p>
        </w:tc>
        <w:tc>
          <w:tcPr>
            <w:tcW w:w="406" w:type="pct"/>
            <w:shd w:val="clear" w:color="auto" w:fill="auto"/>
            <w:vAlign w:val="center"/>
          </w:tcPr>
          <w:p w14:paraId="158C591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1.85</w:t>
            </w:r>
          </w:p>
        </w:tc>
        <w:tc>
          <w:tcPr>
            <w:tcW w:w="486" w:type="pct"/>
            <w:shd w:val="clear" w:color="auto" w:fill="auto"/>
            <w:vAlign w:val="center"/>
          </w:tcPr>
          <w:p w14:paraId="4441F86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0.000007</w:t>
            </w:r>
          </w:p>
        </w:tc>
        <w:tc>
          <w:tcPr>
            <w:tcW w:w="407" w:type="pct"/>
            <w:vAlign w:val="center"/>
          </w:tcPr>
          <w:p w14:paraId="31E2903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0.00007</w:t>
            </w:r>
          </w:p>
        </w:tc>
        <w:tc>
          <w:tcPr>
            <w:tcW w:w="537" w:type="pct"/>
            <w:vAlign w:val="center"/>
          </w:tcPr>
          <w:p w14:paraId="5BC31B7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100</w:t>
            </w:r>
          </w:p>
        </w:tc>
        <w:tc>
          <w:tcPr>
            <w:tcW w:w="631" w:type="pct"/>
            <w:vAlign w:val="center"/>
          </w:tcPr>
          <w:p w14:paraId="670198B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49.887</w:t>
            </w:r>
          </w:p>
        </w:tc>
        <w:tc>
          <w:tcPr>
            <w:tcW w:w="423" w:type="pct"/>
            <w:vAlign w:val="center"/>
          </w:tcPr>
          <w:p w14:paraId="434D9C2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2.49</w:t>
            </w:r>
          </w:p>
        </w:tc>
        <w:tc>
          <w:tcPr>
            <w:tcW w:w="631" w:type="pct"/>
            <w:vAlign w:val="center"/>
          </w:tcPr>
          <w:p w14:paraId="136D141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0.000007</w:t>
            </w:r>
          </w:p>
        </w:tc>
        <w:tc>
          <w:tcPr>
            <w:tcW w:w="419" w:type="pct"/>
            <w:vAlign w:val="center"/>
          </w:tcPr>
          <w:p w14:paraId="5AA84A2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0.00007</w:t>
            </w:r>
          </w:p>
        </w:tc>
      </w:tr>
      <w:tr w14:paraId="687514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42C3EE5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125</w:t>
            </w:r>
          </w:p>
        </w:tc>
        <w:tc>
          <w:tcPr>
            <w:tcW w:w="568" w:type="pct"/>
            <w:shd w:val="clear" w:color="auto" w:fill="auto"/>
            <w:vAlign w:val="center"/>
          </w:tcPr>
          <w:p w14:paraId="719C2EF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33.866</w:t>
            </w:r>
          </w:p>
        </w:tc>
        <w:tc>
          <w:tcPr>
            <w:tcW w:w="406" w:type="pct"/>
            <w:shd w:val="clear" w:color="auto" w:fill="auto"/>
            <w:vAlign w:val="center"/>
          </w:tcPr>
          <w:p w14:paraId="0FC38B8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1.69</w:t>
            </w:r>
          </w:p>
        </w:tc>
        <w:tc>
          <w:tcPr>
            <w:tcW w:w="486" w:type="pct"/>
            <w:shd w:val="clear" w:color="auto" w:fill="auto"/>
            <w:vAlign w:val="center"/>
          </w:tcPr>
          <w:p w14:paraId="5BCBCDC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0.000006</w:t>
            </w:r>
          </w:p>
        </w:tc>
        <w:tc>
          <w:tcPr>
            <w:tcW w:w="407" w:type="pct"/>
            <w:vAlign w:val="center"/>
          </w:tcPr>
          <w:p w14:paraId="34A1ECB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0.00006</w:t>
            </w:r>
          </w:p>
        </w:tc>
        <w:tc>
          <w:tcPr>
            <w:tcW w:w="537" w:type="pct"/>
            <w:vAlign w:val="center"/>
          </w:tcPr>
          <w:p w14:paraId="4302DC6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125</w:t>
            </w:r>
          </w:p>
        </w:tc>
        <w:tc>
          <w:tcPr>
            <w:tcW w:w="631" w:type="pct"/>
            <w:vAlign w:val="center"/>
          </w:tcPr>
          <w:p w14:paraId="5FCE56E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43.091</w:t>
            </w:r>
          </w:p>
        </w:tc>
        <w:tc>
          <w:tcPr>
            <w:tcW w:w="423" w:type="pct"/>
            <w:vAlign w:val="center"/>
          </w:tcPr>
          <w:p w14:paraId="09E89C9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2.15</w:t>
            </w:r>
          </w:p>
        </w:tc>
        <w:tc>
          <w:tcPr>
            <w:tcW w:w="631" w:type="pct"/>
            <w:vAlign w:val="center"/>
          </w:tcPr>
          <w:p w14:paraId="3BCBD09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0.000006</w:t>
            </w:r>
          </w:p>
        </w:tc>
        <w:tc>
          <w:tcPr>
            <w:tcW w:w="419" w:type="pct"/>
            <w:vAlign w:val="center"/>
          </w:tcPr>
          <w:p w14:paraId="150E80E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0.00006</w:t>
            </w:r>
          </w:p>
        </w:tc>
      </w:tr>
      <w:tr w14:paraId="1B5B7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6E97141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150</w:t>
            </w:r>
          </w:p>
        </w:tc>
        <w:tc>
          <w:tcPr>
            <w:tcW w:w="568" w:type="pct"/>
            <w:shd w:val="clear" w:color="auto" w:fill="auto"/>
            <w:vAlign w:val="center"/>
          </w:tcPr>
          <w:p w14:paraId="34EAE10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30.789</w:t>
            </w:r>
          </w:p>
        </w:tc>
        <w:tc>
          <w:tcPr>
            <w:tcW w:w="406" w:type="pct"/>
            <w:shd w:val="clear" w:color="auto" w:fill="auto"/>
            <w:vAlign w:val="center"/>
          </w:tcPr>
          <w:p w14:paraId="31C8347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1.54</w:t>
            </w:r>
          </w:p>
        </w:tc>
        <w:tc>
          <w:tcPr>
            <w:tcW w:w="486" w:type="pct"/>
            <w:shd w:val="clear" w:color="auto" w:fill="auto"/>
            <w:vAlign w:val="center"/>
          </w:tcPr>
          <w:p w14:paraId="6890BDE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0.000006</w:t>
            </w:r>
          </w:p>
        </w:tc>
        <w:tc>
          <w:tcPr>
            <w:tcW w:w="407" w:type="pct"/>
            <w:vAlign w:val="center"/>
          </w:tcPr>
          <w:p w14:paraId="13D1FB2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0.00006</w:t>
            </w:r>
          </w:p>
        </w:tc>
        <w:tc>
          <w:tcPr>
            <w:tcW w:w="537" w:type="pct"/>
            <w:vAlign w:val="center"/>
          </w:tcPr>
          <w:p w14:paraId="799C851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150</w:t>
            </w:r>
          </w:p>
        </w:tc>
        <w:tc>
          <w:tcPr>
            <w:tcW w:w="631" w:type="pct"/>
            <w:vAlign w:val="center"/>
          </w:tcPr>
          <w:p w14:paraId="04A9DA1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37.634</w:t>
            </w:r>
          </w:p>
        </w:tc>
        <w:tc>
          <w:tcPr>
            <w:tcW w:w="423" w:type="pct"/>
            <w:vAlign w:val="center"/>
          </w:tcPr>
          <w:p w14:paraId="032029A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1.88</w:t>
            </w:r>
          </w:p>
        </w:tc>
        <w:tc>
          <w:tcPr>
            <w:tcW w:w="631" w:type="pct"/>
            <w:vAlign w:val="center"/>
          </w:tcPr>
          <w:p w14:paraId="03EBA7B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19" w:type="pct"/>
            <w:vAlign w:val="center"/>
          </w:tcPr>
          <w:p w14:paraId="028DF77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r>
      <w:tr w14:paraId="76D18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1E9E979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175</w:t>
            </w:r>
          </w:p>
        </w:tc>
        <w:tc>
          <w:tcPr>
            <w:tcW w:w="568" w:type="pct"/>
            <w:shd w:val="clear" w:color="auto" w:fill="auto"/>
            <w:vAlign w:val="center"/>
          </w:tcPr>
          <w:p w14:paraId="452AF90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28.044</w:t>
            </w:r>
          </w:p>
        </w:tc>
        <w:tc>
          <w:tcPr>
            <w:tcW w:w="406" w:type="pct"/>
            <w:shd w:val="clear" w:color="auto" w:fill="auto"/>
            <w:vAlign w:val="center"/>
          </w:tcPr>
          <w:p w14:paraId="1CA0C56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1.4</w:t>
            </w:r>
          </w:p>
        </w:tc>
        <w:tc>
          <w:tcPr>
            <w:tcW w:w="486" w:type="pct"/>
            <w:shd w:val="clear" w:color="auto" w:fill="auto"/>
            <w:vAlign w:val="center"/>
          </w:tcPr>
          <w:p w14:paraId="5EC1F94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07" w:type="pct"/>
            <w:vAlign w:val="center"/>
          </w:tcPr>
          <w:p w14:paraId="5284F21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c>
          <w:tcPr>
            <w:tcW w:w="537" w:type="pct"/>
            <w:vAlign w:val="center"/>
          </w:tcPr>
          <w:p w14:paraId="5148E36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175</w:t>
            </w:r>
          </w:p>
        </w:tc>
        <w:tc>
          <w:tcPr>
            <w:tcW w:w="631" w:type="pct"/>
            <w:vAlign w:val="center"/>
          </w:tcPr>
          <w:p w14:paraId="7449C2D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33.159</w:t>
            </w:r>
          </w:p>
        </w:tc>
        <w:tc>
          <w:tcPr>
            <w:tcW w:w="423" w:type="pct"/>
            <w:vAlign w:val="center"/>
          </w:tcPr>
          <w:p w14:paraId="4CC4575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1.66</w:t>
            </w:r>
          </w:p>
        </w:tc>
        <w:tc>
          <w:tcPr>
            <w:tcW w:w="631" w:type="pct"/>
            <w:vAlign w:val="center"/>
          </w:tcPr>
          <w:p w14:paraId="2357AF7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19" w:type="pct"/>
            <w:vAlign w:val="center"/>
          </w:tcPr>
          <w:p w14:paraId="75F2988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r>
      <w:tr w14:paraId="71975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E96A88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200</w:t>
            </w:r>
          </w:p>
        </w:tc>
        <w:tc>
          <w:tcPr>
            <w:tcW w:w="568" w:type="pct"/>
            <w:shd w:val="clear" w:color="auto" w:fill="auto"/>
            <w:vAlign w:val="center"/>
          </w:tcPr>
          <w:p w14:paraId="54CB7B0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25.549</w:t>
            </w:r>
          </w:p>
        </w:tc>
        <w:tc>
          <w:tcPr>
            <w:tcW w:w="406" w:type="pct"/>
            <w:shd w:val="clear" w:color="auto" w:fill="auto"/>
            <w:vAlign w:val="center"/>
          </w:tcPr>
          <w:p w14:paraId="1D3BF31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1.28</w:t>
            </w:r>
          </w:p>
        </w:tc>
        <w:tc>
          <w:tcPr>
            <w:tcW w:w="486" w:type="pct"/>
            <w:shd w:val="clear" w:color="auto" w:fill="auto"/>
            <w:vAlign w:val="center"/>
          </w:tcPr>
          <w:p w14:paraId="1FEAA07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0.000005</w:t>
            </w:r>
          </w:p>
        </w:tc>
        <w:tc>
          <w:tcPr>
            <w:tcW w:w="407" w:type="pct"/>
            <w:vAlign w:val="center"/>
          </w:tcPr>
          <w:p w14:paraId="071BA60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0.00005</w:t>
            </w:r>
          </w:p>
        </w:tc>
        <w:tc>
          <w:tcPr>
            <w:tcW w:w="537" w:type="pct"/>
            <w:vAlign w:val="center"/>
          </w:tcPr>
          <w:p w14:paraId="4ABDA42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200</w:t>
            </w:r>
          </w:p>
        </w:tc>
        <w:tc>
          <w:tcPr>
            <w:tcW w:w="631" w:type="pct"/>
            <w:vAlign w:val="center"/>
          </w:tcPr>
          <w:p w14:paraId="6850245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29.586</w:t>
            </w:r>
          </w:p>
        </w:tc>
        <w:tc>
          <w:tcPr>
            <w:tcW w:w="423" w:type="pct"/>
            <w:vAlign w:val="center"/>
          </w:tcPr>
          <w:p w14:paraId="658E2CB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1.48</w:t>
            </w:r>
          </w:p>
        </w:tc>
        <w:tc>
          <w:tcPr>
            <w:tcW w:w="631" w:type="pct"/>
            <w:vAlign w:val="center"/>
          </w:tcPr>
          <w:p w14:paraId="1A55400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0.000004</w:t>
            </w:r>
          </w:p>
        </w:tc>
        <w:tc>
          <w:tcPr>
            <w:tcW w:w="419" w:type="pct"/>
            <w:vAlign w:val="center"/>
          </w:tcPr>
          <w:p w14:paraId="5386B33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0.00004</w:t>
            </w:r>
          </w:p>
        </w:tc>
      </w:tr>
      <w:tr w14:paraId="2FCC8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6B6AC4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225</w:t>
            </w:r>
          </w:p>
        </w:tc>
        <w:tc>
          <w:tcPr>
            <w:tcW w:w="568" w:type="pct"/>
            <w:shd w:val="clear" w:color="auto" w:fill="auto"/>
            <w:vAlign w:val="center"/>
          </w:tcPr>
          <w:p w14:paraId="38FB88C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23.301</w:t>
            </w:r>
          </w:p>
        </w:tc>
        <w:tc>
          <w:tcPr>
            <w:tcW w:w="406" w:type="pct"/>
            <w:shd w:val="clear" w:color="auto" w:fill="auto"/>
            <w:vAlign w:val="center"/>
          </w:tcPr>
          <w:p w14:paraId="24BB904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1.17</w:t>
            </w:r>
          </w:p>
        </w:tc>
        <w:tc>
          <w:tcPr>
            <w:tcW w:w="486" w:type="pct"/>
            <w:shd w:val="clear" w:color="auto" w:fill="auto"/>
            <w:vAlign w:val="center"/>
          </w:tcPr>
          <w:p w14:paraId="4A9B37B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0.000004</w:t>
            </w:r>
          </w:p>
        </w:tc>
        <w:tc>
          <w:tcPr>
            <w:tcW w:w="407" w:type="pct"/>
            <w:vAlign w:val="center"/>
          </w:tcPr>
          <w:p w14:paraId="3FB5DA6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0.00004</w:t>
            </w:r>
          </w:p>
        </w:tc>
        <w:tc>
          <w:tcPr>
            <w:tcW w:w="537" w:type="pct"/>
            <w:vAlign w:val="center"/>
          </w:tcPr>
          <w:p w14:paraId="3E88504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225</w:t>
            </w:r>
          </w:p>
        </w:tc>
        <w:tc>
          <w:tcPr>
            <w:tcW w:w="631" w:type="pct"/>
            <w:vAlign w:val="center"/>
          </w:tcPr>
          <w:p w14:paraId="0E7B6EE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27.517</w:t>
            </w:r>
          </w:p>
        </w:tc>
        <w:tc>
          <w:tcPr>
            <w:tcW w:w="423" w:type="pct"/>
            <w:vAlign w:val="center"/>
          </w:tcPr>
          <w:p w14:paraId="3059A07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1.38</w:t>
            </w:r>
          </w:p>
        </w:tc>
        <w:tc>
          <w:tcPr>
            <w:tcW w:w="631" w:type="pct"/>
            <w:vAlign w:val="center"/>
          </w:tcPr>
          <w:p w14:paraId="796D5F8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0.000004</w:t>
            </w:r>
          </w:p>
        </w:tc>
        <w:tc>
          <w:tcPr>
            <w:tcW w:w="419" w:type="pct"/>
            <w:vAlign w:val="center"/>
          </w:tcPr>
          <w:p w14:paraId="73F597C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0.00004</w:t>
            </w:r>
          </w:p>
        </w:tc>
      </w:tr>
      <w:tr w14:paraId="5F8FB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412B8F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250</w:t>
            </w:r>
          </w:p>
        </w:tc>
        <w:tc>
          <w:tcPr>
            <w:tcW w:w="568" w:type="pct"/>
            <w:shd w:val="clear" w:color="auto" w:fill="auto"/>
            <w:vAlign w:val="center"/>
          </w:tcPr>
          <w:p w14:paraId="6D4F37B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22.06</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0</w:t>
            </w:r>
          </w:p>
        </w:tc>
        <w:tc>
          <w:tcPr>
            <w:tcW w:w="406" w:type="pct"/>
            <w:shd w:val="clear" w:color="auto" w:fill="auto"/>
            <w:vAlign w:val="center"/>
          </w:tcPr>
          <w:p w14:paraId="1319731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1.1</w:t>
            </w:r>
          </w:p>
        </w:tc>
        <w:tc>
          <w:tcPr>
            <w:tcW w:w="486" w:type="pct"/>
            <w:shd w:val="clear" w:color="auto" w:fill="auto"/>
            <w:vAlign w:val="center"/>
          </w:tcPr>
          <w:p w14:paraId="526062A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0.000004</w:t>
            </w:r>
          </w:p>
        </w:tc>
        <w:tc>
          <w:tcPr>
            <w:tcW w:w="407" w:type="pct"/>
            <w:vAlign w:val="center"/>
          </w:tcPr>
          <w:p w14:paraId="56B5E78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0.00004</w:t>
            </w:r>
          </w:p>
        </w:tc>
        <w:tc>
          <w:tcPr>
            <w:tcW w:w="537" w:type="pct"/>
            <w:vAlign w:val="center"/>
          </w:tcPr>
          <w:p w14:paraId="1B8002B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250</w:t>
            </w:r>
          </w:p>
        </w:tc>
        <w:tc>
          <w:tcPr>
            <w:tcW w:w="631" w:type="pct"/>
            <w:vAlign w:val="center"/>
          </w:tcPr>
          <w:p w14:paraId="18F58DD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25.608</w:t>
            </w:r>
          </w:p>
        </w:tc>
        <w:tc>
          <w:tcPr>
            <w:tcW w:w="423" w:type="pct"/>
            <w:vAlign w:val="center"/>
          </w:tcPr>
          <w:p w14:paraId="1F50072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1.28</w:t>
            </w:r>
          </w:p>
        </w:tc>
        <w:tc>
          <w:tcPr>
            <w:tcW w:w="631" w:type="pct"/>
            <w:vAlign w:val="center"/>
          </w:tcPr>
          <w:p w14:paraId="5C2FB2B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0.000004</w:t>
            </w:r>
          </w:p>
        </w:tc>
        <w:tc>
          <w:tcPr>
            <w:tcW w:w="419" w:type="pct"/>
            <w:vAlign w:val="center"/>
          </w:tcPr>
          <w:p w14:paraId="2CE81C3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0.00004</w:t>
            </w:r>
          </w:p>
        </w:tc>
      </w:tr>
      <w:tr w14:paraId="00EC1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28B92B3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300</w:t>
            </w:r>
          </w:p>
        </w:tc>
        <w:tc>
          <w:tcPr>
            <w:tcW w:w="568" w:type="pct"/>
            <w:shd w:val="clear" w:color="auto" w:fill="auto"/>
            <w:vAlign w:val="center"/>
          </w:tcPr>
          <w:p w14:paraId="62BA940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19.795</w:t>
            </w:r>
          </w:p>
        </w:tc>
        <w:tc>
          <w:tcPr>
            <w:tcW w:w="406" w:type="pct"/>
            <w:shd w:val="clear" w:color="auto" w:fill="auto"/>
            <w:vAlign w:val="center"/>
          </w:tcPr>
          <w:p w14:paraId="2ACD7DE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0.99</w:t>
            </w:r>
          </w:p>
        </w:tc>
        <w:tc>
          <w:tcPr>
            <w:tcW w:w="486" w:type="pct"/>
            <w:shd w:val="clear" w:color="auto" w:fill="auto"/>
            <w:vAlign w:val="center"/>
          </w:tcPr>
          <w:p w14:paraId="2862D01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0.000004</w:t>
            </w:r>
          </w:p>
        </w:tc>
        <w:tc>
          <w:tcPr>
            <w:tcW w:w="407" w:type="pct"/>
            <w:vAlign w:val="center"/>
          </w:tcPr>
          <w:p w14:paraId="71D5FAC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0.00004</w:t>
            </w:r>
          </w:p>
        </w:tc>
        <w:tc>
          <w:tcPr>
            <w:tcW w:w="537" w:type="pct"/>
            <w:vAlign w:val="center"/>
          </w:tcPr>
          <w:p w14:paraId="3902071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300</w:t>
            </w:r>
          </w:p>
        </w:tc>
        <w:tc>
          <w:tcPr>
            <w:tcW w:w="631" w:type="pct"/>
            <w:vAlign w:val="center"/>
          </w:tcPr>
          <w:p w14:paraId="1DD61DA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22.312</w:t>
            </w:r>
          </w:p>
        </w:tc>
        <w:tc>
          <w:tcPr>
            <w:tcW w:w="423" w:type="pct"/>
            <w:vAlign w:val="center"/>
          </w:tcPr>
          <w:p w14:paraId="3A3D2B0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1.12</w:t>
            </w:r>
          </w:p>
        </w:tc>
        <w:tc>
          <w:tcPr>
            <w:tcW w:w="631" w:type="pct"/>
            <w:vAlign w:val="center"/>
          </w:tcPr>
          <w:p w14:paraId="57A943D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19" w:type="pct"/>
            <w:vAlign w:val="center"/>
          </w:tcPr>
          <w:p w14:paraId="139CC98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r>
      <w:tr w14:paraId="2EACA4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C36C9F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400</w:t>
            </w:r>
          </w:p>
        </w:tc>
        <w:tc>
          <w:tcPr>
            <w:tcW w:w="568" w:type="pct"/>
            <w:shd w:val="clear" w:color="auto" w:fill="auto"/>
            <w:vAlign w:val="center"/>
          </w:tcPr>
          <w:p w14:paraId="5CEE2DB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16.217</w:t>
            </w:r>
          </w:p>
        </w:tc>
        <w:tc>
          <w:tcPr>
            <w:tcW w:w="406" w:type="pct"/>
            <w:shd w:val="clear" w:color="auto" w:fill="auto"/>
            <w:vAlign w:val="center"/>
          </w:tcPr>
          <w:p w14:paraId="385BD08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0.81</w:t>
            </w:r>
          </w:p>
        </w:tc>
        <w:tc>
          <w:tcPr>
            <w:tcW w:w="486" w:type="pct"/>
            <w:shd w:val="clear" w:color="auto" w:fill="auto"/>
            <w:vAlign w:val="center"/>
          </w:tcPr>
          <w:p w14:paraId="355B436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07" w:type="pct"/>
            <w:vAlign w:val="center"/>
          </w:tcPr>
          <w:p w14:paraId="09358C0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c>
          <w:tcPr>
            <w:tcW w:w="537" w:type="pct"/>
            <w:vAlign w:val="center"/>
          </w:tcPr>
          <w:p w14:paraId="6649B89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400</w:t>
            </w:r>
          </w:p>
        </w:tc>
        <w:tc>
          <w:tcPr>
            <w:tcW w:w="631" w:type="pct"/>
            <w:vAlign w:val="center"/>
          </w:tcPr>
          <w:p w14:paraId="353A6C3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17.835</w:t>
            </w:r>
          </w:p>
        </w:tc>
        <w:tc>
          <w:tcPr>
            <w:tcW w:w="423" w:type="pct"/>
            <w:vAlign w:val="center"/>
          </w:tcPr>
          <w:p w14:paraId="1D56562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0.89</w:t>
            </w:r>
          </w:p>
        </w:tc>
        <w:tc>
          <w:tcPr>
            <w:tcW w:w="631" w:type="pct"/>
            <w:vAlign w:val="center"/>
          </w:tcPr>
          <w:p w14:paraId="14338CF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19" w:type="pct"/>
            <w:vAlign w:val="center"/>
          </w:tcPr>
          <w:p w14:paraId="18B3395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r>
      <w:tr w14:paraId="455F42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30424F9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500</w:t>
            </w:r>
          </w:p>
        </w:tc>
        <w:tc>
          <w:tcPr>
            <w:tcW w:w="568" w:type="pct"/>
            <w:shd w:val="clear" w:color="auto" w:fill="auto"/>
            <w:vAlign w:val="center"/>
          </w:tcPr>
          <w:p w14:paraId="7AF3E08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13.819</w:t>
            </w:r>
          </w:p>
        </w:tc>
        <w:tc>
          <w:tcPr>
            <w:tcW w:w="406" w:type="pct"/>
            <w:shd w:val="clear" w:color="auto" w:fill="auto"/>
            <w:vAlign w:val="center"/>
          </w:tcPr>
          <w:p w14:paraId="78F91C8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0.69</w:t>
            </w:r>
          </w:p>
        </w:tc>
        <w:tc>
          <w:tcPr>
            <w:tcW w:w="486" w:type="pct"/>
            <w:shd w:val="clear" w:color="auto" w:fill="auto"/>
            <w:vAlign w:val="center"/>
          </w:tcPr>
          <w:p w14:paraId="07C8CC4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0.000003</w:t>
            </w:r>
          </w:p>
        </w:tc>
        <w:tc>
          <w:tcPr>
            <w:tcW w:w="407" w:type="pct"/>
            <w:vAlign w:val="center"/>
          </w:tcPr>
          <w:p w14:paraId="3D507F4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0.00003</w:t>
            </w:r>
          </w:p>
        </w:tc>
        <w:tc>
          <w:tcPr>
            <w:tcW w:w="537" w:type="pct"/>
            <w:vAlign w:val="center"/>
          </w:tcPr>
          <w:p w14:paraId="543094D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500</w:t>
            </w:r>
          </w:p>
        </w:tc>
        <w:tc>
          <w:tcPr>
            <w:tcW w:w="631" w:type="pct"/>
            <w:vAlign w:val="center"/>
          </w:tcPr>
          <w:p w14:paraId="66CA330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14.98</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0</w:t>
            </w:r>
          </w:p>
        </w:tc>
        <w:tc>
          <w:tcPr>
            <w:tcW w:w="423" w:type="pct"/>
            <w:vAlign w:val="center"/>
          </w:tcPr>
          <w:p w14:paraId="76154FB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0.75</w:t>
            </w:r>
          </w:p>
        </w:tc>
        <w:tc>
          <w:tcPr>
            <w:tcW w:w="631" w:type="pct"/>
            <w:vAlign w:val="center"/>
          </w:tcPr>
          <w:p w14:paraId="2AA0F39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19" w:type="pct"/>
            <w:vAlign w:val="center"/>
          </w:tcPr>
          <w:p w14:paraId="7BAD609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r>
      <w:tr w14:paraId="20DA91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297F97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600</w:t>
            </w:r>
          </w:p>
        </w:tc>
        <w:tc>
          <w:tcPr>
            <w:tcW w:w="568" w:type="pct"/>
            <w:shd w:val="clear" w:color="auto" w:fill="auto"/>
            <w:vAlign w:val="center"/>
          </w:tcPr>
          <w:p w14:paraId="4B4ACD0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12.051</w:t>
            </w:r>
          </w:p>
        </w:tc>
        <w:tc>
          <w:tcPr>
            <w:tcW w:w="406" w:type="pct"/>
            <w:shd w:val="clear" w:color="auto" w:fill="auto"/>
            <w:vAlign w:val="center"/>
          </w:tcPr>
          <w:p w14:paraId="0FA894B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0.6</w:t>
            </w:r>
          </w:p>
        </w:tc>
        <w:tc>
          <w:tcPr>
            <w:tcW w:w="486" w:type="pct"/>
            <w:shd w:val="clear" w:color="auto" w:fill="auto"/>
            <w:vAlign w:val="center"/>
          </w:tcPr>
          <w:p w14:paraId="515EA83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07" w:type="pct"/>
            <w:vAlign w:val="center"/>
          </w:tcPr>
          <w:p w14:paraId="37674CF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c>
          <w:tcPr>
            <w:tcW w:w="537" w:type="pct"/>
            <w:vAlign w:val="center"/>
          </w:tcPr>
          <w:p w14:paraId="1100B8E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600</w:t>
            </w:r>
          </w:p>
        </w:tc>
        <w:tc>
          <w:tcPr>
            <w:tcW w:w="631" w:type="pct"/>
            <w:vAlign w:val="center"/>
          </w:tcPr>
          <w:p w14:paraId="63C19A6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12.837</w:t>
            </w:r>
          </w:p>
        </w:tc>
        <w:tc>
          <w:tcPr>
            <w:tcW w:w="423" w:type="pct"/>
            <w:vAlign w:val="center"/>
          </w:tcPr>
          <w:p w14:paraId="154E501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0.64</w:t>
            </w:r>
          </w:p>
        </w:tc>
        <w:tc>
          <w:tcPr>
            <w:tcW w:w="631" w:type="pct"/>
            <w:vAlign w:val="center"/>
          </w:tcPr>
          <w:p w14:paraId="786466C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19" w:type="pct"/>
            <w:vAlign w:val="center"/>
          </w:tcPr>
          <w:p w14:paraId="3EC82FB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r>
      <w:tr w14:paraId="67FED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BFDCA0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700</w:t>
            </w:r>
          </w:p>
        </w:tc>
        <w:tc>
          <w:tcPr>
            <w:tcW w:w="568" w:type="pct"/>
            <w:shd w:val="clear" w:color="auto" w:fill="auto"/>
            <w:vAlign w:val="center"/>
          </w:tcPr>
          <w:p w14:paraId="523BFC6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10.586</w:t>
            </w:r>
          </w:p>
        </w:tc>
        <w:tc>
          <w:tcPr>
            <w:tcW w:w="406" w:type="pct"/>
            <w:shd w:val="clear" w:color="auto" w:fill="auto"/>
            <w:vAlign w:val="center"/>
          </w:tcPr>
          <w:p w14:paraId="624EEC7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0.53</w:t>
            </w:r>
          </w:p>
        </w:tc>
        <w:tc>
          <w:tcPr>
            <w:tcW w:w="486" w:type="pct"/>
            <w:shd w:val="clear" w:color="auto" w:fill="auto"/>
            <w:vAlign w:val="center"/>
          </w:tcPr>
          <w:p w14:paraId="08D32E9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07" w:type="pct"/>
            <w:vAlign w:val="center"/>
          </w:tcPr>
          <w:p w14:paraId="28ADF1C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c>
          <w:tcPr>
            <w:tcW w:w="537" w:type="pct"/>
            <w:vAlign w:val="center"/>
          </w:tcPr>
          <w:p w14:paraId="342214B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700</w:t>
            </w:r>
          </w:p>
        </w:tc>
        <w:tc>
          <w:tcPr>
            <w:tcW w:w="631" w:type="pct"/>
            <w:vAlign w:val="center"/>
          </w:tcPr>
          <w:p w14:paraId="1A82C3F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11.341</w:t>
            </w:r>
          </w:p>
        </w:tc>
        <w:tc>
          <w:tcPr>
            <w:tcW w:w="423" w:type="pct"/>
            <w:vAlign w:val="center"/>
          </w:tcPr>
          <w:p w14:paraId="25A4E01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0.57</w:t>
            </w:r>
          </w:p>
        </w:tc>
        <w:tc>
          <w:tcPr>
            <w:tcW w:w="631" w:type="pct"/>
            <w:vAlign w:val="center"/>
          </w:tcPr>
          <w:p w14:paraId="41362B9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19" w:type="pct"/>
            <w:vAlign w:val="center"/>
          </w:tcPr>
          <w:p w14:paraId="56326FF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r>
      <w:tr w14:paraId="52E29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36BB414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800</w:t>
            </w:r>
          </w:p>
        </w:tc>
        <w:tc>
          <w:tcPr>
            <w:tcW w:w="568" w:type="pct"/>
            <w:shd w:val="clear" w:color="auto" w:fill="auto"/>
            <w:vAlign w:val="center"/>
          </w:tcPr>
          <w:p w14:paraId="48C430D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9.37</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7</w:t>
            </w:r>
          </w:p>
        </w:tc>
        <w:tc>
          <w:tcPr>
            <w:tcW w:w="406" w:type="pct"/>
            <w:shd w:val="clear" w:color="auto" w:fill="auto"/>
            <w:vAlign w:val="center"/>
          </w:tcPr>
          <w:p w14:paraId="2991643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0.47</w:t>
            </w:r>
          </w:p>
        </w:tc>
        <w:tc>
          <w:tcPr>
            <w:tcW w:w="486" w:type="pct"/>
            <w:shd w:val="clear" w:color="auto" w:fill="auto"/>
            <w:vAlign w:val="center"/>
          </w:tcPr>
          <w:p w14:paraId="49BF7FB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07" w:type="pct"/>
            <w:vAlign w:val="center"/>
          </w:tcPr>
          <w:p w14:paraId="52930CC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c>
          <w:tcPr>
            <w:tcW w:w="537" w:type="pct"/>
            <w:vAlign w:val="center"/>
          </w:tcPr>
          <w:p w14:paraId="6E5E402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800</w:t>
            </w:r>
          </w:p>
        </w:tc>
        <w:tc>
          <w:tcPr>
            <w:tcW w:w="631" w:type="pct"/>
            <w:vAlign w:val="center"/>
          </w:tcPr>
          <w:p w14:paraId="30D0F14A">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9.92</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7</w:t>
            </w:r>
          </w:p>
        </w:tc>
        <w:tc>
          <w:tcPr>
            <w:tcW w:w="423" w:type="pct"/>
            <w:vAlign w:val="center"/>
          </w:tcPr>
          <w:p w14:paraId="5AC56FE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0.5</w:t>
            </w:r>
          </w:p>
        </w:tc>
        <w:tc>
          <w:tcPr>
            <w:tcW w:w="631" w:type="pct"/>
            <w:vAlign w:val="center"/>
          </w:tcPr>
          <w:p w14:paraId="63640BA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19" w:type="pct"/>
            <w:vAlign w:val="center"/>
          </w:tcPr>
          <w:p w14:paraId="1020BC4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r>
      <w:tr w14:paraId="0B2ED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592A95D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900</w:t>
            </w:r>
          </w:p>
        </w:tc>
        <w:tc>
          <w:tcPr>
            <w:tcW w:w="568" w:type="pct"/>
            <w:shd w:val="clear" w:color="auto" w:fill="auto"/>
            <w:vAlign w:val="center"/>
          </w:tcPr>
          <w:p w14:paraId="51C31E7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8.36</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5</w:t>
            </w:r>
          </w:p>
        </w:tc>
        <w:tc>
          <w:tcPr>
            <w:tcW w:w="406" w:type="pct"/>
            <w:shd w:val="clear" w:color="auto" w:fill="auto"/>
            <w:vAlign w:val="center"/>
          </w:tcPr>
          <w:p w14:paraId="457582E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0.42</w:t>
            </w:r>
          </w:p>
        </w:tc>
        <w:tc>
          <w:tcPr>
            <w:tcW w:w="486" w:type="pct"/>
            <w:shd w:val="clear" w:color="auto" w:fill="auto"/>
            <w:vAlign w:val="center"/>
          </w:tcPr>
          <w:p w14:paraId="482B4AB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0.000002</w:t>
            </w:r>
          </w:p>
        </w:tc>
        <w:tc>
          <w:tcPr>
            <w:tcW w:w="407" w:type="pct"/>
            <w:vAlign w:val="center"/>
          </w:tcPr>
          <w:p w14:paraId="3FDEC2F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0.00002</w:t>
            </w:r>
          </w:p>
        </w:tc>
        <w:tc>
          <w:tcPr>
            <w:tcW w:w="537" w:type="pct"/>
            <w:vAlign w:val="center"/>
          </w:tcPr>
          <w:p w14:paraId="5FEA988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900</w:t>
            </w:r>
          </w:p>
        </w:tc>
        <w:tc>
          <w:tcPr>
            <w:tcW w:w="631" w:type="pct"/>
            <w:vAlign w:val="center"/>
          </w:tcPr>
          <w:p w14:paraId="45EA7D9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8.784</w:t>
            </w:r>
          </w:p>
        </w:tc>
        <w:tc>
          <w:tcPr>
            <w:tcW w:w="423" w:type="pct"/>
            <w:vAlign w:val="center"/>
          </w:tcPr>
          <w:p w14:paraId="4FE0B7B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0.44</w:t>
            </w:r>
          </w:p>
        </w:tc>
        <w:tc>
          <w:tcPr>
            <w:tcW w:w="631" w:type="pct"/>
            <w:vAlign w:val="center"/>
          </w:tcPr>
          <w:p w14:paraId="7AF4A13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19" w:type="pct"/>
            <w:vAlign w:val="center"/>
          </w:tcPr>
          <w:p w14:paraId="15DAEFD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r>
      <w:tr w14:paraId="5D8E3A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1F02BB2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1000</w:t>
            </w:r>
          </w:p>
        </w:tc>
        <w:tc>
          <w:tcPr>
            <w:tcW w:w="568" w:type="pct"/>
            <w:shd w:val="clear" w:color="auto" w:fill="auto"/>
            <w:vAlign w:val="center"/>
          </w:tcPr>
          <w:p w14:paraId="46D2E27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7.524</w:t>
            </w:r>
          </w:p>
        </w:tc>
        <w:tc>
          <w:tcPr>
            <w:tcW w:w="406" w:type="pct"/>
            <w:shd w:val="clear" w:color="auto" w:fill="auto"/>
            <w:vAlign w:val="center"/>
          </w:tcPr>
          <w:p w14:paraId="2347EA5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0.38</w:t>
            </w:r>
          </w:p>
        </w:tc>
        <w:tc>
          <w:tcPr>
            <w:tcW w:w="486" w:type="pct"/>
            <w:shd w:val="clear" w:color="auto" w:fill="auto"/>
            <w:vAlign w:val="center"/>
          </w:tcPr>
          <w:p w14:paraId="18F6F5E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07" w:type="pct"/>
            <w:vAlign w:val="center"/>
          </w:tcPr>
          <w:p w14:paraId="5543C1D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537" w:type="pct"/>
            <w:vAlign w:val="center"/>
          </w:tcPr>
          <w:p w14:paraId="2370D7D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1000</w:t>
            </w:r>
          </w:p>
        </w:tc>
        <w:tc>
          <w:tcPr>
            <w:tcW w:w="631" w:type="pct"/>
            <w:vAlign w:val="center"/>
          </w:tcPr>
          <w:p w14:paraId="3B14E81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7.84</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7</w:t>
            </w:r>
          </w:p>
        </w:tc>
        <w:tc>
          <w:tcPr>
            <w:tcW w:w="423" w:type="pct"/>
            <w:vAlign w:val="center"/>
          </w:tcPr>
          <w:p w14:paraId="2C18687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0.39</w:t>
            </w:r>
          </w:p>
        </w:tc>
        <w:tc>
          <w:tcPr>
            <w:tcW w:w="631" w:type="pct"/>
            <w:vAlign w:val="center"/>
          </w:tcPr>
          <w:p w14:paraId="3F6B5F5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19" w:type="pct"/>
            <w:vAlign w:val="center"/>
          </w:tcPr>
          <w:p w14:paraId="153641F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r>
      <w:tr w14:paraId="5FEC7D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6162F9C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1200</w:t>
            </w:r>
          </w:p>
        </w:tc>
        <w:tc>
          <w:tcPr>
            <w:tcW w:w="568" w:type="pct"/>
            <w:shd w:val="clear" w:color="auto" w:fill="auto"/>
            <w:vAlign w:val="center"/>
          </w:tcPr>
          <w:p w14:paraId="2D14F6A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6.20</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3</w:t>
            </w:r>
          </w:p>
        </w:tc>
        <w:tc>
          <w:tcPr>
            <w:tcW w:w="406" w:type="pct"/>
            <w:shd w:val="clear" w:color="auto" w:fill="auto"/>
            <w:vAlign w:val="center"/>
          </w:tcPr>
          <w:p w14:paraId="1847105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0.31</w:t>
            </w:r>
          </w:p>
        </w:tc>
        <w:tc>
          <w:tcPr>
            <w:tcW w:w="486" w:type="pct"/>
            <w:shd w:val="clear" w:color="auto" w:fill="auto"/>
            <w:vAlign w:val="center"/>
          </w:tcPr>
          <w:p w14:paraId="794B228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07" w:type="pct"/>
            <w:vAlign w:val="center"/>
          </w:tcPr>
          <w:p w14:paraId="5279CE4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537" w:type="pct"/>
            <w:vAlign w:val="center"/>
          </w:tcPr>
          <w:p w14:paraId="25EC075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1200</w:t>
            </w:r>
          </w:p>
        </w:tc>
        <w:tc>
          <w:tcPr>
            <w:tcW w:w="631" w:type="pct"/>
            <w:vAlign w:val="center"/>
          </w:tcPr>
          <w:p w14:paraId="6AE1496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6.411</w:t>
            </w:r>
          </w:p>
        </w:tc>
        <w:tc>
          <w:tcPr>
            <w:tcW w:w="423" w:type="pct"/>
            <w:vAlign w:val="center"/>
          </w:tcPr>
          <w:p w14:paraId="5FC9B6E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0.32</w:t>
            </w:r>
          </w:p>
        </w:tc>
        <w:tc>
          <w:tcPr>
            <w:tcW w:w="631" w:type="pct"/>
            <w:vAlign w:val="center"/>
          </w:tcPr>
          <w:p w14:paraId="5879B41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19" w:type="pct"/>
            <w:vAlign w:val="center"/>
          </w:tcPr>
          <w:p w14:paraId="4FFE0AA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r>
      <w:tr w14:paraId="4D05B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0E5013E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1400</w:t>
            </w:r>
          </w:p>
        </w:tc>
        <w:tc>
          <w:tcPr>
            <w:tcW w:w="568" w:type="pct"/>
            <w:shd w:val="clear" w:color="auto" w:fill="auto"/>
            <w:vAlign w:val="center"/>
          </w:tcPr>
          <w:p w14:paraId="311785C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5.372</w:t>
            </w:r>
          </w:p>
        </w:tc>
        <w:tc>
          <w:tcPr>
            <w:tcW w:w="406" w:type="pct"/>
            <w:shd w:val="clear" w:color="auto" w:fill="auto"/>
            <w:vAlign w:val="center"/>
          </w:tcPr>
          <w:p w14:paraId="6E7380AC">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0.27</w:t>
            </w:r>
          </w:p>
        </w:tc>
        <w:tc>
          <w:tcPr>
            <w:tcW w:w="486" w:type="pct"/>
            <w:shd w:val="clear" w:color="auto" w:fill="auto"/>
            <w:vAlign w:val="center"/>
          </w:tcPr>
          <w:p w14:paraId="601C49D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07" w:type="pct"/>
            <w:vAlign w:val="center"/>
          </w:tcPr>
          <w:p w14:paraId="38495A4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537" w:type="pct"/>
            <w:vAlign w:val="center"/>
          </w:tcPr>
          <w:p w14:paraId="71183C56">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1400</w:t>
            </w:r>
          </w:p>
        </w:tc>
        <w:tc>
          <w:tcPr>
            <w:tcW w:w="631" w:type="pct"/>
            <w:vAlign w:val="center"/>
          </w:tcPr>
          <w:p w14:paraId="49CFAF7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5.372</w:t>
            </w:r>
          </w:p>
        </w:tc>
        <w:tc>
          <w:tcPr>
            <w:tcW w:w="423" w:type="pct"/>
            <w:vAlign w:val="center"/>
          </w:tcPr>
          <w:p w14:paraId="3F8A7A29">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0.27</w:t>
            </w:r>
          </w:p>
        </w:tc>
        <w:tc>
          <w:tcPr>
            <w:tcW w:w="631" w:type="pct"/>
            <w:vAlign w:val="center"/>
          </w:tcPr>
          <w:p w14:paraId="3E7D574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19" w:type="pct"/>
            <w:vAlign w:val="center"/>
          </w:tcPr>
          <w:p w14:paraId="698922B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r>
      <w:tr w14:paraId="38BE54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7B00EC9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1600</w:t>
            </w:r>
          </w:p>
        </w:tc>
        <w:tc>
          <w:tcPr>
            <w:tcW w:w="568" w:type="pct"/>
            <w:shd w:val="clear" w:color="auto" w:fill="auto"/>
            <w:vAlign w:val="center"/>
          </w:tcPr>
          <w:p w14:paraId="6D80B21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4.592</w:t>
            </w:r>
          </w:p>
        </w:tc>
        <w:tc>
          <w:tcPr>
            <w:tcW w:w="406" w:type="pct"/>
            <w:shd w:val="clear" w:color="auto" w:fill="auto"/>
            <w:vAlign w:val="center"/>
          </w:tcPr>
          <w:p w14:paraId="7D3C415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0.23</w:t>
            </w:r>
          </w:p>
        </w:tc>
        <w:tc>
          <w:tcPr>
            <w:tcW w:w="486" w:type="pct"/>
            <w:shd w:val="clear" w:color="auto" w:fill="auto"/>
            <w:vAlign w:val="center"/>
          </w:tcPr>
          <w:p w14:paraId="0BA2A61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07" w:type="pct"/>
            <w:vAlign w:val="center"/>
          </w:tcPr>
          <w:p w14:paraId="79CB2003">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537" w:type="pct"/>
            <w:vAlign w:val="center"/>
          </w:tcPr>
          <w:p w14:paraId="00981AD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1600</w:t>
            </w:r>
          </w:p>
        </w:tc>
        <w:tc>
          <w:tcPr>
            <w:tcW w:w="631" w:type="pct"/>
            <w:vAlign w:val="center"/>
          </w:tcPr>
          <w:p w14:paraId="664B48DB">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4.592</w:t>
            </w:r>
          </w:p>
        </w:tc>
        <w:tc>
          <w:tcPr>
            <w:tcW w:w="423" w:type="pct"/>
            <w:vAlign w:val="center"/>
          </w:tcPr>
          <w:p w14:paraId="7136D8B7">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0.23</w:t>
            </w:r>
          </w:p>
        </w:tc>
        <w:tc>
          <w:tcPr>
            <w:tcW w:w="631" w:type="pct"/>
            <w:vAlign w:val="center"/>
          </w:tcPr>
          <w:p w14:paraId="6024E40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19" w:type="pct"/>
            <w:vAlign w:val="center"/>
          </w:tcPr>
          <w:p w14:paraId="024C009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r>
      <w:tr w14:paraId="5653C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61A30AA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1800</w:t>
            </w:r>
          </w:p>
        </w:tc>
        <w:tc>
          <w:tcPr>
            <w:tcW w:w="568" w:type="pct"/>
            <w:shd w:val="clear" w:color="auto" w:fill="auto"/>
            <w:vAlign w:val="center"/>
          </w:tcPr>
          <w:p w14:paraId="51AD2F8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3.988</w:t>
            </w:r>
          </w:p>
        </w:tc>
        <w:tc>
          <w:tcPr>
            <w:tcW w:w="406" w:type="pct"/>
            <w:shd w:val="clear" w:color="auto" w:fill="auto"/>
            <w:vAlign w:val="center"/>
          </w:tcPr>
          <w:p w14:paraId="4C7664B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0.2</w:t>
            </w:r>
          </w:p>
        </w:tc>
        <w:tc>
          <w:tcPr>
            <w:tcW w:w="486" w:type="pct"/>
            <w:shd w:val="clear" w:color="auto" w:fill="auto"/>
            <w:vAlign w:val="center"/>
          </w:tcPr>
          <w:p w14:paraId="5921B044">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07" w:type="pct"/>
            <w:vAlign w:val="center"/>
          </w:tcPr>
          <w:p w14:paraId="53FAB11E">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537" w:type="pct"/>
            <w:vAlign w:val="center"/>
          </w:tcPr>
          <w:p w14:paraId="15A2486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1800</w:t>
            </w:r>
          </w:p>
        </w:tc>
        <w:tc>
          <w:tcPr>
            <w:tcW w:w="631" w:type="pct"/>
            <w:vAlign w:val="center"/>
          </w:tcPr>
          <w:p w14:paraId="19DF3E0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3.98</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9</w:t>
            </w:r>
          </w:p>
        </w:tc>
        <w:tc>
          <w:tcPr>
            <w:tcW w:w="423" w:type="pct"/>
            <w:vAlign w:val="center"/>
          </w:tcPr>
          <w:p w14:paraId="3628488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0.2</w:t>
            </w:r>
          </w:p>
        </w:tc>
        <w:tc>
          <w:tcPr>
            <w:tcW w:w="631" w:type="pct"/>
            <w:vAlign w:val="center"/>
          </w:tcPr>
          <w:p w14:paraId="56EE0C71">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19" w:type="pct"/>
            <w:vAlign w:val="center"/>
          </w:tcPr>
          <w:p w14:paraId="699D616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r>
      <w:tr w14:paraId="34261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pct"/>
            <w:vAlign w:val="center"/>
          </w:tcPr>
          <w:p w14:paraId="03CF942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2000</w:t>
            </w:r>
          </w:p>
        </w:tc>
        <w:tc>
          <w:tcPr>
            <w:tcW w:w="568" w:type="pct"/>
            <w:shd w:val="clear" w:color="auto" w:fill="auto"/>
            <w:vAlign w:val="center"/>
          </w:tcPr>
          <w:p w14:paraId="00830610">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3.5</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10</w:t>
            </w:r>
          </w:p>
        </w:tc>
        <w:tc>
          <w:tcPr>
            <w:tcW w:w="406" w:type="pct"/>
            <w:shd w:val="clear" w:color="auto" w:fill="auto"/>
            <w:vAlign w:val="center"/>
          </w:tcPr>
          <w:p w14:paraId="653986C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0.18</w:t>
            </w:r>
          </w:p>
        </w:tc>
        <w:tc>
          <w:tcPr>
            <w:tcW w:w="486" w:type="pct"/>
            <w:shd w:val="clear" w:color="auto" w:fill="auto"/>
            <w:vAlign w:val="center"/>
          </w:tcPr>
          <w:p w14:paraId="34D54A18">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ascii="Calibri" w:hAnsi="Calibri" w:eastAsia="宋体"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0.000001</w:t>
            </w:r>
          </w:p>
        </w:tc>
        <w:tc>
          <w:tcPr>
            <w:tcW w:w="407" w:type="pct"/>
            <w:vAlign w:val="center"/>
          </w:tcPr>
          <w:p w14:paraId="5768A26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0.00001</w:t>
            </w:r>
          </w:p>
        </w:tc>
        <w:tc>
          <w:tcPr>
            <w:tcW w:w="537" w:type="pct"/>
            <w:vAlign w:val="center"/>
          </w:tcPr>
          <w:p w14:paraId="3B111212">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2000</w:t>
            </w:r>
          </w:p>
        </w:tc>
        <w:tc>
          <w:tcPr>
            <w:tcW w:w="631" w:type="pct"/>
            <w:vAlign w:val="center"/>
          </w:tcPr>
          <w:p w14:paraId="543D821D">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default"/>
                <w:color w:val="000000" w:themeColor="text1"/>
                <w:sz w:val="21"/>
                <w:szCs w:val="21"/>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3.5</w:t>
            </w: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10</w:t>
            </w:r>
          </w:p>
        </w:tc>
        <w:tc>
          <w:tcPr>
            <w:tcW w:w="423" w:type="pct"/>
            <w:vAlign w:val="center"/>
          </w:tcPr>
          <w:p w14:paraId="57DF994F">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0.18</w:t>
            </w:r>
          </w:p>
        </w:tc>
        <w:tc>
          <w:tcPr>
            <w:tcW w:w="631" w:type="pct"/>
            <w:vAlign w:val="center"/>
          </w:tcPr>
          <w:p w14:paraId="2F4F127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w:t>
            </w:r>
          </w:p>
        </w:tc>
        <w:tc>
          <w:tcPr>
            <w:tcW w:w="419" w:type="pct"/>
            <w:vAlign w:val="center"/>
          </w:tcPr>
          <w:p w14:paraId="31416675">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rPr>
                <w:rFonts w:hint="eastAsia"/>
                <w:color w:val="000000" w:themeColor="text1"/>
                <w:sz w:val="21"/>
                <w:szCs w:val="21"/>
                <w14:textFill>
                  <w14:solidFill>
                    <w14:schemeClr w14:val="tx1"/>
                  </w14:solidFill>
                </w14:textFill>
              </w:rPr>
            </w:pPr>
            <w:r>
              <w:rPr>
                <w:rFonts w:hint="eastAsia" w:ascii="宋体" w:hAnsi="宋体" w:cs="宋体"/>
                <w:i w:val="0"/>
                <w:iCs w:val="0"/>
                <w:color w:val="000000" w:themeColor="text1"/>
                <w:kern w:val="0"/>
                <w:sz w:val="21"/>
                <w:szCs w:val="21"/>
                <w:u w:val="none"/>
                <w:lang w:val="en-US" w:eastAsia="zh-CN" w:bidi="ar"/>
                <w14:textFill>
                  <w14:solidFill>
                    <w14:schemeClr w14:val="tx1"/>
                  </w14:solidFill>
                </w14:textFill>
              </w:rPr>
              <w:t>/</w:t>
            </w:r>
          </w:p>
        </w:tc>
      </w:tr>
      <w:bookmarkEnd w:id="452"/>
    </w:tbl>
    <w:p w14:paraId="6CE6CB7D">
      <w:pPr>
        <w:pStyle w:val="120"/>
        <w:rPr>
          <w:rFonts w:hint="eastAsia"/>
          <w:color w:val="000000" w:themeColor="text1"/>
          <w14:textFill>
            <w14:solidFill>
              <w14:schemeClr w14:val="tx1"/>
            </w14:solidFill>
          </w14:textFill>
        </w:rPr>
        <w:sectPr>
          <w:pgSz w:w="16838" w:h="11906" w:orient="landscape"/>
          <w:pgMar w:top="1588" w:right="1418" w:bottom="1588" w:left="1418" w:header="1020" w:footer="1020" w:gutter="0"/>
          <w:cols w:space="720" w:num="1"/>
          <w:docGrid w:type="lines" w:linePitch="312" w:charSpace="0"/>
        </w:sectPr>
      </w:pPr>
    </w:p>
    <w:p w14:paraId="345A1A0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由预测结果可知：非甲烷总烃和硫化氢的短期浓度贡献值小，不会使区域环境空气质量发生明显改变；</w:t>
      </w:r>
      <w:r>
        <w:rPr>
          <w:rFonts w:hint="eastAsia"/>
          <w:color w:val="000000" w:themeColor="text1"/>
          <w:lang w:val="en-US"/>
          <w14:textFill>
            <w14:solidFill>
              <w14:schemeClr w14:val="tx1"/>
            </w14:solidFill>
          </w14:textFill>
        </w:rPr>
        <w:t>各井场</w:t>
      </w:r>
      <w:r>
        <w:rPr>
          <w:rFonts w:hint="eastAsia"/>
          <w:color w:val="000000" w:themeColor="text1"/>
          <w14:textFill>
            <w14:solidFill>
              <w14:schemeClr w14:val="tx1"/>
            </w14:solidFill>
          </w14:textFill>
        </w:rPr>
        <w:t>厂界N</w:t>
      </w:r>
      <w:r>
        <w:rPr>
          <w:color w:val="000000" w:themeColor="text1"/>
          <w14:textFill>
            <w14:solidFill>
              <w14:schemeClr w14:val="tx1"/>
            </w14:solidFill>
          </w14:textFill>
        </w:rPr>
        <w:t>MHC</w:t>
      </w:r>
      <w:r>
        <w:rPr>
          <w:rFonts w:hint="eastAsia"/>
          <w:color w:val="000000" w:themeColor="text1"/>
          <w14:textFill>
            <w14:solidFill>
              <w14:schemeClr w14:val="tx1"/>
            </w14:solidFill>
          </w14:textFill>
        </w:rPr>
        <w:t>浓度可满足《陆上石油天然气开采工业大气污染物排放标准》（GB39728-2020）的场界标准限值（4mg/m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）要求，硫化氢满足《恶臭污染物排放标准》（GB14554-93）表1二级新改扩建浓度限值要求。项目区地域空旷，</w:t>
      </w:r>
      <w:r>
        <w:rPr>
          <w:rFonts w:hint="eastAsia"/>
          <w:color w:val="000000" w:themeColor="text1"/>
          <w:lang w:val="en-US"/>
          <w14:textFill>
            <w14:solidFill>
              <w14:schemeClr w14:val="tx1"/>
            </w14:solidFill>
          </w14:textFill>
        </w:rPr>
        <w:t>大气扩散条件好</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运营期</w:t>
      </w:r>
      <w:r>
        <w:rPr>
          <w:color w:val="000000" w:themeColor="text1"/>
          <w14:textFill>
            <w14:solidFill>
              <w14:schemeClr w14:val="tx1"/>
            </w14:solidFill>
          </w14:textFill>
        </w:rPr>
        <w:t>对区域大气环境的影响可以保持在环境可接受的范围之内。</w:t>
      </w:r>
    </w:p>
    <w:p w14:paraId="0145C6EE">
      <w:pPr>
        <w:pStyle w:val="120"/>
        <w:rPr>
          <w:rFonts w:hint="eastAsia"/>
          <w:color w:val="000000" w:themeColor="text1"/>
          <w14:textFill>
            <w14:solidFill>
              <w14:schemeClr w14:val="tx1"/>
            </w14:solidFill>
          </w14:textFill>
        </w:rPr>
      </w:pPr>
      <w:bookmarkStart w:id="453" w:name="_Hlk173406894"/>
      <w:bookmarkStart w:id="454" w:name="_Toc453870928"/>
      <w:bookmarkStart w:id="455" w:name="_Toc445840405"/>
      <w:bookmarkStart w:id="456" w:name="_Toc445996415"/>
      <w:bookmarkStart w:id="457" w:name="_Toc459026582"/>
      <w:bookmarkStart w:id="458" w:name="_Toc445829789"/>
      <w:bookmarkStart w:id="459" w:name="_Toc20265"/>
      <w:bookmarkStart w:id="460" w:name="_Toc445842093"/>
      <w:bookmarkStart w:id="461" w:name="_Toc474416141"/>
      <w:r>
        <w:rPr>
          <w:rFonts w:hint="eastAsia"/>
          <w:color w:val="000000" w:themeColor="text1"/>
          <w14:textFill>
            <w14:solidFill>
              <w14:schemeClr w14:val="tx1"/>
            </w14:solidFill>
          </w14:textFill>
        </w:rPr>
        <w:t>（7）硫化氢对周围农业的影响分析</w:t>
      </w:r>
    </w:p>
    <w:p w14:paraId="6CED487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伴生气中硫化氢含量3mg/m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，伴生气中的硫化氢</w:t>
      </w:r>
      <w:r>
        <w:rPr>
          <w:rFonts w:hint="eastAsia"/>
          <w:color w:val="000000" w:themeColor="text1"/>
          <w:lang w:val="en-US"/>
          <w14:textFill>
            <w14:solidFill>
              <w14:schemeClr w14:val="tx1"/>
            </w14:solidFill>
          </w14:textFill>
        </w:rPr>
        <w:t>含量较低</w:t>
      </w:r>
      <w:r>
        <w:rPr>
          <w:rFonts w:hint="eastAsia"/>
          <w:color w:val="000000" w:themeColor="text1"/>
          <w14:textFill>
            <w14:solidFill>
              <w14:schemeClr w14:val="tx1"/>
            </w14:solidFill>
          </w14:textFill>
        </w:rPr>
        <w:t>，项目区地域空旷，扩散条件较好，伴生气中的硫化氢不会对周围农业产生明显不利影响。</w:t>
      </w:r>
    </w:p>
    <w:bookmarkEnd w:id="453"/>
    <w:p w14:paraId="6602CDC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（8）对大气环境敏感目标的影响分析</w:t>
      </w:r>
    </w:p>
    <w:p w14:paraId="149E60E2">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大气评价范围内存在居民区—张家庄子村、张家庄子中村、张家庄子上村的居民，约297人，项目</w:t>
      </w:r>
      <w:r>
        <w:rPr>
          <w:rFonts w:hint="eastAsia"/>
          <w:color w:val="000000" w:themeColor="text1"/>
          <w:lang w:val="en-US" w:eastAsia="zh-CN"/>
          <w14:textFill>
            <w14:solidFill>
              <w14:schemeClr w14:val="tx1"/>
            </w14:solidFill>
          </w14:textFill>
        </w:rPr>
        <w:t>无组织排放</w:t>
      </w:r>
      <w:r>
        <w:rPr>
          <w:rFonts w:hint="eastAsia"/>
          <w:color w:val="000000" w:themeColor="text1"/>
          <w14:textFill>
            <w14:solidFill>
              <w14:schemeClr w14:val="tx1"/>
            </w14:solidFill>
          </w14:textFill>
        </w:rPr>
        <w:t>的废气</w:t>
      </w:r>
      <w:r>
        <w:rPr>
          <w:rFonts w:hint="eastAsia"/>
          <w:color w:val="000000" w:themeColor="text1"/>
          <w:lang w:val="en-US" w:eastAsia="zh-CN"/>
          <w14:textFill>
            <w14:solidFill>
              <w14:schemeClr w14:val="tx1"/>
            </w14:solidFill>
          </w14:textFill>
        </w:rPr>
        <w:t>中非甲烷总烃和硫化氢</w:t>
      </w:r>
      <w:r>
        <w:rPr>
          <w:rFonts w:hint="eastAsia"/>
          <w:color w:val="000000" w:themeColor="text1"/>
          <w14:textFill>
            <w14:solidFill>
              <w14:schemeClr w14:val="tx1"/>
            </w14:solidFill>
          </w14:textFill>
        </w:rPr>
        <w:t>均可实现达标排放，且项目区地域空旷，扩散条件较好，项目实施不会对大气环境敏感目标产生明显不利影响。</w:t>
      </w:r>
    </w:p>
    <w:p w14:paraId="1AF77A0C">
      <w:pPr>
        <w:pStyle w:val="8"/>
        <w:rPr>
          <w:rFonts w:hint="eastAsia"/>
          <w:color w:val="000000" w:themeColor="text1"/>
          <w14:textFill>
            <w14:solidFill>
              <w14:schemeClr w14:val="tx1"/>
            </w14:solidFill>
          </w14:textFill>
        </w:rPr>
      </w:pPr>
      <w:bookmarkStart w:id="462" w:name="_Hlk175252599"/>
      <w:r>
        <w:rPr>
          <w:rFonts w:hint="eastAsia"/>
          <w:color w:val="000000" w:themeColor="text1"/>
          <w14:textFill>
            <w14:solidFill>
              <w14:schemeClr w14:val="tx1"/>
            </w14:solidFill>
          </w14:textFill>
        </w:rPr>
        <w:t>运营期水环境影响分析</w:t>
      </w:r>
    </w:p>
    <w:bookmarkEnd w:id="462"/>
    <w:p w14:paraId="2311DDD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（1）区域水文地质概况</w:t>
      </w:r>
    </w:p>
    <w:p w14:paraId="7F77BBB8">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①含水层结构</w:t>
      </w:r>
    </w:p>
    <w:p w14:paraId="2F697A68">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评价区属于准噶尔盆地东南部细土平原区，受地貌、地层岩性与构造控制，准噶尔盆地含水层结构由山区向平原呈有规律分布。山区以裂隙含水层为主，盆地南部以孔隙含水层为主，盆地北部以上部为孔隙含水层、下部为孔隙—裂隙含水层的混合结构为主。受沉积规律和基底构造的控制，盆地南部以单一结构的孔隙含水层和双层或多层结构的孔隙含水层为主，单一结构的含水层主要分布在环准噶尔盆地南缘的天山山前地带；双层或多层结构的孔隙含水层主要分布于古尔班通古特沙漠南缘以南至天山北麓潜水溢出带以北的大部分地区。</w:t>
      </w:r>
    </w:p>
    <w:p w14:paraId="7C89A54B">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区域从南向北分布多层结构的潜水—承压水含水层，纵向上，上部为潜水含水层，埋深＜80m，经调查了解，丰水期潜水埋深为2m左右；下部为承压含水层，埋深80～300m之间。</w:t>
      </w:r>
    </w:p>
    <w:p w14:paraId="47973352">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上部潜水含水层，颗粒由山前向下游由粗变细，岩性由山前溢出带的砂砾石向下游渐变为砂，至汇流中心为亚砂土，厚度由上游向下游逐渐变薄，含水底板标高则由东向西逐渐变低，富水性逐渐变弱，地下水径流速度迟缓，富水性强区单位涌水量为6.2L/s</w:t>
      </w:r>
      <w:r>
        <w:rPr>
          <w:rFonts w:hint="eastAsia" w:ascii="微软雅黑" w:hAnsi="微软雅黑" w:eastAsia="微软雅黑" w:cs="微软雅黑"/>
          <w:color w:val="000000" w:themeColor="text1"/>
          <w:kern w:val="0"/>
          <w:sz w:val="24"/>
          <w:szCs w:val="24"/>
          <w14:textFill>
            <w14:solidFill>
              <w14:schemeClr w14:val="tx1"/>
            </w14:solidFill>
          </w14:textFill>
        </w:rPr>
        <w:t>·</w:t>
      </w:r>
      <w:r>
        <w:rPr>
          <w:rFonts w:hint="eastAsia" w:ascii="宋体" w:hAnsi="宋体" w:cs="宋体"/>
          <w:color w:val="000000" w:themeColor="text1"/>
          <w:kern w:val="0"/>
          <w:sz w:val="24"/>
          <w:szCs w:val="24"/>
          <w14:textFill>
            <w14:solidFill>
              <w14:schemeClr w14:val="tx1"/>
            </w14:solidFill>
          </w14:textFill>
        </w:rPr>
        <w:t>m，富水性中等区分布于天山北麓细土平原区的大部分地段，单位涌水量为1.6—2.4L/s</w:t>
      </w:r>
      <w:r>
        <w:rPr>
          <w:rFonts w:hint="eastAsia" w:ascii="微软雅黑" w:hAnsi="微软雅黑" w:eastAsia="微软雅黑" w:cs="微软雅黑"/>
          <w:color w:val="000000" w:themeColor="text1"/>
          <w:kern w:val="0"/>
          <w:sz w:val="24"/>
          <w:szCs w:val="24"/>
          <w14:textFill>
            <w14:solidFill>
              <w14:schemeClr w14:val="tx1"/>
            </w14:solidFill>
          </w14:textFill>
        </w:rPr>
        <w:t>·</w:t>
      </w:r>
      <w:r>
        <w:rPr>
          <w:rFonts w:hint="eastAsia" w:ascii="宋体" w:hAnsi="宋体" w:cs="宋体"/>
          <w:color w:val="000000" w:themeColor="text1"/>
          <w:kern w:val="0"/>
          <w:sz w:val="24"/>
          <w:szCs w:val="24"/>
          <w14:textFill>
            <w14:solidFill>
              <w14:schemeClr w14:val="tx1"/>
            </w14:solidFill>
          </w14:textFill>
        </w:rPr>
        <w:t>m，近沙漠一带为富水性极弱区，单位涌水量为0.17L/s</w:t>
      </w:r>
      <w:r>
        <w:rPr>
          <w:rFonts w:hint="eastAsia" w:ascii="微软雅黑" w:hAnsi="微软雅黑" w:eastAsia="微软雅黑" w:cs="微软雅黑"/>
          <w:color w:val="000000" w:themeColor="text1"/>
          <w:kern w:val="0"/>
          <w:sz w:val="24"/>
          <w:szCs w:val="24"/>
          <w14:textFill>
            <w14:solidFill>
              <w14:schemeClr w14:val="tx1"/>
            </w14:solidFill>
          </w14:textFill>
        </w:rPr>
        <w:t>·</w:t>
      </w:r>
      <w:r>
        <w:rPr>
          <w:rFonts w:hint="eastAsia" w:ascii="宋体" w:hAnsi="宋体" w:cs="宋体"/>
          <w:color w:val="000000" w:themeColor="text1"/>
          <w:kern w:val="0"/>
          <w:sz w:val="24"/>
          <w:szCs w:val="24"/>
          <w14:textFill>
            <w14:solidFill>
              <w14:schemeClr w14:val="tx1"/>
            </w14:solidFill>
          </w14:textFill>
        </w:rPr>
        <w:t>m。潜水含水层底板埋深150—100m。</w:t>
      </w:r>
    </w:p>
    <w:p w14:paraId="0E989B0C">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下部承压含水层，由上游向下游，含水层厚度和单层厚度逐渐变薄，弱透水层增厚，含水层颗粒变细；含水层顶底板标高总体呈现东部和南部高、西部和北部低的趋势；弱透水层岩性主要以亚粘土、粘土为主，部分地段为亚砂土。根据埋藏深度将承压含水层划分为3层：第一层埋藏深度＜100m，第二层埋藏深度100—200m之间；第二层埋藏深度200—300m之间。</w:t>
      </w:r>
    </w:p>
    <w:p w14:paraId="0F80CF10">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②渗透系数的变化</w:t>
      </w:r>
    </w:p>
    <w:p w14:paraId="5B945906">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评价区内上部潜水含水层渗透性普遍较弱，渗透系数一般＜1m/d，下伏承压含水层渗透性由溢出带向下游减弱，溢出带以北，渗透系数一般＜10m/d，至沙漠前缘，渗透性变弱，渗透系数＜2m/d，部分地段为0.8m/d。</w:t>
      </w:r>
    </w:p>
    <w:p w14:paraId="65282E91">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③给水度与弹性释水系数</w:t>
      </w:r>
    </w:p>
    <w:p w14:paraId="518F6663">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给水度与承压水弹性释水系数变化与含水层岩性和结构变化规律相对应，盆地南部大于北部，环盆地山前地带大于盆地细土平原和沙漠地带，河床带大于河床两侧地带，冲洪积扇轴部向两侧逐渐减小。该区内给水度一般＜0.12，弹性释水系数为0.008。</w:t>
      </w:r>
    </w:p>
    <w:p w14:paraId="0557CB85">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④地下水的补径排特征</w:t>
      </w:r>
    </w:p>
    <w:p w14:paraId="142761D8">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评价区地下水的补给、径流、排泄条件以山区分水岭到平原、沙漠构成了一个完整的水文地质单元，地下水径流方向由南向北，按区域地下水的运动规律，基岩山区为补给区，倾斜平原为径流区，红土平原及沙漠为排泄区，各区的地下水因地处不同的气象、水文、地质、地貌、构造条件，再加上人类开采活动的影响，各有其不同的特征。</w:t>
      </w:r>
    </w:p>
    <w:p w14:paraId="45E15B9B">
      <w:pPr>
        <w:tabs>
          <w:tab w:val="left" w:pos="3600"/>
        </w:tabs>
        <w:spacing w:line="500" w:lineRule="exact"/>
        <w:ind w:firstLine="480" w:firstLineChars="200"/>
        <w:rPr>
          <w:rFonts w:hint="eastAsia" w:ascii="宋体" w:hAnsi="宋体" w:cs="宋体"/>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区内地表水源主要发源于高、中山区的河流，低山区的洪沟及泉水、南部天山山脉中蕴藏着丰富的冰雪资源，充沛的降水和冰雪消融，其中区内发源于高山区的河流有4条，以冰雪消融为主要补给来源，由西向东排列分别是新地沟河、东大龙口河、吾塘沟河和白杨河。上覆潜水含水层为细颗粒或弱含水层，地下水径流条件差，以垂向交替运动为主；下伏承压水属于滞流型，溢出带附近以水平径流为主，在细土平原中部及以北区域为垂向交替运动。</w:t>
      </w:r>
    </w:p>
    <w:p w14:paraId="718435B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本工程区域水文地质见图5.2-1。</w:t>
      </w:r>
    </w:p>
    <w:p w14:paraId="780E1A6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）正常状况下对地下水环境影响分析</w:t>
      </w:r>
    </w:p>
    <w:p w14:paraId="5017C8B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主要为洗井废水、压裂返排液和废洗井液，井下作业时带罐作业，废水采用储罐收集后，由罐车拉运至吉祥联合站采出水处理系统处理，出水水质《碎屑岩油藏注水水质指标技术要求及分析方法》（SY/T5329-2022）相关标准要求后，回注油藏。项目各类废水均得到妥善处置，正常情况下不会对地下水产生不利影响。</w:t>
      </w:r>
    </w:p>
    <w:p w14:paraId="4C7931B5">
      <w:pPr>
        <w:pStyle w:val="120"/>
        <w:rPr>
          <w:rFonts w:hint="eastAsia"/>
          <w:color w:val="000000" w:themeColor="text1"/>
          <w14:textFill>
            <w14:solidFill>
              <w14:schemeClr w14:val="tx1"/>
            </w14:solidFill>
          </w14:textFill>
        </w:rPr>
      </w:pPr>
    </w:p>
    <w:p w14:paraId="7B975F84">
      <w:pPr>
        <w:pStyle w:val="120"/>
        <w:rPr>
          <w:rFonts w:hint="eastAsia"/>
          <w:color w:val="000000" w:themeColor="text1"/>
          <w14:textFill>
            <w14:solidFill>
              <w14:schemeClr w14:val="tx1"/>
            </w14:solidFill>
          </w14:textFill>
        </w:rPr>
      </w:pPr>
    </w:p>
    <w:p w14:paraId="7EE1B846">
      <w:pPr>
        <w:pStyle w:val="120"/>
        <w:rPr>
          <w:rFonts w:hint="eastAsia"/>
          <w:color w:val="000000" w:themeColor="text1"/>
          <w14:textFill>
            <w14:solidFill>
              <w14:schemeClr w14:val="tx1"/>
            </w14:solidFill>
          </w14:textFill>
        </w:rPr>
      </w:pPr>
    </w:p>
    <w:p w14:paraId="79F4091D">
      <w:pPr>
        <w:pStyle w:val="120"/>
        <w:rPr>
          <w:rFonts w:hint="eastAsia"/>
          <w:color w:val="000000" w:themeColor="text1"/>
          <w14:textFill>
            <w14:solidFill>
              <w14:schemeClr w14:val="tx1"/>
            </w14:solidFill>
          </w14:textFill>
        </w:rPr>
      </w:pPr>
    </w:p>
    <w:p w14:paraId="54900025">
      <w:pPr>
        <w:pStyle w:val="120"/>
        <w:rPr>
          <w:rFonts w:hint="eastAsia"/>
          <w:color w:val="000000" w:themeColor="text1"/>
          <w14:textFill>
            <w14:solidFill>
              <w14:schemeClr w14:val="tx1"/>
            </w14:solidFill>
          </w14:textFill>
        </w:rPr>
      </w:pPr>
    </w:p>
    <w:p w14:paraId="2B96500B">
      <w:pPr>
        <w:pStyle w:val="120"/>
        <w:rPr>
          <w:rFonts w:hint="eastAsia"/>
          <w:color w:val="000000" w:themeColor="text1"/>
          <w14:textFill>
            <w14:solidFill>
              <w14:schemeClr w14:val="tx1"/>
            </w14:solidFill>
          </w14:textFill>
        </w:rPr>
      </w:pPr>
    </w:p>
    <w:p w14:paraId="6B513849">
      <w:pPr>
        <w:pStyle w:val="120"/>
        <w:rPr>
          <w:rFonts w:hint="eastAsia"/>
          <w:color w:val="000000" w:themeColor="text1"/>
          <w14:textFill>
            <w14:solidFill>
              <w14:schemeClr w14:val="tx1"/>
            </w14:solidFill>
          </w14:textFill>
        </w:rPr>
      </w:pPr>
    </w:p>
    <w:p w14:paraId="4B36DAA8">
      <w:pPr>
        <w:pStyle w:val="120"/>
        <w:rPr>
          <w:rFonts w:hint="eastAsia"/>
          <w:color w:val="000000" w:themeColor="text1"/>
          <w14:textFill>
            <w14:solidFill>
              <w14:schemeClr w14:val="tx1"/>
            </w14:solidFill>
          </w14:textFill>
        </w:rPr>
      </w:pPr>
    </w:p>
    <w:p w14:paraId="24003DF2">
      <w:pPr>
        <w:pStyle w:val="120"/>
        <w:rPr>
          <w:rFonts w:hint="eastAsia"/>
          <w:color w:val="000000" w:themeColor="text1"/>
          <w14:textFill>
            <w14:solidFill>
              <w14:schemeClr w14:val="tx1"/>
            </w14:solidFill>
          </w14:textFill>
        </w:rPr>
      </w:pPr>
    </w:p>
    <w:p w14:paraId="4D997439">
      <w:pPr>
        <w:pStyle w:val="120"/>
        <w:rPr>
          <w:rFonts w:hint="eastAsia"/>
          <w:color w:val="000000" w:themeColor="text1"/>
          <w14:textFill>
            <w14:solidFill>
              <w14:schemeClr w14:val="tx1"/>
            </w14:solidFill>
          </w14:textFill>
        </w:rPr>
      </w:pPr>
    </w:p>
    <w:p w14:paraId="0AB58117">
      <w:pPr>
        <w:pStyle w:val="120"/>
        <w:rPr>
          <w:rFonts w:hint="eastAsia"/>
          <w:color w:val="000000" w:themeColor="text1"/>
          <w14:textFill>
            <w14:solidFill>
              <w14:schemeClr w14:val="tx1"/>
            </w14:solidFill>
          </w14:textFill>
        </w:rPr>
      </w:pPr>
    </w:p>
    <w:p w14:paraId="60C458E8">
      <w:pPr>
        <w:pStyle w:val="120"/>
        <w:rPr>
          <w:rFonts w:hint="eastAsia"/>
          <w:color w:val="000000" w:themeColor="text1"/>
          <w14:textFill>
            <w14:solidFill>
              <w14:schemeClr w14:val="tx1"/>
            </w14:solidFill>
          </w14:textFill>
        </w:rPr>
      </w:pPr>
    </w:p>
    <w:p w14:paraId="7817A4EC">
      <w:pPr>
        <w:pStyle w:val="120"/>
        <w:rPr>
          <w:rFonts w:hint="eastAsia"/>
          <w:color w:val="000000" w:themeColor="text1"/>
          <w14:textFill>
            <w14:solidFill>
              <w14:schemeClr w14:val="tx1"/>
            </w14:solidFill>
          </w14:textFill>
        </w:rPr>
      </w:pPr>
    </w:p>
    <w:p w14:paraId="41BDC2E1">
      <w:pPr>
        <w:pStyle w:val="120"/>
        <w:rPr>
          <w:rFonts w:hint="eastAsia"/>
          <w:color w:val="000000" w:themeColor="text1"/>
          <w14:textFill>
            <w14:solidFill>
              <w14:schemeClr w14:val="tx1"/>
            </w14:solidFill>
          </w14:textFill>
        </w:rPr>
      </w:pPr>
    </w:p>
    <w:p w14:paraId="6B828AE5">
      <w:pPr>
        <w:pStyle w:val="120"/>
        <w:rPr>
          <w:rFonts w:hint="eastAsia"/>
          <w:color w:val="000000" w:themeColor="text1"/>
          <w14:textFill>
            <w14:solidFill>
              <w14:schemeClr w14:val="tx1"/>
            </w14:solidFill>
          </w14:textFill>
        </w:rPr>
      </w:pPr>
    </w:p>
    <w:p w14:paraId="5CA7A9A4">
      <w:pPr>
        <w:pStyle w:val="120"/>
        <w:rPr>
          <w:rFonts w:hint="eastAsia"/>
          <w:color w:val="000000" w:themeColor="text1"/>
          <w14:textFill>
            <w14:solidFill>
              <w14:schemeClr w14:val="tx1"/>
            </w14:solidFill>
          </w14:textFill>
        </w:rPr>
      </w:pPr>
    </w:p>
    <w:p w14:paraId="18297174">
      <w:pPr>
        <w:pStyle w:val="120"/>
        <w:rPr>
          <w:rFonts w:hint="eastAsia"/>
          <w:color w:val="000000" w:themeColor="text1"/>
          <w14:textFill>
            <w14:solidFill>
              <w14:schemeClr w14:val="tx1"/>
            </w14:solidFill>
          </w14:textFill>
        </w:rPr>
      </w:pPr>
    </w:p>
    <w:p w14:paraId="6B749454">
      <w:pPr>
        <w:pStyle w:val="120"/>
        <w:rPr>
          <w:rFonts w:hint="eastAsia"/>
          <w:color w:val="000000" w:themeColor="text1"/>
          <w14:textFill>
            <w14:solidFill>
              <w14:schemeClr w14:val="tx1"/>
            </w14:solidFill>
          </w14:textFill>
        </w:rPr>
      </w:pPr>
    </w:p>
    <w:p w14:paraId="20444248">
      <w:pPr>
        <w:pStyle w:val="120"/>
        <w:rPr>
          <w:rFonts w:ascii="Calibri" w:hAnsi="Calibri"/>
          <w:color w:val="000000" w:themeColor="text1"/>
          <w:spacing w:val="-3"/>
          <w:w w:val="95"/>
          <w:sz w:val="21"/>
          <w:szCs w:val="22"/>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74624" behindDoc="0" locked="0" layoutInCell="0" allowOverlap="1">
                <wp:simplePos x="0" y="0"/>
                <wp:positionH relativeFrom="column">
                  <wp:posOffset>136525</wp:posOffset>
                </wp:positionH>
                <wp:positionV relativeFrom="paragraph">
                  <wp:posOffset>128905</wp:posOffset>
                </wp:positionV>
                <wp:extent cx="5280660" cy="7319010"/>
                <wp:effectExtent l="0" t="0" r="15240" b="15240"/>
                <wp:wrapNone/>
                <wp:docPr id="6" name="组合 6"/>
                <wp:cNvGraphicFramePr/>
                <a:graphic xmlns:a="http://schemas.openxmlformats.org/drawingml/2006/main">
                  <a:graphicData uri="http://schemas.microsoft.com/office/word/2010/wordprocessingGroup">
                    <wpg:wgp>
                      <wpg:cNvGrpSpPr/>
                      <wpg:grpSpPr>
                        <a:xfrm>
                          <a:off x="0" y="0"/>
                          <a:ext cx="5280931" cy="7318694"/>
                          <a:chOff x="0" y="0"/>
                          <a:chExt cx="7280" cy="10760"/>
                        </a:xfrm>
                      </wpg:grpSpPr>
                      <pic:pic xmlns:pic="http://schemas.openxmlformats.org/drawingml/2006/picture">
                        <pic:nvPicPr>
                          <pic:cNvPr id="7"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7280" cy="10760"/>
                          </a:xfrm>
                          <a:prstGeom prst="rect">
                            <a:avLst/>
                          </a:prstGeom>
                          <a:noFill/>
                          <a:ln>
                            <a:noFill/>
                          </a:ln>
                        </pic:spPr>
                      </pic:pic>
                      <wpg:grpSp>
                        <wpg:cNvPr id="12" name="Group 9"/>
                        <wpg:cNvGrpSpPr/>
                        <wpg:grpSpPr>
                          <a:xfrm>
                            <a:off x="4126" y="1860"/>
                            <a:ext cx="2163" cy="1156"/>
                            <a:chOff x="4126" y="1860"/>
                            <a:chExt cx="2163" cy="1156"/>
                          </a:xfrm>
                        </wpg:grpSpPr>
                        <wps:wsp>
                          <wps:cNvPr id="14" name="Freeform 11"/>
                          <wps:cNvSpPr/>
                          <wps:spPr bwMode="auto">
                            <a:xfrm>
                              <a:off x="4126" y="1860"/>
                              <a:ext cx="2163" cy="1156"/>
                            </a:xfrm>
                            <a:custGeom>
                              <a:avLst/>
                              <a:gdLst>
                                <a:gd name="T0" fmla="*/ 779 w 2163"/>
                                <a:gd name="T1" fmla="*/ 20 h 1156"/>
                                <a:gd name="T2" fmla="*/ 769 w 2163"/>
                                <a:gd name="T3" fmla="*/ 20 h 1156"/>
                                <a:gd name="T4" fmla="*/ 779 w 2163"/>
                                <a:gd name="T5" fmla="*/ 10 h 1156"/>
                                <a:gd name="T6" fmla="*/ 779 w 2163"/>
                                <a:gd name="T7" fmla="*/ 20 h 1156"/>
                              </a:gdLst>
                              <a:ahLst/>
                              <a:cxnLst>
                                <a:cxn ang="0">
                                  <a:pos x="T0" y="T1"/>
                                </a:cxn>
                                <a:cxn ang="0">
                                  <a:pos x="T2" y="T3"/>
                                </a:cxn>
                                <a:cxn ang="0">
                                  <a:pos x="T4" y="T5"/>
                                </a:cxn>
                                <a:cxn ang="0">
                                  <a:pos x="T6" y="T7"/>
                                </a:cxn>
                              </a:cxnLst>
                              <a:rect l="0" t="0" r="r" b="b"/>
                              <a:pathLst>
                                <a:path w="2163" h="1156">
                                  <a:moveTo>
                                    <a:pt x="779" y="20"/>
                                  </a:moveTo>
                                  <a:lnTo>
                                    <a:pt x="769" y="20"/>
                                  </a:lnTo>
                                  <a:lnTo>
                                    <a:pt x="779" y="10"/>
                                  </a:lnTo>
                                  <a:lnTo>
                                    <a:pt x="779" y="20"/>
                                  </a:lnTo>
                                  <a:close/>
                                </a:path>
                              </a:pathLst>
                            </a:custGeom>
                            <a:solidFill>
                              <a:srgbClr val="FF0000"/>
                            </a:solidFill>
                            <a:ln>
                              <a:noFill/>
                            </a:ln>
                          </wps:spPr>
                          <wps:bodyPr rot="0" vert="horz" wrap="square" lIns="91440" tIns="45720" rIns="91440" bIns="45720" anchor="t" anchorCtr="0" upright="1">
                            <a:noAutofit/>
                          </wps:bodyPr>
                        </wps:wsp>
                        <wps:wsp>
                          <wps:cNvPr id="25" name="Freeform 14"/>
                          <wps:cNvSpPr/>
                          <wps:spPr bwMode="auto">
                            <a:xfrm>
                              <a:off x="4126" y="1860"/>
                              <a:ext cx="2163" cy="1156"/>
                            </a:xfrm>
                            <a:custGeom>
                              <a:avLst/>
                              <a:gdLst>
                                <a:gd name="T0" fmla="*/ 2162 w 2163"/>
                                <a:gd name="T1" fmla="*/ 20 h 1156"/>
                                <a:gd name="T2" fmla="*/ 2152 w 2163"/>
                                <a:gd name="T3" fmla="*/ 20 h 1156"/>
                                <a:gd name="T4" fmla="*/ 2142 w 2163"/>
                                <a:gd name="T5" fmla="*/ 10 h 1156"/>
                                <a:gd name="T6" fmla="*/ 2162 w 2163"/>
                                <a:gd name="T7" fmla="*/ 10 h 1156"/>
                                <a:gd name="T8" fmla="*/ 2162 w 2163"/>
                                <a:gd name="T9" fmla="*/ 20 h 1156"/>
                              </a:gdLst>
                              <a:ahLst/>
                              <a:cxnLst>
                                <a:cxn ang="0">
                                  <a:pos x="T0" y="T1"/>
                                </a:cxn>
                                <a:cxn ang="0">
                                  <a:pos x="T2" y="T3"/>
                                </a:cxn>
                                <a:cxn ang="0">
                                  <a:pos x="T4" y="T5"/>
                                </a:cxn>
                                <a:cxn ang="0">
                                  <a:pos x="T6" y="T7"/>
                                </a:cxn>
                                <a:cxn ang="0">
                                  <a:pos x="T8" y="T9"/>
                                </a:cxn>
                              </a:cxnLst>
                              <a:rect l="0" t="0" r="r" b="b"/>
                              <a:pathLst>
                                <a:path w="2163" h="1156">
                                  <a:moveTo>
                                    <a:pt x="2162" y="20"/>
                                  </a:moveTo>
                                  <a:lnTo>
                                    <a:pt x="2152" y="20"/>
                                  </a:lnTo>
                                  <a:lnTo>
                                    <a:pt x="2142" y="10"/>
                                  </a:lnTo>
                                  <a:lnTo>
                                    <a:pt x="2162" y="10"/>
                                  </a:lnTo>
                                  <a:lnTo>
                                    <a:pt x="2162" y="20"/>
                                  </a:lnTo>
                                  <a:close/>
                                </a:path>
                              </a:pathLst>
                            </a:custGeom>
                            <a:solidFill>
                              <a:srgbClr val="FF0000"/>
                            </a:solidFill>
                            <a:ln>
                              <a:noFill/>
                            </a:ln>
                          </wps:spPr>
                          <wps:bodyPr rot="0" vert="horz" wrap="square" lIns="91440" tIns="45720" rIns="91440" bIns="45720" anchor="t" anchorCtr="0" upright="1">
                            <a:noAutofit/>
                          </wps:bodyPr>
                        </wps:wsp>
                        <wps:wsp>
                          <wps:cNvPr id="26" name="Freeform 15"/>
                          <wps:cNvSpPr/>
                          <wps:spPr bwMode="auto">
                            <a:xfrm>
                              <a:off x="4126" y="1860"/>
                              <a:ext cx="2163" cy="1156"/>
                            </a:xfrm>
                            <a:custGeom>
                              <a:avLst/>
                              <a:gdLst>
                                <a:gd name="T0" fmla="*/ 779 w 2163"/>
                                <a:gd name="T1" fmla="*/ 526 h 1156"/>
                                <a:gd name="T2" fmla="*/ 769 w 2163"/>
                                <a:gd name="T3" fmla="*/ 516 h 1156"/>
                                <a:gd name="T4" fmla="*/ 779 w 2163"/>
                                <a:gd name="T5" fmla="*/ 516 h 1156"/>
                                <a:gd name="T6" fmla="*/ 779 w 2163"/>
                                <a:gd name="T7" fmla="*/ 526 h 1156"/>
                              </a:gdLst>
                              <a:ahLst/>
                              <a:cxnLst>
                                <a:cxn ang="0">
                                  <a:pos x="T0" y="T1"/>
                                </a:cxn>
                                <a:cxn ang="0">
                                  <a:pos x="T2" y="T3"/>
                                </a:cxn>
                                <a:cxn ang="0">
                                  <a:pos x="T4" y="T5"/>
                                </a:cxn>
                                <a:cxn ang="0">
                                  <a:pos x="T6" y="T7"/>
                                </a:cxn>
                              </a:cxnLst>
                              <a:rect l="0" t="0" r="r" b="b"/>
                              <a:pathLst>
                                <a:path w="2163" h="1156">
                                  <a:moveTo>
                                    <a:pt x="779" y="526"/>
                                  </a:moveTo>
                                  <a:lnTo>
                                    <a:pt x="769" y="516"/>
                                  </a:lnTo>
                                  <a:lnTo>
                                    <a:pt x="779" y="516"/>
                                  </a:lnTo>
                                  <a:lnTo>
                                    <a:pt x="779" y="526"/>
                                  </a:lnTo>
                                  <a:close/>
                                </a:path>
                              </a:pathLst>
                            </a:custGeom>
                            <a:solidFill>
                              <a:srgbClr val="FF0000"/>
                            </a:solidFill>
                            <a:ln>
                              <a:noFill/>
                            </a:ln>
                          </wps:spPr>
                          <wps:bodyPr rot="0" vert="horz" wrap="square" lIns="91440" tIns="45720" rIns="91440" bIns="45720" anchor="t" anchorCtr="0" upright="1">
                            <a:noAutofit/>
                          </wps:bodyPr>
                        </wps:wsp>
                        <wps:wsp>
                          <wps:cNvPr id="35" name="Freeform 18"/>
                          <wps:cNvSpPr/>
                          <wps:spPr bwMode="auto">
                            <a:xfrm>
                              <a:off x="4126" y="1860"/>
                              <a:ext cx="2163" cy="1156"/>
                            </a:xfrm>
                            <a:custGeom>
                              <a:avLst/>
                              <a:gdLst>
                                <a:gd name="T0" fmla="*/ 2162 w 2163"/>
                                <a:gd name="T1" fmla="*/ 526 h 1156"/>
                                <a:gd name="T2" fmla="*/ 2142 w 2163"/>
                                <a:gd name="T3" fmla="*/ 526 h 1156"/>
                                <a:gd name="T4" fmla="*/ 2152 w 2163"/>
                                <a:gd name="T5" fmla="*/ 516 h 1156"/>
                                <a:gd name="T6" fmla="*/ 2162 w 2163"/>
                                <a:gd name="T7" fmla="*/ 516 h 1156"/>
                                <a:gd name="T8" fmla="*/ 2162 w 2163"/>
                                <a:gd name="T9" fmla="*/ 526 h 1156"/>
                              </a:gdLst>
                              <a:ahLst/>
                              <a:cxnLst>
                                <a:cxn ang="0">
                                  <a:pos x="T0" y="T1"/>
                                </a:cxn>
                                <a:cxn ang="0">
                                  <a:pos x="T2" y="T3"/>
                                </a:cxn>
                                <a:cxn ang="0">
                                  <a:pos x="T4" y="T5"/>
                                </a:cxn>
                                <a:cxn ang="0">
                                  <a:pos x="T6" y="T7"/>
                                </a:cxn>
                                <a:cxn ang="0">
                                  <a:pos x="T8" y="T9"/>
                                </a:cxn>
                              </a:cxnLst>
                              <a:rect l="0" t="0" r="r" b="b"/>
                              <a:pathLst>
                                <a:path w="2163" h="1156">
                                  <a:moveTo>
                                    <a:pt x="2162" y="526"/>
                                  </a:moveTo>
                                  <a:lnTo>
                                    <a:pt x="2142" y="526"/>
                                  </a:lnTo>
                                  <a:lnTo>
                                    <a:pt x="2152" y="516"/>
                                  </a:lnTo>
                                  <a:lnTo>
                                    <a:pt x="2162" y="516"/>
                                  </a:lnTo>
                                  <a:lnTo>
                                    <a:pt x="2162" y="526"/>
                                  </a:lnTo>
                                  <a:close/>
                                </a:path>
                              </a:pathLst>
                            </a:custGeom>
                            <a:solidFill>
                              <a:srgbClr val="FF0000"/>
                            </a:solidFill>
                            <a:ln>
                              <a:noFill/>
                            </a:ln>
                          </wps:spPr>
                          <wps:bodyPr rot="0" vert="horz" wrap="square" lIns="91440" tIns="45720" rIns="91440" bIns="45720" anchor="t" anchorCtr="0" upright="1">
                            <a:noAutofit/>
                          </wps:bodyPr>
                        </wps:wsp>
                        <wps:wsp>
                          <wps:cNvPr id="52" name="Freeform 21"/>
                          <wps:cNvSpPr/>
                          <wps:spPr bwMode="auto">
                            <a:xfrm>
                              <a:off x="4126" y="1860"/>
                              <a:ext cx="2163" cy="1156"/>
                            </a:xfrm>
                            <a:custGeom>
                              <a:avLst/>
                              <a:gdLst>
                                <a:gd name="T0" fmla="*/ 1347 w 2163"/>
                                <a:gd name="T1" fmla="*/ 536 h 1156"/>
                                <a:gd name="T2" fmla="*/ 1345 w 2163"/>
                                <a:gd name="T3" fmla="*/ 536 h 1156"/>
                                <a:gd name="T4" fmla="*/ 1349 w 2163"/>
                                <a:gd name="T5" fmla="*/ 536 h 1156"/>
                                <a:gd name="T6" fmla="*/ 1347 w 2163"/>
                                <a:gd name="T7" fmla="*/ 536 h 1156"/>
                              </a:gdLst>
                              <a:ahLst/>
                              <a:cxnLst>
                                <a:cxn ang="0">
                                  <a:pos x="T0" y="T1"/>
                                </a:cxn>
                                <a:cxn ang="0">
                                  <a:pos x="T2" y="T3"/>
                                </a:cxn>
                                <a:cxn ang="0">
                                  <a:pos x="T4" y="T5"/>
                                </a:cxn>
                                <a:cxn ang="0">
                                  <a:pos x="T6" y="T7"/>
                                </a:cxn>
                              </a:cxnLst>
                              <a:rect l="0" t="0" r="r" b="b"/>
                              <a:pathLst>
                                <a:path w="2163" h="1156">
                                  <a:moveTo>
                                    <a:pt x="1347" y="536"/>
                                  </a:moveTo>
                                  <a:lnTo>
                                    <a:pt x="1345" y="536"/>
                                  </a:lnTo>
                                  <a:lnTo>
                                    <a:pt x="1349" y="536"/>
                                  </a:lnTo>
                                  <a:lnTo>
                                    <a:pt x="1347" y="536"/>
                                  </a:lnTo>
                                  <a:close/>
                                </a:path>
                              </a:pathLst>
                            </a:custGeom>
                            <a:solidFill>
                              <a:srgbClr val="FF0000"/>
                            </a:solidFill>
                            <a:ln>
                              <a:noFill/>
                            </a:ln>
                          </wps:spPr>
                          <wps:bodyPr rot="0" vert="horz" wrap="square" lIns="91440" tIns="45720" rIns="91440" bIns="45720" anchor="t" anchorCtr="0" upright="1">
                            <a:noAutofit/>
                          </wps:bodyPr>
                        </wps:wsp>
                      </wpg:grpSp>
                      <pic:pic xmlns:pic="http://schemas.openxmlformats.org/drawingml/2006/picture">
                        <pic:nvPicPr>
                          <pic:cNvPr id="55"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4236" y="3381"/>
                            <a:ext cx="278" cy="280"/>
                          </a:xfrm>
                          <a:prstGeom prst="rect">
                            <a:avLst/>
                          </a:prstGeom>
                          <a:noFill/>
                          <a:ln>
                            <a:noFill/>
                          </a:ln>
                        </pic:spPr>
                      </pic:pic>
                      <wps:wsp>
                        <wps:cNvPr id="56" name="Text Box 25"/>
                        <wps:cNvSpPr txBox="1">
                          <a:spLocks noChangeArrowheads="1"/>
                        </wps:cNvSpPr>
                        <wps:spPr bwMode="auto">
                          <a:xfrm>
                            <a:off x="3551" y="2006"/>
                            <a:ext cx="1201" cy="240"/>
                          </a:xfrm>
                          <a:prstGeom prst="rect">
                            <a:avLst/>
                          </a:prstGeom>
                          <a:noFill/>
                          <a:ln>
                            <a:noFill/>
                          </a:ln>
                        </wps:spPr>
                        <wps:txbx>
                          <w:txbxContent>
                            <w:p w14:paraId="3B651C52">
                              <w:pPr>
                                <w:pStyle w:val="5"/>
                                <w:kinsoku w:val="0"/>
                                <w:overflowPunct w:val="0"/>
                                <w:spacing w:line="240" w:lineRule="exact"/>
                                <w:rPr>
                                  <w:b/>
                                  <w:bCs/>
                                  <w:color w:val="FF0000"/>
                                  <w:spacing w:val="-3"/>
                                  <w:w w:val="95"/>
                                </w:rPr>
                              </w:pPr>
                              <w:r>
                                <w:rPr>
                                  <w:rFonts w:hint="eastAsia"/>
                                  <w:b/>
                                  <w:bCs/>
                                  <w:color w:val="FF0000"/>
                                  <w:spacing w:val="-3"/>
                                  <w:w w:val="95"/>
                                </w:rPr>
                                <w:t>项目区位置</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10.75pt;margin-top:10.15pt;height:576.3pt;width:415.8pt;z-index:251674624;mso-width-relative:page;mso-height-relative:page;" coordsize="7280,10760" o:allowincell="f" o:gfxdata="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">
                <o:lock v:ext="edit" aspectratio="f"/>
                <v:shape id="Picture 8" o:spid="_x0000_s1026" o:spt="75" type="#_x0000_t75" style="position:absolute;left:0;top:0;height:10760;width:7280;" filled="f" o:preferrelative="t" stroked="f" coordsize="21600,21600" o:gfxdata="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eL/R74A&#10;AADaAAAADwAAAAAAAAABACAAAAAiAAAAZHJzL2Rvd25yZXYueG1sUEsBAhQAFAAAAAgAh07iQDMv&#10;BZ47AAAAOQAAABAAAAAAAAAAAQAgAAAADQEAAGRycy9zaGFwZXhtbC54bWxQSwUGAAAAAAYABgBb&#10;AQAAtwMAAAAA&#10;">
                  <v:fill on="f" focussize="0,0"/>
                  <v:stroke on="f"/>
                  <v:imagedata r:id="rId83" o:title=""/>
                  <o:lock v:ext="edit" aspectratio="t"/>
                </v:shape>
                <v:group id="Group 9" o:spid="_x0000_s1026" o:spt="203" style="position:absolute;left:4126;top:1860;height:1156;width:2163;" coordorigin="4126,1860" coordsize="2163,1156" o:gfxdata="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tkKr5vAAAANsAAAAPAAAAAAAAAAEAIAAAACIAAABkcnMvZG93bnJldi54bWxQ&#10;SwECFAAUAAAACACHTuJAMy8FnjsAAAA5AAAAFQAAAAAAAAABACAAAAALAQAAZHJzL2dyb3Vwc2hh&#10;cGV4bWwueG1sUEsFBgAAAAAGAAYAYAEAAMgDAAAAAA==&#10;">
                  <o:lock v:ext="edit" aspectratio="f"/>
                  <v:shape id="Freeform 11" o:spid="_x0000_s1026" o:spt="100" style="position:absolute;left:4126;top:1860;height:1156;width:2163;" fillcolor="#FF0000" filled="t" stroked="f" coordsize="2163,1156" o:gfxdata="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Po0N25AAAA2wAA&#10;AA8AAAAAAAAAAQAgAAAAIgAAAGRycy9kb3ducmV2LnhtbFBLAQIUABQAAAAIAIdO4kAzLwWeOwAA&#10;ADkAAAAQAAAAAAAAAAEAIAAAAAgBAABkcnMvc2hhcGV4bWwueG1sUEsFBgAAAAAGAAYAWwEAALID&#10;AAAAAA==&#10;" path="m779,20l769,20,779,10,779,20xe">
                    <v:path o:connectlocs="779,20;769,20;779,10;779,20" o:connectangles="0,0,0,0"/>
                    <v:fill on="t" focussize="0,0"/>
                    <v:stroke on="f"/>
                    <v:imagedata o:title=""/>
                    <o:lock v:ext="edit" aspectratio="f"/>
                  </v:shape>
                  <v:shape id="Freeform 14" o:spid="_x0000_s1026" o:spt="100" style="position:absolute;left:4126;top:1860;height:1156;width:2163;" fillcolor="#FF0000" filled="t" stroked="f" coordsize="2163,1156" o:gfxdata="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Iv/u8AAAA&#10;2wAAAA8AAAAAAAAAAQAgAAAAIgAAAGRycy9kb3ducmV2LnhtbFBLAQIUABQAAAAIAIdO4kAzLwWe&#10;OwAAADkAAAAQAAAAAAAAAAEAIAAAAAsBAABkcnMvc2hhcGV4bWwueG1sUEsFBgAAAAAGAAYAWwEA&#10;ALUDAAAAAA==&#10;" path="m2162,20l2152,20,2142,10,2162,10,2162,20xe">
                    <v:path o:connectlocs="2162,20;2152,20;2142,10;2162,10;2162,20" o:connectangles="0,0,0,0,0"/>
                    <v:fill on="t" focussize="0,0"/>
                    <v:stroke on="f"/>
                    <v:imagedata o:title=""/>
                    <o:lock v:ext="edit" aspectratio="f"/>
                  </v:shape>
                  <v:shape id="Freeform 15" o:spid="_x0000_s1026" o:spt="100" style="position:absolute;left:4126;top:1860;height:1156;width:2163;" fillcolor="#FF0000" filled="t" stroked="f" coordsize="2163,1156" o:gfxdata="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aIYy8AAAA&#10;2wAAAA8AAAAAAAAAAQAgAAAAIgAAAGRycy9kb3ducmV2LnhtbFBLAQIUABQAAAAIAIdO4kAzLwWe&#10;OwAAADkAAAAQAAAAAAAAAAEAIAAAAAsBAABkcnMvc2hhcGV4bWwueG1sUEsFBgAAAAAGAAYAWwEA&#10;ALUDAAAAAA==&#10;" path="m779,526l769,516,779,516,779,526xe">
                    <v:path o:connectlocs="779,526;769,516;779,516;779,526" o:connectangles="0,0,0,0"/>
                    <v:fill on="t" focussize="0,0"/>
                    <v:stroke on="f"/>
                    <v:imagedata o:title=""/>
                    <o:lock v:ext="edit" aspectratio="f"/>
                  </v:shape>
                  <v:shape id="Freeform 18" o:spid="_x0000_s1026" o:spt="100" style="position:absolute;left:4126;top:1860;height:1156;width:2163;" fillcolor="#FF0000" filled="t" stroked="f" coordsize="2163,1156" o:gfxdata="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xEpJrsAAADb&#10;AAAADwAAAAAAAAABACAAAAAiAAAAZHJzL2Rvd25yZXYueG1sUEsBAhQAFAAAAAgAh07iQDMvBZ47&#10;AAAAOQAAABAAAAAAAAAAAQAgAAAACgEAAGRycy9zaGFwZXhtbC54bWxQSwUGAAAAAAYABgBbAQAA&#10;tAMAAAAA&#10;" path="m2162,526l2142,526,2152,516,2162,516,2162,526xe">
                    <v:path o:connectlocs="2162,526;2142,526;2152,516;2162,516;2162,526" o:connectangles="0,0,0,0,0"/>
                    <v:fill on="t" focussize="0,0"/>
                    <v:stroke on="f"/>
                    <v:imagedata o:title=""/>
                    <o:lock v:ext="edit" aspectratio="f"/>
                  </v:shape>
                  <v:shape id="Freeform 21" o:spid="_x0000_s1026" o:spt="100" style="position:absolute;left:4126;top:1860;height:1156;width:2163;" fillcolor="#FF0000" filled="t" stroked="f" coordsize="2163,1156" o:gfxdata="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UnVPK8AAAA&#10;2wAAAA8AAAAAAAAAAQAgAAAAIgAAAGRycy9kb3ducmV2LnhtbFBLAQIUABQAAAAIAIdO4kAzLwWe&#10;OwAAADkAAAAQAAAAAAAAAAEAIAAAAAsBAABkcnMvc2hhcGV4bWwueG1sUEsFBgAAAAAGAAYAWwEA&#10;ALUDAAAAAA==&#10;" path="m1347,536l1345,536,1349,536,1347,536xe">
                    <v:path o:connectlocs="1347,536;1345,536;1349,536;1347,536" o:connectangles="0,0,0,0"/>
                    <v:fill on="t" focussize="0,0"/>
                    <v:stroke on="f"/>
                    <v:imagedata o:title=""/>
                    <o:lock v:ext="edit" aspectratio="f"/>
                  </v:shape>
                </v:group>
                <v:shape id="Picture 24" o:spid="_x0000_s1026" o:spt="75" type="#_x0000_t75" style="position:absolute;left:4236;top:3381;height:280;width:278;" filled="f" o:preferrelative="t" stroked="f" coordsize="21600,21600" o:gfxdata="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7wZvvQAA&#10;ANsAAAAPAAAAAAAAAAEAIAAAACIAAABkcnMvZG93bnJldi54bWxQSwECFAAUAAAACACHTuJAMy8F&#10;njsAAAA5AAAAEAAAAAAAAAABACAAAAAMAQAAZHJzL3NoYXBleG1sLnhtbFBLBQYAAAAABgAGAFsB&#10;AAC2AwAAAAA=&#10;">
                  <v:fill on="f" focussize="0,0"/>
                  <v:stroke on="f"/>
                  <v:imagedata r:id="rId84" o:title=""/>
                  <o:lock v:ext="edit" aspectratio="t"/>
                </v:shape>
                <v:shape id="Text Box 25" o:spid="_x0000_s1026" o:spt="202" type="#_x0000_t202" style="position:absolute;left:3551;top:2006;height:240;width:1201;" filled="f" stroked="f" coordsize="21600,21600" o:gfxdata="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xXWX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3B651C52">
                        <w:pPr>
                          <w:pStyle w:val="5"/>
                          <w:kinsoku w:val="0"/>
                          <w:overflowPunct w:val="0"/>
                          <w:spacing w:line="240" w:lineRule="exact"/>
                          <w:rPr>
                            <w:b/>
                            <w:bCs/>
                            <w:color w:val="FF0000"/>
                            <w:spacing w:val="-3"/>
                            <w:w w:val="95"/>
                          </w:rPr>
                        </w:pPr>
                        <w:r>
                          <w:rPr>
                            <w:rFonts w:hint="eastAsia"/>
                            <w:b/>
                            <w:bCs/>
                            <w:color w:val="FF0000"/>
                            <w:spacing w:val="-3"/>
                            <w:w w:val="95"/>
                          </w:rPr>
                          <w:t>项目区位置</w:t>
                        </w:r>
                      </w:p>
                    </w:txbxContent>
                  </v:textbox>
                </v:shape>
              </v:group>
            </w:pict>
          </mc:Fallback>
        </mc:AlternateContent>
      </w:r>
    </w:p>
    <w:p w14:paraId="75AF7C33">
      <w:pPr>
        <w:pStyle w:val="120"/>
        <w:ind w:firstLine="454"/>
        <w:rPr>
          <w:rFonts w:hint="eastAsia"/>
          <w:color w:val="000000" w:themeColor="text1"/>
          <w:w w:val="95"/>
          <w14:textFill>
            <w14:solidFill>
              <w14:schemeClr w14:val="tx1"/>
            </w14:solidFill>
          </w14:textFill>
        </w:rPr>
      </w:pPr>
    </w:p>
    <w:p w14:paraId="683CABA2">
      <w:pPr>
        <w:pStyle w:val="120"/>
        <w:ind w:firstLine="454"/>
        <w:rPr>
          <w:rFonts w:hint="eastAsia"/>
          <w:color w:val="000000" w:themeColor="text1"/>
          <w:w w:val="95"/>
          <w14:textFill>
            <w14:solidFill>
              <w14:schemeClr w14:val="tx1"/>
            </w14:solidFill>
          </w14:textFill>
        </w:rPr>
      </w:pPr>
    </w:p>
    <w:p w14:paraId="7A915079">
      <w:pPr>
        <w:pStyle w:val="120"/>
        <w:rPr>
          <w:rFonts w:hint="eastAsia"/>
          <w:color w:val="000000" w:themeColor="text1"/>
          <w14:textFill>
            <w14:solidFill>
              <w14:schemeClr w14:val="tx1"/>
            </w14:solidFill>
          </w14:textFill>
        </w:rPr>
      </w:pPr>
    </w:p>
    <w:p w14:paraId="33C91E01">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2568575</wp:posOffset>
                </wp:positionH>
                <wp:positionV relativeFrom="paragraph">
                  <wp:posOffset>158750</wp:posOffset>
                </wp:positionV>
                <wp:extent cx="1139825" cy="317500"/>
                <wp:effectExtent l="6350" t="6350" r="15875" b="781050"/>
                <wp:wrapNone/>
                <wp:docPr id="109" name="矩形标注 109"/>
                <wp:cNvGraphicFramePr/>
                <a:graphic xmlns:a="http://schemas.openxmlformats.org/drawingml/2006/main">
                  <a:graphicData uri="http://schemas.microsoft.com/office/word/2010/wordprocessingShape">
                    <wps:wsp>
                      <wps:cNvSpPr/>
                      <wps:spPr>
                        <a:xfrm>
                          <a:off x="4040505" y="4869180"/>
                          <a:ext cx="1139825" cy="317500"/>
                        </a:xfrm>
                        <a:prstGeom prst="wedgeRectCallout">
                          <a:avLst>
                            <a:gd name="adj1" fmla="val 17242"/>
                            <a:gd name="adj2" fmla="val 283000"/>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80F419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2.25pt;margin-top:12.5pt;height:25pt;width:89.75pt;z-index:251681792;v-text-anchor:middle;mso-width-relative:page;mso-height-relative:page;" filled="f" stroked="t" coordsize="21600,21600" o:gfxdata="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&#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m7xi42AAAAAkBAAAPAAAAAAAAAAEAIAAAACIAAABk&#10;cnMvZG93bnJldi54bWxQSwECFAAUAAAACACHTuJAJDEuubECAABKBQAADgAAAAAAAAABACAAAAAn&#10;AQAAZHJzL2Uyb0RvYy54bWxQSwUGAAAAAAYABgBZAQAASgYAAAAA&#10;" adj="14524,71928">
                <v:fill on="f" focussize="0,0"/>
                <v:stroke weight="1pt" color="#FF0000 [2404]" miterlimit="8" joinstyle="miter"/>
                <v:imagedata o:title=""/>
                <o:lock v:ext="edit" aspectratio="f"/>
                <v:textbox>
                  <w:txbxContent>
                    <w:p w14:paraId="580F419C">
                      <w:pPr>
                        <w:jc w:val="center"/>
                      </w:pPr>
                    </w:p>
                  </w:txbxContent>
                </v:textbox>
              </v:shape>
            </w:pict>
          </mc:Fallback>
        </mc:AlternateContent>
      </w:r>
    </w:p>
    <w:p w14:paraId="4590E381">
      <w:pPr>
        <w:pStyle w:val="120"/>
        <w:rPr>
          <w:rFonts w:hint="eastAsia"/>
          <w:color w:val="000000" w:themeColor="text1"/>
          <w14:textFill>
            <w14:solidFill>
              <w14:schemeClr w14:val="tx1"/>
            </w14:solidFill>
          </w14:textFill>
        </w:rPr>
      </w:pPr>
    </w:p>
    <w:p w14:paraId="6274AF37">
      <w:pPr>
        <w:pStyle w:val="120"/>
        <w:rPr>
          <w:rFonts w:hint="eastAsia"/>
          <w:color w:val="000000" w:themeColor="text1"/>
          <w14:textFill>
            <w14:solidFill>
              <w14:schemeClr w14:val="tx1"/>
            </w14:solidFill>
          </w14:textFill>
        </w:rPr>
      </w:pPr>
    </w:p>
    <w:p w14:paraId="3172CBA4">
      <w:pPr>
        <w:pStyle w:val="120"/>
        <w:rPr>
          <w:rFonts w:hint="eastAsia"/>
          <w:color w:val="000000" w:themeColor="text1"/>
          <w14:textFill>
            <w14:solidFill>
              <w14:schemeClr w14:val="tx1"/>
            </w14:solidFill>
          </w14:textFill>
        </w:rPr>
      </w:pPr>
    </w:p>
    <w:p w14:paraId="1BFB1352">
      <w:pPr>
        <w:pStyle w:val="120"/>
        <w:rPr>
          <w:rFonts w:hint="eastAsia"/>
          <w:color w:val="000000" w:themeColor="text1"/>
          <w14:textFill>
            <w14:solidFill>
              <w14:schemeClr w14:val="tx1"/>
            </w14:solidFill>
          </w14:textFill>
        </w:rPr>
      </w:pPr>
    </w:p>
    <w:p w14:paraId="0A20E1DF">
      <w:pPr>
        <w:pStyle w:val="120"/>
        <w:rPr>
          <w:rFonts w:hint="eastAsia"/>
          <w:color w:val="000000" w:themeColor="text1"/>
          <w14:textFill>
            <w14:solidFill>
              <w14:schemeClr w14:val="tx1"/>
            </w14:solidFill>
          </w14:textFill>
        </w:rPr>
      </w:pPr>
    </w:p>
    <w:p w14:paraId="2A85DA84">
      <w:pPr>
        <w:pStyle w:val="120"/>
        <w:rPr>
          <w:rFonts w:hint="eastAsia"/>
          <w:color w:val="000000" w:themeColor="text1"/>
          <w14:textFill>
            <w14:solidFill>
              <w14:schemeClr w14:val="tx1"/>
            </w14:solidFill>
          </w14:textFill>
        </w:rPr>
      </w:pPr>
    </w:p>
    <w:p w14:paraId="6C1CBDC3">
      <w:pPr>
        <w:pStyle w:val="120"/>
        <w:rPr>
          <w:rFonts w:hint="eastAsia"/>
          <w:color w:val="000000" w:themeColor="text1"/>
          <w14:textFill>
            <w14:solidFill>
              <w14:schemeClr w14:val="tx1"/>
            </w14:solidFill>
          </w14:textFill>
        </w:rPr>
      </w:pPr>
    </w:p>
    <w:p w14:paraId="25A8CA71">
      <w:pPr>
        <w:pStyle w:val="120"/>
        <w:rPr>
          <w:rFonts w:hint="eastAsia"/>
          <w:color w:val="000000" w:themeColor="text1"/>
          <w14:textFill>
            <w14:solidFill>
              <w14:schemeClr w14:val="tx1"/>
            </w14:solidFill>
          </w14:textFill>
        </w:rPr>
      </w:pPr>
    </w:p>
    <w:p w14:paraId="576B1A68">
      <w:pPr>
        <w:pStyle w:val="120"/>
        <w:rPr>
          <w:rFonts w:hint="eastAsia"/>
          <w:color w:val="000000" w:themeColor="text1"/>
          <w14:textFill>
            <w14:solidFill>
              <w14:schemeClr w14:val="tx1"/>
            </w14:solidFill>
          </w14:textFill>
        </w:rPr>
      </w:pPr>
    </w:p>
    <w:p w14:paraId="42E0DAF4">
      <w:pPr>
        <w:pStyle w:val="120"/>
        <w:rPr>
          <w:rFonts w:hint="eastAsia"/>
          <w:color w:val="000000" w:themeColor="text1"/>
          <w14:textFill>
            <w14:solidFill>
              <w14:schemeClr w14:val="tx1"/>
            </w14:solidFill>
          </w14:textFill>
        </w:rPr>
      </w:pPr>
    </w:p>
    <w:p w14:paraId="473C8DF2">
      <w:pPr>
        <w:pStyle w:val="120"/>
        <w:rPr>
          <w:rFonts w:hint="eastAsia"/>
          <w:color w:val="000000" w:themeColor="text1"/>
          <w14:textFill>
            <w14:solidFill>
              <w14:schemeClr w14:val="tx1"/>
            </w14:solidFill>
          </w14:textFill>
        </w:rPr>
      </w:pPr>
    </w:p>
    <w:p w14:paraId="791E4571">
      <w:pPr>
        <w:pStyle w:val="120"/>
        <w:rPr>
          <w:rFonts w:hint="eastAsia"/>
          <w:color w:val="000000" w:themeColor="text1"/>
          <w14:textFill>
            <w14:solidFill>
              <w14:schemeClr w14:val="tx1"/>
            </w14:solidFill>
          </w14:textFill>
        </w:rPr>
      </w:pPr>
    </w:p>
    <w:p w14:paraId="195AF9A9">
      <w:pPr>
        <w:pStyle w:val="120"/>
        <w:rPr>
          <w:rFonts w:hint="eastAsia"/>
          <w:color w:val="000000" w:themeColor="text1"/>
          <w14:textFill>
            <w14:solidFill>
              <w14:schemeClr w14:val="tx1"/>
            </w14:solidFill>
          </w14:textFill>
        </w:rPr>
      </w:pPr>
    </w:p>
    <w:p w14:paraId="52289ABD">
      <w:pPr>
        <w:pStyle w:val="120"/>
        <w:rPr>
          <w:rFonts w:hint="eastAsia"/>
          <w:color w:val="000000" w:themeColor="text1"/>
          <w14:textFill>
            <w14:solidFill>
              <w14:schemeClr w14:val="tx1"/>
            </w14:solidFill>
          </w14:textFill>
        </w:rPr>
      </w:pPr>
    </w:p>
    <w:p w14:paraId="7AC53666">
      <w:pPr>
        <w:pStyle w:val="120"/>
        <w:rPr>
          <w:rFonts w:hint="eastAsia"/>
          <w:color w:val="000000" w:themeColor="text1"/>
          <w14:textFill>
            <w14:solidFill>
              <w14:schemeClr w14:val="tx1"/>
            </w14:solidFill>
          </w14:textFill>
        </w:rPr>
      </w:pPr>
    </w:p>
    <w:p w14:paraId="7AC4DCEA">
      <w:pPr>
        <w:pStyle w:val="120"/>
        <w:rPr>
          <w:rFonts w:hint="eastAsia"/>
          <w:color w:val="000000" w:themeColor="text1"/>
          <w14:textFill>
            <w14:solidFill>
              <w14:schemeClr w14:val="tx1"/>
            </w14:solidFill>
          </w14:textFill>
        </w:rPr>
      </w:pPr>
    </w:p>
    <w:p w14:paraId="6D5BF291">
      <w:pPr>
        <w:pStyle w:val="120"/>
        <w:rPr>
          <w:rFonts w:hint="eastAsia"/>
          <w:color w:val="000000" w:themeColor="text1"/>
          <w14:textFill>
            <w14:solidFill>
              <w14:schemeClr w14:val="tx1"/>
            </w14:solidFill>
          </w14:textFill>
        </w:rPr>
      </w:pPr>
    </w:p>
    <w:p w14:paraId="7B75A4BA">
      <w:pPr>
        <w:pStyle w:val="120"/>
        <w:rPr>
          <w:rFonts w:hint="eastAsia"/>
          <w:color w:val="000000" w:themeColor="text1"/>
          <w14:textFill>
            <w14:solidFill>
              <w14:schemeClr w14:val="tx1"/>
            </w14:solidFill>
          </w14:textFill>
        </w:rPr>
      </w:pPr>
    </w:p>
    <w:p w14:paraId="6B3D5DBE">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图5.2-1  项目区水文地质示意图</w:t>
      </w:r>
    </w:p>
    <w:p w14:paraId="2C422AB3">
      <w:pPr>
        <w:pStyle w:val="120"/>
        <w:rPr>
          <w:rFonts w:hint="eastAsia"/>
          <w:color w:val="000000" w:themeColor="text1"/>
          <w14:textFill>
            <w14:solidFill>
              <w14:schemeClr w14:val="tx1"/>
            </w14:solidFill>
          </w14:textFill>
        </w:rPr>
      </w:pPr>
      <w:bookmarkStart w:id="463" w:name="_Hlk175252710"/>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）事故状态下对地下水的影响</w:t>
      </w:r>
    </w:p>
    <w:p w14:paraId="016CE56E">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 xml:space="preserve">①井喷对地下水的影响分析 </w:t>
      </w:r>
    </w:p>
    <w:p w14:paraId="49AA5C9D">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井喷事故主要在井下作业过程中发生。井喷随油藏地层压力的不同，其发生概率和强度有所不同，大多数情况下是难以估计的。据国内油田资料统计，井喷事故发生的概率为0.1%—0.3%，根据现场调查，油区采用抽油机进行开采，随着开采年限的增加，区块地层压力逐渐减小，加上油井自喷能力弱，采取了严格的井控制度和井控措施，发生井喷的概率较小。</w:t>
      </w:r>
    </w:p>
    <w:p w14:paraId="27AFE0F5">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井喷事故一旦发生，大量的油气喷出井口，散落于井场周围，除造成重大经济损失外，还会造成严重的环境污染。井喷事故发生时对地下水环境的影响主要是原油以面源的形式渗漏进入包气带土壤并污染地下水。污染物迁移途径为地表以下的包气带和含水层，然后随地下水流动而污染地下水。类比新疆境内多个油田的环境影响评价报告，石油类污染物主要聚积在土壤表层1m以内，一般很难渗入到2m以下。同时油田区域气候干旱少雨，不存在大量降水的淋滤作用。因此，井喷事故中的泄漏原油不会进入地下含水层污染地下水。</w:t>
      </w:r>
    </w:p>
    <w:p w14:paraId="2155E7DB">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②井漏、油水窜层对地下水环境影响分析</w:t>
      </w:r>
    </w:p>
    <w:p w14:paraId="77AC6FA8">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1）地下水污染途径分析</w:t>
      </w:r>
    </w:p>
    <w:p w14:paraId="2D447B97">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※采油井固井质量不合格，油井套管破裂，发生井漏，石油类污染物有可能通过破裂的套管附近的孔隙、裂隙径流渗漏进入地下含水层，对地下水造成污染影响。</w:t>
      </w:r>
    </w:p>
    <w:p w14:paraId="37461790">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※预测情景设定</w:t>
      </w:r>
    </w:p>
    <w:p w14:paraId="1702C2A3">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考虑最不利情况，考虑采油井</w:t>
      </w:r>
      <w:r>
        <w:rPr>
          <w:rFonts w:hint="eastAsia"/>
          <w:color w:val="000000" w:themeColor="text1"/>
          <w:lang w:val="en-US"/>
          <w14:textFill>
            <w14:solidFill>
              <w14:schemeClr w14:val="tx1"/>
            </w14:solidFill>
          </w14:textFill>
        </w:rPr>
        <w:t>/注水井</w:t>
      </w:r>
      <w:r>
        <w:rPr>
          <w:color w:val="000000" w:themeColor="text1"/>
          <w:lang w:val="en-US"/>
          <w14:textFill>
            <w14:solidFill>
              <w14:schemeClr w14:val="tx1"/>
            </w14:solidFill>
          </w14:textFill>
        </w:rPr>
        <w:t>发生泄漏，污染物连续排放，发生窜层后，工程区内的污染物通过孔隙、裂隙径流至地下水含水层。</w:t>
      </w:r>
    </w:p>
    <w:p w14:paraId="5FF19A17">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※影响分析</w:t>
      </w:r>
    </w:p>
    <w:p w14:paraId="52B14B02">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采油井</w:t>
      </w:r>
      <w:r>
        <w:rPr>
          <w:rFonts w:hint="eastAsia"/>
          <w:color w:val="000000" w:themeColor="text1"/>
          <w:lang w:val="en-US"/>
          <w14:textFill>
            <w14:solidFill>
              <w14:schemeClr w14:val="tx1"/>
            </w14:solidFill>
          </w14:textFill>
        </w:rPr>
        <w:t>/注水井</w:t>
      </w:r>
      <w:r>
        <w:rPr>
          <w:color w:val="000000" w:themeColor="text1"/>
          <w:lang w:val="en-US"/>
          <w14:textFill>
            <w14:solidFill>
              <w14:schemeClr w14:val="tx1"/>
            </w14:solidFill>
          </w14:textFill>
        </w:rPr>
        <w:t>套管发生泄漏后，采出液中的石油类</w:t>
      </w:r>
      <w:r>
        <w:rPr>
          <w:rFonts w:hint="eastAsia"/>
          <w:color w:val="000000" w:themeColor="text1"/>
          <w:lang w:val="en-US"/>
          <w14:textFill>
            <w14:solidFill>
              <w14:schemeClr w14:val="tx1"/>
            </w14:solidFill>
          </w14:textFill>
        </w:rPr>
        <w:t>/净化后的注水井中的石油类、悬浮物</w:t>
      </w:r>
      <w:r>
        <w:rPr>
          <w:color w:val="000000" w:themeColor="text1"/>
          <w:lang w:val="en-US"/>
          <w14:textFill>
            <w14:solidFill>
              <w14:schemeClr w14:val="tx1"/>
            </w14:solidFill>
          </w14:textFill>
        </w:rPr>
        <w:t>在含水层中的迁移。随着时间、距离增加，污染物污染范围也呈增加趋势。由于项目区地下水影响范围内无集中式饮用水源和分散式饮用水源地等地下水环境保护目标，流经的孔隙、裂隙对石油类的拦截作用，进入含水层的石油类量是有限的。为防止井漏有水窜层污染地下水，表层套管严格封闭含水层，定期维护，定期检查固井质量，保证其合格，若发现固井质量不合格以及套管破损的情况后，及时进行修复，尽量避免窜层污染到泄漏点周边区域内的地下水。</w:t>
      </w:r>
    </w:p>
    <w:p w14:paraId="76975FB8">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③井下作业收集罐泄漏对地下水环境影响分析</w:t>
      </w:r>
    </w:p>
    <w:p w14:paraId="28400770">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井下作业定期进行，在井下作业过程时及时检查废水收集罐，确保收集罐完好再进行井下作业，且井下作业时间较短，废水收集罐发生泄漏的可能性较低，不会对区域地下水产生明显不利影响。</w:t>
      </w:r>
    </w:p>
    <w:p w14:paraId="3B6A154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④管线泄漏对地下水的影响</w:t>
      </w:r>
    </w:p>
    <w:p w14:paraId="6FBE0F9D">
      <w:pPr>
        <w:pStyle w:val="120"/>
        <w:rPr>
          <w:rFonts w:hint="eastAsia"/>
          <w:color w:val="000000" w:themeColor="text1"/>
          <w14:textFill>
            <w14:solidFill>
              <w14:schemeClr w14:val="tx1"/>
            </w14:solidFill>
          </w14:textFill>
        </w:rPr>
      </w:pPr>
      <w:bookmarkStart w:id="464" w:name="_Hlk147587649"/>
      <w:bookmarkStart w:id="465" w:name="_Toc25766"/>
      <w:bookmarkStart w:id="466" w:name="_Toc445996414"/>
      <w:bookmarkStart w:id="467" w:name="_Toc445842092"/>
      <w:r>
        <w:rPr>
          <w:rFonts w:hint="eastAsia"/>
          <w:color w:val="000000" w:themeColor="text1"/>
          <w14:textFill>
            <w14:solidFill>
              <w14:schemeClr w14:val="tx1"/>
            </w14:solidFill>
          </w14:textFill>
        </w:rPr>
        <w:t>1）地下水污染途径分析</w:t>
      </w:r>
    </w:p>
    <w:p w14:paraId="6969F24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非正常状况下，单井采油管线破裂导致原油泄漏，泄漏的原油可能通过包气带土层</w:t>
      </w:r>
      <w:r>
        <w:rPr>
          <w:color w:val="000000" w:themeColor="text1"/>
          <w14:textFill>
            <w14:solidFill>
              <w14:schemeClr w14:val="tx1"/>
            </w14:solidFill>
          </w14:textFill>
        </w:rPr>
        <w:t>渗漏进入</w:t>
      </w:r>
      <w:r>
        <w:rPr>
          <w:rFonts w:hint="eastAsia"/>
          <w:color w:val="000000" w:themeColor="text1"/>
          <w14:textFill>
            <w14:solidFill>
              <w14:schemeClr w14:val="tx1"/>
            </w14:solidFill>
          </w14:textFill>
        </w:rPr>
        <w:t>地下</w:t>
      </w:r>
      <w:r>
        <w:rPr>
          <w:color w:val="000000" w:themeColor="text1"/>
          <w14:textFill>
            <w14:solidFill>
              <w14:schemeClr w14:val="tx1"/>
            </w14:solidFill>
          </w14:textFill>
        </w:rPr>
        <w:t>含水层</w:t>
      </w:r>
      <w:r>
        <w:rPr>
          <w:rFonts w:hint="eastAsia"/>
          <w:color w:val="000000" w:themeColor="text1"/>
          <w14:textFill>
            <w14:solidFill>
              <w14:schemeClr w14:val="tx1"/>
            </w14:solidFill>
          </w14:textFill>
        </w:rPr>
        <w:t>，对地下水造成污染影响。</w:t>
      </w:r>
    </w:p>
    <w:bookmarkEnd w:id="464"/>
    <w:p w14:paraId="2081159E">
      <w:pPr>
        <w:spacing w:line="500" w:lineRule="exact"/>
        <w:ind w:firstLine="48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2）预测情景设定</w:t>
      </w:r>
    </w:p>
    <w:p w14:paraId="1327173B">
      <w:pPr>
        <w:pStyle w:val="120"/>
        <w:rPr>
          <w:rFonts w:hint="eastAsia"/>
          <w:color w:val="000000" w:themeColor="text1"/>
          <w14:textFill>
            <w14:solidFill>
              <w14:schemeClr w14:val="tx1"/>
            </w14:solidFill>
          </w14:textFill>
        </w:rPr>
      </w:pPr>
      <w:r>
        <w:rPr>
          <w:color w:val="000000" w:themeColor="text1"/>
          <w:lang w:val="en-US"/>
          <w14:textFill>
            <w14:solidFill>
              <w14:schemeClr w14:val="tx1"/>
            </w14:solidFill>
          </w14:textFill>
        </w:rPr>
        <w:t>根据《建设项目环境风险评价技术导则》（HJ169-2018）中附录E可知，单井采油管线发生孔径为10%的泄漏事故泄漏频率为2.40×10</w:t>
      </w:r>
      <w:r>
        <w:rPr>
          <w:color w:val="000000" w:themeColor="text1"/>
          <w:vertAlign w:val="superscript"/>
          <w:lang w:val="en-US"/>
          <w14:textFill>
            <w14:solidFill>
              <w14:schemeClr w14:val="tx1"/>
            </w14:solidFill>
          </w14:textFill>
        </w:rPr>
        <w:t>-6</w:t>
      </w:r>
      <w:r>
        <w:rPr>
          <w:color w:val="000000" w:themeColor="text1"/>
          <w:lang w:val="en-US"/>
          <w14:textFill>
            <w14:solidFill>
              <w14:schemeClr w14:val="tx1"/>
            </w14:solidFill>
          </w14:textFill>
        </w:rPr>
        <w:t>/（m</w:t>
      </w:r>
      <w:r>
        <w:rPr>
          <w:rFonts w:ascii="Times New Roman" w:hAnsi="Times New Roman"/>
          <w:color w:val="000000" w:themeColor="text1"/>
          <w:lang w:val="en-US"/>
          <w14:textFill>
            <w14:solidFill>
              <w14:schemeClr w14:val="tx1"/>
            </w14:solidFill>
          </w14:textFill>
        </w:rPr>
        <w:t>▪</w:t>
      </w:r>
      <w:r>
        <w:rPr>
          <w:color w:val="000000" w:themeColor="text1"/>
          <w:lang w:val="en-US"/>
          <w14:textFill>
            <w14:solidFill>
              <w14:schemeClr w14:val="tx1"/>
            </w14:solidFill>
          </w14:textFill>
        </w:rPr>
        <w:t>a），发生全管径泄漏的泄漏频率为1.0×10</w:t>
      </w:r>
      <w:r>
        <w:rPr>
          <w:color w:val="000000" w:themeColor="text1"/>
          <w:vertAlign w:val="superscript"/>
          <w:lang w:val="en-US"/>
          <w14:textFill>
            <w14:solidFill>
              <w14:schemeClr w14:val="tx1"/>
            </w14:solidFill>
          </w14:textFill>
        </w:rPr>
        <w:t>-7</w:t>
      </w:r>
      <w:r>
        <w:rPr>
          <w:color w:val="000000" w:themeColor="text1"/>
          <w:lang w:val="en-US"/>
          <w14:textFill>
            <w14:solidFill>
              <w14:schemeClr w14:val="tx1"/>
            </w14:solidFill>
          </w14:textFill>
        </w:rPr>
        <w:t>/（m</w:t>
      </w:r>
      <w:r>
        <w:rPr>
          <w:rFonts w:ascii="Times New Roman" w:hAnsi="Times New Roman"/>
          <w:color w:val="000000" w:themeColor="text1"/>
          <w:lang w:val="en-US"/>
          <w14:textFill>
            <w14:solidFill>
              <w14:schemeClr w14:val="tx1"/>
            </w14:solidFill>
          </w14:textFill>
        </w:rPr>
        <w:t>▪</w:t>
      </w:r>
      <w:r>
        <w:rPr>
          <w:color w:val="000000" w:themeColor="text1"/>
          <w:lang w:val="en-US"/>
          <w14:textFill>
            <w14:solidFill>
              <w14:schemeClr w14:val="tx1"/>
            </w14:solidFill>
          </w14:textFill>
        </w:rPr>
        <w:t>a），根据《建设项目环境风险评价技术导则》（HJ169-2018）规定：“发生频率小于10</w:t>
      </w:r>
      <w:r>
        <w:rPr>
          <w:color w:val="000000" w:themeColor="text1"/>
          <w:vertAlign w:val="superscript"/>
          <w:lang w:val="en-US"/>
          <w14:textFill>
            <w14:solidFill>
              <w14:schemeClr w14:val="tx1"/>
            </w14:solidFill>
          </w14:textFill>
        </w:rPr>
        <w:t>-6</w:t>
      </w:r>
      <w:r>
        <w:rPr>
          <w:color w:val="000000" w:themeColor="text1"/>
          <w:lang w:val="en-US"/>
          <w14:textFill>
            <w14:solidFill>
              <w14:schemeClr w14:val="tx1"/>
            </w14:solidFill>
          </w14:textFill>
        </w:rPr>
        <w:t>/年的事件是极小概率事件，可作为代表性事故情形中最大可信事故设定的参考”。根据各泄漏事故的泄漏频率可知，本次选取单井采油管线发生孔径（DN</w:t>
      </w:r>
      <w:r>
        <w:rPr>
          <w:rFonts w:hint="eastAsia"/>
          <w:color w:val="000000" w:themeColor="text1"/>
          <w:lang w:val="en-US"/>
          <w14:textFill>
            <w14:solidFill>
              <w14:schemeClr w14:val="tx1"/>
            </w14:solidFill>
          </w14:textFill>
        </w:rPr>
        <w:t>50</w:t>
      </w:r>
      <w:r>
        <w:rPr>
          <w:color w:val="000000" w:themeColor="text1"/>
          <w:lang w:val="en-US"/>
          <w14:textFill>
            <w14:solidFill>
              <w14:schemeClr w14:val="tx1"/>
            </w14:solidFill>
          </w14:textFill>
        </w:rPr>
        <w:t>）为10%的泄漏对地下水产生的影响进行预测。</w:t>
      </w:r>
    </w:p>
    <w:p w14:paraId="5DB2FB30">
      <w:pPr>
        <w:pStyle w:val="120"/>
        <w:rPr>
          <w:rFonts w:hint="eastAsia"/>
          <w:color w:val="000000" w:themeColor="text1"/>
          <w14:textFill>
            <w14:solidFill>
              <w14:schemeClr w14:val="tx1"/>
            </w14:solidFill>
          </w14:textFill>
        </w:rPr>
      </w:pPr>
      <w:bookmarkStart w:id="468" w:name="_Hlk147587667"/>
      <w:r>
        <w:rPr>
          <w:rFonts w:hint="eastAsia"/>
          <w:color w:val="000000" w:themeColor="text1"/>
          <w14:textFill>
            <w14:solidFill>
              <w14:schemeClr w14:val="tx1"/>
            </w14:solidFill>
          </w14:textFill>
        </w:rPr>
        <w:t>3）泄漏量预测</w:t>
      </w:r>
    </w:p>
    <w:p w14:paraId="365B489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按最不利情况考虑假设条件，假设</w:t>
      </w:r>
      <w:r>
        <w:rPr>
          <w:color w:val="000000" w:themeColor="text1"/>
          <w:lang w:val="en-US"/>
          <w14:textFill>
            <w14:solidFill>
              <w14:schemeClr w14:val="tx1"/>
            </w14:solidFill>
          </w14:textFill>
        </w:rPr>
        <w:t>单井采油管线发生孔径10mm</w:t>
      </w:r>
      <w:r>
        <w:rPr>
          <w:rFonts w:hint="eastAsia"/>
          <w:color w:val="000000" w:themeColor="text1"/>
          <w14:textFill>
            <w14:solidFill>
              <w14:schemeClr w14:val="tx1"/>
            </w14:solidFill>
          </w14:textFill>
        </w:rPr>
        <w:t>泄漏，泄漏</w:t>
      </w:r>
      <w:r>
        <w:rPr>
          <w:color w:val="000000" w:themeColor="text1"/>
          <w14:textFill>
            <w14:solidFill>
              <w14:schemeClr w14:val="tx1"/>
            </w14:solidFill>
          </w14:textFill>
        </w:rPr>
        <w:t>速度Q</w:t>
      </w:r>
      <w:r>
        <w:rPr>
          <w:color w:val="000000" w:themeColor="text1"/>
          <w:vertAlign w:val="subscript"/>
          <w14:textFill>
            <w14:solidFill>
              <w14:schemeClr w14:val="tx1"/>
            </w14:solidFill>
          </w14:textFill>
        </w:rPr>
        <w:t>L</w:t>
      </w:r>
      <w:r>
        <w:rPr>
          <w:color w:val="000000" w:themeColor="text1"/>
          <w14:textFill>
            <w14:solidFill>
              <w14:schemeClr w14:val="tx1"/>
            </w14:solidFill>
          </w14:textFill>
        </w:rPr>
        <w:t>用</w:t>
      </w:r>
      <w:r>
        <w:rPr>
          <w:rFonts w:hint="eastAsia"/>
          <w:color w:val="000000" w:themeColor="text1"/>
          <w14:textFill>
            <w14:solidFill>
              <w14:schemeClr w14:val="tx1"/>
            </w14:solidFill>
          </w14:textFill>
        </w:rPr>
        <w:t>伯</w:t>
      </w:r>
      <w:r>
        <w:rPr>
          <w:color w:val="000000" w:themeColor="text1"/>
          <w14:textFill>
            <w14:solidFill>
              <w14:schemeClr w14:val="tx1"/>
            </w14:solidFill>
          </w14:textFill>
        </w:rPr>
        <w:t>努利方程计算：</w:t>
      </w:r>
    </w:p>
    <w:p w14:paraId="66FC8EC3">
      <w:pPr>
        <w:spacing w:line="860" w:lineRule="exact"/>
        <w:ind w:firstLine="480" w:firstLineChars="200"/>
        <w:jc w:val="center"/>
        <w:rPr>
          <w:rFonts w:hint="eastAsia"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object>
          <v:shape id="_x0000_i1031" o:spt="75" type="#_x0000_t75" style="height:34.4pt;width:144pt;" o:ole="t" filled="f" o:preferrelative="t" stroked="f" coordsize="21600,21600">
            <v:path/>
            <v:fill on="f" focussize="0,0"/>
            <v:stroke on="f" joinstyle="miter"/>
            <v:imagedata r:id="rId86" o:title=""/>
            <o:lock v:ext="edit" aspectratio="t"/>
            <w10:wrap type="none"/>
            <w10:anchorlock/>
          </v:shape>
          <o:OLEObject Type="Embed" ProgID="Visio.Drawing.11" ShapeID="_x0000_i1031" DrawAspect="Content" ObjectID="_1468075731" r:id="rId85">
            <o:LockedField>false</o:LockedField>
          </o:OLEObject>
        </w:object>
      </w:r>
    </w:p>
    <w:p w14:paraId="01FDBABE">
      <w:pPr>
        <w:pStyle w:val="120"/>
        <w:rPr>
          <w:rFonts w:hint="eastAsia"/>
          <w:color w:val="000000" w:themeColor="text1"/>
          <w:lang w:val="en-US"/>
          <w14:textFill>
            <w14:solidFill>
              <w14:schemeClr w14:val="tx1"/>
            </w14:solidFill>
          </w14:textFill>
        </w:rPr>
      </w:pPr>
      <w:r>
        <w:rPr>
          <w:color w:val="000000" w:themeColor="text1"/>
          <w14:textFill>
            <w14:solidFill>
              <w14:schemeClr w14:val="tx1"/>
            </w14:solidFill>
          </w14:textFill>
        </w:rPr>
        <w:t>式中</w:t>
      </w:r>
      <w:r>
        <w:rPr>
          <w:color w:val="000000" w:themeColor="text1"/>
          <w:lang w:val="en-US"/>
          <w14:textFill>
            <w14:solidFill>
              <w14:schemeClr w14:val="tx1"/>
            </w14:solidFill>
          </w14:textFill>
        </w:rPr>
        <w:t>：</w:t>
      </w:r>
    </w:p>
    <w:p w14:paraId="7DF1ADB6">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Q</w:t>
      </w:r>
      <w:r>
        <w:rPr>
          <w:color w:val="000000" w:themeColor="text1"/>
          <w:vertAlign w:val="subscript"/>
          <w:lang w:val="en-US"/>
          <w14:textFill>
            <w14:solidFill>
              <w14:schemeClr w14:val="tx1"/>
            </w14:solidFill>
          </w14:textFill>
        </w:rPr>
        <w:t>L</w:t>
      </w:r>
      <w:r>
        <w:rPr>
          <w:color w:val="000000" w:themeColor="text1"/>
          <w:lang w:val="en-US"/>
          <w14:textFill>
            <w14:solidFill>
              <w14:schemeClr w14:val="tx1"/>
            </w14:solidFill>
          </w14:textFill>
        </w:rPr>
        <w:t>——</w:t>
      </w:r>
      <w:r>
        <w:rPr>
          <w:color w:val="000000" w:themeColor="text1"/>
          <w14:textFill>
            <w14:solidFill>
              <w14:schemeClr w14:val="tx1"/>
            </w14:solidFill>
          </w14:textFill>
        </w:rPr>
        <w:t>液体泄漏速度</w:t>
      </w:r>
      <w:r>
        <w:rPr>
          <w:color w:val="000000" w:themeColor="text1"/>
          <w:lang w:val="en-US"/>
          <w14:textFill>
            <w14:solidFill>
              <w14:schemeClr w14:val="tx1"/>
            </w14:solidFill>
          </w14:textFill>
        </w:rPr>
        <w:t>，kg/s；</w:t>
      </w:r>
    </w:p>
    <w:p w14:paraId="3BA22325">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d</w:t>
      </w:r>
      <w:r>
        <w:rPr>
          <w:color w:val="000000" w:themeColor="text1"/>
          <w14:textFill>
            <w14:solidFill>
              <w14:schemeClr w14:val="tx1"/>
            </w14:solidFill>
          </w14:textFill>
        </w:rPr>
        <w:t>——液体泄漏系数，取0.65；</w:t>
      </w:r>
    </w:p>
    <w:p w14:paraId="562B0EF1">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A——裂口面积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4CE91ED9">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ρ——泄漏液体密度</w:t>
      </w:r>
      <w:r>
        <w:rPr>
          <w:rFonts w:hint="eastAsia"/>
          <w:color w:val="000000" w:themeColor="text1"/>
          <w14:textFill>
            <w14:solidFill>
              <w14:schemeClr w14:val="tx1"/>
            </w14:solidFill>
          </w14:textFill>
        </w:rPr>
        <w:t>；</w:t>
      </w:r>
    </w:p>
    <w:p w14:paraId="265148DE">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P——容器内介质压力，Pa；</w:t>
      </w:r>
    </w:p>
    <w:p w14:paraId="176544EB">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——环境压力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Pa；</w:t>
      </w:r>
    </w:p>
    <w:p w14:paraId="23119DCD">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g——</w:t>
      </w:r>
      <w:r>
        <w:rPr>
          <w:color w:val="000000" w:themeColor="text1"/>
          <w14:textFill>
            <w14:solidFill>
              <w14:schemeClr w14:val="tx1"/>
            </w14:solidFill>
          </w14:textFill>
        </w:rPr>
        <w:t>重力加速度</w:t>
      </w:r>
      <w:r>
        <w:rPr>
          <w:color w:val="000000" w:themeColor="text1"/>
          <w:lang w:val="en-US"/>
          <w14:textFill>
            <w14:solidFill>
              <w14:schemeClr w14:val="tx1"/>
            </w14:solidFill>
          </w14:textFill>
        </w:rPr>
        <w:t>，9.8m/s</w:t>
      </w:r>
      <w:r>
        <w:rPr>
          <w:color w:val="000000" w:themeColor="text1"/>
          <w:vertAlign w:val="superscript"/>
          <w:lang w:val="en-US"/>
          <w14:textFill>
            <w14:solidFill>
              <w14:schemeClr w14:val="tx1"/>
            </w14:solidFill>
          </w14:textFill>
        </w:rPr>
        <w:t>2</w:t>
      </w:r>
      <w:r>
        <w:rPr>
          <w:color w:val="000000" w:themeColor="text1"/>
          <w:lang w:val="en-US"/>
          <w14:textFill>
            <w14:solidFill>
              <w14:schemeClr w14:val="tx1"/>
            </w14:solidFill>
          </w14:textFill>
        </w:rPr>
        <w:t>；</w:t>
      </w:r>
    </w:p>
    <w:p w14:paraId="75DF7E50">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h——</w:t>
      </w:r>
      <w:r>
        <w:rPr>
          <w:color w:val="000000" w:themeColor="text1"/>
          <w14:textFill>
            <w14:solidFill>
              <w14:schemeClr w14:val="tx1"/>
            </w14:solidFill>
          </w14:textFill>
        </w:rPr>
        <w:t>裂口之上液位高度</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m</w:t>
      </w:r>
      <w:r>
        <w:rPr>
          <w:color w:val="000000" w:themeColor="text1"/>
          <w14:textFill>
            <w14:solidFill>
              <w14:schemeClr w14:val="tx1"/>
            </w14:solidFill>
          </w14:textFill>
        </w:rPr>
        <w:t>。</w:t>
      </w:r>
    </w:p>
    <w:p w14:paraId="19FDAFC9">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经计算，在设定事故条件下泄漏速率见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p>
    <w:p w14:paraId="002EB5E7">
      <w:pPr>
        <w:pStyle w:val="19"/>
        <w:rPr>
          <w:rFonts w:hint="eastAsia"/>
          <w:color w:val="000000" w:themeColor="text1"/>
          <w14:textFill>
            <w14:solidFill>
              <w14:schemeClr w14:val="tx1"/>
            </w14:solidFill>
          </w14:textFill>
        </w:rPr>
      </w:pPr>
    </w:p>
    <w:p w14:paraId="1B776591">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 xml:space="preserve">  设定事故条件下泄漏速率计算结果</w:t>
      </w:r>
    </w:p>
    <w:tbl>
      <w:tblPr>
        <w:tblStyle w:val="51"/>
        <w:tblW w:w="873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34"/>
        <w:gridCol w:w="1134"/>
        <w:gridCol w:w="1560"/>
        <w:gridCol w:w="1275"/>
        <w:gridCol w:w="1134"/>
        <w:gridCol w:w="1276"/>
        <w:gridCol w:w="1218"/>
      </w:tblGrid>
      <w:tr w14:paraId="462754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vAlign w:val="center"/>
          </w:tcPr>
          <w:p w14:paraId="4E8021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1134" w:type="dxa"/>
            <w:vAlign w:val="center"/>
          </w:tcPr>
          <w:p w14:paraId="2482A97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泄漏口面积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1560" w:type="dxa"/>
            <w:vAlign w:val="center"/>
          </w:tcPr>
          <w:p w14:paraId="43AC8EA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泄漏口之上液位高度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p>
        </w:tc>
        <w:tc>
          <w:tcPr>
            <w:tcW w:w="1275" w:type="dxa"/>
            <w:vAlign w:val="center"/>
          </w:tcPr>
          <w:p w14:paraId="4DE974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管道内</w:t>
            </w:r>
            <w:r>
              <w:rPr>
                <w:color w:val="000000" w:themeColor="text1"/>
                <w14:textFill>
                  <w14:solidFill>
                    <w14:schemeClr w14:val="tx1"/>
                  </w14:solidFill>
                </w14:textFill>
              </w:rPr>
              <w:t>压力</w:t>
            </w:r>
            <w:r>
              <w:rPr>
                <w:rFonts w:hint="eastAsia"/>
                <w:color w:val="000000" w:themeColor="text1"/>
                <w14:textFill>
                  <w14:solidFill>
                    <w14:schemeClr w14:val="tx1"/>
                  </w14:solidFill>
                </w14:textFill>
              </w:rPr>
              <w:t>（MPa）</w:t>
            </w:r>
          </w:p>
        </w:tc>
        <w:tc>
          <w:tcPr>
            <w:tcW w:w="1134" w:type="dxa"/>
            <w:vAlign w:val="center"/>
          </w:tcPr>
          <w:p w14:paraId="102C4E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压力</w:t>
            </w:r>
            <w:r>
              <w:rPr>
                <w:rFonts w:hint="eastAsia"/>
                <w:color w:val="000000" w:themeColor="text1"/>
                <w14:textFill>
                  <w14:solidFill>
                    <w14:schemeClr w14:val="tx1"/>
                  </w14:solidFill>
                </w14:textFill>
              </w:rPr>
              <w:t>（MPa）</w:t>
            </w:r>
          </w:p>
        </w:tc>
        <w:tc>
          <w:tcPr>
            <w:tcW w:w="1276" w:type="dxa"/>
            <w:vAlign w:val="center"/>
          </w:tcPr>
          <w:p w14:paraId="0EBE3BA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液体密度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kg/m</w:t>
            </w:r>
            <w:r>
              <w:rPr>
                <w:color w:val="000000" w:themeColor="text1"/>
                <w:vertAlign w:val="superscript"/>
                <w14:textFill>
                  <w14:solidFill>
                    <w14:schemeClr w14:val="tx1"/>
                  </w14:solidFill>
                </w14:textFill>
              </w:rPr>
              <w:t>3</w:t>
            </w:r>
            <w:r>
              <w:rPr>
                <w:rFonts w:hint="eastAsia"/>
                <w:color w:val="000000" w:themeColor="text1"/>
                <w:vertAlign w:val="superscript"/>
                <w14:textFill>
                  <w14:solidFill>
                    <w14:schemeClr w14:val="tx1"/>
                  </w14:solidFill>
                </w14:textFill>
              </w:rPr>
              <w:t>）</w:t>
            </w:r>
          </w:p>
        </w:tc>
        <w:tc>
          <w:tcPr>
            <w:tcW w:w="1218" w:type="dxa"/>
            <w:vAlign w:val="center"/>
          </w:tcPr>
          <w:p w14:paraId="3304471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泄漏速</w:t>
            </w:r>
            <w:r>
              <w:rPr>
                <w:rFonts w:hint="eastAsia"/>
                <w:color w:val="000000" w:themeColor="text1"/>
                <w14:textFill>
                  <w14:solidFill>
                    <w14:schemeClr w14:val="tx1"/>
                  </w14:solidFill>
                </w14:textFill>
              </w:rPr>
              <w:t>度（</w:t>
            </w:r>
            <w:r>
              <w:rPr>
                <w:color w:val="000000" w:themeColor="text1"/>
                <w14:textFill>
                  <w14:solidFill>
                    <w14:schemeClr w14:val="tx1"/>
                  </w14:solidFill>
                </w14:textFill>
              </w:rPr>
              <w:t>kg/s</w:t>
            </w:r>
            <w:r>
              <w:rPr>
                <w:rFonts w:hint="eastAsia"/>
                <w:color w:val="000000" w:themeColor="text1"/>
                <w14:textFill>
                  <w14:solidFill>
                    <w14:schemeClr w14:val="tx1"/>
                  </w14:solidFill>
                </w14:textFill>
              </w:rPr>
              <w:t>）</w:t>
            </w:r>
          </w:p>
        </w:tc>
      </w:tr>
      <w:tr w14:paraId="4714C3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vAlign w:val="center"/>
          </w:tcPr>
          <w:p w14:paraId="6DE59AB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单井采油管线</w:t>
            </w:r>
          </w:p>
        </w:tc>
        <w:tc>
          <w:tcPr>
            <w:tcW w:w="1134" w:type="dxa"/>
            <w:vAlign w:val="center"/>
          </w:tcPr>
          <w:p w14:paraId="1C6C771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0.0000</w:t>
            </w:r>
            <w:r>
              <w:rPr>
                <w:rFonts w:hint="eastAsia"/>
                <w:color w:val="000000" w:themeColor="text1"/>
                <w14:textFill>
                  <w14:solidFill>
                    <w14:schemeClr w14:val="tx1"/>
                  </w14:solidFill>
                </w14:textFill>
              </w:rPr>
              <w:t>2</w:t>
            </w:r>
          </w:p>
        </w:tc>
        <w:tc>
          <w:tcPr>
            <w:tcW w:w="1560" w:type="dxa"/>
            <w:vAlign w:val="center"/>
          </w:tcPr>
          <w:p w14:paraId="082120F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275" w:type="dxa"/>
            <w:vAlign w:val="center"/>
          </w:tcPr>
          <w:p w14:paraId="79FB8B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1134" w:type="dxa"/>
            <w:vAlign w:val="center"/>
          </w:tcPr>
          <w:p w14:paraId="42196A4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0.101</w:t>
            </w:r>
          </w:p>
        </w:tc>
        <w:tc>
          <w:tcPr>
            <w:tcW w:w="1276" w:type="dxa"/>
            <w:vAlign w:val="center"/>
          </w:tcPr>
          <w:p w14:paraId="640E9B1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941</w:t>
            </w:r>
          </w:p>
        </w:tc>
        <w:tc>
          <w:tcPr>
            <w:tcW w:w="1218" w:type="dxa"/>
            <w:vAlign w:val="center"/>
          </w:tcPr>
          <w:p w14:paraId="1F60291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0.87</w:t>
            </w:r>
          </w:p>
        </w:tc>
      </w:tr>
    </w:tbl>
    <w:p w14:paraId="02A859A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-6可知，单井采油管线泄漏速率为0.87</w:t>
      </w:r>
      <w:r>
        <w:rPr>
          <w:color w:val="000000" w:themeColor="text1"/>
          <w14:textFill>
            <w14:solidFill>
              <w14:schemeClr w14:val="tx1"/>
            </w14:solidFill>
          </w14:textFill>
        </w:rPr>
        <w:t>kg/s</w:t>
      </w:r>
      <w:r>
        <w:rPr>
          <w:rFonts w:hint="eastAsia"/>
          <w:color w:val="000000" w:themeColor="text1"/>
          <w14:textFill>
            <w14:solidFill>
              <w14:schemeClr w14:val="tx1"/>
            </w14:solidFill>
          </w14:textFill>
        </w:rPr>
        <w:t>（采出液中平均含水率为50%），单井采油管线假定发现泄漏后30min处理完毕，切断事故阀门，则单井采油管线原油泄漏量为0.783</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。结合项目可研报告提供相关数据可知，单井采油管线的最大输送油量为0.04</w:t>
      </w:r>
      <w:r>
        <w:rPr>
          <w:color w:val="000000" w:themeColor="text1"/>
          <w14:textFill>
            <w14:solidFill>
              <w14:schemeClr w14:val="tx1"/>
            </w14:solidFill>
          </w14:textFill>
        </w:rPr>
        <w:t>kg/s</w:t>
      </w:r>
      <w:r>
        <w:rPr>
          <w:rFonts w:hint="eastAsia"/>
          <w:color w:val="000000" w:themeColor="text1"/>
          <w14:textFill>
            <w14:solidFill>
              <w14:schemeClr w14:val="tx1"/>
            </w14:solidFill>
          </w14:textFill>
        </w:rPr>
        <w:t>，由伯努利方程计算的泄漏量大于实际泄漏量，则本次按照实际泄漏量进行核算，单井采油管线假定发现泄漏后30min处理完毕，切断事故阀门，则单井采油管线的泄漏量为0.072</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。按照土壤表层对污染物截留率90%计算，集油干线泄漏后可能进入含水层的物料为0.0072t。</w:t>
      </w:r>
    </w:p>
    <w:bookmarkEnd w:id="468"/>
    <w:p w14:paraId="0F842EC4">
      <w:pPr>
        <w:spacing w:line="500" w:lineRule="exact"/>
        <w:ind w:firstLine="480" w:firstLineChars="200"/>
        <w:rPr>
          <w:rFonts w:hint="eastAsia" w:ascii="宋体" w:hAnsi="宋体"/>
          <w:color w:val="000000" w:themeColor="text1"/>
          <w:sz w:val="24"/>
          <w:szCs w:val="24"/>
          <w14:textFill>
            <w14:solidFill>
              <w14:schemeClr w14:val="tx1"/>
            </w14:solidFill>
          </w14:textFill>
        </w:rPr>
      </w:pPr>
      <w:bookmarkStart w:id="469" w:name="_Hlk147587693"/>
      <w:r>
        <w:rPr>
          <w:rFonts w:hint="eastAsia" w:ascii="宋体" w:hAnsi="宋体"/>
          <w:color w:val="000000" w:themeColor="text1"/>
          <w:sz w:val="24"/>
          <w:szCs w:val="24"/>
          <w14:textFill>
            <w14:solidFill>
              <w14:schemeClr w14:val="tx1"/>
            </w14:solidFill>
          </w14:textFill>
        </w:rPr>
        <w:t>4）影响预测</w:t>
      </w:r>
    </w:p>
    <w:p w14:paraId="5D02D98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预测因子为石油类，根据《环境影响评价技术导则  地下水环境》（HJ610-2016），采用解析法进行预测，预测模型选择导则推荐的地下水溶质运移解析法中的一维稳定流动二维弥散点源模型进行预测。</w:t>
      </w:r>
    </w:p>
    <w:p w14:paraId="516066C9">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2336" behindDoc="0" locked="0" layoutInCell="1" allowOverlap="1">
            <wp:simplePos x="0" y="0"/>
            <wp:positionH relativeFrom="column">
              <wp:posOffset>820420</wp:posOffset>
            </wp:positionH>
            <wp:positionV relativeFrom="paragraph">
              <wp:posOffset>51435</wp:posOffset>
            </wp:positionV>
            <wp:extent cx="2949575" cy="688975"/>
            <wp:effectExtent l="0" t="0" r="0" b="0"/>
            <wp:wrapNone/>
            <wp:docPr id="1146"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图片 769"/>
                    <pic:cNvPicPr>
                      <a:picLocks noChangeAspect="1" noChangeArrowheads="1"/>
                    </pic:cNvPicPr>
                  </pic:nvPicPr>
                  <pic:blipFill>
                    <a:blip r:embed="rId87">
                      <a:extLst>
                        <a:ext uri="{28A0092B-C50C-407E-A947-70E740481C1C}">
                          <a14:useLocalDpi xmlns:a14="http://schemas.microsoft.com/office/drawing/2010/main" val="0"/>
                        </a:ext>
                      </a:extLst>
                    </a:blip>
                    <a:srcRect t="8488" b="22752"/>
                    <a:stretch>
                      <a:fillRect/>
                    </a:stretch>
                  </pic:blipFill>
                  <pic:spPr>
                    <a:xfrm>
                      <a:off x="0" y="0"/>
                      <a:ext cx="2949575" cy="688975"/>
                    </a:xfrm>
                    <a:prstGeom prst="rect">
                      <a:avLst/>
                    </a:prstGeom>
                    <a:noFill/>
                    <a:ln>
                      <a:noFill/>
                    </a:ln>
                  </pic:spPr>
                </pic:pic>
              </a:graphicData>
            </a:graphic>
          </wp:anchor>
        </w:drawing>
      </w:r>
    </w:p>
    <w:p w14:paraId="7A541D2F">
      <w:pPr>
        <w:pStyle w:val="120"/>
        <w:rPr>
          <w:rFonts w:hint="eastAsia"/>
          <w:color w:val="000000" w:themeColor="text1"/>
          <w14:textFill>
            <w14:solidFill>
              <w14:schemeClr w14:val="tx1"/>
            </w14:solidFill>
          </w14:textFill>
        </w:rPr>
      </w:pPr>
    </w:p>
    <w:p w14:paraId="07F0910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式中：</w:t>
      </w:r>
    </w:p>
    <w:p w14:paraId="32F99F07">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x</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y—</w:t>
      </w:r>
      <w:r>
        <w:rPr>
          <w:rFonts w:hint="eastAsia"/>
          <w:color w:val="000000" w:themeColor="text1"/>
          <w14:textFill>
            <w14:solidFill>
              <w14:schemeClr w14:val="tx1"/>
            </w14:solidFill>
          </w14:textFill>
        </w:rPr>
        <w:t>计算点处的位置坐标；</w:t>
      </w:r>
    </w:p>
    <w:p w14:paraId="2D569A53">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t—</w:t>
      </w:r>
      <w:r>
        <w:rPr>
          <w:rFonts w:hint="eastAsia"/>
          <w:color w:val="000000" w:themeColor="text1"/>
          <w14:textFill>
            <w14:solidFill>
              <w14:schemeClr w14:val="tx1"/>
            </w14:solidFill>
          </w14:textFill>
        </w:rPr>
        <w:t>时间（</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w:t>
      </w:r>
    </w:p>
    <w:p w14:paraId="6E6B2044">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C(x,y,t)—t</w:t>
      </w:r>
      <w:r>
        <w:rPr>
          <w:rFonts w:hint="eastAsia"/>
          <w:color w:val="000000" w:themeColor="text1"/>
          <w14:textFill>
            <w14:solidFill>
              <w14:schemeClr w14:val="tx1"/>
            </w14:solidFill>
          </w14:textFill>
        </w:rPr>
        <w:t>时刻点</w:t>
      </w:r>
      <w:r>
        <w:rPr>
          <w:color w:val="000000" w:themeColor="text1"/>
          <w14:textFill>
            <w14:solidFill>
              <w14:schemeClr w14:val="tx1"/>
            </w14:solidFill>
          </w14:textFill>
        </w:rPr>
        <w:t>x,y</w:t>
      </w:r>
      <w:r>
        <w:rPr>
          <w:rFonts w:hint="eastAsia"/>
          <w:color w:val="000000" w:themeColor="text1"/>
          <w14:textFill>
            <w14:solidFill>
              <w14:schemeClr w14:val="tx1"/>
            </w14:solidFill>
          </w14:textFill>
        </w:rPr>
        <w:t>处的示踪剂浓度（</w:t>
      </w:r>
      <w:r>
        <w:rPr>
          <w:color w:val="000000" w:themeColor="text1"/>
          <w14:textFill>
            <w14:solidFill>
              <w14:schemeClr w14:val="tx1"/>
            </w14:solidFill>
          </w14:textFill>
        </w:rPr>
        <w:t>g/L</w:t>
      </w:r>
      <w:r>
        <w:rPr>
          <w:rFonts w:hint="eastAsia"/>
          <w:color w:val="000000" w:themeColor="text1"/>
          <w14:textFill>
            <w14:solidFill>
              <w14:schemeClr w14:val="tx1"/>
            </w14:solidFill>
          </w14:textFill>
        </w:rPr>
        <w:t>）；</w:t>
      </w:r>
    </w:p>
    <w:p w14:paraId="1EC1C0CC">
      <w:pPr>
        <w:pStyle w:val="120"/>
        <w:rPr>
          <w:rFonts w:hint="eastAsia"/>
          <w:color w:val="000000" w:themeColor="text1"/>
          <w:spacing w:val="-2"/>
          <w14:textFill>
            <w14:solidFill>
              <w14:schemeClr w14:val="tx1"/>
            </w14:solidFill>
          </w14:textFill>
        </w:rPr>
      </w:pPr>
      <w:r>
        <w:rPr>
          <w:color w:val="000000" w:themeColor="text1"/>
          <w14:textFill>
            <w14:solidFill>
              <w14:schemeClr w14:val="tx1"/>
            </w14:solidFill>
          </w14:textFill>
        </w:rPr>
        <w:t>M—</w:t>
      </w:r>
      <w:r>
        <w:rPr>
          <w:rFonts w:hint="eastAsia"/>
          <w:color w:val="000000" w:themeColor="text1"/>
          <w14:textFill>
            <w14:solidFill>
              <w14:schemeClr w14:val="tx1"/>
            </w14:solidFill>
          </w14:textFill>
        </w:rPr>
        <w:t>含水层厚度（</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p>
    <w:p w14:paraId="0A0E21C3">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M</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瞬时注入的质量（</w:t>
      </w:r>
      <w:r>
        <w:rPr>
          <w:color w:val="000000" w:themeColor="text1"/>
          <w14:textFill>
            <w14:solidFill>
              <w14:schemeClr w14:val="tx1"/>
            </w14:solidFill>
          </w14:textFill>
        </w:rPr>
        <w:t>kg</w:t>
      </w:r>
      <w:r>
        <w:rPr>
          <w:rFonts w:hint="eastAsia"/>
          <w:color w:val="000000" w:themeColor="text1"/>
          <w14:textFill>
            <w14:solidFill>
              <w14:schemeClr w14:val="tx1"/>
            </w14:solidFill>
          </w14:textFill>
        </w:rPr>
        <w:t>）；</w:t>
      </w:r>
    </w:p>
    <w:p w14:paraId="5B31EC89">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U—</w:t>
      </w:r>
      <w:r>
        <w:rPr>
          <w:rFonts w:hint="eastAsia"/>
          <w:color w:val="000000" w:themeColor="text1"/>
          <w14:textFill>
            <w14:solidFill>
              <w14:schemeClr w14:val="tx1"/>
            </w14:solidFill>
          </w14:textFill>
        </w:rPr>
        <w:t>水流速度（</w:t>
      </w:r>
      <w:r>
        <w:rPr>
          <w:color w:val="000000" w:themeColor="text1"/>
          <w14:textFill>
            <w14:solidFill>
              <w14:schemeClr w14:val="tx1"/>
            </w14:solidFill>
          </w14:textFill>
        </w:rPr>
        <w:t>m/d</w:t>
      </w:r>
      <w:r>
        <w:rPr>
          <w:rFonts w:hint="eastAsia"/>
          <w:color w:val="000000" w:themeColor="text1"/>
          <w14:textFill>
            <w14:solidFill>
              <w14:schemeClr w14:val="tx1"/>
            </w14:solidFill>
          </w14:textFill>
        </w:rPr>
        <w:t>）；</w:t>
      </w:r>
    </w:p>
    <w:p w14:paraId="254C348A">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n</w:t>
      </w:r>
      <w:r>
        <w:rPr>
          <w:color w:val="000000" w:themeColor="text1"/>
          <w:vertAlign w:val="subscript"/>
          <w14:textFill>
            <w14:solidFill>
              <w14:schemeClr w14:val="tx1"/>
            </w14:solidFill>
          </w14:textFill>
        </w:rPr>
        <w:t>e</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孔隙度，无量纲；</w:t>
      </w:r>
    </w:p>
    <w:p w14:paraId="778853C4">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D</w:t>
      </w:r>
      <w:r>
        <w:rPr>
          <w:color w:val="000000" w:themeColor="text1"/>
          <w:vertAlign w:val="subscript"/>
          <w14:textFill>
            <w14:solidFill>
              <w14:schemeClr w14:val="tx1"/>
            </w14:solidFill>
          </w14:textFill>
        </w:rPr>
        <w:t>L</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纵向弥散系数（</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w:t>
      </w:r>
    </w:p>
    <w:p w14:paraId="44028AE7">
      <w:pPr>
        <w:pStyle w:val="120"/>
        <w:rPr>
          <w:rFonts w:hint="eastAsia"/>
          <w:color w:val="000000" w:themeColor="text1"/>
          <w:spacing w:val="25"/>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vertAlign w:val="subscript"/>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横向y方向的弥散系数（</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w:t>
      </w:r>
    </w:p>
    <w:p w14:paraId="30978DC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Π</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圆周率；</w:t>
      </w:r>
    </w:p>
    <w:p w14:paraId="41268DD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模型中所需参数及来源见表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-7。</w:t>
      </w:r>
    </w:p>
    <w:p w14:paraId="7F1C51AF">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-7  模型所需参数一览表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1133"/>
        <w:gridCol w:w="1702"/>
        <w:gridCol w:w="1559"/>
        <w:gridCol w:w="3627"/>
      </w:tblGrid>
      <w:tr w14:paraId="111341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7C76ABF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649" w:type="pct"/>
            <w:vAlign w:val="center"/>
          </w:tcPr>
          <w:p w14:paraId="6FAF490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参数符号</w:t>
            </w:r>
          </w:p>
        </w:tc>
        <w:tc>
          <w:tcPr>
            <w:tcW w:w="975" w:type="pct"/>
            <w:vAlign w:val="center"/>
          </w:tcPr>
          <w:p w14:paraId="3291F4A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参数名称</w:t>
            </w:r>
          </w:p>
        </w:tc>
        <w:tc>
          <w:tcPr>
            <w:tcW w:w="893" w:type="pct"/>
            <w:vAlign w:val="center"/>
          </w:tcPr>
          <w:p w14:paraId="246373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参考数值</w:t>
            </w:r>
          </w:p>
        </w:tc>
        <w:tc>
          <w:tcPr>
            <w:tcW w:w="2077" w:type="pct"/>
          </w:tcPr>
          <w:p w14:paraId="164FDE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参数来源</w:t>
            </w:r>
          </w:p>
        </w:tc>
      </w:tr>
      <w:tr w14:paraId="4170F4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2AD2F3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49" w:type="pct"/>
            <w:vAlign w:val="center"/>
          </w:tcPr>
          <w:p w14:paraId="79E3FAB2">
            <w:pPr>
              <w:pStyle w:val="280"/>
              <w:rPr>
                <w:rFonts w:hint="eastAsia"/>
                <w:color w:val="000000" w:themeColor="text1"/>
                <w14:textFill>
                  <w14:solidFill>
                    <w14:schemeClr w14:val="tx1"/>
                  </w14:solidFill>
                </w14:textFill>
              </w:rPr>
            </w:pPr>
            <w:r>
              <w:rPr>
                <w:color w:val="000000" w:themeColor="text1"/>
                <w:position w:val="2"/>
                <w14:textFill>
                  <w14:solidFill>
                    <w14:schemeClr w14:val="tx1"/>
                  </w14:solidFill>
                </w14:textFill>
              </w:rPr>
              <w:t>m</w:t>
            </w:r>
            <w:r>
              <w:rPr>
                <w:rFonts w:hint="eastAsia"/>
                <w:color w:val="000000" w:themeColor="text1"/>
                <w:vertAlign w:val="subscript"/>
                <w14:textFill>
                  <w14:solidFill>
                    <w14:schemeClr w14:val="tx1"/>
                  </w14:solidFill>
                </w14:textFill>
              </w:rPr>
              <w:t>M</w:t>
            </w:r>
          </w:p>
        </w:tc>
        <w:tc>
          <w:tcPr>
            <w:tcW w:w="975" w:type="pct"/>
            <w:vAlign w:val="center"/>
          </w:tcPr>
          <w:p w14:paraId="3A1582B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瞬时注入的质量</w:t>
            </w:r>
          </w:p>
        </w:tc>
        <w:tc>
          <w:tcPr>
            <w:tcW w:w="893" w:type="pct"/>
            <w:vAlign w:val="center"/>
          </w:tcPr>
          <w:p w14:paraId="664375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0.0072t</w:t>
            </w:r>
          </w:p>
        </w:tc>
        <w:tc>
          <w:tcPr>
            <w:tcW w:w="2077" w:type="pct"/>
          </w:tcPr>
          <w:p w14:paraId="450DE7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泄漏量计算</w:t>
            </w:r>
          </w:p>
        </w:tc>
      </w:tr>
      <w:tr w14:paraId="080B7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254FBC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49" w:type="pct"/>
            <w:vAlign w:val="center"/>
          </w:tcPr>
          <w:p w14:paraId="7EF2737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t</w:t>
            </w:r>
          </w:p>
        </w:tc>
        <w:tc>
          <w:tcPr>
            <w:tcW w:w="975" w:type="pct"/>
            <w:vAlign w:val="center"/>
          </w:tcPr>
          <w:p w14:paraId="364599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时间</w:t>
            </w:r>
          </w:p>
        </w:tc>
        <w:tc>
          <w:tcPr>
            <w:tcW w:w="893" w:type="pct"/>
            <w:vAlign w:val="center"/>
          </w:tcPr>
          <w:p w14:paraId="27230B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100d、1000d</w:t>
            </w:r>
          </w:p>
        </w:tc>
        <w:tc>
          <w:tcPr>
            <w:tcW w:w="2077" w:type="pct"/>
          </w:tcPr>
          <w:p w14:paraId="066FBF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HJ610-2016预测时段要求</w:t>
            </w:r>
          </w:p>
        </w:tc>
      </w:tr>
      <w:tr w14:paraId="2C6B54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3A3C029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49" w:type="pct"/>
            <w:vAlign w:val="center"/>
          </w:tcPr>
          <w:p w14:paraId="2B3B175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w:t>
            </w:r>
          </w:p>
        </w:tc>
        <w:tc>
          <w:tcPr>
            <w:tcW w:w="975" w:type="pct"/>
            <w:vAlign w:val="center"/>
          </w:tcPr>
          <w:p w14:paraId="14FC4ED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含水层厚度</w:t>
            </w:r>
          </w:p>
        </w:tc>
        <w:tc>
          <w:tcPr>
            <w:tcW w:w="893" w:type="pct"/>
            <w:vAlign w:val="center"/>
          </w:tcPr>
          <w:p w14:paraId="2E6836F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50m</w:t>
            </w:r>
          </w:p>
        </w:tc>
        <w:tc>
          <w:tcPr>
            <w:tcW w:w="2077" w:type="pct"/>
          </w:tcPr>
          <w:p w14:paraId="6F124EF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根据项目所在区域含水层特征</w:t>
            </w:r>
          </w:p>
        </w:tc>
      </w:tr>
      <w:tr w14:paraId="72A42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2CA43A2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49" w:type="pct"/>
            <w:vAlign w:val="center"/>
          </w:tcPr>
          <w:p w14:paraId="335761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u</w:t>
            </w:r>
          </w:p>
        </w:tc>
        <w:tc>
          <w:tcPr>
            <w:tcW w:w="975" w:type="pct"/>
            <w:vAlign w:val="center"/>
          </w:tcPr>
          <w:p w14:paraId="3A3D9CB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水流速度</w:t>
            </w:r>
          </w:p>
        </w:tc>
        <w:tc>
          <w:tcPr>
            <w:tcW w:w="893" w:type="pct"/>
            <w:vAlign w:val="center"/>
          </w:tcPr>
          <w:p w14:paraId="68B22A7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0.33m/d</w:t>
            </w:r>
          </w:p>
        </w:tc>
        <w:tc>
          <w:tcPr>
            <w:tcW w:w="2077" w:type="pct"/>
          </w:tcPr>
          <w:p w14:paraId="1613049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u=KI/n，根据项目所在区域含水层特征，参考前人研究成果确定水流速度为0.33m/d</w:t>
            </w:r>
          </w:p>
        </w:tc>
      </w:tr>
      <w:tr w14:paraId="65588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1ED3AF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49" w:type="pct"/>
            <w:vAlign w:val="center"/>
          </w:tcPr>
          <w:p w14:paraId="39F041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rFonts w:hint="eastAsia"/>
                <w:color w:val="000000" w:themeColor="text1"/>
                <w:vertAlign w:val="subscript"/>
                <w14:textFill>
                  <w14:solidFill>
                    <w14:schemeClr w14:val="tx1"/>
                  </w14:solidFill>
                </w14:textFill>
              </w:rPr>
              <w:t>L</w:t>
            </w:r>
          </w:p>
        </w:tc>
        <w:tc>
          <w:tcPr>
            <w:tcW w:w="975" w:type="pct"/>
            <w:vAlign w:val="center"/>
          </w:tcPr>
          <w:p w14:paraId="50FE23B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纵向弥散系数</w:t>
            </w:r>
          </w:p>
        </w:tc>
        <w:tc>
          <w:tcPr>
            <w:tcW w:w="893" w:type="pct"/>
            <w:vAlign w:val="center"/>
          </w:tcPr>
          <w:p w14:paraId="40ACEF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0.12m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/d</w:t>
            </w:r>
          </w:p>
        </w:tc>
        <w:tc>
          <w:tcPr>
            <w:tcW w:w="2077" w:type="pct"/>
          </w:tcPr>
          <w:p w14:paraId="45799BB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rFonts w:hint="eastAsia"/>
                <w:color w:val="000000" w:themeColor="text1"/>
                <w:vertAlign w:val="subscript"/>
                <w14:textFill>
                  <w14:solidFill>
                    <w14:schemeClr w14:val="tx1"/>
                  </w14:solidFill>
                </w14:textFill>
              </w:rPr>
              <w:t>L</w:t>
            </w:r>
            <w:r>
              <w:rPr>
                <w:rFonts w:hint="eastAsia"/>
                <w:color w:val="000000" w:themeColor="text1"/>
                <w14:textFill>
                  <w14:solidFill>
                    <w14:schemeClr w14:val="tx1"/>
                  </w14:solidFill>
                </w14:textFill>
              </w:rPr>
              <w:t>=a</w:t>
            </w:r>
            <w:r>
              <w:rPr>
                <w:rFonts w:hint="eastAsia"/>
                <w:color w:val="000000" w:themeColor="text1"/>
                <w:vertAlign w:val="subscript"/>
                <w14:textFill>
                  <w14:solidFill>
                    <w14:schemeClr w14:val="tx1"/>
                  </w14:solidFill>
                </w14:textFill>
              </w:rPr>
              <w:t>L</w:t>
            </w:r>
            <w:r>
              <w:rPr>
                <w:rFonts w:hint="eastAsia"/>
                <w:color w:val="000000" w:themeColor="text1"/>
                <w14:textFill>
                  <w14:solidFill>
                    <w14:schemeClr w14:val="tx1"/>
                  </w14:solidFill>
                </w14:textFill>
              </w:rPr>
              <w:t>u，a</w:t>
            </w:r>
            <w:r>
              <w:rPr>
                <w:rFonts w:hint="eastAsia"/>
                <w:color w:val="000000" w:themeColor="text1"/>
                <w:vertAlign w:val="subscript"/>
                <w14:textFill>
                  <w14:solidFill>
                    <w14:schemeClr w14:val="tx1"/>
                  </w14:solidFill>
                </w14:textFill>
              </w:rPr>
              <w:t>L</w:t>
            </w:r>
            <w:r>
              <w:rPr>
                <w:rFonts w:hint="eastAsia"/>
                <w:color w:val="000000" w:themeColor="text1"/>
                <w14:textFill>
                  <w14:solidFill>
                    <w14:schemeClr w14:val="tx1"/>
                  </w14:solidFill>
                </w14:textFill>
              </w:rPr>
              <w:t>为纵向弥散度，根据项目所在区域含水层特征，参考前人研究成果确定D</w:t>
            </w:r>
            <w:r>
              <w:rPr>
                <w:rFonts w:hint="eastAsia"/>
                <w:color w:val="000000" w:themeColor="text1"/>
                <w:vertAlign w:val="subscript"/>
                <w14:textFill>
                  <w14:solidFill>
                    <w14:schemeClr w14:val="tx1"/>
                  </w14:solidFill>
                </w14:textFill>
              </w:rPr>
              <w:t>L</w:t>
            </w:r>
            <w:r>
              <w:rPr>
                <w:rFonts w:hint="eastAsia"/>
                <w:color w:val="000000" w:themeColor="text1"/>
                <w14:textFill>
                  <w14:solidFill>
                    <w14:schemeClr w14:val="tx1"/>
                  </w14:solidFill>
                </w14:textFill>
              </w:rPr>
              <w:t>为0.12m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/d</w:t>
            </w:r>
          </w:p>
        </w:tc>
      </w:tr>
      <w:tr w14:paraId="6EC3B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1063D9B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649" w:type="pct"/>
            <w:vAlign w:val="center"/>
          </w:tcPr>
          <w:p w14:paraId="61A3AE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rFonts w:hint="eastAsia"/>
                <w:color w:val="000000" w:themeColor="text1"/>
                <w:vertAlign w:val="subscript"/>
                <w14:textFill>
                  <w14:solidFill>
                    <w14:schemeClr w14:val="tx1"/>
                  </w14:solidFill>
                </w14:textFill>
              </w:rPr>
              <w:t>T</w:t>
            </w:r>
          </w:p>
        </w:tc>
        <w:tc>
          <w:tcPr>
            <w:tcW w:w="975" w:type="pct"/>
            <w:vAlign w:val="center"/>
          </w:tcPr>
          <w:p w14:paraId="5F5FA6C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横向y方向的弥散系数</w:t>
            </w:r>
          </w:p>
        </w:tc>
        <w:tc>
          <w:tcPr>
            <w:tcW w:w="893" w:type="pct"/>
            <w:vAlign w:val="center"/>
          </w:tcPr>
          <w:p w14:paraId="738D497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0.0</w:t>
            </w:r>
            <w:r>
              <w:rPr>
                <w:rFonts w:hint="eastAsia"/>
                <w:color w:val="000000" w:themeColor="text1"/>
                <w14:textFill>
                  <w14:solidFill>
                    <w14:schemeClr w14:val="tx1"/>
                  </w14:solidFill>
                </w14:textFill>
              </w:rPr>
              <w:t>12m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/d</w:t>
            </w:r>
          </w:p>
        </w:tc>
        <w:tc>
          <w:tcPr>
            <w:tcW w:w="2077" w:type="pct"/>
          </w:tcPr>
          <w:p w14:paraId="0E47ACF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根据项目所在区域含水层特征，参考前人研究成果确定D</w:t>
            </w:r>
            <w:r>
              <w:rPr>
                <w:rFonts w:hint="eastAsia"/>
                <w:color w:val="000000" w:themeColor="text1"/>
                <w:vertAlign w:val="subscript"/>
                <w14:textFill>
                  <w14:solidFill>
                    <w14:schemeClr w14:val="tx1"/>
                  </w14:solidFill>
                </w14:textFill>
              </w:rPr>
              <w:t>T</w:t>
            </w:r>
            <w:r>
              <w:rPr>
                <w:rFonts w:hint="eastAsia"/>
                <w:color w:val="000000" w:themeColor="text1"/>
                <w14:textFill>
                  <w14:solidFill>
                    <w14:schemeClr w14:val="tx1"/>
                  </w14:solidFill>
                </w14:textFill>
              </w:rPr>
              <w:t>为0.012m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/d</w:t>
            </w:r>
          </w:p>
        </w:tc>
      </w:tr>
      <w:tr w14:paraId="1EC8C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6478F02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649" w:type="pct"/>
            <w:vAlign w:val="center"/>
          </w:tcPr>
          <w:p w14:paraId="0EA17284">
            <w:pPr>
              <w:pStyle w:val="280"/>
              <w:rPr>
                <w:rFonts w:hint="eastAsia"/>
                <w:color w:val="000000" w:themeColor="text1"/>
                <w14:textFill>
                  <w14:solidFill>
                    <w14:schemeClr w14:val="tx1"/>
                  </w14:solidFill>
                </w14:textFill>
              </w:rPr>
            </w:pPr>
            <w:r>
              <w:rPr>
                <w:color w:val="000000" w:themeColor="text1"/>
                <w:position w:val="2"/>
                <w14:textFill>
                  <w14:solidFill>
                    <w14:schemeClr w14:val="tx1"/>
                  </w14:solidFill>
                </w14:textFill>
              </w:rPr>
              <w:t>n</w:t>
            </w:r>
            <w:r>
              <w:rPr>
                <w:color w:val="000000" w:themeColor="text1"/>
                <w:vertAlign w:val="subscript"/>
                <w14:textFill>
                  <w14:solidFill>
                    <w14:schemeClr w14:val="tx1"/>
                  </w14:solidFill>
                </w14:textFill>
              </w:rPr>
              <w:t>e</w:t>
            </w:r>
          </w:p>
        </w:tc>
        <w:tc>
          <w:tcPr>
            <w:tcW w:w="975" w:type="pct"/>
            <w:vAlign w:val="center"/>
          </w:tcPr>
          <w:p w14:paraId="62B2F8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有效孔隙度</w:t>
            </w:r>
          </w:p>
        </w:tc>
        <w:tc>
          <w:tcPr>
            <w:tcW w:w="893" w:type="pct"/>
            <w:vAlign w:val="center"/>
          </w:tcPr>
          <w:p w14:paraId="0700FD2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0.12</w:t>
            </w:r>
          </w:p>
        </w:tc>
        <w:tc>
          <w:tcPr>
            <w:tcW w:w="2077" w:type="pct"/>
          </w:tcPr>
          <w:p w14:paraId="4BFC07E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根据所在区域含水层特征，确定有效孔隙度为0.12</w:t>
            </w:r>
          </w:p>
        </w:tc>
      </w:tr>
    </w:tbl>
    <w:p w14:paraId="182AC413">
      <w:pPr>
        <w:pStyle w:val="120"/>
        <w:rPr>
          <w:rFonts w:hint="eastAsia"/>
          <w:bCs/>
          <w:color w:val="000000" w:themeColor="text1"/>
          <w14:textFill>
            <w14:solidFill>
              <w14:schemeClr w14:val="tx1"/>
            </w14:solidFill>
          </w14:textFill>
        </w:rPr>
      </w:pPr>
      <w:r>
        <w:rPr>
          <w:rFonts w:hint="eastAsia"/>
          <w:color w:val="000000" w:themeColor="text1"/>
          <w14:textFill>
            <w14:solidFill>
              <w14:schemeClr w14:val="tx1"/>
            </w14:solidFill>
          </w14:textFill>
        </w:rPr>
        <w:t>当单井采油管线发生泄漏时，石油类物质经过100d和1000d后在地下水中的扩散结果见表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-8。</w:t>
      </w:r>
    </w:p>
    <w:p w14:paraId="3BB0D49C">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地下水影响预测结果一览表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709"/>
        <w:gridCol w:w="615"/>
        <w:gridCol w:w="959"/>
        <w:gridCol w:w="997"/>
        <w:gridCol w:w="1365"/>
        <w:gridCol w:w="1351"/>
        <w:gridCol w:w="1351"/>
        <w:gridCol w:w="1383"/>
      </w:tblGrid>
      <w:tr w14:paraId="1EACA2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406" w:type="pct"/>
            <w:tcBorders>
              <w:right w:val="single" w:color="auto" w:sz="4" w:space="0"/>
            </w:tcBorders>
            <w:vAlign w:val="center"/>
          </w:tcPr>
          <w:p w14:paraId="09D937F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泄漏点名称</w:t>
            </w:r>
          </w:p>
        </w:tc>
        <w:tc>
          <w:tcPr>
            <w:tcW w:w="352" w:type="pct"/>
            <w:tcBorders>
              <w:right w:val="single" w:color="auto" w:sz="4" w:space="0"/>
            </w:tcBorders>
            <w:vAlign w:val="center"/>
          </w:tcPr>
          <w:p w14:paraId="6D45E48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549" w:type="pct"/>
            <w:vAlign w:val="center"/>
          </w:tcPr>
          <w:p w14:paraId="2D5C5C3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预测时间d</w:t>
            </w:r>
          </w:p>
        </w:tc>
        <w:tc>
          <w:tcPr>
            <w:tcW w:w="571" w:type="pct"/>
            <w:tcBorders>
              <w:right w:val="single" w:color="auto" w:sz="4" w:space="0"/>
            </w:tcBorders>
            <w:vAlign w:val="center"/>
          </w:tcPr>
          <w:p w14:paraId="4B4B8AA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最大浓度</w:t>
            </w:r>
          </w:p>
          <w:p w14:paraId="2C139B4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(mg/L)</w:t>
            </w:r>
          </w:p>
        </w:tc>
        <w:tc>
          <w:tcPr>
            <w:tcW w:w="782" w:type="pct"/>
            <w:tcBorders>
              <w:left w:val="single" w:color="auto" w:sz="4" w:space="0"/>
              <w:right w:val="single" w:color="auto" w:sz="4" w:space="0"/>
            </w:tcBorders>
            <w:vAlign w:val="center"/>
          </w:tcPr>
          <w:p w14:paraId="07391F3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下游最大浓度对应距离（m）</w:t>
            </w:r>
          </w:p>
        </w:tc>
        <w:tc>
          <w:tcPr>
            <w:tcW w:w="774" w:type="pct"/>
            <w:tcBorders>
              <w:left w:val="single" w:color="auto" w:sz="4" w:space="0"/>
              <w:right w:val="single" w:color="auto" w:sz="4" w:space="0"/>
            </w:tcBorders>
          </w:tcPr>
          <w:p w14:paraId="356EE6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下游达标浓度</w:t>
            </w:r>
          </w:p>
          <w:p w14:paraId="7A7AA5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(mg/L)</w:t>
            </w:r>
          </w:p>
        </w:tc>
        <w:tc>
          <w:tcPr>
            <w:tcW w:w="774" w:type="pct"/>
            <w:tcBorders>
              <w:left w:val="single" w:color="auto" w:sz="4" w:space="0"/>
              <w:right w:val="single" w:color="auto" w:sz="4" w:space="0"/>
            </w:tcBorders>
            <w:vAlign w:val="center"/>
          </w:tcPr>
          <w:p w14:paraId="4E2F0A3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下游达标浓度对应距离（m）</w:t>
            </w:r>
          </w:p>
        </w:tc>
        <w:tc>
          <w:tcPr>
            <w:tcW w:w="792" w:type="pct"/>
            <w:tcBorders>
              <w:left w:val="single" w:color="auto" w:sz="4" w:space="0"/>
            </w:tcBorders>
            <w:vAlign w:val="center"/>
          </w:tcPr>
          <w:p w14:paraId="7DA7A5B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Ⅲ类标准</w:t>
            </w:r>
          </w:p>
          <w:p w14:paraId="238E219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(mg/L)</w:t>
            </w:r>
          </w:p>
        </w:tc>
      </w:tr>
      <w:tr w14:paraId="7DF6E6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406" w:type="pct"/>
            <w:vMerge w:val="restart"/>
            <w:tcBorders>
              <w:right w:val="single" w:color="auto" w:sz="4" w:space="0"/>
            </w:tcBorders>
            <w:vAlign w:val="center"/>
          </w:tcPr>
          <w:p w14:paraId="5FD7B6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单井采油管线</w:t>
            </w:r>
          </w:p>
        </w:tc>
        <w:tc>
          <w:tcPr>
            <w:tcW w:w="352" w:type="pct"/>
            <w:vMerge w:val="restart"/>
            <w:tcBorders>
              <w:right w:val="single" w:color="auto" w:sz="4" w:space="0"/>
            </w:tcBorders>
            <w:vAlign w:val="center"/>
          </w:tcPr>
          <w:p w14:paraId="7171DE0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549" w:type="pct"/>
            <w:vAlign w:val="center"/>
          </w:tcPr>
          <w:p w14:paraId="385FC9E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571" w:type="pct"/>
            <w:tcBorders>
              <w:right w:val="single" w:color="auto" w:sz="4" w:space="0"/>
            </w:tcBorders>
            <w:vAlign w:val="center"/>
          </w:tcPr>
          <w:p w14:paraId="4DD1531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25.16</w:t>
            </w:r>
          </w:p>
        </w:tc>
        <w:tc>
          <w:tcPr>
            <w:tcW w:w="782" w:type="pct"/>
            <w:tcBorders>
              <w:left w:val="single" w:color="auto" w:sz="4" w:space="0"/>
              <w:right w:val="single" w:color="auto" w:sz="4" w:space="0"/>
            </w:tcBorders>
            <w:vAlign w:val="center"/>
          </w:tcPr>
          <w:p w14:paraId="726DB80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774" w:type="pct"/>
            <w:tcBorders>
              <w:left w:val="single" w:color="auto" w:sz="4" w:space="0"/>
              <w:right w:val="single" w:color="auto" w:sz="4" w:space="0"/>
            </w:tcBorders>
          </w:tcPr>
          <w:p w14:paraId="763ABF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0.029</w:t>
            </w:r>
          </w:p>
        </w:tc>
        <w:tc>
          <w:tcPr>
            <w:tcW w:w="774" w:type="pct"/>
            <w:tcBorders>
              <w:left w:val="single" w:color="auto" w:sz="4" w:space="0"/>
              <w:right w:val="single" w:color="auto" w:sz="4" w:space="0"/>
            </w:tcBorders>
            <w:vAlign w:val="center"/>
          </w:tcPr>
          <w:p w14:paraId="46E40AB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51</w:t>
            </w:r>
          </w:p>
        </w:tc>
        <w:tc>
          <w:tcPr>
            <w:tcW w:w="792" w:type="pct"/>
            <w:vMerge w:val="restart"/>
            <w:tcBorders>
              <w:left w:val="single" w:color="auto" w:sz="4" w:space="0"/>
            </w:tcBorders>
            <w:vAlign w:val="center"/>
          </w:tcPr>
          <w:p w14:paraId="357C55D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r>
      <w:tr w14:paraId="22FF26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406" w:type="pct"/>
            <w:vMerge w:val="continue"/>
            <w:tcBorders>
              <w:right w:val="single" w:color="auto" w:sz="4" w:space="0"/>
            </w:tcBorders>
            <w:vAlign w:val="center"/>
          </w:tcPr>
          <w:p w14:paraId="03F13B69">
            <w:pPr>
              <w:pStyle w:val="280"/>
              <w:rPr>
                <w:rFonts w:hint="eastAsia"/>
                <w:color w:val="000000" w:themeColor="text1"/>
                <w14:textFill>
                  <w14:solidFill>
                    <w14:schemeClr w14:val="tx1"/>
                  </w14:solidFill>
                </w14:textFill>
              </w:rPr>
            </w:pPr>
          </w:p>
        </w:tc>
        <w:tc>
          <w:tcPr>
            <w:tcW w:w="352" w:type="pct"/>
            <w:vMerge w:val="continue"/>
            <w:tcBorders>
              <w:right w:val="single" w:color="auto" w:sz="4" w:space="0"/>
            </w:tcBorders>
            <w:vAlign w:val="center"/>
          </w:tcPr>
          <w:p w14:paraId="5880DDB8">
            <w:pPr>
              <w:pStyle w:val="280"/>
              <w:rPr>
                <w:rFonts w:hint="eastAsia"/>
                <w:color w:val="000000" w:themeColor="text1"/>
                <w14:textFill>
                  <w14:solidFill>
                    <w14:schemeClr w14:val="tx1"/>
                  </w14:solidFill>
                </w14:textFill>
              </w:rPr>
            </w:pPr>
          </w:p>
        </w:tc>
        <w:tc>
          <w:tcPr>
            <w:tcW w:w="549" w:type="pct"/>
            <w:vAlign w:val="center"/>
          </w:tcPr>
          <w:p w14:paraId="62C6CC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1000</w:t>
            </w:r>
          </w:p>
        </w:tc>
        <w:tc>
          <w:tcPr>
            <w:tcW w:w="571" w:type="pct"/>
            <w:tcBorders>
              <w:right w:val="single" w:color="auto" w:sz="4" w:space="0"/>
            </w:tcBorders>
            <w:vAlign w:val="center"/>
          </w:tcPr>
          <w:p w14:paraId="7FB2C40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2.516</w:t>
            </w:r>
          </w:p>
        </w:tc>
        <w:tc>
          <w:tcPr>
            <w:tcW w:w="782" w:type="pct"/>
            <w:tcBorders>
              <w:left w:val="single" w:color="auto" w:sz="4" w:space="0"/>
              <w:right w:val="single" w:color="auto" w:sz="4" w:space="0"/>
            </w:tcBorders>
            <w:vAlign w:val="center"/>
          </w:tcPr>
          <w:p w14:paraId="08170A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330</w:t>
            </w:r>
          </w:p>
        </w:tc>
        <w:tc>
          <w:tcPr>
            <w:tcW w:w="774" w:type="pct"/>
            <w:tcBorders>
              <w:left w:val="single" w:color="auto" w:sz="4" w:space="0"/>
              <w:right w:val="single" w:color="auto" w:sz="4" w:space="0"/>
            </w:tcBorders>
          </w:tcPr>
          <w:p w14:paraId="76F1EF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0.045</w:t>
            </w:r>
          </w:p>
        </w:tc>
        <w:tc>
          <w:tcPr>
            <w:tcW w:w="774" w:type="pct"/>
            <w:tcBorders>
              <w:left w:val="single" w:color="auto" w:sz="4" w:space="0"/>
              <w:right w:val="single" w:color="auto" w:sz="4" w:space="0"/>
            </w:tcBorders>
            <w:vAlign w:val="center"/>
          </w:tcPr>
          <w:p w14:paraId="3A6DAF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374</w:t>
            </w:r>
          </w:p>
        </w:tc>
        <w:tc>
          <w:tcPr>
            <w:tcW w:w="792" w:type="pct"/>
            <w:vMerge w:val="continue"/>
            <w:tcBorders>
              <w:left w:val="single" w:color="auto" w:sz="4" w:space="0"/>
            </w:tcBorders>
            <w:vAlign w:val="center"/>
          </w:tcPr>
          <w:p w14:paraId="1CEBF412">
            <w:pPr>
              <w:pStyle w:val="280"/>
              <w:rPr>
                <w:rFonts w:hint="eastAsia"/>
                <w:color w:val="000000" w:themeColor="text1"/>
                <w14:textFill>
                  <w14:solidFill>
                    <w14:schemeClr w14:val="tx1"/>
                  </w14:solidFill>
                </w14:textFill>
              </w:rPr>
            </w:pPr>
          </w:p>
        </w:tc>
      </w:tr>
    </w:tbl>
    <w:tbl>
      <w:tblPr>
        <w:tblStyle w:val="52"/>
        <w:tblW w:w="494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39"/>
      </w:tblGrid>
      <w:tr w14:paraId="30997B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tcBorders>
              <w:top w:val="single" w:color="auto" w:sz="4" w:space="0"/>
              <w:left w:val="nil"/>
              <w:bottom w:val="single" w:color="auto" w:sz="4" w:space="0"/>
              <w:right w:val="nil"/>
            </w:tcBorders>
          </w:tcPr>
          <w:p w14:paraId="3165FCA1">
            <w:pPr>
              <w:pStyle w:val="120"/>
              <w:spacing w:line="240" w:lineRule="auto"/>
              <w:ind w:firstLine="0" w:firstLineChars="0"/>
              <w:rPr>
                <w:rFonts w:hint="eastAsia"/>
                <w:color w:val="000000" w:themeColor="text1"/>
                <w:lang w:val="en-US"/>
                <w14:textFill>
                  <w14:solidFill>
                    <w14:schemeClr w14:val="tx1"/>
                  </w14:solidFill>
                </w14:textFill>
              </w:rPr>
            </w:pPr>
            <w:r>
              <w:rPr>
                <w:color w:val="000000" w:themeColor="text1"/>
                <w14:textFill>
                  <w14:solidFill>
                    <w14:schemeClr w14:val="tx1"/>
                  </w14:solidFill>
                </w14:textFill>
              </w:rPr>
              <w:drawing>
                <wp:inline distT="0" distB="0" distL="0" distR="0">
                  <wp:extent cx="5291455" cy="3229610"/>
                  <wp:effectExtent l="0" t="0" r="4445" b="8890"/>
                  <wp:docPr id="1488832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32125" name="图片 1"/>
                          <pic:cNvPicPr>
                            <a:picLocks noChangeAspect="1"/>
                          </pic:cNvPicPr>
                        </pic:nvPicPr>
                        <pic:blipFill>
                          <a:blip r:embed="rId88"/>
                          <a:stretch>
                            <a:fillRect/>
                          </a:stretch>
                        </pic:blipFill>
                        <pic:spPr>
                          <a:xfrm>
                            <a:off x="0" y="0"/>
                            <a:ext cx="5291455" cy="3229610"/>
                          </a:xfrm>
                          <a:prstGeom prst="rect">
                            <a:avLst/>
                          </a:prstGeom>
                        </pic:spPr>
                      </pic:pic>
                    </a:graphicData>
                  </a:graphic>
                </wp:inline>
              </w:drawing>
            </w:r>
          </w:p>
        </w:tc>
      </w:tr>
      <w:tr w14:paraId="27AE93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tcBorders>
              <w:top w:val="single" w:color="auto" w:sz="4" w:space="0"/>
              <w:left w:val="nil"/>
              <w:bottom w:val="single" w:color="auto" w:sz="4" w:space="0"/>
              <w:right w:val="nil"/>
            </w:tcBorders>
          </w:tcPr>
          <w:p w14:paraId="0B1109B8">
            <w:pPr>
              <w:pStyle w:val="120"/>
              <w:ind w:firstLine="0" w:firstLineChars="0"/>
              <w:jc w:val="center"/>
              <w:rPr>
                <w:rFonts w:hint="eastAsia"/>
                <w:b/>
                <w:bCs/>
                <w:color w:val="000000" w:themeColor="text1"/>
                <w:sz w:val="21"/>
                <w:szCs w:val="21"/>
                <w:lang w:val="en-US"/>
                <w14:textFill>
                  <w14:solidFill>
                    <w14:schemeClr w14:val="tx1"/>
                  </w14:solidFill>
                </w14:textFill>
              </w:rPr>
            </w:pPr>
            <w:r>
              <w:rPr>
                <w:b/>
                <w:bCs/>
                <w:color w:val="000000" w:themeColor="text1"/>
                <w:sz w:val="21"/>
                <w:szCs w:val="21"/>
                <w:lang w:val="en-US"/>
                <w14:textFill>
                  <w14:solidFill>
                    <w14:schemeClr w14:val="tx1"/>
                  </w14:solidFill>
                </w14:textFill>
              </w:rPr>
              <w:t>单井采油管线泄漏100d后地下水中石油类浓度在距泄漏点不同距离处的分布情况</w:t>
            </w:r>
          </w:p>
        </w:tc>
      </w:tr>
      <w:tr w14:paraId="7E57BC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tcBorders>
              <w:top w:val="single" w:color="auto" w:sz="4" w:space="0"/>
              <w:left w:val="nil"/>
              <w:bottom w:val="single" w:color="auto" w:sz="4" w:space="0"/>
              <w:right w:val="nil"/>
            </w:tcBorders>
          </w:tcPr>
          <w:p w14:paraId="6F572C9F">
            <w:pPr>
              <w:pStyle w:val="120"/>
              <w:spacing w:line="240" w:lineRule="auto"/>
              <w:ind w:firstLine="0" w:firstLineChars="0"/>
              <w:rPr>
                <w:rFonts w:hint="eastAsia"/>
                <w:color w:val="000000" w:themeColor="text1"/>
                <w:lang w:val="en-US"/>
                <w14:textFill>
                  <w14:solidFill>
                    <w14:schemeClr w14:val="tx1"/>
                  </w14:solidFill>
                </w14:textFill>
              </w:rPr>
            </w:pPr>
            <w:r>
              <w:rPr>
                <w:color w:val="000000" w:themeColor="text1"/>
                <w14:textFill>
                  <w14:solidFill>
                    <w14:schemeClr w14:val="tx1"/>
                  </w14:solidFill>
                </w14:textFill>
              </w:rPr>
              <w:drawing>
                <wp:inline distT="0" distB="0" distL="0" distR="0">
                  <wp:extent cx="5259705" cy="3277235"/>
                  <wp:effectExtent l="0" t="0" r="17145" b="18415"/>
                  <wp:docPr id="7647299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9992" name="图片 1"/>
                          <pic:cNvPicPr>
                            <a:picLocks noChangeAspect="1"/>
                          </pic:cNvPicPr>
                        </pic:nvPicPr>
                        <pic:blipFill>
                          <a:blip r:embed="rId89"/>
                          <a:stretch>
                            <a:fillRect/>
                          </a:stretch>
                        </pic:blipFill>
                        <pic:spPr>
                          <a:xfrm>
                            <a:off x="0" y="0"/>
                            <a:ext cx="5259705" cy="3277235"/>
                          </a:xfrm>
                          <a:prstGeom prst="rect">
                            <a:avLst/>
                          </a:prstGeom>
                        </pic:spPr>
                      </pic:pic>
                    </a:graphicData>
                  </a:graphic>
                </wp:inline>
              </w:drawing>
            </w:r>
          </w:p>
        </w:tc>
      </w:tr>
      <w:tr w14:paraId="485C0F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tcBorders>
              <w:top w:val="single" w:color="auto" w:sz="4" w:space="0"/>
              <w:left w:val="nil"/>
              <w:bottom w:val="single" w:color="auto" w:sz="4" w:space="0"/>
              <w:right w:val="nil"/>
            </w:tcBorders>
          </w:tcPr>
          <w:p w14:paraId="06E989E7">
            <w:pPr>
              <w:pStyle w:val="120"/>
              <w:ind w:firstLine="422"/>
              <w:rPr>
                <w:rFonts w:hint="eastAsia"/>
                <w:color w:val="000000" w:themeColor="text1"/>
                <w:sz w:val="21"/>
                <w:szCs w:val="21"/>
                <w:lang w:val="en-US"/>
                <w14:textFill>
                  <w14:solidFill>
                    <w14:schemeClr w14:val="tx1"/>
                  </w14:solidFill>
                </w14:textFill>
              </w:rPr>
            </w:pPr>
            <w:r>
              <w:rPr>
                <w:b/>
                <w:bCs/>
                <w:color w:val="000000" w:themeColor="text1"/>
                <w:sz w:val="21"/>
                <w:szCs w:val="21"/>
                <w:lang w:val="en-US"/>
                <w14:textFill>
                  <w14:solidFill>
                    <w14:schemeClr w14:val="tx1"/>
                  </w14:solidFill>
                </w14:textFill>
              </w:rPr>
              <w:t>单井采油管线泄漏1000d后地下水中石油类浓度在距泄漏点不同距离处的分布情况</w:t>
            </w:r>
          </w:p>
        </w:tc>
      </w:tr>
    </w:tbl>
    <w:p w14:paraId="0EBFFEC8">
      <w:pPr>
        <w:pStyle w:val="112"/>
        <w:rPr>
          <w:rFonts w:hint="eastAsia"/>
          <w:color w:val="000000" w:themeColor="text1"/>
          <w14:textFill>
            <w14:solidFill>
              <w14:schemeClr w14:val="tx1"/>
            </w14:solidFill>
          </w14:textFill>
        </w:rPr>
      </w:pPr>
      <w:r>
        <w:rPr>
          <w:color w:val="000000" w:themeColor="text1"/>
          <w14:textFill>
            <w14:solidFill>
              <w14:schemeClr w14:val="tx1"/>
            </w14:solidFill>
          </w14:textFill>
        </w:rPr>
        <w:t>图5.2-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单井采油管线地下水预测成果图</w:t>
      </w:r>
    </w:p>
    <w:p w14:paraId="769DFDA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从预测结果可知：随着时间的增加，污染范围有所增加，</w:t>
      </w:r>
      <w:bookmarkStart w:id="470" w:name="_Hlk148007850"/>
      <w:r>
        <w:rPr>
          <w:rFonts w:hint="eastAsia"/>
          <w:color w:val="000000" w:themeColor="text1"/>
          <w14:textFill>
            <w14:solidFill>
              <w14:schemeClr w14:val="tx1"/>
            </w14:solidFill>
          </w14:textFill>
        </w:rPr>
        <w:t>单井采油管线发生泄漏后100d和1000d下游石油类达标时对应的距离分别为51m和374m。</w:t>
      </w:r>
      <w:bookmarkEnd w:id="470"/>
      <w:r>
        <w:rPr>
          <w:rFonts w:hint="eastAsia"/>
          <w:color w:val="000000" w:themeColor="text1"/>
          <w14:textFill>
            <w14:solidFill>
              <w14:schemeClr w14:val="tx1"/>
            </w14:solidFill>
          </w14:textFill>
        </w:rPr>
        <w:t>项目区土壤在消除土体裂隙和根孔影响的试验条件下，石油类下渗下移的深度不会超过30cm，</w:t>
      </w:r>
      <w:r>
        <w:rPr>
          <w:color w:val="000000" w:themeColor="text1"/>
          <w:kern w:val="0"/>
          <w:szCs w:val="26"/>
          <w14:textFill>
            <w14:solidFill>
              <w14:schemeClr w14:val="tx1"/>
            </w14:solidFill>
          </w14:textFill>
        </w:rPr>
        <w:t>承压水顶板埋深在50</w:t>
      </w:r>
      <w:r>
        <w:rPr>
          <w:rFonts w:hint="eastAsia"/>
          <w:color w:val="000000" w:themeColor="text1"/>
          <w:kern w:val="0"/>
          <w:szCs w:val="26"/>
          <w14:textFill>
            <w14:solidFill>
              <w14:schemeClr w14:val="tx1"/>
            </w14:solidFill>
          </w14:textFill>
        </w:rPr>
        <w:t>m—</w:t>
      </w:r>
      <w:r>
        <w:rPr>
          <w:color w:val="000000" w:themeColor="text1"/>
          <w:kern w:val="0"/>
          <w:szCs w:val="26"/>
          <w14:textFill>
            <w14:solidFill>
              <w14:schemeClr w14:val="tx1"/>
            </w14:solidFill>
          </w14:textFill>
        </w:rPr>
        <w:t>100m</w:t>
      </w:r>
      <w:r>
        <w:rPr>
          <w:rFonts w:hint="eastAsia"/>
          <w:color w:val="000000" w:themeColor="text1"/>
          <w:kern w:val="0"/>
          <w:szCs w:val="26"/>
          <w14:textFill>
            <w14:solidFill>
              <w14:schemeClr w14:val="tx1"/>
            </w14:solidFill>
          </w14:textFill>
        </w:rPr>
        <w:t>以下</w:t>
      </w:r>
      <w:r>
        <w:rPr>
          <w:rFonts w:hint="eastAsia"/>
          <w:color w:val="000000" w:themeColor="text1"/>
          <w14:textFill>
            <w14:solidFill>
              <w14:schemeClr w14:val="tx1"/>
            </w14:solidFill>
          </w14:textFill>
        </w:rPr>
        <w:t>，泄漏的原油进入地下水的可能性很小，并定期对设备进行检修，将事故发生的概率降至最低，发生泄漏后做到及时发现、及时处理，彻底清除泄漏油品及被污染的土壤。因此，发生泄漏后采取相应的措施后不会对地下水环境产生大的影响。</w:t>
      </w:r>
    </w:p>
    <w:bookmarkEnd w:id="463"/>
    <w:p w14:paraId="2619801C">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⑤套管泄漏预测</w:t>
      </w:r>
    </w:p>
    <w:p w14:paraId="3B5476BB">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若采油井固井质量不合格，油井套管破裂，发生井漏，石油类污染物有可能通过破裂的套管附近的孔隙、裂隙径流渗漏进入地下含水层，对地下水造成污染影响。</w:t>
      </w:r>
    </w:p>
    <w:p w14:paraId="325BC57E">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※地下水污染途径分析</w:t>
      </w:r>
    </w:p>
    <w:p w14:paraId="05B43949">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井漏油水窜层污染的主要原因一般是由于表层套管和油气层套管的固井效果变差导致窜层使地下水受污染。井漏油水窜层而污染到地下水的现象，在开发前期不会发生，待井开发到中后期时，套管被腐蚀破坏，可能会对地下水有影响。本次地下水环境影响评价主要考虑最不利的极端情况下，油水窜层后对项目区承压水含水层水质的影响，针对污染物进入承压水含水层后的运移进行重点预测、评价。</w:t>
      </w:r>
    </w:p>
    <w:p w14:paraId="6E065612">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※预测情景设定</w:t>
      </w:r>
    </w:p>
    <w:p w14:paraId="0420E55B">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考虑最不利情况，当发生油水窜层时，污染物进入含水层中，对地下水产生的影响进行预测。</w:t>
      </w:r>
    </w:p>
    <w:p w14:paraId="7D0B8E6D">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※泄漏量和影响预测</w:t>
      </w:r>
    </w:p>
    <w:p w14:paraId="3F63D88B">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考虑最不利情况，污染物泄漏为连续排放，发生油水窜层后，工程区内的污染物通过孔隙、裂隙径流至下游含水层的水质。因此污染物在含水层中的迁移，可将预测情形概化为一维连续泄漏点源的水动力弥散问题。采用解析法对地下水环境影响进行预测。本次选取石油类作为预测特征因子。本次按照《环境影响评价技术导则地下水环境》（HJ610-2016）附录D 中一维无限长多孔介质柱体，一端为定浓度边界预测模型进行预测，计算公式如下：</w:t>
      </w:r>
    </w:p>
    <w:p w14:paraId="74772A87">
      <w:pPr>
        <w:pStyle w:val="120"/>
        <w:spacing w:line="240" w:lineRule="auto"/>
        <w:jc w:val="center"/>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drawing>
          <wp:inline distT="0" distB="0" distL="0" distR="0">
            <wp:extent cx="3028950" cy="590550"/>
            <wp:effectExtent l="0" t="0" r="0" b="0"/>
            <wp:docPr id="2780727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7273" name="图片 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3028950" cy="590550"/>
                    </a:xfrm>
                    <a:prstGeom prst="rect">
                      <a:avLst/>
                    </a:prstGeom>
                    <a:noFill/>
                    <a:ln>
                      <a:noFill/>
                    </a:ln>
                  </pic:spPr>
                </pic:pic>
              </a:graphicData>
            </a:graphic>
          </wp:inline>
        </w:drawing>
      </w:r>
    </w:p>
    <w:p w14:paraId="1AA77BAD">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式中：</w:t>
      </w:r>
      <w:r>
        <w:rPr>
          <w:i/>
          <w:iCs/>
          <w:color w:val="000000" w:themeColor="text1"/>
          <w:lang w:val="en-US"/>
          <w14:textFill>
            <w14:solidFill>
              <w14:schemeClr w14:val="tx1"/>
            </w14:solidFill>
          </w14:textFill>
        </w:rPr>
        <w:t>x</w:t>
      </w:r>
      <w:r>
        <w:rPr>
          <w:color w:val="000000" w:themeColor="text1"/>
          <w:lang w:val="en-US"/>
          <w14:textFill>
            <w14:solidFill>
              <w14:schemeClr w14:val="tx1"/>
            </w14:solidFill>
          </w14:textFill>
        </w:rPr>
        <w:t>—距注入点的距离，m；</w:t>
      </w:r>
    </w:p>
    <w:p w14:paraId="26404E6D">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t—时间，d；</w:t>
      </w:r>
    </w:p>
    <w:p w14:paraId="0C0D7661">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C（x，t）—t时刻x处的示踪剂浓度，g/L；</w:t>
      </w:r>
    </w:p>
    <w:p w14:paraId="7B83255A">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C</w:t>
      </w:r>
      <w:r>
        <w:rPr>
          <w:color w:val="000000" w:themeColor="text1"/>
          <w:vertAlign w:val="subscript"/>
          <w:lang w:val="en-US"/>
          <w14:textFill>
            <w14:solidFill>
              <w14:schemeClr w14:val="tx1"/>
            </w14:solidFill>
          </w14:textFill>
        </w:rPr>
        <w:t>0</w:t>
      </w:r>
      <w:r>
        <w:rPr>
          <w:color w:val="000000" w:themeColor="text1"/>
          <w:lang w:val="en-US"/>
          <w14:textFill>
            <w14:solidFill>
              <w14:schemeClr w14:val="tx1"/>
            </w14:solidFill>
          </w14:textFill>
        </w:rPr>
        <w:t>——注入的示踪剂浓度，g/L；参照美国石油协会石油烃标准化工作组TPHCWG（1997）中关于石油类污染物的溶解度等相关文献，本次取18mg/L为石油类可溶态污染物的最高浓度值，作为本次预测的源强。</w:t>
      </w:r>
    </w:p>
    <w:p w14:paraId="713CDDC9">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u——水流速度，m/d；</w:t>
      </w:r>
    </w:p>
    <w:p w14:paraId="47155E08">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n——有效孔隙度，无量纲；</w:t>
      </w:r>
    </w:p>
    <w:p w14:paraId="19C5360B">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D</w:t>
      </w:r>
      <w:r>
        <w:rPr>
          <w:color w:val="000000" w:themeColor="text1"/>
          <w:vertAlign w:val="subscript"/>
          <w:lang w:val="en-US"/>
          <w14:textFill>
            <w14:solidFill>
              <w14:schemeClr w14:val="tx1"/>
            </w14:solidFill>
          </w14:textFill>
        </w:rPr>
        <w:t>L</w:t>
      </w:r>
      <w:r>
        <w:rPr>
          <w:color w:val="000000" w:themeColor="text1"/>
          <w:lang w:val="en-US"/>
          <w14:textFill>
            <w14:solidFill>
              <w14:schemeClr w14:val="tx1"/>
            </w14:solidFill>
          </w14:textFill>
        </w:rPr>
        <w:t>—纵向弥散系数，m</w:t>
      </w:r>
      <w:r>
        <w:rPr>
          <w:color w:val="000000" w:themeColor="text1"/>
          <w:vertAlign w:val="superscript"/>
          <w:lang w:val="en-US"/>
          <w14:textFill>
            <w14:solidFill>
              <w14:schemeClr w14:val="tx1"/>
            </w14:solidFill>
          </w14:textFill>
        </w:rPr>
        <w:t>2</w:t>
      </w:r>
      <w:r>
        <w:rPr>
          <w:color w:val="000000" w:themeColor="text1"/>
          <w:lang w:val="en-US"/>
          <w14:textFill>
            <w14:solidFill>
              <w14:schemeClr w14:val="tx1"/>
            </w14:solidFill>
          </w14:textFill>
        </w:rPr>
        <w:t>/d；</w:t>
      </w:r>
    </w:p>
    <w:p w14:paraId="3DB7155E">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erfc（）—余误差函数。</w:t>
      </w:r>
    </w:p>
    <w:p w14:paraId="33BB9B07">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模型中所需参数及来源见表5.2-9。</w:t>
      </w:r>
    </w:p>
    <w:p w14:paraId="19DD33B4">
      <w:pPr>
        <w:pStyle w:val="112"/>
        <w:rPr>
          <w:rFonts w:hint="eastAsia"/>
          <w:color w:val="000000" w:themeColor="text1"/>
          <w14:textFill>
            <w14:solidFill>
              <w14:schemeClr w14:val="tx1"/>
            </w14:solidFill>
          </w14:textFill>
        </w:rPr>
      </w:pPr>
    </w:p>
    <w:p w14:paraId="0A563094">
      <w:pPr>
        <w:pStyle w:val="112"/>
        <w:rPr>
          <w:rFonts w:hint="eastAsia"/>
          <w:color w:val="000000" w:themeColor="text1"/>
          <w14:textFill>
            <w14:solidFill>
              <w14:schemeClr w14:val="tx1"/>
            </w14:solidFill>
          </w14:textFill>
        </w:rPr>
      </w:pPr>
    </w:p>
    <w:p w14:paraId="323B1518">
      <w:pPr>
        <w:pStyle w:val="112"/>
        <w:rPr>
          <w:rFonts w:hint="eastAsia"/>
          <w:color w:val="000000" w:themeColor="text1"/>
          <w14:textFill>
            <w14:solidFill>
              <w14:schemeClr w14:val="tx1"/>
            </w14:solidFill>
          </w14:textFill>
        </w:rPr>
      </w:pPr>
    </w:p>
    <w:p w14:paraId="3F373A41">
      <w:pPr>
        <w:pStyle w:val="112"/>
        <w:rPr>
          <w:rFonts w:hint="eastAsia"/>
          <w:color w:val="000000" w:themeColor="text1"/>
          <w14:textFill>
            <w14:solidFill>
              <w14:schemeClr w14:val="tx1"/>
            </w14:solidFill>
          </w14:textFill>
        </w:rPr>
      </w:pPr>
      <w:r>
        <w:rPr>
          <w:color w:val="000000" w:themeColor="text1"/>
          <w14:textFill>
            <w14:solidFill>
              <w14:schemeClr w14:val="tx1"/>
            </w14:solidFill>
          </w14:textFill>
        </w:rPr>
        <w:t>表5.2-9  模型所需参数一览表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871"/>
        <w:gridCol w:w="1536"/>
        <w:gridCol w:w="5330"/>
      </w:tblGrid>
      <w:tr w14:paraId="7B423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tcBorders>
              <w:top w:val="single" w:color="auto" w:sz="12" w:space="0"/>
              <w:left w:val="nil"/>
              <w:bottom w:val="single" w:color="auto" w:sz="4" w:space="0"/>
              <w:right w:val="single" w:color="auto" w:sz="4" w:space="0"/>
            </w:tcBorders>
            <w:vAlign w:val="center"/>
          </w:tcPr>
          <w:p w14:paraId="44C299DE">
            <w:pPr>
              <w:pStyle w:val="280"/>
              <w:rPr>
                <w:rFonts w:hint="eastAsia"/>
                <w:color w:val="000000" w:themeColor="text1"/>
                <w14:textFill>
                  <w14:solidFill>
                    <w14:schemeClr w14:val="tx1"/>
                  </w14:solidFill>
                </w14:textFill>
              </w:rPr>
            </w:pPr>
            <w:bookmarkStart w:id="471" w:name="_Hlk207654913"/>
            <w:r>
              <w:rPr>
                <w:color w:val="000000" w:themeColor="text1"/>
                <w14:textFill>
                  <w14:solidFill>
                    <w14:schemeClr w14:val="tx1"/>
                  </w14:solidFill>
                </w14:textFill>
              </w:rPr>
              <w:t>序号</w:t>
            </w:r>
            <w:bookmarkEnd w:id="471"/>
          </w:p>
        </w:tc>
        <w:tc>
          <w:tcPr>
            <w:tcW w:w="499" w:type="pct"/>
            <w:tcBorders>
              <w:top w:val="single" w:color="auto" w:sz="12" w:space="0"/>
              <w:left w:val="single" w:color="auto" w:sz="4" w:space="0"/>
              <w:bottom w:val="single" w:color="auto" w:sz="4" w:space="0"/>
              <w:right w:val="single" w:color="auto" w:sz="4" w:space="0"/>
            </w:tcBorders>
            <w:vAlign w:val="center"/>
          </w:tcPr>
          <w:p w14:paraId="7895B3B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参数符号</w:t>
            </w:r>
          </w:p>
        </w:tc>
        <w:tc>
          <w:tcPr>
            <w:tcW w:w="880" w:type="pct"/>
            <w:tcBorders>
              <w:top w:val="single" w:color="auto" w:sz="12" w:space="0"/>
              <w:left w:val="single" w:color="auto" w:sz="4" w:space="0"/>
              <w:bottom w:val="single" w:color="auto" w:sz="4" w:space="0"/>
              <w:right w:val="single" w:color="auto" w:sz="4" w:space="0"/>
            </w:tcBorders>
            <w:vAlign w:val="center"/>
          </w:tcPr>
          <w:p w14:paraId="221C33B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参数名称</w:t>
            </w:r>
          </w:p>
        </w:tc>
        <w:tc>
          <w:tcPr>
            <w:tcW w:w="3052" w:type="pct"/>
            <w:tcBorders>
              <w:top w:val="single" w:color="auto" w:sz="12" w:space="0"/>
              <w:left w:val="single" w:color="auto" w:sz="4" w:space="0"/>
              <w:bottom w:val="single" w:color="auto" w:sz="4" w:space="0"/>
              <w:right w:val="nil"/>
            </w:tcBorders>
            <w:vAlign w:val="center"/>
          </w:tcPr>
          <w:p w14:paraId="2EF800C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参考数值</w:t>
            </w:r>
          </w:p>
        </w:tc>
      </w:tr>
      <w:tr w14:paraId="648EDF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tcBorders>
              <w:top w:val="single" w:color="auto" w:sz="4" w:space="0"/>
              <w:left w:val="nil"/>
              <w:bottom w:val="single" w:color="auto" w:sz="4" w:space="0"/>
              <w:right w:val="single" w:color="auto" w:sz="4" w:space="0"/>
            </w:tcBorders>
            <w:vAlign w:val="center"/>
          </w:tcPr>
          <w:p w14:paraId="360C12B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w:t>
            </w:r>
          </w:p>
        </w:tc>
        <w:tc>
          <w:tcPr>
            <w:tcW w:w="499" w:type="pct"/>
            <w:tcBorders>
              <w:top w:val="single" w:color="auto" w:sz="4" w:space="0"/>
              <w:left w:val="single" w:color="auto" w:sz="4" w:space="0"/>
              <w:bottom w:val="single" w:color="auto" w:sz="4" w:space="0"/>
              <w:right w:val="single" w:color="auto" w:sz="4" w:space="0"/>
            </w:tcBorders>
            <w:vAlign w:val="center"/>
          </w:tcPr>
          <w:p w14:paraId="083804B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0</w:t>
            </w:r>
          </w:p>
        </w:tc>
        <w:tc>
          <w:tcPr>
            <w:tcW w:w="880" w:type="pct"/>
            <w:tcBorders>
              <w:top w:val="single" w:color="auto" w:sz="4" w:space="0"/>
              <w:left w:val="single" w:color="auto" w:sz="4" w:space="0"/>
              <w:bottom w:val="single" w:color="auto" w:sz="4" w:space="0"/>
              <w:right w:val="single" w:color="auto" w:sz="4" w:space="0"/>
            </w:tcBorders>
            <w:vAlign w:val="center"/>
          </w:tcPr>
          <w:p w14:paraId="681A172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污染物浓度</w:t>
            </w:r>
          </w:p>
        </w:tc>
        <w:tc>
          <w:tcPr>
            <w:tcW w:w="3052" w:type="pct"/>
            <w:tcBorders>
              <w:top w:val="single" w:color="auto" w:sz="4" w:space="0"/>
              <w:left w:val="single" w:color="auto" w:sz="4" w:space="0"/>
              <w:bottom w:val="single" w:color="auto" w:sz="4" w:space="0"/>
              <w:right w:val="nil"/>
            </w:tcBorders>
            <w:vAlign w:val="center"/>
          </w:tcPr>
          <w:p w14:paraId="4BF72D3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18mg/L[参照美国石油协会石油烃标准化工作组TPHCWG（1997）中关于石油类污染物的溶解度等相关文献]</w:t>
            </w:r>
          </w:p>
        </w:tc>
      </w:tr>
      <w:tr w14:paraId="6869AF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tcBorders>
              <w:top w:val="single" w:color="auto" w:sz="4" w:space="0"/>
              <w:left w:val="nil"/>
              <w:bottom w:val="single" w:color="auto" w:sz="4" w:space="0"/>
              <w:right w:val="single" w:color="auto" w:sz="4" w:space="0"/>
            </w:tcBorders>
            <w:vAlign w:val="center"/>
          </w:tcPr>
          <w:p w14:paraId="582C1A6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2</w:t>
            </w:r>
          </w:p>
        </w:tc>
        <w:tc>
          <w:tcPr>
            <w:tcW w:w="499" w:type="pct"/>
            <w:tcBorders>
              <w:top w:val="single" w:color="auto" w:sz="4" w:space="0"/>
              <w:left w:val="single" w:color="auto" w:sz="4" w:space="0"/>
              <w:bottom w:val="single" w:color="auto" w:sz="4" w:space="0"/>
              <w:right w:val="single" w:color="auto" w:sz="4" w:space="0"/>
            </w:tcBorders>
            <w:vAlign w:val="center"/>
          </w:tcPr>
          <w:p w14:paraId="2EFEC3D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t</w:t>
            </w:r>
          </w:p>
        </w:tc>
        <w:tc>
          <w:tcPr>
            <w:tcW w:w="880" w:type="pct"/>
            <w:tcBorders>
              <w:top w:val="single" w:color="auto" w:sz="4" w:space="0"/>
              <w:left w:val="single" w:color="auto" w:sz="4" w:space="0"/>
              <w:bottom w:val="single" w:color="auto" w:sz="4" w:space="0"/>
              <w:right w:val="single" w:color="auto" w:sz="4" w:space="0"/>
            </w:tcBorders>
            <w:vAlign w:val="center"/>
          </w:tcPr>
          <w:p w14:paraId="7EAB7BF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时间</w:t>
            </w:r>
          </w:p>
        </w:tc>
        <w:tc>
          <w:tcPr>
            <w:tcW w:w="3052" w:type="pct"/>
            <w:tcBorders>
              <w:top w:val="single" w:color="auto" w:sz="4" w:space="0"/>
              <w:left w:val="single" w:color="auto" w:sz="4" w:space="0"/>
              <w:bottom w:val="single" w:color="auto" w:sz="4" w:space="0"/>
              <w:right w:val="nil"/>
            </w:tcBorders>
            <w:vAlign w:val="center"/>
          </w:tcPr>
          <w:p w14:paraId="13C0D9A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100d、1000d</w:t>
            </w:r>
          </w:p>
        </w:tc>
      </w:tr>
      <w:tr w14:paraId="32E4D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tcBorders>
              <w:top w:val="single" w:color="auto" w:sz="4" w:space="0"/>
              <w:left w:val="nil"/>
              <w:bottom w:val="single" w:color="auto" w:sz="4" w:space="0"/>
              <w:right w:val="single" w:color="auto" w:sz="4" w:space="0"/>
            </w:tcBorders>
            <w:vAlign w:val="center"/>
          </w:tcPr>
          <w:p w14:paraId="398C518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3</w:t>
            </w:r>
          </w:p>
        </w:tc>
        <w:tc>
          <w:tcPr>
            <w:tcW w:w="499" w:type="pct"/>
            <w:tcBorders>
              <w:top w:val="single" w:color="auto" w:sz="4" w:space="0"/>
              <w:left w:val="single" w:color="auto" w:sz="4" w:space="0"/>
              <w:bottom w:val="single" w:color="auto" w:sz="4" w:space="0"/>
              <w:right w:val="single" w:color="auto" w:sz="4" w:space="0"/>
            </w:tcBorders>
            <w:vAlign w:val="center"/>
          </w:tcPr>
          <w:p w14:paraId="571F9FB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u</w:t>
            </w:r>
          </w:p>
        </w:tc>
        <w:tc>
          <w:tcPr>
            <w:tcW w:w="880" w:type="pct"/>
            <w:tcBorders>
              <w:top w:val="single" w:color="auto" w:sz="4" w:space="0"/>
              <w:left w:val="single" w:color="auto" w:sz="4" w:space="0"/>
              <w:bottom w:val="single" w:color="auto" w:sz="4" w:space="0"/>
              <w:right w:val="single" w:color="auto" w:sz="4" w:space="0"/>
            </w:tcBorders>
            <w:vAlign w:val="center"/>
          </w:tcPr>
          <w:p w14:paraId="7340531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水流速度</w:t>
            </w:r>
          </w:p>
        </w:tc>
        <w:tc>
          <w:tcPr>
            <w:tcW w:w="3052" w:type="pct"/>
            <w:tcBorders>
              <w:top w:val="single" w:color="auto" w:sz="4" w:space="0"/>
              <w:left w:val="single" w:color="auto" w:sz="4" w:space="0"/>
              <w:bottom w:val="single" w:color="auto" w:sz="4" w:space="0"/>
              <w:right w:val="nil"/>
            </w:tcBorders>
            <w:vAlign w:val="center"/>
          </w:tcPr>
          <w:p w14:paraId="05C007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0.33</w:t>
            </w:r>
            <w:r>
              <w:rPr>
                <w:color w:val="000000" w:themeColor="text1"/>
                <w14:textFill>
                  <w14:solidFill>
                    <w14:schemeClr w14:val="tx1"/>
                  </w14:solidFill>
                </w14:textFill>
              </w:rPr>
              <w:t>m/d</w:t>
            </w:r>
          </w:p>
        </w:tc>
      </w:tr>
      <w:tr w14:paraId="3DDE4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tcBorders>
              <w:top w:val="single" w:color="auto" w:sz="4" w:space="0"/>
              <w:left w:val="nil"/>
              <w:bottom w:val="single" w:color="auto" w:sz="4" w:space="0"/>
              <w:right w:val="single" w:color="auto" w:sz="4" w:space="0"/>
            </w:tcBorders>
            <w:vAlign w:val="center"/>
          </w:tcPr>
          <w:p w14:paraId="0F382673">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4</w:t>
            </w:r>
          </w:p>
        </w:tc>
        <w:tc>
          <w:tcPr>
            <w:tcW w:w="499" w:type="pct"/>
            <w:tcBorders>
              <w:top w:val="single" w:color="auto" w:sz="4" w:space="0"/>
              <w:left w:val="single" w:color="auto" w:sz="4" w:space="0"/>
              <w:bottom w:val="single" w:color="auto" w:sz="4" w:space="0"/>
              <w:right w:val="single" w:color="auto" w:sz="4" w:space="0"/>
            </w:tcBorders>
            <w:vAlign w:val="center"/>
          </w:tcPr>
          <w:p w14:paraId="7827D17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D</w:t>
            </w:r>
            <w:r>
              <w:rPr>
                <w:color w:val="000000" w:themeColor="text1"/>
                <w:vertAlign w:val="subscript"/>
                <w14:textFill>
                  <w14:solidFill>
                    <w14:schemeClr w14:val="tx1"/>
                  </w14:solidFill>
                </w14:textFill>
              </w:rPr>
              <w:t>L</w:t>
            </w:r>
          </w:p>
        </w:tc>
        <w:tc>
          <w:tcPr>
            <w:tcW w:w="880" w:type="pct"/>
            <w:tcBorders>
              <w:top w:val="single" w:color="auto" w:sz="4" w:space="0"/>
              <w:left w:val="single" w:color="auto" w:sz="4" w:space="0"/>
              <w:bottom w:val="single" w:color="auto" w:sz="4" w:space="0"/>
              <w:right w:val="single" w:color="auto" w:sz="4" w:space="0"/>
            </w:tcBorders>
            <w:vAlign w:val="center"/>
          </w:tcPr>
          <w:p w14:paraId="2A9C555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纵向弥散系数</w:t>
            </w:r>
          </w:p>
        </w:tc>
        <w:tc>
          <w:tcPr>
            <w:tcW w:w="3052" w:type="pct"/>
            <w:tcBorders>
              <w:top w:val="single" w:color="auto" w:sz="4" w:space="0"/>
              <w:left w:val="single" w:color="auto" w:sz="4" w:space="0"/>
              <w:bottom w:val="single" w:color="auto" w:sz="4" w:space="0"/>
              <w:right w:val="nil"/>
            </w:tcBorders>
            <w:vAlign w:val="center"/>
          </w:tcPr>
          <w:p w14:paraId="4A83D0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/d</w:t>
            </w:r>
          </w:p>
        </w:tc>
      </w:tr>
      <w:tr w14:paraId="634AF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tcBorders>
              <w:top w:val="single" w:color="auto" w:sz="4" w:space="0"/>
              <w:left w:val="nil"/>
              <w:bottom w:val="single" w:color="auto" w:sz="12" w:space="0"/>
              <w:right w:val="single" w:color="auto" w:sz="4" w:space="0"/>
            </w:tcBorders>
            <w:vAlign w:val="center"/>
          </w:tcPr>
          <w:p w14:paraId="142E1D6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5</w:t>
            </w:r>
          </w:p>
        </w:tc>
        <w:tc>
          <w:tcPr>
            <w:tcW w:w="499" w:type="pct"/>
            <w:tcBorders>
              <w:top w:val="single" w:color="auto" w:sz="4" w:space="0"/>
              <w:left w:val="single" w:color="auto" w:sz="4" w:space="0"/>
              <w:bottom w:val="single" w:color="auto" w:sz="12" w:space="0"/>
              <w:right w:val="single" w:color="auto" w:sz="4" w:space="0"/>
            </w:tcBorders>
            <w:vAlign w:val="center"/>
          </w:tcPr>
          <w:p w14:paraId="482A76E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n</w:t>
            </w:r>
            <w:r>
              <w:rPr>
                <w:color w:val="000000" w:themeColor="text1"/>
                <w:vertAlign w:val="subscript"/>
                <w14:textFill>
                  <w14:solidFill>
                    <w14:schemeClr w14:val="tx1"/>
                  </w14:solidFill>
                </w14:textFill>
              </w:rPr>
              <w:t>e</w:t>
            </w:r>
          </w:p>
        </w:tc>
        <w:tc>
          <w:tcPr>
            <w:tcW w:w="880" w:type="pct"/>
            <w:tcBorders>
              <w:top w:val="single" w:color="auto" w:sz="4" w:space="0"/>
              <w:left w:val="single" w:color="auto" w:sz="4" w:space="0"/>
              <w:bottom w:val="single" w:color="auto" w:sz="12" w:space="0"/>
              <w:right w:val="single" w:color="auto" w:sz="4" w:space="0"/>
            </w:tcBorders>
            <w:vAlign w:val="center"/>
          </w:tcPr>
          <w:p w14:paraId="2020FD4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有效孔隙度</w:t>
            </w:r>
          </w:p>
        </w:tc>
        <w:tc>
          <w:tcPr>
            <w:tcW w:w="3052" w:type="pct"/>
            <w:tcBorders>
              <w:top w:val="single" w:color="auto" w:sz="4" w:space="0"/>
              <w:left w:val="single" w:color="auto" w:sz="4" w:space="0"/>
              <w:bottom w:val="single" w:color="auto" w:sz="12" w:space="0"/>
              <w:right w:val="nil"/>
            </w:tcBorders>
            <w:vAlign w:val="center"/>
          </w:tcPr>
          <w:p w14:paraId="2CA223F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0.12</w:t>
            </w:r>
          </w:p>
        </w:tc>
      </w:tr>
    </w:tbl>
    <w:p w14:paraId="4F40FDC6">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当油水窜层发生泄漏时，石油类物质经过100d和1000d后在地下水中的扩散结果见表5.2-10和图5.2-</w:t>
      </w:r>
      <w:r>
        <w:rPr>
          <w:rFonts w:hint="eastAsia"/>
          <w:color w:val="000000" w:themeColor="text1"/>
          <w:lang w:val="en-US"/>
          <w14:textFill>
            <w14:solidFill>
              <w14:schemeClr w14:val="tx1"/>
            </w14:solidFill>
          </w14:textFill>
        </w:rPr>
        <w:t>3</w:t>
      </w:r>
      <w:r>
        <w:rPr>
          <w:color w:val="000000" w:themeColor="text1"/>
          <w:lang w:val="en-US"/>
          <w14:textFill>
            <w14:solidFill>
              <w14:schemeClr w14:val="tx1"/>
            </w14:solidFill>
          </w14:textFill>
        </w:rPr>
        <w:t>。</w:t>
      </w:r>
    </w:p>
    <w:p w14:paraId="0B547D29">
      <w:pPr>
        <w:pStyle w:val="112"/>
        <w:rPr>
          <w:rFonts w:hint="eastAsia"/>
          <w:color w:val="000000" w:themeColor="text1"/>
          <w14:textFill>
            <w14:solidFill>
              <w14:schemeClr w14:val="tx1"/>
            </w14:solidFill>
          </w14:textFill>
        </w:rPr>
      </w:pPr>
      <w:r>
        <w:rPr>
          <w:color w:val="000000" w:themeColor="text1"/>
          <w14:textFill>
            <w14:solidFill>
              <w14:schemeClr w14:val="tx1"/>
            </w14:solidFill>
          </w14:textFill>
        </w:rPr>
        <w:t>表5.2-10  地下水影响预测结果一览表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970"/>
        <w:gridCol w:w="845"/>
        <w:gridCol w:w="1315"/>
        <w:gridCol w:w="1853"/>
        <w:gridCol w:w="1853"/>
        <w:gridCol w:w="1894"/>
      </w:tblGrid>
      <w:tr w14:paraId="5E7428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556" w:type="pct"/>
            <w:tcBorders>
              <w:top w:val="single" w:color="auto" w:sz="12" w:space="0"/>
              <w:left w:val="nil"/>
              <w:bottom w:val="single" w:color="auto" w:sz="6" w:space="0"/>
              <w:right w:val="single" w:color="auto" w:sz="4" w:space="0"/>
            </w:tcBorders>
            <w:vAlign w:val="center"/>
          </w:tcPr>
          <w:p w14:paraId="4352346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泄漏点名称</w:t>
            </w:r>
          </w:p>
        </w:tc>
        <w:tc>
          <w:tcPr>
            <w:tcW w:w="484" w:type="pct"/>
            <w:tcBorders>
              <w:top w:val="single" w:color="auto" w:sz="12" w:space="0"/>
              <w:left w:val="single" w:color="auto" w:sz="6" w:space="0"/>
              <w:bottom w:val="single" w:color="auto" w:sz="6" w:space="0"/>
              <w:right w:val="single" w:color="auto" w:sz="4" w:space="0"/>
            </w:tcBorders>
            <w:vAlign w:val="center"/>
          </w:tcPr>
          <w:p w14:paraId="43B1618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753" w:type="pct"/>
            <w:tcBorders>
              <w:top w:val="single" w:color="auto" w:sz="12" w:space="0"/>
              <w:left w:val="single" w:color="auto" w:sz="6" w:space="0"/>
              <w:bottom w:val="single" w:color="auto" w:sz="6" w:space="0"/>
              <w:right w:val="single" w:color="auto" w:sz="6" w:space="0"/>
            </w:tcBorders>
            <w:vAlign w:val="center"/>
          </w:tcPr>
          <w:p w14:paraId="06F8746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预测时间d</w:t>
            </w:r>
          </w:p>
        </w:tc>
        <w:tc>
          <w:tcPr>
            <w:tcW w:w="1061" w:type="pct"/>
            <w:tcBorders>
              <w:top w:val="single" w:color="auto" w:sz="12" w:space="0"/>
              <w:left w:val="single" w:color="auto" w:sz="4" w:space="0"/>
              <w:bottom w:val="single" w:color="auto" w:sz="6" w:space="0"/>
              <w:right w:val="single" w:color="auto" w:sz="4" w:space="0"/>
            </w:tcBorders>
          </w:tcPr>
          <w:p w14:paraId="0495876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下游达标浓度</w:t>
            </w:r>
          </w:p>
          <w:p w14:paraId="77775B6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(mg/L)</w:t>
            </w:r>
          </w:p>
        </w:tc>
        <w:tc>
          <w:tcPr>
            <w:tcW w:w="1061" w:type="pct"/>
            <w:tcBorders>
              <w:top w:val="single" w:color="auto" w:sz="12" w:space="0"/>
              <w:left w:val="nil"/>
              <w:bottom w:val="single" w:color="auto" w:sz="6" w:space="0"/>
              <w:right w:val="single" w:color="auto" w:sz="4" w:space="0"/>
            </w:tcBorders>
            <w:vAlign w:val="center"/>
          </w:tcPr>
          <w:p w14:paraId="38FB0724">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下游达标浓度对应距离（m）</w:t>
            </w:r>
          </w:p>
        </w:tc>
        <w:tc>
          <w:tcPr>
            <w:tcW w:w="1085" w:type="pct"/>
            <w:tcBorders>
              <w:top w:val="single" w:color="auto" w:sz="12" w:space="0"/>
              <w:left w:val="nil"/>
              <w:bottom w:val="single" w:color="auto" w:sz="6" w:space="0"/>
              <w:right w:val="nil"/>
            </w:tcBorders>
            <w:vAlign w:val="center"/>
          </w:tcPr>
          <w:p w14:paraId="114DBFE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Ⅲ类标准</w:t>
            </w:r>
          </w:p>
          <w:p w14:paraId="6EC6DF5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(mg/L)</w:t>
            </w:r>
          </w:p>
        </w:tc>
      </w:tr>
      <w:tr w14:paraId="775E2C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556" w:type="pct"/>
            <w:vMerge w:val="restart"/>
            <w:tcBorders>
              <w:top w:val="single" w:color="auto" w:sz="6" w:space="0"/>
              <w:left w:val="nil"/>
              <w:bottom w:val="single" w:color="auto" w:sz="6" w:space="0"/>
              <w:right w:val="single" w:color="auto" w:sz="4" w:space="0"/>
            </w:tcBorders>
            <w:vAlign w:val="center"/>
          </w:tcPr>
          <w:p w14:paraId="2930CA1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油水窜层</w:t>
            </w:r>
          </w:p>
        </w:tc>
        <w:tc>
          <w:tcPr>
            <w:tcW w:w="484" w:type="pct"/>
            <w:vMerge w:val="restart"/>
            <w:tcBorders>
              <w:top w:val="single" w:color="auto" w:sz="6" w:space="0"/>
              <w:left w:val="single" w:color="auto" w:sz="6" w:space="0"/>
              <w:bottom w:val="single" w:color="auto" w:sz="6" w:space="0"/>
              <w:right w:val="single" w:color="auto" w:sz="4" w:space="0"/>
            </w:tcBorders>
            <w:vAlign w:val="center"/>
          </w:tcPr>
          <w:p w14:paraId="4FC5D8F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753" w:type="pct"/>
            <w:tcBorders>
              <w:top w:val="single" w:color="auto" w:sz="6" w:space="0"/>
              <w:left w:val="single" w:color="auto" w:sz="6" w:space="0"/>
              <w:bottom w:val="single" w:color="auto" w:sz="6" w:space="0"/>
              <w:right w:val="single" w:color="auto" w:sz="6" w:space="0"/>
            </w:tcBorders>
            <w:vAlign w:val="center"/>
          </w:tcPr>
          <w:p w14:paraId="7421DBF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100</w:t>
            </w:r>
          </w:p>
        </w:tc>
        <w:tc>
          <w:tcPr>
            <w:tcW w:w="1061" w:type="pct"/>
            <w:tcBorders>
              <w:top w:val="single" w:color="auto" w:sz="6" w:space="0"/>
              <w:left w:val="single" w:color="auto" w:sz="4" w:space="0"/>
              <w:bottom w:val="single" w:color="auto" w:sz="6" w:space="0"/>
              <w:right w:val="single" w:color="auto" w:sz="4" w:space="0"/>
            </w:tcBorders>
          </w:tcPr>
          <w:p w14:paraId="52016B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0.038</w:t>
            </w:r>
          </w:p>
        </w:tc>
        <w:tc>
          <w:tcPr>
            <w:tcW w:w="1061" w:type="pct"/>
            <w:tcBorders>
              <w:top w:val="single" w:color="auto" w:sz="6" w:space="0"/>
              <w:left w:val="nil"/>
              <w:bottom w:val="single" w:color="auto" w:sz="6" w:space="0"/>
              <w:right w:val="single" w:color="auto" w:sz="4" w:space="0"/>
            </w:tcBorders>
            <w:vAlign w:val="center"/>
          </w:tcPr>
          <w:p w14:paraId="1B8D965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1085" w:type="pct"/>
            <w:vMerge w:val="restart"/>
            <w:tcBorders>
              <w:top w:val="single" w:color="auto" w:sz="6" w:space="0"/>
              <w:left w:val="nil"/>
              <w:bottom w:val="single" w:color="auto" w:sz="6" w:space="0"/>
              <w:right w:val="nil"/>
            </w:tcBorders>
            <w:vAlign w:val="center"/>
          </w:tcPr>
          <w:p w14:paraId="21CE033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≤0.05</w:t>
            </w:r>
          </w:p>
        </w:tc>
      </w:tr>
      <w:tr w14:paraId="2A726A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0" w:type="auto"/>
            <w:vMerge w:val="continue"/>
            <w:tcBorders>
              <w:top w:val="single" w:color="auto" w:sz="6" w:space="0"/>
              <w:left w:val="nil"/>
              <w:bottom w:val="single" w:color="auto" w:sz="6" w:space="0"/>
              <w:right w:val="single" w:color="auto" w:sz="4" w:space="0"/>
            </w:tcBorders>
            <w:vAlign w:val="center"/>
          </w:tcPr>
          <w:p w14:paraId="72EC4352">
            <w:pPr>
              <w:pStyle w:val="280"/>
              <w:rPr>
                <w:rFonts w:hint="eastAsia"/>
                <w:color w:val="000000" w:themeColor="text1"/>
                <w14:textFill>
                  <w14:solidFill>
                    <w14:schemeClr w14:val="tx1"/>
                  </w14:solidFill>
                </w14:textFill>
              </w:rPr>
            </w:pPr>
          </w:p>
        </w:tc>
        <w:tc>
          <w:tcPr>
            <w:tcW w:w="0" w:type="auto"/>
            <w:vMerge w:val="continue"/>
            <w:tcBorders>
              <w:top w:val="single" w:color="auto" w:sz="6" w:space="0"/>
              <w:left w:val="single" w:color="auto" w:sz="6" w:space="0"/>
              <w:bottom w:val="single" w:color="auto" w:sz="6" w:space="0"/>
              <w:right w:val="single" w:color="auto" w:sz="4" w:space="0"/>
            </w:tcBorders>
            <w:vAlign w:val="center"/>
          </w:tcPr>
          <w:p w14:paraId="6CDF9899">
            <w:pPr>
              <w:pStyle w:val="280"/>
              <w:rPr>
                <w:rFonts w:hint="eastAsia"/>
                <w:color w:val="000000" w:themeColor="text1"/>
                <w14:textFill>
                  <w14:solidFill>
                    <w14:schemeClr w14:val="tx1"/>
                  </w14:solidFill>
                </w14:textFill>
              </w:rPr>
            </w:pPr>
          </w:p>
        </w:tc>
        <w:tc>
          <w:tcPr>
            <w:tcW w:w="753" w:type="pct"/>
            <w:tcBorders>
              <w:top w:val="single" w:color="auto" w:sz="6" w:space="0"/>
              <w:left w:val="single" w:color="auto" w:sz="6" w:space="0"/>
              <w:bottom w:val="single" w:color="auto" w:sz="6" w:space="0"/>
              <w:right w:val="single" w:color="auto" w:sz="6" w:space="0"/>
            </w:tcBorders>
            <w:vAlign w:val="center"/>
          </w:tcPr>
          <w:p w14:paraId="58EE108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1000</w:t>
            </w:r>
          </w:p>
        </w:tc>
        <w:tc>
          <w:tcPr>
            <w:tcW w:w="1061" w:type="pct"/>
            <w:tcBorders>
              <w:top w:val="single" w:color="auto" w:sz="6" w:space="0"/>
              <w:left w:val="single" w:color="auto" w:sz="4" w:space="0"/>
              <w:bottom w:val="single" w:color="auto" w:sz="6" w:space="0"/>
              <w:right w:val="single" w:color="auto" w:sz="4" w:space="0"/>
            </w:tcBorders>
          </w:tcPr>
          <w:p w14:paraId="3FFC06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0.0496</w:t>
            </w:r>
          </w:p>
        </w:tc>
        <w:tc>
          <w:tcPr>
            <w:tcW w:w="1061" w:type="pct"/>
            <w:tcBorders>
              <w:top w:val="single" w:color="auto" w:sz="6" w:space="0"/>
              <w:left w:val="nil"/>
              <w:bottom w:val="single" w:color="auto" w:sz="6" w:space="0"/>
              <w:right w:val="single" w:color="auto" w:sz="4" w:space="0"/>
            </w:tcBorders>
            <w:vAlign w:val="center"/>
          </w:tcPr>
          <w:p w14:paraId="4292039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263</w:t>
            </w:r>
          </w:p>
        </w:tc>
        <w:tc>
          <w:tcPr>
            <w:tcW w:w="0" w:type="auto"/>
            <w:vMerge w:val="continue"/>
            <w:tcBorders>
              <w:top w:val="single" w:color="auto" w:sz="6" w:space="0"/>
              <w:left w:val="nil"/>
              <w:bottom w:val="single" w:color="auto" w:sz="6" w:space="0"/>
              <w:right w:val="nil"/>
            </w:tcBorders>
            <w:vAlign w:val="center"/>
          </w:tcPr>
          <w:p w14:paraId="76A170D4">
            <w:pPr>
              <w:pStyle w:val="280"/>
              <w:rPr>
                <w:rFonts w:hint="eastAsia"/>
                <w:color w:val="000000" w:themeColor="text1"/>
                <w14:textFill>
                  <w14:solidFill>
                    <w14:schemeClr w14:val="tx1"/>
                  </w14:solidFill>
                </w14:textFill>
              </w:rPr>
            </w:pPr>
          </w:p>
        </w:tc>
      </w:tr>
      <w:tr w14:paraId="6E5337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5000" w:type="pct"/>
            <w:gridSpan w:val="6"/>
            <w:tcBorders>
              <w:top w:val="single" w:color="auto" w:sz="4" w:space="0"/>
              <w:left w:val="nil"/>
              <w:bottom w:val="single" w:color="auto" w:sz="4" w:space="0"/>
              <w:right w:val="nil"/>
            </w:tcBorders>
            <w:tcMar>
              <w:top w:w="0" w:type="dxa"/>
              <w:left w:w="108" w:type="dxa"/>
              <w:bottom w:w="0" w:type="dxa"/>
              <w:right w:w="108" w:type="dxa"/>
            </w:tcMar>
          </w:tcPr>
          <w:p w14:paraId="02612A08">
            <w:pPr>
              <w:pStyle w:val="280"/>
              <w:rPr>
                <w:rFonts w:hint="eastAsia"/>
                <w:color w:val="000000" w:themeColor="text1"/>
                <w14:textFill>
                  <w14:solidFill>
                    <w14:schemeClr w14:val="tx1"/>
                  </w14:solidFill>
                </w14:textFill>
              </w:rPr>
            </w:pPr>
          </w:p>
          <w:p w14:paraId="64961FE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495925" cy="3381375"/>
                  <wp:effectExtent l="0" t="0" r="9525" b="9525"/>
                  <wp:docPr id="2077622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22889" name="图片 1"/>
                          <pic:cNvPicPr>
                            <a:picLocks noChangeAspect="1"/>
                          </pic:cNvPicPr>
                        </pic:nvPicPr>
                        <pic:blipFill>
                          <a:blip r:embed="rId91"/>
                          <a:stretch>
                            <a:fillRect/>
                          </a:stretch>
                        </pic:blipFill>
                        <pic:spPr>
                          <a:xfrm>
                            <a:off x="0" y="0"/>
                            <a:ext cx="5495925" cy="3381375"/>
                          </a:xfrm>
                          <a:prstGeom prst="rect">
                            <a:avLst/>
                          </a:prstGeom>
                        </pic:spPr>
                      </pic:pic>
                    </a:graphicData>
                  </a:graphic>
                </wp:inline>
              </w:drawing>
            </w:r>
          </w:p>
        </w:tc>
      </w:tr>
      <w:tr w14:paraId="0C31A6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5000" w:type="pct"/>
            <w:gridSpan w:val="6"/>
            <w:tcBorders>
              <w:top w:val="single" w:color="auto" w:sz="4" w:space="0"/>
              <w:left w:val="nil"/>
              <w:bottom w:val="single" w:color="auto" w:sz="4" w:space="0"/>
              <w:right w:val="nil"/>
            </w:tcBorders>
            <w:tcMar>
              <w:top w:w="0" w:type="dxa"/>
              <w:left w:w="108" w:type="dxa"/>
              <w:bottom w:w="0" w:type="dxa"/>
              <w:right w:w="108" w:type="dxa"/>
            </w:tcMar>
          </w:tcPr>
          <w:p w14:paraId="0993F52E">
            <w:pPr>
              <w:pStyle w:val="280"/>
              <w:rPr>
                <w:rFonts w:hint="eastAsia"/>
                <w:color w:val="000000" w:themeColor="text1"/>
                <w14:textFill>
                  <w14:solidFill>
                    <w14:schemeClr w14:val="tx1"/>
                  </w14:solidFill>
                </w14:textFill>
              </w:rPr>
            </w:pPr>
            <w:r>
              <w:rPr>
                <w:b/>
                <w:bCs/>
                <w:color w:val="000000" w:themeColor="text1"/>
                <w14:textFill>
                  <w14:solidFill>
                    <w14:schemeClr w14:val="tx1"/>
                  </w14:solidFill>
                </w14:textFill>
              </w:rPr>
              <w:t>油水窜层泄漏100d后地下水中石油类浓度在距泄漏点不同距离处的分布情况</w:t>
            </w:r>
          </w:p>
        </w:tc>
      </w:tr>
      <w:tr w14:paraId="044A5F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5000" w:type="pct"/>
            <w:gridSpan w:val="6"/>
            <w:tcBorders>
              <w:top w:val="single" w:color="auto" w:sz="4" w:space="0"/>
              <w:left w:val="nil"/>
              <w:bottom w:val="single" w:color="auto" w:sz="4" w:space="0"/>
              <w:right w:val="nil"/>
            </w:tcBorders>
            <w:tcMar>
              <w:top w:w="0" w:type="dxa"/>
              <w:left w:w="108" w:type="dxa"/>
              <w:bottom w:w="0" w:type="dxa"/>
              <w:right w:w="108" w:type="dxa"/>
            </w:tcMar>
          </w:tcPr>
          <w:p w14:paraId="67DF8050">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495925" cy="3409950"/>
                  <wp:effectExtent l="0" t="0" r="9525" b="0"/>
                  <wp:docPr id="1081664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64487" name="图片 1"/>
                          <pic:cNvPicPr>
                            <a:picLocks noChangeAspect="1"/>
                          </pic:cNvPicPr>
                        </pic:nvPicPr>
                        <pic:blipFill>
                          <a:blip r:embed="rId92"/>
                          <a:stretch>
                            <a:fillRect/>
                          </a:stretch>
                        </pic:blipFill>
                        <pic:spPr>
                          <a:xfrm>
                            <a:off x="0" y="0"/>
                            <a:ext cx="5495925" cy="3409950"/>
                          </a:xfrm>
                          <a:prstGeom prst="rect">
                            <a:avLst/>
                          </a:prstGeom>
                        </pic:spPr>
                      </pic:pic>
                    </a:graphicData>
                  </a:graphic>
                </wp:inline>
              </w:drawing>
            </w:r>
          </w:p>
        </w:tc>
      </w:tr>
      <w:tr w14:paraId="0B0F7A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5000" w:type="pct"/>
            <w:gridSpan w:val="6"/>
            <w:tcBorders>
              <w:top w:val="single" w:color="auto" w:sz="4" w:space="0"/>
              <w:left w:val="nil"/>
              <w:bottom w:val="single" w:color="auto" w:sz="4" w:space="0"/>
              <w:right w:val="nil"/>
            </w:tcBorders>
            <w:tcMar>
              <w:top w:w="0" w:type="dxa"/>
              <w:left w:w="108" w:type="dxa"/>
              <w:bottom w:w="0" w:type="dxa"/>
              <w:right w:w="108" w:type="dxa"/>
            </w:tcMar>
          </w:tcPr>
          <w:p w14:paraId="343C5ED9">
            <w:pPr>
              <w:pStyle w:val="280"/>
              <w:rPr>
                <w:rFonts w:hint="eastAsia"/>
                <w:color w:val="000000" w:themeColor="text1"/>
                <w14:textFill>
                  <w14:solidFill>
                    <w14:schemeClr w14:val="tx1"/>
                  </w14:solidFill>
                </w14:textFill>
              </w:rPr>
            </w:pPr>
            <w:r>
              <w:rPr>
                <w:b/>
                <w:bCs/>
                <w:color w:val="000000" w:themeColor="text1"/>
                <w14:textFill>
                  <w14:solidFill>
                    <w14:schemeClr w14:val="tx1"/>
                  </w14:solidFill>
                </w14:textFill>
              </w:rPr>
              <w:t>油水窜层泄漏1000d后地下水中石油类浓度在距泄漏点不同距离处的分布情况</w:t>
            </w:r>
          </w:p>
        </w:tc>
      </w:tr>
    </w:tbl>
    <w:p w14:paraId="6BE61D3A">
      <w:pPr>
        <w:pStyle w:val="112"/>
        <w:rPr>
          <w:rFonts w:hint="eastAsia"/>
          <w:color w:val="000000" w:themeColor="text1"/>
          <w14:textFill>
            <w14:solidFill>
              <w14:schemeClr w14:val="tx1"/>
            </w14:solidFill>
          </w14:textFill>
        </w:rPr>
      </w:pPr>
      <w:r>
        <w:rPr>
          <w:color w:val="000000" w:themeColor="text1"/>
          <w14:textFill>
            <w14:solidFill>
              <w14:schemeClr w14:val="tx1"/>
            </w14:solidFill>
          </w14:textFill>
        </w:rPr>
        <w:t>图5.2-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油水窜层地下水预测成果图</w:t>
      </w:r>
    </w:p>
    <w:p w14:paraId="75FC1A5A">
      <w:pPr>
        <w:pStyle w:val="120"/>
        <w:rPr>
          <w:rFonts w:hint="eastAsia"/>
          <w:color w:val="000000" w:themeColor="text1"/>
          <w:lang w:val="en-US"/>
          <w14:textFill>
            <w14:solidFill>
              <w14:schemeClr w14:val="tx1"/>
            </w14:solidFill>
          </w14:textFill>
        </w:rPr>
      </w:pPr>
      <w:r>
        <w:rPr>
          <w:color w:val="000000" w:themeColor="text1"/>
          <w:lang w:val="en-US"/>
          <w14:textFill>
            <w14:solidFill>
              <w14:schemeClr w14:val="tx1"/>
            </w14:solidFill>
          </w14:textFill>
        </w:rPr>
        <w:t>从预测结果可知：随着时间的增加，污染范围有所增加，油水窜层发生泄漏后100d和1000d下游石油类达标时对应的距离分别为</w:t>
      </w:r>
      <w:r>
        <w:rPr>
          <w:rFonts w:hint="eastAsia"/>
          <w:color w:val="000000" w:themeColor="text1"/>
          <w:lang w:val="en-US"/>
          <w14:textFill>
            <w14:solidFill>
              <w14:schemeClr w14:val="tx1"/>
            </w14:solidFill>
          </w14:textFill>
        </w:rPr>
        <w:t>36</w:t>
      </w:r>
      <w:r>
        <w:rPr>
          <w:color w:val="000000" w:themeColor="text1"/>
          <w:lang w:val="en-US"/>
          <w14:textFill>
            <w14:solidFill>
              <w14:schemeClr w14:val="tx1"/>
            </w14:solidFill>
          </w14:textFill>
        </w:rPr>
        <w:t>m和</w:t>
      </w:r>
      <w:r>
        <w:rPr>
          <w:rFonts w:hint="eastAsia"/>
          <w:color w:val="000000" w:themeColor="text1"/>
          <w:lang w:val="en-US"/>
          <w14:textFill>
            <w14:solidFill>
              <w14:schemeClr w14:val="tx1"/>
            </w14:solidFill>
          </w14:textFill>
        </w:rPr>
        <w:t>263</w:t>
      </w:r>
      <w:r>
        <w:rPr>
          <w:color w:val="000000" w:themeColor="text1"/>
          <w:lang w:val="en-US"/>
          <w14:textFill>
            <w14:solidFill>
              <w14:schemeClr w14:val="tx1"/>
            </w14:solidFill>
          </w14:textFill>
        </w:rPr>
        <w:t>m。油井套管发生泄漏后，采出液中的石油类在含水层中的迁移随着时间、距离增加，污染物污染范围也呈增加趋势。由于项目区地下水影响范围内无集中式饮用水源和分散式饮用水源地等地下水环境保护目标，流经的孔隙、裂隙对石油类的拦截作用，进入含水层的石油类量是有限的。为防止套管破损污染地下水，表层套管严格封闭含水层，定期维护，定期检查固井质量，保证其合格，若发现固井质量不合格以及套管破损的情况后，及时进行修复，尽量避免窜层污染到泄漏点周边区域内的地下水。</w:t>
      </w:r>
    </w:p>
    <w:p w14:paraId="25B213C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（3）回注井对地下水环境影响分析</w:t>
      </w:r>
    </w:p>
    <w:p w14:paraId="3BAE97F5">
      <w:pPr>
        <w:pStyle w:val="120"/>
        <w:rPr>
          <w:rFonts w:hint="eastAsia"/>
          <w:bCs/>
          <w:color w:val="000000" w:themeColor="text1"/>
          <w14:textFill>
            <w14:solidFill>
              <w14:schemeClr w14:val="tx1"/>
            </w14:solidFill>
          </w14:textFill>
        </w:rPr>
      </w:pPr>
      <w:r>
        <w:rPr>
          <w:color w:val="000000" w:themeColor="text1"/>
          <w14:textFill>
            <w14:solidFill>
              <w14:schemeClr w14:val="tx1"/>
            </w14:solidFill>
          </w14:textFill>
        </w:rPr>
        <w:t>JD8399A</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JD8664A</w:t>
      </w:r>
      <w:r>
        <w:rPr>
          <w:rFonts w:hint="eastAsia"/>
          <w:color w:val="000000" w:themeColor="text1"/>
          <w:lang w:val="en-US"/>
          <w14:textFill>
            <w14:solidFill>
              <w14:schemeClr w14:val="tx1"/>
            </w14:solidFill>
          </w14:textFill>
        </w:rPr>
        <w:t>均</w:t>
      </w:r>
      <w:r>
        <w:rPr>
          <w:rFonts w:hint="eastAsia"/>
          <w:color w:val="000000" w:themeColor="text1"/>
          <w14:textFill>
            <w14:solidFill>
              <w14:schemeClr w14:val="tx1"/>
            </w14:solidFill>
          </w14:textFill>
        </w:rPr>
        <w:t>采用</w:t>
      </w:r>
      <w:r>
        <w:rPr>
          <w:rFonts w:hint="eastAsia"/>
          <w:color w:val="000000" w:themeColor="text1"/>
          <w:lang w:val="en-US"/>
          <w14:textFill>
            <w14:solidFill>
              <w14:schemeClr w14:val="tx1"/>
            </w14:solidFill>
          </w14:textFill>
        </w:rPr>
        <w:t>定向井</w:t>
      </w:r>
      <w:r>
        <w:rPr>
          <w:rFonts w:hint="eastAsia"/>
          <w:color w:val="000000" w:themeColor="text1"/>
          <w14:textFill>
            <w14:solidFill>
              <w14:schemeClr w14:val="tx1"/>
            </w14:solidFill>
          </w14:textFill>
        </w:rPr>
        <w:t>井身结构，回注层位固井质量合格，采用表层套管和油层套管，井筒</w:t>
      </w:r>
      <w:r>
        <w:rPr>
          <w:bCs/>
          <w:color w:val="000000" w:themeColor="text1"/>
          <w14:textFill>
            <w14:solidFill>
              <w14:schemeClr w14:val="tx1"/>
            </w14:solidFill>
          </w14:textFill>
        </w:rPr>
        <w:t>无套损、套变、严重腐蚀</w:t>
      </w:r>
      <w:r>
        <w:rPr>
          <w:rFonts w:hint="eastAsia"/>
          <w:bCs/>
          <w:color w:val="000000" w:themeColor="text1"/>
          <w14:textFill>
            <w14:solidFill>
              <w14:schemeClr w14:val="tx1"/>
            </w14:solidFill>
          </w14:textFill>
        </w:rPr>
        <w:t>，能够承受设计回注压力和防腐，采用水泥固井，对含水层进行了固封处理。</w:t>
      </w:r>
    </w:p>
    <w:p w14:paraId="5917F77E">
      <w:pPr>
        <w:pStyle w:val="120"/>
        <w:rPr>
          <w:rStyle w:val="192"/>
          <w:rFonts w:hint="eastAsia"/>
          <w:color w:val="000000" w:themeColor="text1"/>
          <w:lang w:val="en-US"/>
          <w14:textFill>
            <w14:solidFill>
              <w14:schemeClr w14:val="tx1"/>
            </w14:solidFill>
          </w14:textFill>
        </w:rPr>
      </w:pPr>
      <w:r>
        <w:rPr>
          <w:rFonts w:hint="eastAsia"/>
          <w:bCs/>
          <w:color w:val="000000" w:themeColor="text1"/>
          <w:lang w:val="en-US"/>
          <w14:textFill>
            <w14:solidFill>
              <w14:schemeClr w14:val="tx1"/>
            </w14:solidFill>
          </w14:textFill>
        </w:rPr>
        <w:t>本项目部署2口注水井</w:t>
      </w:r>
      <w:r>
        <w:rPr>
          <w:rFonts w:hint="eastAsia"/>
          <w:bCs/>
          <w:color w:val="000000" w:themeColor="text1"/>
          <w14:textFill>
            <w14:solidFill>
              <w14:schemeClr w14:val="tx1"/>
            </w14:solidFill>
          </w14:textFill>
        </w:rPr>
        <w:t>回注层位为</w:t>
      </w:r>
      <w:r>
        <w:rPr>
          <w:rFonts w:hint="eastAsia"/>
          <w:color w:val="000000" w:themeColor="text1"/>
          <w14:textFill>
            <w14:solidFill>
              <w14:schemeClr w14:val="tx1"/>
            </w14:solidFill>
          </w14:textFill>
        </w:rPr>
        <w:t>吉7井区</w:t>
      </w:r>
      <w:r>
        <w:rPr>
          <w:rFonts w:hint="eastAsia"/>
          <w:bCs/>
          <w:color w:val="000000" w:themeColor="text1"/>
          <w14:textFill>
            <w14:solidFill>
              <w14:schemeClr w14:val="tx1"/>
            </w14:solidFill>
          </w14:textFill>
        </w:rPr>
        <w:t>二叠系梧桐沟组油藏，</w:t>
      </w:r>
      <w:r>
        <w:rPr>
          <w:rFonts w:hint="eastAsia"/>
          <w:bCs/>
          <w:color w:val="000000" w:themeColor="text1"/>
          <w:lang w:val="en-US"/>
          <w14:textFill>
            <w14:solidFill>
              <w14:schemeClr w14:val="tx1"/>
            </w14:solidFill>
          </w14:textFill>
        </w:rPr>
        <w:t>主要包括3个断块，分别</w:t>
      </w:r>
      <w:r>
        <w:rPr>
          <w:rStyle w:val="192"/>
          <w:rFonts w:hint="eastAsia"/>
          <w:color w:val="000000" w:themeColor="text1"/>
          <w:lang w:val="en-US"/>
          <w14:textFill>
            <w14:solidFill>
              <w14:schemeClr w14:val="tx1"/>
            </w14:solidFill>
          </w14:textFill>
        </w:rPr>
        <w:t>为</w:t>
      </w:r>
      <w:r>
        <w:rPr>
          <w:rStyle w:val="192"/>
          <w:color w:val="000000" w:themeColor="text1"/>
          <w14:textFill>
            <w14:solidFill>
              <w14:schemeClr w14:val="tx1"/>
            </w14:solidFill>
          </w14:textFill>
        </w:rPr>
        <w:t>吉7井区吉006井断块P</w:t>
      </w:r>
      <w:r>
        <w:rPr>
          <w:rStyle w:val="192"/>
          <w:color w:val="000000" w:themeColor="text1"/>
          <w:vertAlign w:val="subscript"/>
          <w14:textFill>
            <w14:solidFill>
              <w14:schemeClr w14:val="tx1"/>
            </w14:solidFill>
          </w14:textFill>
        </w:rPr>
        <w:t>3</w:t>
      </w:r>
      <w:r>
        <w:rPr>
          <w:rStyle w:val="192"/>
          <w:color w:val="000000" w:themeColor="text1"/>
          <w14:textFill>
            <w14:solidFill>
              <w14:schemeClr w14:val="tx1"/>
            </w14:solidFill>
          </w14:textFill>
        </w:rPr>
        <w:t>wt</w:t>
      </w:r>
      <w:r>
        <w:rPr>
          <w:rStyle w:val="192"/>
          <w:color w:val="000000" w:themeColor="text1"/>
          <w:vertAlign w:val="subscript"/>
          <w14:textFill>
            <w14:solidFill>
              <w14:schemeClr w14:val="tx1"/>
            </w14:solidFill>
          </w14:textFill>
        </w:rPr>
        <w:t>2</w:t>
      </w:r>
      <w:r>
        <w:rPr>
          <w:rStyle w:val="192"/>
          <w:color w:val="000000" w:themeColor="text1"/>
          <w:vertAlign w:val="superscript"/>
          <w14:textFill>
            <w14:solidFill>
              <w14:schemeClr w14:val="tx1"/>
            </w14:solidFill>
          </w14:textFill>
        </w:rPr>
        <w:t>2-3</w:t>
      </w:r>
      <w:r>
        <w:rPr>
          <w:rStyle w:val="192"/>
          <w:color w:val="000000" w:themeColor="text1"/>
          <w14:textFill>
            <w14:solidFill>
              <w14:schemeClr w14:val="tx1"/>
            </w14:solidFill>
          </w14:textFill>
        </w:rPr>
        <w:t>层</w:t>
      </w:r>
      <w:r>
        <w:rPr>
          <w:rStyle w:val="192"/>
          <w:rFonts w:hint="eastAsia"/>
          <w:color w:val="000000" w:themeColor="text1"/>
          <w14:textFill>
            <w14:solidFill>
              <w14:schemeClr w14:val="tx1"/>
            </w14:solidFill>
          </w14:textFill>
        </w:rPr>
        <w:t>、</w:t>
      </w:r>
      <w:r>
        <w:rPr>
          <w:rStyle w:val="192"/>
          <w:color w:val="000000" w:themeColor="text1"/>
          <w14:textFill>
            <w14:solidFill>
              <w14:schemeClr w14:val="tx1"/>
            </w14:solidFill>
          </w14:textFill>
        </w:rPr>
        <w:t>吉7井区吉</w:t>
      </w:r>
      <w:r>
        <w:rPr>
          <w:rStyle w:val="192"/>
          <w:color w:val="000000" w:themeColor="text1"/>
          <w:lang w:val="en-US"/>
          <w14:textFill>
            <w14:solidFill>
              <w14:schemeClr w14:val="tx1"/>
            </w14:solidFill>
          </w14:textFill>
        </w:rPr>
        <w:t>006</w:t>
      </w:r>
      <w:r>
        <w:rPr>
          <w:rStyle w:val="192"/>
          <w:color w:val="000000" w:themeColor="text1"/>
          <w14:textFill>
            <w14:solidFill>
              <w14:schemeClr w14:val="tx1"/>
            </w14:solidFill>
          </w14:textFill>
        </w:rPr>
        <w:t>井断块P</w:t>
      </w:r>
      <w:r>
        <w:rPr>
          <w:rStyle w:val="192"/>
          <w:color w:val="000000" w:themeColor="text1"/>
          <w:vertAlign w:val="subscript"/>
          <w14:textFill>
            <w14:solidFill>
              <w14:schemeClr w14:val="tx1"/>
            </w14:solidFill>
          </w14:textFill>
        </w:rPr>
        <w:t>3</w:t>
      </w:r>
      <w:r>
        <w:rPr>
          <w:rStyle w:val="192"/>
          <w:color w:val="000000" w:themeColor="text1"/>
          <w14:textFill>
            <w14:solidFill>
              <w14:schemeClr w14:val="tx1"/>
            </w14:solidFill>
          </w14:textFill>
        </w:rPr>
        <w:t>wt</w:t>
      </w:r>
      <w:r>
        <w:rPr>
          <w:rStyle w:val="192"/>
          <w:color w:val="000000" w:themeColor="text1"/>
          <w:vertAlign w:val="subscript"/>
          <w:lang w:val="en-US"/>
          <w14:textFill>
            <w14:solidFill>
              <w14:schemeClr w14:val="tx1"/>
            </w14:solidFill>
          </w14:textFill>
        </w:rPr>
        <w:t>1</w:t>
      </w:r>
      <w:r>
        <w:rPr>
          <w:rStyle w:val="192"/>
          <w:color w:val="000000" w:themeColor="text1"/>
          <w:vertAlign w:val="superscript"/>
          <w14:textFill>
            <w14:solidFill>
              <w14:schemeClr w14:val="tx1"/>
            </w14:solidFill>
          </w14:textFill>
        </w:rPr>
        <w:t>2</w:t>
      </w:r>
      <w:r>
        <w:rPr>
          <w:rStyle w:val="192"/>
          <w:color w:val="000000" w:themeColor="text1"/>
          <w14:textFill>
            <w14:solidFill>
              <w14:schemeClr w14:val="tx1"/>
            </w14:solidFill>
          </w14:textFill>
        </w:rPr>
        <w:t>层</w:t>
      </w:r>
      <w:r>
        <w:rPr>
          <w:rStyle w:val="192"/>
          <w:rFonts w:hint="eastAsia"/>
          <w:color w:val="000000" w:themeColor="text1"/>
          <w:lang w:val="en-US"/>
          <w14:textFill>
            <w14:solidFill>
              <w14:schemeClr w14:val="tx1"/>
            </w14:solidFill>
          </w14:textFill>
        </w:rPr>
        <w:t>和</w:t>
      </w:r>
      <w:r>
        <w:rPr>
          <w:rStyle w:val="192"/>
          <w:color w:val="000000" w:themeColor="text1"/>
          <w:lang w:val="en-US"/>
          <w14:textFill>
            <w14:solidFill>
              <w14:schemeClr w14:val="tx1"/>
            </w14:solidFill>
          </w14:textFill>
        </w:rPr>
        <w:t>吉7井区吉8井断块P</w:t>
      </w:r>
      <w:r>
        <w:rPr>
          <w:rStyle w:val="192"/>
          <w:color w:val="000000" w:themeColor="text1"/>
          <w:vertAlign w:val="subscript"/>
          <w:lang w:val="en-US"/>
          <w14:textFill>
            <w14:solidFill>
              <w14:schemeClr w14:val="tx1"/>
            </w14:solidFill>
          </w14:textFill>
        </w:rPr>
        <w:t>3</w:t>
      </w:r>
      <w:r>
        <w:rPr>
          <w:rStyle w:val="192"/>
          <w:color w:val="000000" w:themeColor="text1"/>
          <w:lang w:val="en-US"/>
          <w14:textFill>
            <w14:solidFill>
              <w14:schemeClr w14:val="tx1"/>
            </w14:solidFill>
          </w14:textFill>
        </w:rPr>
        <w:t>wt</w:t>
      </w:r>
      <w:r>
        <w:rPr>
          <w:rStyle w:val="192"/>
          <w:color w:val="000000" w:themeColor="text1"/>
          <w:vertAlign w:val="subscript"/>
          <w:lang w:val="en-US"/>
          <w14:textFill>
            <w14:solidFill>
              <w14:schemeClr w14:val="tx1"/>
            </w14:solidFill>
          </w14:textFill>
        </w:rPr>
        <w:t>2</w:t>
      </w:r>
      <w:r>
        <w:rPr>
          <w:rStyle w:val="192"/>
          <w:color w:val="000000" w:themeColor="text1"/>
          <w:vertAlign w:val="superscript"/>
          <w:lang w:val="en-US"/>
          <w14:textFill>
            <w14:solidFill>
              <w14:schemeClr w14:val="tx1"/>
            </w14:solidFill>
          </w14:textFill>
        </w:rPr>
        <w:t>2-3</w:t>
      </w:r>
      <w:r>
        <w:rPr>
          <w:rStyle w:val="192"/>
          <w:color w:val="000000" w:themeColor="text1"/>
          <w14:textFill>
            <w14:solidFill>
              <w14:schemeClr w14:val="tx1"/>
            </w14:solidFill>
          </w14:textFill>
        </w:rPr>
        <w:t>层</w:t>
      </w:r>
      <w:r>
        <w:rPr>
          <w:rStyle w:val="192"/>
          <w:rFonts w:hint="eastAsia"/>
          <w:color w:val="000000" w:themeColor="text1"/>
          <w14:textFill>
            <w14:solidFill>
              <w14:schemeClr w14:val="tx1"/>
            </w14:solidFill>
          </w14:textFill>
        </w:rPr>
        <w:t>。</w:t>
      </w:r>
      <w:r>
        <w:rPr>
          <w:rStyle w:val="192"/>
          <w:rFonts w:hint="eastAsia"/>
          <w:color w:val="000000" w:themeColor="text1"/>
          <w:lang w:val="en-US"/>
          <w14:textFill>
            <w14:solidFill>
              <w14:schemeClr w14:val="tx1"/>
            </w14:solidFill>
          </w14:textFill>
        </w:rPr>
        <w:t>具体如下：</w:t>
      </w:r>
    </w:p>
    <w:p w14:paraId="2C814F5B">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吉7井区吉006井断块P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2-3</w:t>
      </w:r>
      <w:r>
        <w:rPr>
          <w:color w:val="000000" w:themeColor="text1"/>
          <w14:textFill>
            <w14:solidFill>
              <w14:schemeClr w14:val="tx1"/>
            </w14:solidFill>
          </w14:textFill>
        </w:rPr>
        <w:t>层油藏顶面构造为向东南抬升的单斜，倾角约10º，东南方向受吉7井断裂控制，东北、西南方向受吉006井北断裂和吉006井南断裂切割</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吉006井断块P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层油藏类型为局部受岩性控制的构造油藏，其中P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2-2</w:t>
      </w:r>
      <w:r>
        <w:rPr>
          <w:color w:val="000000" w:themeColor="text1"/>
          <w14:textFill>
            <w14:solidFill>
              <w14:schemeClr w14:val="tx1"/>
            </w14:solidFill>
          </w14:textFill>
        </w:rPr>
        <w:t>层受岩性控制，P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2-1</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2-3</w:t>
      </w:r>
      <w:r>
        <w:rPr>
          <w:color w:val="000000" w:themeColor="text1"/>
          <w14:textFill>
            <w14:solidFill>
              <w14:schemeClr w14:val="tx1"/>
            </w14:solidFill>
          </w14:textFill>
        </w:rPr>
        <w:t>层受构造控制</w:t>
      </w:r>
      <w:r>
        <w:rPr>
          <w:rFonts w:hint="eastAsia"/>
          <w:color w:val="000000" w:themeColor="text1"/>
          <w14:textFill>
            <w14:solidFill>
              <w14:schemeClr w14:val="tx1"/>
            </w14:solidFill>
          </w14:textFill>
        </w:rPr>
        <w:t>；吉006井断块二叠系梧桐沟组（P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wt）油藏顶面构造为向东南抬升的单斜，倾角约10º，东南方向受吉7井断裂控制，东北、西南方向受吉006井北断裂和吉18井东断裂切割。</w:t>
      </w:r>
      <w:r>
        <w:rPr>
          <w:color w:val="000000" w:themeColor="text1"/>
          <w14:textFill>
            <w14:solidFill>
              <w14:schemeClr w14:val="tx1"/>
            </w14:solidFill>
          </w14:textFill>
        </w:rPr>
        <w:t>吉006井断块P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层油藏类型为构造油藏</w:t>
      </w:r>
      <w:r>
        <w:rPr>
          <w:rFonts w:hint="eastAsia"/>
          <w:color w:val="000000" w:themeColor="text1"/>
          <w14:textFill>
            <w14:solidFill>
              <w14:schemeClr w14:val="tx1"/>
            </w14:solidFill>
          </w14:textFill>
        </w:rPr>
        <w:t>，油层厚度0.6—25.1m，平均13.5m。吉006井断块梧桐沟组储层以砂砾岩、中砂岩为主，其次为砾岩、细砂岩，沉积体系属辫状河入湖形成的辫状河三角洲-湖泊沉积。</w:t>
      </w:r>
    </w:p>
    <w:p w14:paraId="39F3705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w:t>
      </w:r>
      <w:r>
        <w:rPr>
          <w:color w:val="000000" w:themeColor="text1"/>
          <w14:textFill>
            <w14:solidFill>
              <w14:schemeClr w14:val="tx1"/>
            </w14:solidFill>
          </w14:textFill>
        </w:rPr>
        <w:t>吉8井断块二叠系梧桐沟组（P</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wt）油藏顶面构造为向东南抬升的单斜，倾角约4º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7º，西北、西南方向受吉7井断裂、吉004井北断裂控制，东南、东北方向受吉003井北断裂和吉007井东断裂切割</w:t>
      </w:r>
      <w:r>
        <w:rPr>
          <w:rFonts w:hint="eastAsia"/>
          <w:color w:val="000000" w:themeColor="text1"/>
          <w14:textFill>
            <w14:solidFill>
              <w14:schemeClr w14:val="tx1"/>
            </w14:solidFill>
          </w14:textFill>
        </w:rPr>
        <w:t>。主要岩性为砂砾岩、含砾砂岩、中砂岩。沉积体系属辫状河入湖形成的辫状河三角洲－湖泊沉积，物源来自东南方向。吉8井断块P</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wt</w:t>
      </w:r>
      <w:r>
        <w:rPr>
          <w:rFonts w:hint="eastAsia"/>
          <w:color w:val="000000" w:themeColor="text1"/>
          <w:vertAlign w:val="subscript"/>
          <w14:textFill>
            <w14:solidFill>
              <w14:schemeClr w14:val="tx1"/>
            </w14:solidFill>
          </w14:textFill>
        </w:rPr>
        <w:t>1</w:t>
      </w:r>
      <w:r>
        <w:rPr>
          <w:rFonts w:hint="eastAsia"/>
          <w:color w:val="000000" w:themeColor="text1"/>
          <w:vertAlign w:val="superscript"/>
          <w14:textFill>
            <w14:solidFill>
              <w14:schemeClr w14:val="tx1"/>
            </w14:solidFill>
          </w14:textFill>
        </w:rPr>
        <w:t>1</w:t>
      </w:r>
      <w:r>
        <w:rPr>
          <w:rFonts w:hint="eastAsia"/>
          <w:color w:val="000000" w:themeColor="text1"/>
          <w14:textFill>
            <w14:solidFill>
              <w14:schemeClr w14:val="tx1"/>
            </w14:solidFill>
          </w14:textFill>
        </w:rPr>
        <w:t>层油藏类型为构造油藏，油层厚度5.0—17.5m平均14.8m。</w:t>
      </w:r>
    </w:p>
    <w:p w14:paraId="34086ED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w:t>
      </w:r>
      <w:r>
        <w:rPr>
          <w:rFonts w:hint="eastAsia"/>
          <w:bCs/>
          <w:color w:val="000000" w:themeColor="text1"/>
          <w14:textFill>
            <w14:solidFill>
              <w14:schemeClr w14:val="tx1"/>
            </w14:solidFill>
          </w14:textFill>
        </w:rPr>
        <w:t>二叠系梧桐沟组</w:t>
      </w:r>
      <w:r>
        <w:rPr>
          <w:rFonts w:hint="eastAsia"/>
          <w:color w:val="000000" w:themeColor="text1"/>
          <w14:textFill>
            <w14:solidFill>
              <w14:schemeClr w14:val="tx1"/>
            </w14:solidFill>
          </w14:textFill>
        </w:rPr>
        <w:t>砂体</w:t>
      </w:r>
      <w:r>
        <w:rPr>
          <w:rFonts w:hint="eastAsia"/>
          <w:color w:val="000000" w:themeColor="text1"/>
          <w:lang w:val="en-US"/>
          <w14:textFill>
            <w14:solidFill>
              <w14:schemeClr w14:val="tx1"/>
            </w14:solidFill>
          </w14:textFill>
        </w:rPr>
        <w:t>连续</w:t>
      </w:r>
      <w:r>
        <w:rPr>
          <w:rFonts w:hint="eastAsia"/>
          <w:color w:val="000000" w:themeColor="text1"/>
          <w14:textFill>
            <w14:solidFill>
              <w14:schemeClr w14:val="tx1"/>
            </w14:solidFill>
          </w14:textFill>
        </w:rPr>
        <w:t>稳定分布，封闭性均较好且地层压力系数低。分析认为断裂侧向及纵向封闭性均较好。回注量影响范围内无地表露头或出露点，回注不会对潜水含水层造成影响。注水水质满足《碎屑岩油藏注水水质指标技术要求及分析方法》（SY/T5329-2022）相关标准要求，不会形成二次沉淀堵塞地层，回注层有足够的储集空间，能满足油气田生产期内的回注要求。</w:t>
      </w:r>
    </w:p>
    <w:p w14:paraId="2EB9E8C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综上所述，拟部署的回注井不会对区域地下水环境产生明显不利影响。</w:t>
      </w:r>
    </w:p>
    <w:bookmarkEnd w:id="465"/>
    <w:bookmarkEnd w:id="466"/>
    <w:bookmarkEnd w:id="467"/>
    <w:bookmarkEnd w:id="469"/>
    <w:p w14:paraId="638BD844">
      <w:pPr>
        <w:pStyle w:val="8"/>
        <w:rPr>
          <w:rFonts w:hint="eastAsia"/>
          <w:color w:val="000000" w:themeColor="text1"/>
          <w14:textFill>
            <w14:solidFill>
              <w14:schemeClr w14:val="tx1"/>
            </w14:solidFill>
          </w14:textFill>
        </w:rPr>
      </w:pPr>
      <w:bookmarkStart w:id="472" w:name="_Hlk175258919"/>
      <w:r>
        <w:rPr>
          <w:rFonts w:hint="eastAsia"/>
          <w:color w:val="000000" w:themeColor="text1"/>
          <w14:textFill>
            <w14:solidFill>
              <w14:schemeClr w14:val="tx1"/>
            </w14:solidFill>
          </w14:textFill>
        </w:rPr>
        <w:t>运营期声</w:t>
      </w:r>
      <w:r>
        <w:rPr>
          <w:color w:val="000000" w:themeColor="text1"/>
          <w14:textFill>
            <w14:solidFill>
              <w14:schemeClr w14:val="tx1"/>
            </w14:solidFill>
          </w14:textFill>
        </w:rPr>
        <w:t>环境影响</w:t>
      </w:r>
      <w:bookmarkEnd w:id="454"/>
      <w:bookmarkEnd w:id="455"/>
      <w:bookmarkEnd w:id="456"/>
      <w:bookmarkEnd w:id="457"/>
      <w:bookmarkEnd w:id="458"/>
      <w:bookmarkEnd w:id="459"/>
      <w:bookmarkEnd w:id="460"/>
      <w:bookmarkEnd w:id="461"/>
      <w:r>
        <w:rPr>
          <w:rFonts w:hint="eastAsia"/>
          <w:color w:val="000000" w:themeColor="text1"/>
          <w14:textFill>
            <w14:solidFill>
              <w14:schemeClr w14:val="tx1"/>
            </w14:solidFill>
          </w14:textFill>
        </w:rPr>
        <w:t>分析</w:t>
      </w:r>
    </w:p>
    <w:bookmarkEnd w:id="472"/>
    <w:p w14:paraId="06F4A65D">
      <w:pPr>
        <w:pStyle w:val="120"/>
        <w:rPr>
          <w:rFonts w:hint="eastAsia"/>
          <w:color w:val="000000" w:themeColor="text1"/>
          <w14:textFill>
            <w14:solidFill>
              <w14:schemeClr w14:val="tx1"/>
            </w14:solidFill>
          </w14:textFill>
        </w:rPr>
      </w:pPr>
      <w:bookmarkStart w:id="473" w:name="_Toc489734603"/>
      <w:bookmarkStart w:id="474" w:name="_Toc445996419"/>
      <w:bookmarkStart w:id="475" w:name="_Toc445842097"/>
      <w:bookmarkStart w:id="476" w:name="_Hlk78996296"/>
      <w:bookmarkStart w:id="477" w:name="_Toc445996416"/>
      <w:bookmarkStart w:id="478" w:name="_Toc445842094"/>
      <w:bookmarkStart w:id="479" w:name="_Toc1325"/>
      <w:bookmarkStart w:id="480" w:name="_Toc16549"/>
      <w:r>
        <w:rPr>
          <w:rFonts w:hint="eastAsia"/>
          <w:color w:val="000000" w:themeColor="text1"/>
          <w14:textFill>
            <w14:solidFill>
              <w14:schemeClr w14:val="tx1"/>
            </w14:solidFill>
          </w14:textFill>
        </w:rPr>
        <w:t>（1）预测模式</w:t>
      </w:r>
    </w:p>
    <w:p w14:paraId="729EE259">
      <w:pPr>
        <w:pStyle w:val="47"/>
        <w:spacing w:line="520" w:lineRule="exact"/>
        <w:ind w:firstLine="480" w:firstLineChars="200"/>
        <w:jc w:val="both"/>
        <w:rPr>
          <w:rFonts w:hint="eastAsia" w:ascii="宋体" w:hAnsi="宋体"/>
          <w:color w:val="000000" w:themeColor="text1"/>
          <w:lang w:bidi="ar"/>
          <w14:textFill>
            <w14:solidFill>
              <w14:schemeClr w14:val="tx1"/>
            </w14:solidFill>
          </w14:textFill>
        </w:rPr>
      </w:pPr>
      <w:r>
        <w:rPr>
          <w:rFonts w:hint="eastAsia"/>
          <w:color w:val="000000" w:themeColor="text1"/>
          <w14:textFill>
            <w14:solidFill>
              <w14:schemeClr w14:val="tx1"/>
            </w14:solidFill>
          </w14:textFill>
        </w:rPr>
        <w:t>采油井场和注水井场井下作业时产噪设备均位于室外，</w:t>
      </w:r>
      <w:r>
        <w:rPr>
          <w:rFonts w:hint="eastAsia" w:ascii="宋体" w:hAnsi="宋体"/>
          <w:color w:val="000000" w:themeColor="text1"/>
          <w:lang w:bidi="ar"/>
          <w14:textFill>
            <w14:solidFill>
              <w14:schemeClr w14:val="tx1"/>
            </w14:solidFill>
          </w14:textFill>
        </w:rPr>
        <w:t>本次只考虑传播距离引起的衰减，鉴于声源到厂界预测点的传播距离远大于声源长度，各噪声源均按点源计。计算模式采用《环境影响评价技术导则—声环境》</w:t>
      </w:r>
      <w:r>
        <w:rPr>
          <w:rFonts w:hint="eastAsia" w:ascii="宋体" w:hAnsi="宋体"/>
          <w:color w:val="000000" w:themeColor="text1"/>
          <w14:textFill>
            <w14:solidFill>
              <w14:schemeClr w14:val="tx1"/>
            </w14:solidFill>
          </w14:textFill>
        </w:rPr>
        <w:t>（HJ2.4-20</w:t>
      </w:r>
      <w:r>
        <w:rPr>
          <w:rFonts w:ascii="宋体" w:hAnsi="宋体"/>
          <w:color w:val="000000" w:themeColor="text1"/>
          <w14:textFill>
            <w14:solidFill>
              <w14:schemeClr w14:val="tx1"/>
            </w14:solidFill>
          </w14:textFill>
        </w:rPr>
        <w:t>21</w:t>
      </w:r>
      <w:r>
        <w:rPr>
          <w:rFonts w:hint="eastAsia" w:ascii="宋体" w:hAnsi="宋体"/>
          <w:color w:val="000000" w:themeColor="text1"/>
          <w14:textFill>
            <w14:solidFill>
              <w14:schemeClr w14:val="tx1"/>
            </w14:solidFill>
          </w14:textFill>
        </w:rPr>
        <w:t>）</w:t>
      </w:r>
      <w:r>
        <w:rPr>
          <w:rFonts w:hint="eastAsia" w:ascii="宋体" w:hAnsi="宋体"/>
          <w:color w:val="000000" w:themeColor="text1"/>
          <w:lang w:bidi="ar"/>
          <w14:textFill>
            <w14:solidFill>
              <w14:schemeClr w14:val="tx1"/>
            </w14:solidFill>
          </w14:textFill>
        </w:rPr>
        <w:t>中所推荐的预测模式，计算式如下：</w:t>
      </w:r>
    </w:p>
    <w:p w14:paraId="545E62BF">
      <w:pPr>
        <w:adjustRightInd w:val="0"/>
        <w:snapToGrid w:val="0"/>
        <w:spacing w:line="500" w:lineRule="exact"/>
        <w:ind w:firstLine="480" w:firstLineChars="200"/>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bidi="ar"/>
          <w14:textFill>
            <w14:solidFill>
              <w14:schemeClr w14:val="tx1"/>
            </w14:solidFill>
          </w14:textFill>
        </w:rPr>
        <w:t>L</w:t>
      </w:r>
      <w:r>
        <w:rPr>
          <w:rFonts w:hint="eastAsia" w:ascii="宋体" w:hAnsi="宋体" w:cs="宋体"/>
          <w:color w:val="000000" w:themeColor="text1"/>
          <w:sz w:val="24"/>
          <w:vertAlign w:val="subscript"/>
          <w:lang w:bidi="ar"/>
          <w14:textFill>
            <w14:solidFill>
              <w14:schemeClr w14:val="tx1"/>
            </w14:solidFill>
          </w14:textFill>
        </w:rPr>
        <w:t>A</w:t>
      </w:r>
      <w:r>
        <w:rPr>
          <w:rFonts w:hint="eastAsia" w:ascii="宋体" w:hAnsi="宋体" w:cs="宋体"/>
          <w:color w:val="000000" w:themeColor="text1"/>
          <w:sz w:val="24"/>
          <w:lang w:bidi="ar"/>
          <w14:textFill>
            <w14:solidFill>
              <w14:schemeClr w14:val="tx1"/>
            </w14:solidFill>
          </w14:textFill>
        </w:rPr>
        <w:t>（r）=L</w:t>
      </w:r>
      <w:r>
        <w:rPr>
          <w:rFonts w:hint="eastAsia" w:ascii="宋体" w:hAnsi="宋体" w:cs="宋体"/>
          <w:color w:val="000000" w:themeColor="text1"/>
          <w:sz w:val="24"/>
          <w:vertAlign w:val="subscript"/>
          <w:lang w:bidi="ar"/>
          <w14:textFill>
            <w14:solidFill>
              <w14:schemeClr w14:val="tx1"/>
            </w14:solidFill>
          </w14:textFill>
        </w:rPr>
        <w:t>A</w:t>
      </w:r>
      <w:r>
        <w:rPr>
          <w:rFonts w:hint="eastAsia" w:ascii="宋体" w:hAnsi="宋体" w:cs="宋体"/>
          <w:color w:val="000000" w:themeColor="text1"/>
          <w:sz w:val="24"/>
          <w:lang w:bidi="ar"/>
          <w14:textFill>
            <w14:solidFill>
              <w14:schemeClr w14:val="tx1"/>
            </w14:solidFill>
          </w14:textFill>
        </w:rPr>
        <w:t>（r</w:t>
      </w:r>
      <w:r>
        <w:rPr>
          <w:rFonts w:hint="eastAsia" w:ascii="宋体" w:hAnsi="宋体" w:cs="宋体"/>
          <w:color w:val="000000" w:themeColor="text1"/>
          <w:sz w:val="24"/>
          <w:vertAlign w:val="subscript"/>
          <w:lang w:bidi="ar"/>
          <w14:textFill>
            <w14:solidFill>
              <w14:schemeClr w14:val="tx1"/>
            </w14:solidFill>
          </w14:textFill>
        </w:rPr>
        <w:t>0</w:t>
      </w:r>
      <w:r>
        <w:rPr>
          <w:rFonts w:hint="eastAsia" w:ascii="宋体" w:hAnsi="宋体" w:cs="宋体"/>
          <w:color w:val="000000" w:themeColor="text1"/>
          <w:sz w:val="24"/>
          <w:lang w:bidi="ar"/>
          <w14:textFill>
            <w14:solidFill>
              <w14:schemeClr w14:val="tx1"/>
            </w14:solidFill>
          </w14:textFill>
        </w:rPr>
        <w:t>）-20lg（r/r</w:t>
      </w:r>
      <w:r>
        <w:rPr>
          <w:rFonts w:hint="eastAsia" w:ascii="宋体" w:hAnsi="宋体" w:cs="宋体"/>
          <w:color w:val="000000" w:themeColor="text1"/>
          <w:sz w:val="24"/>
          <w:vertAlign w:val="subscript"/>
          <w:lang w:bidi="ar"/>
          <w14:textFill>
            <w14:solidFill>
              <w14:schemeClr w14:val="tx1"/>
            </w14:solidFill>
          </w14:textFill>
        </w:rPr>
        <w:t>0</w:t>
      </w:r>
      <w:r>
        <w:rPr>
          <w:rFonts w:hint="eastAsia" w:ascii="宋体" w:hAnsi="宋体" w:cs="宋体"/>
          <w:color w:val="000000" w:themeColor="text1"/>
          <w:sz w:val="24"/>
          <w:lang w:bidi="ar"/>
          <w14:textFill>
            <w14:solidFill>
              <w14:schemeClr w14:val="tx1"/>
            </w14:solidFill>
          </w14:textFill>
        </w:rPr>
        <w:t>）</w:t>
      </w:r>
    </w:p>
    <w:p w14:paraId="43FF2150">
      <w:pPr>
        <w:tabs>
          <w:tab w:val="left" w:pos="525"/>
        </w:tabs>
        <w:adjustRightInd w:val="0"/>
        <w:snapToGrid w:val="0"/>
        <w:spacing w:line="500" w:lineRule="exact"/>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bidi="ar"/>
          <w14:textFill>
            <w14:solidFill>
              <w14:schemeClr w14:val="tx1"/>
            </w14:solidFill>
          </w14:textFill>
        </w:rPr>
        <w:t xml:space="preserve">       式中：L</w:t>
      </w:r>
      <w:r>
        <w:rPr>
          <w:rFonts w:hint="eastAsia" w:ascii="宋体" w:hAnsi="宋体" w:cs="宋体"/>
          <w:color w:val="000000" w:themeColor="text1"/>
          <w:sz w:val="24"/>
          <w:vertAlign w:val="subscript"/>
          <w:lang w:bidi="ar"/>
          <w14:textFill>
            <w14:solidFill>
              <w14:schemeClr w14:val="tx1"/>
            </w14:solidFill>
          </w14:textFill>
        </w:rPr>
        <w:t>A</w:t>
      </w:r>
      <w:r>
        <w:rPr>
          <w:rFonts w:hint="eastAsia" w:ascii="宋体" w:hAnsi="宋体" w:cs="宋体"/>
          <w:color w:val="000000" w:themeColor="text1"/>
          <w:sz w:val="24"/>
          <w:lang w:bidi="ar"/>
          <w14:textFill>
            <w14:solidFill>
              <w14:schemeClr w14:val="tx1"/>
            </w14:solidFill>
          </w14:textFill>
        </w:rPr>
        <w:t>（r）—距声源r处的A声级；</w:t>
      </w:r>
    </w:p>
    <w:p w14:paraId="2DADD16E">
      <w:pPr>
        <w:adjustRightInd w:val="0"/>
        <w:snapToGrid w:val="0"/>
        <w:spacing w:line="500" w:lineRule="exact"/>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bidi="ar"/>
          <w14:textFill>
            <w14:solidFill>
              <w14:schemeClr w14:val="tx1"/>
            </w14:solidFill>
          </w14:textFill>
        </w:rPr>
        <w:t xml:space="preserve">             L</w:t>
      </w:r>
      <w:r>
        <w:rPr>
          <w:rFonts w:hint="eastAsia" w:ascii="宋体" w:hAnsi="宋体" w:cs="宋体"/>
          <w:color w:val="000000" w:themeColor="text1"/>
          <w:sz w:val="24"/>
          <w:vertAlign w:val="subscript"/>
          <w:lang w:bidi="ar"/>
          <w14:textFill>
            <w14:solidFill>
              <w14:schemeClr w14:val="tx1"/>
            </w14:solidFill>
          </w14:textFill>
        </w:rPr>
        <w:t>A</w:t>
      </w:r>
      <w:r>
        <w:rPr>
          <w:rFonts w:hint="eastAsia" w:ascii="宋体" w:hAnsi="宋体" w:cs="宋体"/>
          <w:color w:val="000000" w:themeColor="text1"/>
          <w:sz w:val="24"/>
          <w:lang w:bidi="ar"/>
          <w14:textFill>
            <w14:solidFill>
              <w14:schemeClr w14:val="tx1"/>
            </w14:solidFill>
          </w14:textFill>
        </w:rPr>
        <w:t>（r</w:t>
      </w:r>
      <w:r>
        <w:rPr>
          <w:rFonts w:hint="eastAsia" w:ascii="宋体" w:hAnsi="宋体" w:cs="宋体"/>
          <w:color w:val="000000" w:themeColor="text1"/>
          <w:sz w:val="24"/>
          <w:vertAlign w:val="subscript"/>
          <w:lang w:bidi="ar"/>
          <w14:textFill>
            <w14:solidFill>
              <w14:schemeClr w14:val="tx1"/>
            </w14:solidFill>
          </w14:textFill>
        </w:rPr>
        <w:t>0</w:t>
      </w:r>
      <w:r>
        <w:rPr>
          <w:rFonts w:hint="eastAsia" w:ascii="宋体" w:hAnsi="宋体" w:cs="宋体"/>
          <w:color w:val="000000" w:themeColor="text1"/>
          <w:sz w:val="24"/>
          <w:lang w:bidi="ar"/>
          <w14:textFill>
            <w14:solidFill>
              <w14:schemeClr w14:val="tx1"/>
            </w14:solidFill>
          </w14:textFill>
        </w:rPr>
        <w:t>）—参考位置r</w:t>
      </w:r>
      <w:r>
        <w:rPr>
          <w:rFonts w:hint="eastAsia" w:ascii="宋体" w:hAnsi="宋体" w:cs="宋体"/>
          <w:color w:val="000000" w:themeColor="text1"/>
          <w:sz w:val="24"/>
          <w:vertAlign w:val="subscript"/>
          <w:lang w:bidi="ar"/>
          <w14:textFill>
            <w14:solidFill>
              <w14:schemeClr w14:val="tx1"/>
            </w14:solidFill>
          </w14:textFill>
        </w:rPr>
        <w:t>0</w:t>
      </w:r>
      <w:r>
        <w:rPr>
          <w:rFonts w:hint="eastAsia" w:ascii="宋体" w:hAnsi="宋体" w:cs="宋体"/>
          <w:color w:val="000000" w:themeColor="text1"/>
          <w:sz w:val="24"/>
          <w:lang w:bidi="ar"/>
          <w14:textFill>
            <w14:solidFill>
              <w14:schemeClr w14:val="tx1"/>
            </w14:solidFill>
          </w14:textFill>
        </w:rPr>
        <w:t>处的A声级；</w:t>
      </w:r>
    </w:p>
    <w:p w14:paraId="00483ADD">
      <w:pPr>
        <w:adjustRightInd w:val="0"/>
        <w:snapToGrid w:val="0"/>
        <w:spacing w:line="500" w:lineRule="exact"/>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bidi="ar"/>
          <w14:textFill>
            <w14:solidFill>
              <w14:schemeClr w14:val="tx1"/>
            </w14:solidFill>
          </w14:textFill>
        </w:rPr>
        <w:t xml:space="preserve">             r—预测点距声源距离，m；</w:t>
      </w:r>
    </w:p>
    <w:p w14:paraId="6E06D1DA">
      <w:pPr>
        <w:adjustRightInd w:val="0"/>
        <w:snapToGrid w:val="0"/>
        <w:spacing w:line="500" w:lineRule="exact"/>
        <w:ind w:firstLine="480" w:firstLineChars="200"/>
        <w:rPr>
          <w:rFonts w:hint="eastAsia" w:ascii="宋体" w:hAnsi="宋体" w:cs="宋体"/>
          <w:color w:val="000000" w:themeColor="text1"/>
          <w:sz w:val="24"/>
          <w:lang w:bidi="ar"/>
          <w14:textFill>
            <w14:solidFill>
              <w14:schemeClr w14:val="tx1"/>
            </w14:solidFill>
          </w14:textFill>
        </w:rPr>
      </w:pPr>
      <w:r>
        <w:rPr>
          <w:rFonts w:hint="eastAsia" w:ascii="宋体" w:hAnsi="宋体" w:cs="宋体"/>
          <w:color w:val="000000" w:themeColor="text1"/>
          <w:sz w:val="24"/>
          <w:lang w:bidi="ar"/>
          <w14:textFill>
            <w14:solidFill>
              <w14:schemeClr w14:val="tx1"/>
            </w14:solidFill>
          </w14:textFill>
        </w:rPr>
        <w:t xml:space="preserve">             r</w:t>
      </w:r>
      <w:r>
        <w:rPr>
          <w:rFonts w:hint="eastAsia" w:ascii="宋体" w:hAnsi="宋体" w:cs="宋体"/>
          <w:color w:val="000000" w:themeColor="text1"/>
          <w:sz w:val="24"/>
          <w:vertAlign w:val="subscript"/>
          <w:lang w:bidi="ar"/>
          <w14:textFill>
            <w14:solidFill>
              <w14:schemeClr w14:val="tx1"/>
            </w14:solidFill>
          </w14:textFill>
        </w:rPr>
        <w:t>0</w:t>
      </w:r>
      <w:r>
        <w:rPr>
          <w:rFonts w:hint="eastAsia" w:ascii="宋体" w:hAnsi="宋体" w:cs="宋体"/>
          <w:color w:val="000000" w:themeColor="text1"/>
          <w:sz w:val="24"/>
          <w:lang w:bidi="ar"/>
          <w14:textFill>
            <w14:solidFill>
              <w14:schemeClr w14:val="tx1"/>
            </w14:solidFill>
          </w14:textFill>
        </w:rPr>
        <w:t>—参考位置距离声源距离，m。</w:t>
      </w:r>
    </w:p>
    <w:p w14:paraId="16AD806D">
      <w:pPr>
        <w:pStyle w:val="340"/>
        <w:spacing w:line="500" w:lineRule="atLeast"/>
        <w:rPr>
          <w:rFonts w:hint="eastAsia"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设第i个室外声源在预测点产生的A声级为</w:t>
      </w:r>
      <w:r>
        <w:rPr>
          <w:rFonts w:ascii="宋体" w:hAnsi="宋体"/>
          <w:i/>
          <w:color w:val="000000" w:themeColor="text1"/>
          <w14:textFill>
            <w14:solidFill>
              <w14:schemeClr w14:val="tx1"/>
            </w14:solidFill>
          </w14:textFill>
        </w:rPr>
        <w:t>L</w:t>
      </w:r>
      <w:r>
        <w:rPr>
          <w:rFonts w:ascii="宋体" w:hAnsi="宋体"/>
          <w:i/>
          <w:color w:val="000000" w:themeColor="text1"/>
          <w:vertAlign w:val="subscript"/>
          <w14:textFill>
            <w14:solidFill>
              <w14:schemeClr w14:val="tx1"/>
            </w14:solidFill>
          </w14:textFill>
        </w:rPr>
        <w:t>Ain,i</w:t>
      </w:r>
      <w:r>
        <w:rPr>
          <w:rFonts w:ascii="宋体" w:hAnsi="宋体"/>
          <w:color w:val="000000" w:themeColor="text1"/>
          <w14:textFill>
            <w14:solidFill>
              <w14:schemeClr w14:val="tx1"/>
            </w14:solidFill>
          </w14:textFill>
        </w:rPr>
        <w:t>，在T时间内该声源工作时间为</w:t>
      </w:r>
      <w:r>
        <w:rPr>
          <w:rFonts w:ascii="宋体" w:hAnsi="宋体"/>
          <w:i/>
          <w:color w:val="000000" w:themeColor="text1"/>
          <w14:textFill>
            <w14:solidFill>
              <w14:schemeClr w14:val="tx1"/>
            </w14:solidFill>
          </w14:textFill>
        </w:rPr>
        <w:t>t</w:t>
      </w:r>
      <w:r>
        <w:rPr>
          <w:rFonts w:ascii="宋体" w:hAnsi="宋体"/>
          <w:i/>
          <w:color w:val="000000" w:themeColor="text1"/>
          <w:vertAlign w:val="subscript"/>
          <w14:textFill>
            <w14:solidFill>
              <w14:schemeClr w14:val="tx1"/>
            </w14:solidFill>
          </w14:textFill>
        </w:rPr>
        <w:t>in,i</w:t>
      </w:r>
      <w:r>
        <w:rPr>
          <w:rFonts w:ascii="宋体" w:hAnsi="宋体"/>
          <w:color w:val="000000" w:themeColor="text1"/>
          <w14:textFill>
            <w14:solidFill>
              <w14:schemeClr w14:val="tx1"/>
            </w14:solidFill>
          </w14:textFill>
        </w:rPr>
        <w:t>；第j个等效室外声源在预测点产生的A声级为</w:t>
      </w:r>
      <w:r>
        <w:rPr>
          <w:rFonts w:ascii="宋体" w:hAnsi="宋体"/>
          <w:i/>
          <w:color w:val="000000" w:themeColor="text1"/>
          <w14:textFill>
            <w14:solidFill>
              <w14:schemeClr w14:val="tx1"/>
            </w14:solidFill>
          </w14:textFill>
        </w:rPr>
        <w:t>L</w:t>
      </w:r>
      <w:r>
        <w:rPr>
          <w:rFonts w:ascii="宋体" w:hAnsi="宋体"/>
          <w:i/>
          <w:color w:val="000000" w:themeColor="text1"/>
          <w:vertAlign w:val="subscript"/>
          <w14:textFill>
            <w14:solidFill>
              <w14:schemeClr w14:val="tx1"/>
            </w14:solidFill>
          </w14:textFill>
        </w:rPr>
        <w:t>Aout,j</w:t>
      </w:r>
      <w:r>
        <w:rPr>
          <w:rFonts w:ascii="宋体" w:hAnsi="宋体"/>
          <w:color w:val="000000" w:themeColor="text1"/>
          <w14:textFill>
            <w14:solidFill>
              <w14:schemeClr w14:val="tx1"/>
            </w14:solidFill>
          </w14:textFill>
        </w:rPr>
        <w:t>，在T时间内该声源工作时间为</w:t>
      </w:r>
      <w:r>
        <w:rPr>
          <w:rFonts w:ascii="宋体" w:hAnsi="宋体"/>
          <w:i/>
          <w:color w:val="000000" w:themeColor="text1"/>
          <w14:textFill>
            <w14:solidFill>
              <w14:schemeClr w14:val="tx1"/>
            </w14:solidFill>
          </w14:textFill>
        </w:rPr>
        <w:t>t</w:t>
      </w:r>
      <w:r>
        <w:rPr>
          <w:rFonts w:ascii="宋体" w:hAnsi="宋体"/>
          <w:i/>
          <w:color w:val="000000" w:themeColor="text1"/>
          <w:vertAlign w:val="subscript"/>
          <w14:textFill>
            <w14:solidFill>
              <w14:schemeClr w14:val="tx1"/>
            </w14:solidFill>
          </w14:textFill>
        </w:rPr>
        <w:t>out,j</w:t>
      </w:r>
      <w:r>
        <w:rPr>
          <w:rFonts w:ascii="宋体" w:hAnsi="宋体"/>
          <w:color w:val="000000" w:themeColor="text1"/>
          <w14:textFill>
            <w14:solidFill>
              <w14:schemeClr w14:val="tx1"/>
            </w14:solidFill>
          </w14:textFill>
        </w:rPr>
        <w:t>，则预测点的总等效声级</w:t>
      </w:r>
      <w:r>
        <w:rPr>
          <w:rFonts w:hint="eastAsia" w:ascii="宋体" w:hAnsi="宋体"/>
          <w:color w:val="000000" w:themeColor="text1"/>
          <w14:textFill>
            <w14:solidFill>
              <w14:schemeClr w14:val="tx1"/>
            </w14:solidFill>
          </w14:textFill>
        </w:rPr>
        <w:t>按照下列公式进行计算：</w:t>
      </w:r>
    </w:p>
    <w:p w14:paraId="19248A93">
      <w:pPr>
        <w:spacing w:before="156" w:beforeLines="50" w:after="156" w:afterLines="50" w:line="500" w:lineRule="atLeast"/>
        <w:ind w:firstLine="480"/>
        <w:jc w:val="center"/>
        <w:rPr>
          <w:rFonts w:hint="eastAsia" w:ascii="宋体" w:hAnsi="宋体"/>
          <w:color w:val="000000" w:themeColor="text1"/>
          <w14:textFill>
            <w14:solidFill>
              <w14:schemeClr w14:val="tx1"/>
            </w14:solidFill>
          </w14:textFill>
        </w:rPr>
      </w:pPr>
      <w:r>
        <w:rPr>
          <w:rFonts w:ascii="宋体" w:hAnsi="宋体"/>
          <w:color w:val="000000" w:themeColor="text1"/>
          <w:position w:val="-32"/>
          <w14:textFill>
            <w14:solidFill>
              <w14:schemeClr w14:val="tx1"/>
            </w14:solidFill>
          </w14:textFill>
        </w:rPr>
        <w:object>
          <v:shape id="_x0000_i1032" o:spt="75" type="#_x0000_t75" style="height:34.4pt;width:248.25pt;" o:ole="t" filled="f" o:preferrelative="t" stroked="f" coordsize="21600,21600">
            <v:path/>
            <v:fill on="f" focussize="0,0"/>
            <v:stroke on="f" joinstyle="miter"/>
            <v:imagedata r:id="rId94" o:title=""/>
            <o:lock v:ext="edit" aspectratio="t"/>
            <w10:wrap type="none"/>
            <w10:anchorlock/>
          </v:shape>
          <o:OLEObject Type="Embed" ProgID="Visio.Drawing.11" ShapeID="_x0000_i1032" DrawAspect="Content" ObjectID="_1468075732" r:id="rId93">
            <o:LockedField>false</o:LockedField>
          </o:OLEObject>
        </w:object>
      </w:r>
    </w:p>
    <w:p w14:paraId="29E4ECFD">
      <w:pPr>
        <w:spacing w:line="500" w:lineRule="atLeast"/>
        <w:ind w:firstLine="480" w:firstLineChars="200"/>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式中：</w:t>
      </w:r>
    </w:p>
    <w:p w14:paraId="4E64799B">
      <w:pPr>
        <w:spacing w:line="500" w:lineRule="atLeast"/>
        <w:ind w:firstLine="480" w:firstLineChars="200"/>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 xml:space="preserve">      T</w:t>
      </w:r>
      <w:r>
        <w:rPr>
          <w:rFonts w:hint="eastAsia" w:ascii="宋体" w:hAnsi="宋体"/>
          <w:color w:val="000000" w:themeColor="text1"/>
          <w:sz w:val="24"/>
          <w:szCs w:val="24"/>
          <w14:textFill>
            <w14:solidFill>
              <w14:schemeClr w14:val="tx1"/>
            </w14:solidFill>
          </w14:textFill>
        </w:rPr>
        <w:t>——</w:t>
      </w:r>
      <w:r>
        <w:rPr>
          <w:rFonts w:ascii="宋体" w:hAnsi="宋体"/>
          <w:color w:val="000000" w:themeColor="text1"/>
          <w:sz w:val="24"/>
          <w:szCs w:val="24"/>
          <w14:textFill>
            <w14:solidFill>
              <w14:schemeClr w14:val="tx1"/>
            </w14:solidFill>
          </w14:textFill>
        </w:rPr>
        <w:t>计算等效声级的时间</w:t>
      </w:r>
      <w:r>
        <w:rPr>
          <w:rFonts w:hint="eastAsia" w:ascii="宋体" w:hAnsi="宋体"/>
          <w:color w:val="000000" w:themeColor="text1"/>
          <w:sz w:val="24"/>
          <w:szCs w:val="24"/>
          <w14:textFill>
            <w14:solidFill>
              <w14:schemeClr w14:val="tx1"/>
            </w14:solidFill>
          </w14:textFill>
        </w:rPr>
        <w:t>；</w:t>
      </w:r>
    </w:p>
    <w:p w14:paraId="7F9A0506">
      <w:pPr>
        <w:spacing w:line="500" w:lineRule="atLeast"/>
        <w:ind w:firstLine="480" w:firstLineChars="200"/>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 xml:space="preserve">      N</w:t>
      </w:r>
      <w:r>
        <w:rPr>
          <w:rFonts w:hint="eastAsia" w:ascii="宋体" w:hAnsi="宋体"/>
          <w:color w:val="000000" w:themeColor="text1"/>
          <w:sz w:val="24"/>
          <w:szCs w:val="24"/>
          <w14:textFill>
            <w14:solidFill>
              <w14:schemeClr w14:val="tx1"/>
            </w14:solidFill>
          </w14:textFill>
        </w:rPr>
        <w:t>——</w:t>
      </w:r>
      <w:r>
        <w:rPr>
          <w:rFonts w:ascii="宋体" w:hAnsi="宋体"/>
          <w:color w:val="000000" w:themeColor="text1"/>
          <w:sz w:val="24"/>
          <w:szCs w:val="24"/>
          <w14:textFill>
            <w14:solidFill>
              <w14:schemeClr w14:val="tx1"/>
            </w14:solidFill>
          </w14:textFill>
        </w:rPr>
        <w:t>为室外声源个数</w:t>
      </w:r>
      <w:r>
        <w:rPr>
          <w:rFonts w:hint="eastAsia" w:ascii="宋体" w:hAnsi="宋体"/>
          <w:color w:val="000000" w:themeColor="text1"/>
          <w:sz w:val="24"/>
          <w:szCs w:val="24"/>
          <w14:textFill>
            <w14:solidFill>
              <w14:schemeClr w14:val="tx1"/>
            </w14:solidFill>
          </w14:textFill>
        </w:rPr>
        <w:t>；</w:t>
      </w:r>
    </w:p>
    <w:p w14:paraId="52BFAF97">
      <w:pPr>
        <w:spacing w:line="500" w:lineRule="atLeast"/>
        <w:ind w:firstLine="480" w:firstLineChars="200"/>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 xml:space="preserve">      M</w:t>
      </w:r>
      <w:r>
        <w:rPr>
          <w:rFonts w:hint="eastAsia" w:ascii="宋体" w:hAnsi="宋体"/>
          <w:color w:val="000000" w:themeColor="text1"/>
          <w:sz w:val="24"/>
          <w:szCs w:val="24"/>
          <w14:textFill>
            <w14:solidFill>
              <w14:schemeClr w14:val="tx1"/>
            </w14:solidFill>
          </w14:textFill>
        </w:rPr>
        <w:t>——</w:t>
      </w:r>
      <w:r>
        <w:rPr>
          <w:rFonts w:ascii="宋体" w:hAnsi="宋体"/>
          <w:color w:val="000000" w:themeColor="text1"/>
          <w:sz w:val="24"/>
          <w:szCs w:val="24"/>
          <w14:textFill>
            <w14:solidFill>
              <w14:schemeClr w14:val="tx1"/>
            </w14:solidFill>
          </w14:textFill>
        </w:rPr>
        <w:t>为等效室外声源个数。</w:t>
      </w:r>
    </w:p>
    <w:bookmarkEnd w:id="473"/>
    <w:p w14:paraId="1EC009CD">
      <w:pPr>
        <w:pStyle w:val="47"/>
        <w:adjustRightInd w:val="0"/>
        <w:snapToGrid w:val="0"/>
        <w:spacing w:line="500" w:lineRule="exact"/>
        <w:ind w:firstLine="480" w:firstLineChars="200"/>
        <w:jc w:val="both"/>
        <w:rPr>
          <w:rFonts w:hint="eastAsia" w:ascii="宋体" w:hAnsi="宋体"/>
          <w:color w:val="000000" w:themeColor="text1"/>
          <w:szCs w:val="22"/>
          <w:lang w:val="zh-CN" w:bidi="ar"/>
          <w14:textFill>
            <w14:solidFill>
              <w14:schemeClr w14:val="tx1"/>
            </w14:solidFill>
          </w14:textFill>
        </w:rPr>
      </w:pPr>
      <w:r>
        <w:rPr>
          <w:rFonts w:hint="eastAsia" w:ascii="宋体" w:hAnsi="宋体"/>
          <w:color w:val="000000" w:themeColor="text1"/>
          <w:szCs w:val="22"/>
          <w:lang w:val="zh-CN" w:bidi="ar"/>
          <w14:textFill>
            <w14:solidFill>
              <w14:schemeClr w14:val="tx1"/>
            </w14:solidFill>
          </w14:textFill>
        </w:rPr>
        <w:t>（</w:t>
      </w:r>
      <w:r>
        <w:rPr>
          <w:rFonts w:hint="eastAsia" w:ascii="宋体" w:hAnsi="宋体"/>
          <w:color w:val="000000" w:themeColor="text1"/>
          <w:szCs w:val="22"/>
          <w:lang w:bidi="ar"/>
          <w14:textFill>
            <w14:solidFill>
              <w14:schemeClr w14:val="tx1"/>
            </w14:solidFill>
          </w14:textFill>
        </w:rPr>
        <w:t>2</w:t>
      </w:r>
      <w:r>
        <w:rPr>
          <w:rFonts w:hint="eastAsia" w:ascii="宋体" w:hAnsi="宋体"/>
          <w:color w:val="000000" w:themeColor="text1"/>
          <w:szCs w:val="22"/>
          <w:lang w:val="zh-CN" w:bidi="ar"/>
          <w14:textFill>
            <w14:solidFill>
              <w14:schemeClr w14:val="tx1"/>
            </w14:solidFill>
          </w14:textFill>
        </w:rPr>
        <w:t>）噪声源源强及分布</w:t>
      </w:r>
    </w:p>
    <w:p w14:paraId="4844BE10">
      <w:pPr>
        <w:pStyle w:val="165"/>
        <w:rPr>
          <w:rStyle w:val="235"/>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噪声源强主要为井场内的各类机泵，噪声源强在</w:t>
      </w:r>
      <w:r>
        <w:rPr>
          <w:color w:val="000000" w:themeColor="text1"/>
          <w:lang w:bidi="ar"/>
          <w14:textFill>
            <w14:solidFill>
              <w14:schemeClr w14:val="tx1"/>
            </w14:solidFill>
          </w14:textFill>
        </w:rPr>
        <w:t>85</w:t>
      </w: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9</w:t>
      </w:r>
      <w:r>
        <w:rPr>
          <w:rFonts w:hint="eastAsia"/>
          <w:color w:val="000000" w:themeColor="text1"/>
          <w:lang w:bidi="ar"/>
          <w14:textFill>
            <w14:solidFill>
              <w14:schemeClr w14:val="tx1"/>
            </w14:solidFill>
          </w14:textFill>
        </w:rPr>
        <w:t>0dB（A）之间，设备选用低噪设备，并</w:t>
      </w:r>
      <w:r>
        <w:rPr>
          <w:rFonts w:hint="eastAsia"/>
          <w:color w:val="000000" w:themeColor="text1"/>
          <w:lang w:eastAsia="zh-CN" w:bidi="ar"/>
          <w14:textFill>
            <w14:solidFill>
              <w14:schemeClr w14:val="tx1"/>
            </w14:solidFill>
          </w14:textFill>
        </w:rPr>
        <w:t>采取基础减振</w:t>
      </w:r>
      <w:r>
        <w:rPr>
          <w:rFonts w:hint="eastAsia"/>
          <w:color w:val="000000" w:themeColor="text1"/>
          <w:lang w:bidi="ar"/>
          <w14:textFill>
            <w14:solidFill>
              <w14:schemeClr w14:val="tx1"/>
            </w14:solidFill>
          </w14:textFill>
        </w:rPr>
        <w:t>等措施，衰减量按</w:t>
      </w:r>
      <w:r>
        <w:rPr>
          <w:rFonts w:hint="eastAsia"/>
          <w:color w:val="000000" w:themeColor="text1"/>
          <w:lang w:val="en-US" w:bidi="ar"/>
          <w14:textFill>
            <w14:solidFill>
              <w14:schemeClr w14:val="tx1"/>
            </w14:solidFill>
          </w14:textFill>
        </w:rPr>
        <w:t>1</w:t>
      </w:r>
      <w:r>
        <w:rPr>
          <w:color w:val="000000" w:themeColor="text1"/>
          <w:lang w:bidi="ar"/>
          <w14:textFill>
            <w14:solidFill>
              <w14:schemeClr w14:val="tx1"/>
            </w14:solidFill>
          </w14:textFill>
        </w:rPr>
        <w:t>5</w:t>
      </w:r>
      <w:r>
        <w:rPr>
          <w:rFonts w:hint="eastAsia"/>
          <w:color w:val="000000" w:themeColor="text1"/>
          <w:lang w:bidi="ar"/>
          <w14:textFill>
            <w14:solidFill>
              <w14:schemeClr w14:val="tx1"/>
            </w14:solidFill>
          </w14:textFill>
        </w:rPr>
        <w:t>dB（A）计，噪声源强见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-10</w:t>
      </w:r>
      <w:r>
        <w:rPr>
          <w:rStyle w:val="235"/>
          <w:rFonts w:hint="eastAsia"/>
          <w:color w:val="000000" w:themeColor="text1"/>
          <w14:textFill>
            <w14:solidFill>
              <w14:schemeClr w14:val="tx1"/>
            </w14:solidFill>
          </w14:textFill>
        </w:rPr>
        <w:t>。</w:t>
      </w:r>
    </w:p>
    <w:p w14:paraId="103C3552">
      <w:pPr>
        <w:spacing w:line="520" w:lineRule="exact"/>
        <w:ind w:firstLine="480"/>
        <w:rPr>
          <w:rFonts w:hint="eastAsia"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（3）预测结果</w:t>
      </w:r>
    </w:p>
    <w:p w14:paraId="70D64588">
      <w:pPr>
        <w:pStyle w:val="165"/>
        <w:rPr>
          <w:rFonts w:hint="eastAsia"/>
          <w:color w:val="000000" w:themeColor="text1"/>
          <w14:textFill>
            <w14:solidFill>
              <w14:schemeClr w14:val="tx1"/>
            </w14:solidFill>
          </w14:textFill>
        </w:rPr>
      </w:pPr>
      <w:bookmarkStart w:id="481" w:name="_Hlk175258969"/>
      <w:r>
        <w:rPr>
          <w:rFonts w:hint="eastAsia"/>
          <w:color w:val="000000" w:themeColor="text1"/>
          <w:lang w:val="en-US"/>
          <w14:textFill>
            <w14:solidFill>
              <w14:schemeClr w14:val="tx1"/>
            </w14:solidFill>
          </w14:textFill>
        </w:rPr>
        <w:t>本项目声环境评价范围内不涉及声环境保护目标，根据</w:t>
      </w:r>
      <w:r>
        <w:rPr>
          <w:rFonts w:hint="eastAsia"/>
          <w:color w:val="000000" w:themeColor="text1"/>
          <w:lang w:bidi="ar"/>
          <w14:textFill>
            <w14:solidFill>
              <w14:schemeClr w14:val="tx1"/>
            </w14:solidFill>
          </w14:textFill>
        </w:rPr>
        <w:t>《环境影响评价技术导则—声环境》</w:t>
      </w:r>
      <w:r>
        <w:rPr>
          <w:rFonts w:hint="eastAsia"/>
          <w:color w:val="000000" w:themeColor="text1"/>
          <w14:textFill>
            <w14:solidFill>
              <w14:schemeClr w14:val="tx1"/>
            </w14:solidFill>
          </w14:textFill>
        </w:rPr>
        <w:t>（HJ2.4-20</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w:t>
      </w:r>
      <w:r>
        <w:rPr>
          <w:rFonts w:hint="eastAsia"/>
          <w:color w:val="000000" w:themeColor="text1"/>
          <w:lang w:val="en-US" w:bidi="ar"/>
          <w14:textFill>
            <w14:solidFill>
              <w14:schemeClr w14:val="tx1"/>
            </w14:solidFill>
          </w14:textFill>
        </w:rPr>
        <w:t>8.5.2章节相关规定，本次仅预测和评价新建井场运营期厂界噪声贡献值，评价其超标和达标情况。</w:t>
      </w:r>
      <w:r>
        <w:rPr>
          <w:rFonts w:hint="eastAsia"/>
          <w:color w:val="000000" w:themeColor="text1"/>
          <w14:textFill>
            <w14:solidFill>
              <w14:schemeClr w14:val="tx1"/>
            </w14:solidFill>
          </w14:textFill>
        </w:rPr>
        <w:t>根据以上公式，预测运营期</w:t>
      </w:r>
      <w:r>
        <w:rPr>
          <w:rFonts w:hint="eastAsia"/>
          <w:color w:val="000000" w:themeColor="text1"/>
          <w:lang w:val="en-US"/>
          <w14:textFill>
            <w14:solidFill>
              <w14:schemeClr w14:val="tx1"/>
            </w14:solidFill>
          </w14:textFill>
        </w:rPr>
        <w:t>各井场</w:t>
      </w:r>
      <w:r>
        <w:rPr>
          <w:rFonts w:hint="eastAsia"/>
          <w:color w:val="000000" w:themeColor="text1"/>
          <w14:textFill>
            <w14:solidFill>
              <w14:schemeClr w14:val="tx1"/>
            </w14:solidFill>
          </w14:textFill>
        </w:rPr>
        <w:t>厂界四周噪声贡献值，详见表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-11。</w:t>
      </w:r>
    </w:p>
    <w:p w14:paraId="67365BD4">
      <w:pPr>
        <w:pStyle w:val="112"/>
        <w:rPr>
          <w:rFonts w:hint="eastAsia"/>
          <w:color w:val="000000" w:themeColor="text1"/>
          <w14:textFill>
            <w14:solidFill>
              <w14:schemeClr w14:val="tx1"/>
            </w14:solidFill>
          </w14:textFill>
        </w:rPr>
      </w:pPr>
      <w:bookmarkStart w:id="482" w:name="OLE_LINK5"/>
      <w:r>
        <w:rPr>
          <w:rFonts w:hint="eastAsia"/>
          <w:color w:val="000000" w:themeColor="text1"/>
          <w14:textFill>
            <w14:solidFill>
              <w14:schemeClr w14:val="tx1"/>
            </w14:solidFill>
          </w14:textFill>
        </w:rPr>
        <w:t>表</w:t>
      </w:r>
      <w:bookmarkEnd w:id="482"/>
      <w:r>
        <w:rPr>
          <w:color w:val="000000" w:themeColor="text1"/>
          <w14:textFill>
            <w14:solidFill>
              <w14:schemeClr w14:val="tx1"/>
            </w14:solidFill>
          </w14:textFill>
        </w:rPr>
        <w:t>5.2</w:t>
      </w:r>
      <w:r>
        <w:rPr>
          <w:rFonts w:hint="eastAsia"/>
          <w:color w:val="000000" w:themeColor="text1"/>
          <w14:textFill>
            <w14:solidFill>
              <w14:schemeClr w14:val="tx1"/>
            </w14:solidFill>
          </w14:textFill>
        </w:rPr>
        <w:t xml:space="preserve">-11  厂界噪声贡献值预测结果   </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06"/>
        <w:gridCol w:w="1106"/>
        <w:gridCol w:w="1117"/>
        <w:gridCol w:w="1014"/>
        <w:gridCol w:w="1185"/>
        <w:gridCol w:w="1110"/>
        <w:gridCol w:w="1045"/>
        <w:gridCol w:w="1047"/>
      </w:tblGrid>
      <w:tr w14:paraId="31B134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63" w:type="pct"/>
            <w:gridSpan w:val="2"/>
            <w:vMerge w:val="restart"/>
            <w:vAlign w:val="center"/>
          </w:tcPr>
          <w:p w14:paraId="2B6DC3BC">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位置</w:t>
            </w:r>
          </w:p>
        </w:tc>
        <w:tc>
          <w:tcPr>
            <w:tcW w:w="1900" w:type="pct"/>
            <w:gridSpan w:val="3"/>
            <w:noWrap/>
            <w:vAlign w:val="center"/>
          </w:tcPr>
          <w:p w14:paraId="2CFAD678">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昼间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dB（A）</w:t>
            </w:r>
            <w:r>
              <w:rPr>
                <w:color w:val="000000" w:themeColor="text1"/>
                <w14:textFill>
                  <w14:solidFill>
                    <w14:schemeClr w14:val="tx1"/>
                  </w14:solidFill>
                </w14:textFill>
              </w:rPr>
              <w:t>]</w:t>
            </w:r>
          </w:p>
        </w:tc>
        <w:tc>
          <w:tcPr>
            <w:tcW w:w="1835" w:type="pct"/>
            <w:gridSpan w:val="3"/>
            <w:noWrap/>
            <w:vAlign w:val="center"/>
          </w:tcPr>
          <w:p w14:paraId="2E0284E6">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夜间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dB（A）</w:t>
            </w:r>
            <w:r>
              <w:rPr>
                <w:color w:val="000000" w:themeColor="text1"/>
                <w14:textFill>
                  <w14:solidFill>
                    <w14:schemeClr w14:val="tx1"/>
                  </w14:solidFill>
                </w14:textFill>
              </w:rPr>
              <w:t>]</w:t>
            </w:r>
          </w:p>
        </w:tc>
      </w:tr>
      <w:tr w14:paraId="37CBA2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63" w:type="pct"/>
            <w:gridSpan w:val="2"/>
            <w:vMerge w:val="continue"/>
            <w:vAlign w:val="center"/>
          </w:tcPr>
          <w:p w14:paraId="7628033C">
            <w:pPr>
              <w:pStyle w:val="526"/>
              <w:rPr>
                <w:rFonts w:hint="eastAsia"/>
                <w:color w:val="000000" w:themeColor="text1"/>
                <w14:textFill>
                  <w14:solidFill>
                    <w14:schemeClr w14:val="tx1"/>
                  </w14:solidFill>
                </w14:textFill>
              </w:rPr>
            </w:pPr>
          </w:p>
        </w:tc>
        <w:tc>
          <w:tcPr>
            <w:tcW w:w="640" w:type="pct"/>
            <w:noWrap/>
            <w:vAlign w:val="center"/>
          </w:tcPr>
          <w:p w14:paraId="78110D6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贡献值</w:t>
            </w:r>
          </w:p>
        </w:tc>
        <w:tc>
          <w:tcPr>
            <w:tcW w:w="581" w:type="pct"/>
            <w:vAlign w:val="center"/>
          </w:tcPr>
          <w:p w14:paraId="413D1FE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p>
        </w:tc>
        <w:tc>
          <w:tcPr>
            <w:tcW w:w="678" w:type="pct"/>
            <w:vAlign w:val="center"/>
          </w:tcPr>
          <w:p w14:paraId="60FD02B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636" w:type="pct"/>
            <w:noWrap/>
            <w:vAlign w:val="center"/>
          </w:tcPr>
          <w:p w14:paraId="655EB3C5">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预测值</w:t>
            </w:r>
          </w:p>
        </w:tc>
        <w:tc>
          <w:tcPr>
            <w:tcW w:w="599" w:type="pct"/>
            <w:vAlign w:val="center"/>
          </w:tcPr>
          <w:p w14:paraId="7D2385B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标准值</w:t>
            </w:r>
          </w:p>
        </w:tc>
        <w:tc>
          <w:tcPr>
            <w:tcW w:w="600" w:type="pct"/>
            <w:vAlign w:val="center"/>
          </w:tcPr>
          <w:p w14:paraId="56CDFF65">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2913A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restart"/>
            <w:vAlign w:val="center"/>
          </w:tcPr>
          <w:p w14:paraId="1A327064">
            <w:pPr>
              <w:pStyle w:val="280"/>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平台-1（JD6110、JD6089）</w:t>
            </w:r>
          </w:p>
        </w:tc>
        <w:tc>
          <w:tcPr>
            <w:tcW w:w="634" w:type="pct"/>
            <w:vAlign w:val="center"/>
          </w:tcPr>
          <w:p w14:paraId="1C0E69D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640" w:type="pct"/>
            <w:noWrap/>
            <w:vAlign w:val="center"/>
          </w:tcPr>
          <w:p w14:paraId="6FFF622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581" w:type="pct"/>
            <w:vAlign w:val="center"/>
          </w:tcPr>
          <w:p w14:paraId="336648F7">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760A05D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79900331">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599" w:type="pct"/>
            <w:vAlign w:val="center"/>
          </w:tcPr>
          <w:p w14:paraId="24D75E3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7546681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7160E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726E6B3D">
            <w:pPr>
              <w:pStyle w:val="526"/>
              <w:rPr>
                <w:rFonts w:hint="eastAsia"/>
                <w:color w:val="000000" w:themeColor="text1"/>
                <w14:textFill>
                  <w14:solidFill>
                    <w14:schemeClr w14:val="tx1"/>
                  </w14:solidFill>
                </w14:textFill>
              </w:rPr>
            </w:pPr>
          </w:p>
        </w:tc>
        <w:tc>
          <w:tcPr>
            <w:tcW w:w="634" w:type="pct"/>
            <w:vAlign w:val="center"/>
          </w:tcPr>
          <w:p w14:paraId="1114F2C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640" w:type="pct"/>
            <w:noWrap/>
            <w:vAlign w:val="center"/>
          </w:tcPr>
          <w:p w14:paraId="6BB3952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581" w:type="pct"/>
            <w:vAlign w:val="center"/>
          </w:tcPr>
          <w:p w14:paraId="636F2FCC">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3B898B8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26BAEC3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599" w:type="pct"/>
            <w:vAlign w:val="center"/>
          </w:tcPr>
          <w:p w14:paraId="6C051E4C">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1B68306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15C3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7426D840">
            <w:pPr>
              <w:pStyle w:val="526"/>
              <w:rPr>
                <w:rFonts w:hint="eastAsia"/>
                <w:color w:val="000000" w:themeColor="text1"/>
                <w14:textFill>
                  <w14:solidFill>
                    <w14:schemeClr w14:val="tx1"/>
                  </w14:solidFill>
                </w14:textFill>
              </w:rPr>
            </w:pPr>
          </w:p>
        </w:tc>
        <w:tc>
          <w:tcPr>
            <w:tcW w:w="634" w:type="pct"/>
            <w:vAlign w:val="center"/>
          </w:tcPr>
          <w:p w14:paraId="1142F7E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640" w:type="pct"/>
            <w:noWrap/>
            <w:vAlign w:val="center"/>
          </w:tcPr>
          <w:p w14:paraId="512E0F7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581" w:type="pct"/>
            <w:vAlign w:val="center"/>
          </w:tcPr>
          <w:p w14:paraId="6F155127">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1FD7331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1DCFBED1">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599" w:type="pct"/>
            <w:vAlign w:val="center"/>
          </w:tcPr>
          <w:p w14:paraId="45D81A0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0E6AC6E0">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43A5F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39540427">
            <w:pPr>
              <w:pStyle w:val="526"/>
              <w:rPr>
                <w:rFonts w:hint="eastAsia"/>
                <w:color w:val="000000" w:themeColor="text1"/>
                <w14:textFill>
                  <w14:solidFill>
                    <w14:schemeClr w14:val="tx1"/>
                  </w14:solidFill>
                </w14:textFill>
              </w:rPr>
            </w:pPr>
          </w:p>
        </w:tc>
        <w:tc>
          <w:tcPr>
            <w:tcW w:w="634" w:type="pct"/>
            <w:vAlign w:val="center"/>
          </w:tcPr>
          <w:p w14:paraId="67301BB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c>
          <w:tcPr>
            <w:tcW w:w="640" w:type="pct"/>
            <w:noWrap/>
            <w:vAlign w:val="center"/>
          </w:tcPr>
          <w:p w14:paraId="3BA51E1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581" w:type="pct"/>
            <w:vAlign w:val="center"/>
          </w:tcPr>
          <w:p w14:paraId="4881336C">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1F9E9DD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231AE2C8">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599" w:type="pct"/>
            <w:vAlign w:val="center"/>
          </w:tcPr>
          <w:p w14:paraId="597ACEAC">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5757894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12E20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restart"/>
            <w:vAlign w:val="center"/>
          </w:tcPr>
          <w:p w14:paraId="5E5F6161">
            <w:pPr>
              <w:pStyle w:val="280"/>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平台-2（JD6167、JD6186）</w:t>
            </w:r>
          </w:p>
        </w:tc>
        <w:tc>
          <w:tcPr>
            <w:tcW w:w="634" w:type="pct"/>
            <w:vAlign w:val="center"/>
          </w:tcPr>
          <w:p w14:paraId="0C27A686">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640" w:type="pct"/>
            <w:noWrap/>
            <w:vAlign w:val="center"/>
          </w:tcPr>
          <w:p w14:paraId="682C25D0">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581" w:type="pct"/>
            <w:vAlign w:val="center"/>
          </w:tcPr>
          <w:p w14:paraId="00B3932E">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0421ED6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249E64C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599" w:type="pct"/>
            <w:vAlign w:val="center"/>
          </w:tcPr>
          <w:p w14:paraId="6B8C5CF8">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02D785A1">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86D4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0194F1B0">
            <w:pPr>
              <w:pStyle w:val="526"/>
              <w:rPr>
                <w:rFonts w:hint="eastAsia"/>
                <w:color w:val="000000" w:themeColor="text1"/>
                <w14:textFill>
                  <w14:solidFill>
                    <w14:schemeClr w14:val="tx1"/>
                  </w14:solidFill>
                </w14:textFill>
              </w:rPr>
            </w:pPr>
          </w:p>
        </w:tc>
        <w:tc>
          <w:tcPr>
            <w:tcW w:w="634" w:type="pct"/>
            <w:vAlign w:val="center"/>
          </w:tcPr>
          <w:p w14:paraId="4A088BC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640" w:type="pct"/>
            <w:noWrap/>
            <w:vAlign w:val="center"/>
          </w:tcPr>
          <w:p w14:paraId="44E857B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581" w:type="pct"/>
            <w:vAlign w:val="center"/>
          </w:tcPr>
          <w:p w14:paraId="207B0DA2">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2BC6D220">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0577DA0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599" w:type="pct"/>
            <w:vAlign w:val="center"/>
          </w:tcPr>
          <w:p w14:paraId="61F45EE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76E91F9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F5B52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43471478">
            <w:pPr>
              <w:pStyle w:val="526"/>
              <w:rPr>
                <w:rFonts w:hint="eastAsia"/>
                <w:color w:val="000000" w:themeColor="text1"/>
                <w14:textFill>
                  <w14:solidFill>
                    <w14:schemeClr w14:val="tx1"/>
                  </w14:solidFill>
                </w14:textFill>
              </w:rPr>
            </w:pPr>
          </w:p>
        </w:tc>
        <w:tc>
          <w:tcPr>
            <w:tcW w:w="634" w:type="pct"/>
            <w:vAlign w:val="center"/>
          </w:tcPr>
          <w:p w14:paraId="18E90AA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640" w:type="pct"/>
            <w:noWrap/>
            <w:vAlign w:val="center"/>
          </w:tcPr>
          <w:p w14:paraId="3F4B427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581" w:type="pct"/>
            <w:vAlign w:val="center"/>
          </w:tcPr>
          <w:p w14:paraId="4541FB91">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0F5CBAD4">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7377FFA0">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599" w:type="pct"/>
            <w:vAlign w:val="center"/>
          </w:tcPr>
          <w:p w14:paraId="5D96883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72F3D5B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E2DA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3D79FEF4">
            <w:pPr>
              <w:pStyle w:val="526"/>
              <w:rPr>
                <w:rFonts w:hint="eastAsia"/>
                <w:color w:val="000000" w:themeColor="text1"/>
                <w14:textFill>
                  <w14:solidFill>
                    <w14:schemeClr w14:val="tx1"/>
                  </w14:solidFill>
                </w14:textFill>
              </w:rPr>
            </w:pPr>
          </w:p>
        </w:tc>
        <w:tc>
          <w:tcPr>
            <w:tcW w:w="634" w:type="pct"/>
            <w:vAlign w:val="center"/>
          </w:tcPr>
          <w:p w14:paraId="0C369E6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c>
          <w:tcPr>
            <w:tcW w:w="640" w:type="pct"/>
            <w:noWrap/>
            <w:vAlign w:val="center"/>
          </w:tcPr>
          <w:p w14:paraId="26686F86">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581" w:type="pct"/>
            <w:vAlign w:val="center"/>
          </w:tcPr>
          <w:p w14:paraId="0F8B3CCD">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6BA8452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31712030">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599" w:type="pct"/>
            <w:vAlign w:val="center"/>
          </w:tcPr>
          <w:p w14:paraId="5BECAE9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21F20EC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6246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restart"/>
            <w:vAlign w:val="center"/>
          </w:tcPr>
          <w:p w14:paraId="183ED4E9">
            <w:pPr>
              <w:pStyle w:val="280"/>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平台-3（仅</w:t>
            </w:r>
            <w:r>
              <w:rPr>
                <w:rFonts w:hint="eastAsia"/>
                <w:color w:val="000000" w:themeColor="text1"/>
                <w:lang w:bidi="ar"/>
                <w14:textFill>
                  <w14:solidFill>
                    <w14:schemeClr w14:val="tx1"/>
                  </w14:solidFill>
                </w14:textFill>
              </w:rPr>
              <w:t>J9100A参与核算，JD8399A为注水井，无噪声</w:t>
            </w:r>
            <w:r>
              <w:rPr>
                <w:rFonts w:hint="eastAsia"/>
                <w:snapToGrid w:val="0"/>
                <w:color w:val="000000" w:themeColor="text1"/>
                <w14:textFill>
                  <w14:solidFill>
                    <w14:schemeClr w14:val="tx1"/>
                  </w14:solidFill>
                </w14:textFill>
              </w:rPr>
              <w:t>）</w:t>
            </w:r>
          </w:p>
        </w:tc>
        <w:tc>
          <w:tcPr>
            <w:tcW w:w="634" w:type="pct"/>
            <w:vAlign w:val="center"/>
          </w:tcPr>
          <w:p w14:paraId="3D7AB8E6">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640" w:type="pct"/>
            <w:noWrap/>
            <w:vAlign w:val="center"/>
          </w:tcPr>
          <w:p w14:paraId="2814299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581" w:type="pct"/>
            <w:vAlign w:val="center"/>
          </w:tcPr>
          <w:p w14:paraId="288D78FA">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5666DBD8">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430CE32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599" w:type="pct"/>
            <w:vAlign w:val="center"/>
          </w:tcPr>
          <w:p w14:paraId="6074434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67453C3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9541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1D0CC476">
            <w:pPr>
              <w:pStyle w:val="526"/>
              <w:rPr>
                <w:rFonts w:hint="eastAsia"/>
                <w:color w:val="000000" w:themeColor="text1"/>
                <w14:textFill>
                  <w14:solidFill>
                    <w14:schemeClr w14:val="tx1"/>
                  </w14:solidFill>
                </w14:textFill>
              </w:rPr>
            </w:pPr>
          </w:p>
        </w:tc>
        <w:tc>
          <w:tcPr>
            <w:tcW w:w="634" w:type="pct"/>
            <w:vAlign w:val="center"/>
          </w:tcPr>
          <w:p w14:paraId="0DD9B65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640" w:type="pct"/>
            <w:noWrap/>
            <w:vAlign w:val="center"/>
          </w:tcPr>
          <w:p w14:paraId="7434E86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41</w:t>
            </w:r>
          </w:p>
        </w:tc>
        <w:tc>
          <w:tcPr>
            <w:tcW w:w="581" w:type="pct"/>
            <w:vAlign w:val="center"/>
          </w:tcPr>
          <w:p w14:paraId="2CC52F48">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23B3B1E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3FBCAF1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41</w:t>
            </w:r>
          </w:p>
        </w:tc>
        <w:tc>
          <w:tcPr>
            <w:tcW w:w="599" w:type="pct"/>
            <w:vAlign w:val="center"/>
          </w:tcPr>
          <w:p w14:paraId="44965D86">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578EB8C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2C0B8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4A47DD71">
            <w:pPr>
              <w:pStyle w:val="526"/>
              <w:rPr>
                <w:rFonts w:hint="eastAsia"/>
                <w:color w:val="000000" w:themeColor="text1"/>
                <w14:textFill>
                  <w14:solidFill>
                    <w14:schemeClr w14:val="tx1"/>
                  </w14:solidFill>
                </w14:textFill>
              </w:rPr>
            </w:pPr>
          </w:p>
        </w:tc>
        <w:tc>
          <w:tcPr>
            <w:tcW w:w="634" w:type="pct"/>
            <w:vAlign w:val="center"/>
          </w:tcPr>
          <w:p w14:paraId="42070CA5">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640" w:type="pct"/>
            <w:noWrap/>
            <w:vAlign w:val="center"/>
          </w:tcPr>
          <w:p w14:paraId="237CF28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581" w:type="pct"/>
            <w:vAlign w:val="center"/>
          </w:tcPr>
          <w:p w14:paraId="0B71F88C">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2E58C6DC">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1ED1C20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599" w:type="pct"/>
            <w:vAlign w:val="center"/>
          </w:tcPr>
          <w:p w14:paraId="700CA9A1">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30D47CB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A973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16756ED7">
            <w:pPr>
              <w:pStyle w:val="526"/>
              <w:rPr>
                <w:rFonts w:hint="eastAsia"/>
                <w:color w:val="000000" w:themeColor="text1"/>
                <w14:textFill>
                  <w14:solidFill>
                    <w14:schemeClr w14:val="tx1"/>
                  </w14:solidFill>
                </w14:textFill>
              </w:rPr>
            </w:pPr>
          </w:p>
        </w:tc>
        <w:tc>
          <w:tcPr>
            <w:tcW w:w="634" w:type="pct"/>
            <w:vAlign w:val="center"/>
          </w:tcPr>
          <w:p w14:paraId="3229F19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c>
          <w:tcPr>
            <w:tcW w:w="640" w:type="pct"/>
            <w:noWrap/>
            <w:vAlign w:val="center"/>
          </w:tcPr>
          <w:p w14:paraId="0E270721">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581" w:type="pct"/>
            <w:vAlign w:val="center"/>
          </w:tcPr>
          <w:p w14:paraId="0A493078">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34D516E7">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6DDC754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599" w:type="pct"/>
            <w:vAlign w:val="center"/>
          </w:tcPr>
          <w:p w14:paraId="3D8D25E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6AF4C0D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D8B3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restart"/>
            <w:vAlign w:val="center"/>
          </w:tcPr>
          <w:p w14:paraId="262C7405">
            <w:pPr>
              <w:pStyle w:val="280"/>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单井采油井（</w:t>
            </w:r>
            <w:r>
              <w:rPr>
                <w:snapToGrid w:val="0"/>
                <w:color w:val="000000" w:themeColor="text1"/>
                <w14:textFill>
                  <w14:solidFill>
                    <w14:schemeClr w14:val="tx1"/>
                  </w14:solidFill>
                </w14:textFill>
              </w:rPr>
              <w:t>J6093A</w:t>
            </w:r>
            <w:r>
              <w:rPr>
                <w:rFonts w:hint="eastAsia"/>
                <w:snapToGrid w:val="0"/>
                <w:color w:val="000000" w:themeColor="text1"/>
                <w14:textFill>
                  <w14:solidFill>
                    <w14:schemeClr w14:val="tx1"/>
                  </w14:solidFill>
                </w14:textFill>
              </w:rPr>
              <w:t>）</w:t>
            </w:r>
          </w:p>
        </w:tc>
        <w:tc>
          <w:tcPr>
            <w:tcW w:w="634" w:type="pct"/>
            <w:vAlign w:val="center"/>
          </w:tcPr>
          <w:p w14:paraId="126B9FE9">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640" w:type="pct"/>
            <w:noWrap/>
            <w:vAlign w:val="center"/>
          </w:tcPr>
          <w:p w14:paraId="45E27B0C">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w:t>
            </w:r>
          </w:p>
        </w:tc>
        <w:tc>
          <w:tcPr>
            <w:tcW w:w="581" w:type="pct"/>
            <w:vAlign w:val="center"/>
          </w:tcPr>
          <w:p w14:paraId="1C974730">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7292CF61">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052ABF5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w:t>
            </w:r>
          </w:p>
        </w:tc>
        <w:tc>
          <w:tcPr>
            <w:tcW w:w="599" w:type="pct"/>
            <w:vAlign w:val="center"/>
          </w:tcPr>
          <w:p w14:paraId="53FC27D4">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0B90D014">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2639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71C30DBF">
            <w:pPr>
              <w:pStyle w:val="526"/>
              <w:rPr>
                <w:rFonts w:hint="eastAsia"/>
                <w:color w:val="000000" w:themeColor="text1"/>
                <w14:textFill>
                  <w14:solidFill>
                    <w14:schemeClr w14:val="tx1"/>
                  </w14:solidFill>
                </w14:textFill>
              </w:rPr>
            </w:pPr>
          </w:p>
        </w:tc>
        <w:tc>
          <w:tcPr>
            <w:tcW w:w="634" w:type="pct"/>
            <w:vAlign w:val="center"/>
          </w:tcPr>
          <w:p w14:paraId="62F345B5">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c>
          <w:tcPr>
            <w:tcW w:w="640" w:type="pct"/>
            <w:noWrap/>
            <w:vAlign w:val="center"/>
          </w:tcPr>
          <w:p w14:paraId="29C60B3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581" w:type="pct"/>
            <w:vAlign w:val="center"/>
          </w:tcPr>
          <w:p w14:paraId="2DA839DC">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29C06558">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54FCB231">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599" w:type="pct"/>
            <w:vAlign w:val="center"/>
          </w:tcPr>
          <w:p w14:paraId="7D4CD7BD">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07FD7AF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FC9D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60F71B00">
            <w:pPr>
              <w:pStyle w:val="526"/>
              <w:rPr>
                <w:rFonts w:hint="eastAsia"/>
                <w:color w:val="000000" w:themeColor="text1"/>
                <w14:textFill>
                  <w14:solidFill>
                    <w14:schemeClr w14:val="tx1"/>
                  </w14:solidFill>
                </w14:textFill>
              </w:rPr>
            </w:pPr>
          </w:p>
        </w:tc>
        <w:tc>
          <w:tcPr>
            <w:tcW w:w="634" w:type="pct"/>
            <w:vAlign w:val="center"/>
          </w:tcPr>
          <w:p w14:paraId="02D3B030">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640" w:type="pct"/>
            <w:noWrap/>
            <w:vAlign w:val="center"/>
          </w:tcPr>
          <w:p w14:paraId="0E1AC51B">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w:t>
            </w:r>
          </w:p>
        </w:tc>
        <w:tc>
          <w:tcPr>
            <w:tcW w:w="581" w:type="pct"/>
            <w:vAlign w:val="center"/>
          </w:tcPr>
          <w:p w14:paraId="340861F9">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40A34AAC">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537491AF">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47</w:t>
            </w:r>
          </w:p>
        </w:tc>
        <w:tc>
          <w:tcPr>
            <w:tcW w:w="599" w:type="pct"/>
            <w:vAlign w:val="center"/>
          </w:tcPr>
          <w:p w14:paraId="3A05C150">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09D5F2A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3A7B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9" w:type="pct"/>
            <w:vMerge w:val="continue"/>
            <w:vAlign w:val="center"/>
          </w:tcPr>
          <w:p w14:paraId="2D8E901B">
            <w:pPr>
              <w:pStyle w:val="526"/>
              <w:rPr>
                <w:rFonts w:hint="eastAsia"/>
                <w:color w:val="000000" w:themeColor="text1"/>
                <w14:textFill>
                  <w14:solidFill>
                    <w14:schemeClr w14:val="tx1"/>
                  </w14:solidFill>
                </w14:textFill>
              </w:rPr>
            </w:pPr>
          </w:p>
        </w:tc>
        <w:tc>
          <w:tcPr>
            <w:tcW w:w="634" w:type="pct"/>
            <w:vAlign w:val="center"/>
          </w:tcPr>
          <w:p w14:paraId="513B23A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c>
          <w:tcPr>
            <w:tcW w:w="640" w:type="pct"/>
            <w:noWrap/>
            <w:vAlign w:val="center"/>
          </w:tcPr>
          <w:p w14:paraId="64D4120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581" w:type="pct"/>
            <w:vAlign w:val="center"/>
          </w:tcPr>
          <w:p w14:paraId="36C3F474">
            <w:pPr>
              <w:pStyle w:val="526"/>
              <w:rPr>
                <w:rFonts w:hint="eastAsia"/>
                <w:color w:val="000000" w:themeColor="text1"/>
                <w14:textFill>
                  <w14:solidFill>
                    <w14:schemeClr w14:val="tx1"/>
                  </w14:solidFill>
                </w14:textFill>
              </w:rPr>
            </w:pPr>
            <w:r>
              <w:rPr>
                <w:color w:val="000000" w:themeColor="text1"/>
                <w14:textFill>
                  <w14:solidFill>
                    <w14:schemeClr w14:val="tx1"/>
                  </w14:solidFill>
                </w14:textFill>
              </w:rPr>
              <w:t>60</w:t>
            </w:r>
          </w:p>
        </w:tc>
        <w:tc>
          <w:tcPr>
            <w:tcW w:w="678" w:type="pct"/>
            <w:vAlign w:val="center"/>
          </w:tcPr>
          <w:p w14:paraId="1685C72E">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36" w:type="pct"/>
            <w:noWrap/>
            <w:vAlign w:val="center"/>
          </w:tcPr>
          <w:p w14:paraId="2536FCAA">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599" w:type="pct"/>
            <w:vAlign w:val="center"/>
          </w:tcPr>
          <w:p w14:paraId="4987CE23">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600" w:type="pct"/>
            <w:vAlign w:val="center"/>
          </w:tcPr>
          <w:p w14:paraId="79FC0062">
            <w:pPr>
              <w:pStyle w:val="52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bookmarkEnd w:id="481"/>
    </w:tbl>
    <w:p w14:paraId="632A2258">
      <w:pPr>
        <w:pStyle w:val="120"/>
        <w:rPr>
          <w:rFonts w:hint="eastAsia" w:ascii="黑体" w:hAnsi="黑体" w:eastAsia="黑体" w:cs="宋体"/>
          <w:color w:val="000000" w:themeColor="text1"/>
          <w:sz w:val="21"/>
          <w:szCs w:val="21"/>
          <w14:textFill>
            <w14:solidFill>
              <w14:schemeClr w14:val="tx1"/>
            </w14:solidFill>
          </w14:textFill>
        </w:rPr>
      </w:pPr>
      <w:r>
        <w:rPr>
          <w:rFonts w:hint="eastAsia"/>
          <w:color w:val="000000" w:themeColor="text1"/>
          <w:lang w:bidi="ar"/>
          <w14:textFill>
            <w14:solidFill>
              <w14:schemeClr w14:val="tx1"/>
            </w14:solidFill>
          </w14:textFill>
        </w:rPr>
        <w:t>由预测结果可知：</w:t>
      </w:r>
      <w:r>
        <w:rPr>
          <w:rFonts w:hint="eastAsia"/>
          <w:color w:val="000000" w:themeColor="text1"/>
          <w:lang w:val="en-US" w:bidi="ar"/>
          <w14:textFill>
            <w14:solidFill>
              <w14:schemeClr w14:val="tx1"/>
            </w14:solidFill>
          </w14:textFill>
        </w:rPr>
        <w:t>2井式</w:t>
      </w:r>
      <w:r>
        <w:rPr>
          <w:rFonts w:hint="eastAsia"/>
          <w:color w:val="000000" w:themeColor="text1"/>
          <w:lang w:bidi="ar"/>
          <w14:textFill>
            <w14:solidFill>
              <w14:schemeClr w14:val="tx1"/>
            </w14:solidFill>
          </w14:textFill>
        </w:rPr>
        <w:t>平台</w:t>
      </w:r>
      <w:r>
        <w:rPr>
          <w:rFonts w:hint="eastAsia"/>
          <w:color w:val="000000" w:themeColor="text1"/>
          <w:lang w:val="en-US" w:bidi="ar"/>
          <w14:textFill>
            <w14:solidFill>
              <w14:schemeClr w14:val="tx1"/>
            </w14:solidFill>
          </w14:textFill>
        </w:rPr>
        <w:t>井场</w:t>
      </w:r>
      <w:r>
        <w:rPr>
          <w:rFonts w:hint="eastAsia"/>
          <w:color w:val="000000" w:themeColor="text1"/>
          <w:lang w:bidi="ar"/>
          <w14:textFill>
            <w14:solidFill>
              <w14:schemeClr w14:val="tx1"/>
            </w14:solidFill>
          </w14:textFill>
        </w:rPr>
        <w:t>、</w:t>
      </w:r>
      <w:r>
        <w:rPr>
          <w:rFonts w:hint="eastAsia"/>
          <w:color w:val="000000" w:themeColor="text1"/>
          <w:lang w:val="en-US" w:bidi="ar"/>
          <w14:textFill>
            <w14:solidFill>
              <w14:schemeClr w14:val="tx1"/>
            </w14:solidFill>
          </w14:textFill>
        </w:rPr>
        <w:t>单井采油井场</w:t>
      </w:r>
      <w:r>
        <w:rPr>
          <w:rFonts w:hint="eastAsia"/>
          <w:color w:val="000000" w:themeColor="text1"/>
          <w:lang w:bidi="ar"/>
          <w14:textFill>
            <w14:solidFill>
              <w14:schemeClr w14:val="tx1"/>
            </w14:solidFill>
          </w14:textFill>
        </w:rPr>
        <w:t>厂界四周噪声值均满足《工业企业厂界环境噪声排放标准》（GB12348-2008）2类标准限值要求</w:t>
      </w:r>
      <w:r>
        <w:rPr>
          <w:rFonts w:hint="eastAsia" w:cs="宋体"/>
          <w:color w:val="000000" w:themeColor="text1"/>
          <w14:textFill>
            <w14:solidFill>
              <w14:schemeClr w14:val="tx1"/>
            </w14:solidFill>
          </w14:textFill>
        </w:rPr>
        <w:t>。声环境评价范围内</w:t>
      </w:r>
      <w:r>
        <w:rPr>
          <w:rFonts w:hint="eastAsia"/>
          <w:color w:val="000000" w:themeColor="text1"/>
          <w:lang w:bidi="ar"/>
          <w14:textFill>
            <w14:solidFill>
              <w14:schemeClr w14:val="tx1"/>
            </w14:solidFill>
          </w14:textFill>
        </w:rPr>
        <w:t>无声环境敏感点，不会出现扰民现象，</w:t>
      </w:r>
      <w:r>
        <w:rPr>
          <w:rFonts w:cs="宋体"/>
          <w:color w:val="000000" w:themeColor="text1"/>
          <w14:textFill>
            <w14:solidFill>
              <w14:schemeClr w14:val="tx1"/>
            </w14:solidFill>
          </w14:textFill>
        </w:rPr>
        <w:t>不会对周围声环境产生明显的影响。</w:t>
      </w:r>
    </w:p>
    <w:bookmarkEnd w:id="474"/>
    <w:bookmarkEnd w:id="475"/>
    <w:bookmarkEnd w:id="476"/>
    <w:bookmarkEnd w:id="477"/>
    <w:bookmarkEnd w:id="478"/>
    <w:bookmarkEnd w:id="479"/>
    <w:bookmarkEnd w:id="480"/>
    <w:p w14:paraId="627464A1">
      <w:pPr>
        <w:pStyle w:val="8"/>
        <w:rPr>
          <w:rFonts w:hint="eastAsia"/>
          <w:color w:val="000000" w:themeColor="text1"/>
          <w14:textFill>
            <w14:solidFill>
              <w14:schemeClr w14:val="tx1"/>
            </w14:solidFill>
          </w14:textFill>
        </w:rPr>
      </w:pPr>
      <w:bookmarkStart w:id="483" w:name="_Toc445842101"/>
      <w:bookmarkStart w:id="484" w:name="_Toc13399"/>
      <w:bookmarkStart w:id="485" w:name="_Toc445996422"/>
      <w:bookmarkStart w:id="486" w:name="_Hlk175257821"/>
      <w:r>
        <w:rPr>
          <w:rFonts w:hint="eastAsia"/>
          <w:color w:val="000000" w:themeColor="text1"/>
          <w14:textFill>
            <w14:solidFill>
              <w14:schemeClr w14:val="tx1"/>
            </w14:solidFill>
          </w14:textFill>
        </w:rPr>
        <w:t>运营期固体废物</w:t>
      </w:r>
      <w:r>
        <w:rPr>
          <w:color w:val="000000" w:themeColor="text1"/>
          <w14:textFill>
            <w14:solidFill>
              <w14:schemeClr w14:val="tx1"/>
            </w14:solidFill>
          </w14:textFill>
        </w:rPr>
        <w:t>环境影响</w:t>
      </w:r>
      <w:bookmarkEnd w:id="483"/>
      <w:bookmarkEnd w:id="484"/>
      <w:bookmarkEnd w:id="485"/>
      <w:r>
        <w:rPr>
          <w:rFonts w:hint="eastAsia"/>
          <w:color w:val="000000" w:themeColor="text1"/>
          <w14:textFill>
            <w14:solidFill>
              <w14:schemeClr w14:val="tx1"/>
            </w14:solidFill>
          </w14:textFill>
        </w:rPr>
        <w:t>分析</w:t>
      </w:r>
    </w:p>
    <w:bookmarkEnd w:id="486"/>
    <w:p w14:paraId="26456C73">
      <w:pPr>
        <w:pStyle w:val="120"/>
        <w:rPr>
          <w:rFonts w:hint="eastAsia"/>
          <w:color w:val="000000" w:themeColor="text1"/>
          <w14:textFill>
            <w14:solidFill>
              <w14:schemeClr w14:val="tx1"/>
            </w14:solidFill>
          </w14:textFill>
        </w:rPr>
      </w:pPr>
      <w:bookmarkStart w:id="487" w:name="_Hlk40434482"/>
      <w:bookmarkStart w:id="488" w:name="_Toc445996423"/>
      <w:bookmarkStart w:id="489" w:name="_Toc6279"/>
      <w:bookmarkStart w:id="490" w:name="_Toc445842102"/>
      <w:r>
        <w:rPr>
          <w:rFonts w:hint="eastAsia"/>
          <w:color w:val="000000" w:themeColor="text1"/>
          <w14:textFill>
            <w14:solidFill>
              <w14:schemeClr w14:val="tx1"/>
            </w14:solidFill>
          </w14:textFill>
        </w:rPr>
        <w:t>运营期固体废物主要为危险废物——废润滑油、废润滑油桶、沾油废防渗材料、废含油抹布和劳保用品。</w:t>
      </w:r>
    </w:p>
    <w:p w14:paraId="505E4A33">
      <w:pPr>
        <w:pStyle w:val="53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废润滑油、废润滑油桶、沾油废防渗膜属于《国家危险废物名录（2025年版）》</w:t>
      </w:r>
      <w:r>
        <w:rPr>
          <w:color w:val="000000" w:themeColor="text1"/>
          <w14:textFill>
            <w14:solidFill>
              <w14:schemeClr w14:val="tx1"/>
            </w14:solidFill>
          </w14:textFill>
        </w:rPr>
        <w:t>HW08</w:t>
      </w:r>
      <w:r>
        <w:rPr>
          <w:rFonts w:hint="eastAsia"/>
          <w:color w:val="000000" w:themeColor="text1"/>
          <w14:textFill>
            <w14:solidFill>
              <w14:schemeClr w14:val="tx1"/>
            </w14:solidFill>
          </w14:textFill>
        </w:rPr>
        <w:t>废矿物油与含矿物油废物，废含油抹布和劳保用品属于《国家危险废物名录（2025年版）》HW49其他废物，危险废物均临时贮存在吉祥联合站危险废物临时贮存点，分类暂存，最终交由有相应危险废物处置资质的单位处置。吉庆油田作业区已与克拉玛依市博达生态环保科技有限责任公司签订了危险废物处置协议，产生的危险废物可得到妥善处置。综上所述，固体废物均得到妥善处理，不会对周围环境造成不利影响。</w:t>
      </w:r>
    </w:p>
    <w:bookmarkEnd w:id="487"/>
    <w:p w14:paraId="4C5158E0">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运营期土壤</w:t>
      </w:r>
      <w:r>
        <w:rPr>
          <w:color w:val="000000" w:themeColor="text1"/>
          <w14:textFill>
            <w14:solidFill>
              <w14:schemeClr w14:val="tx1"/>
            </w14:solidFill>
          </w14:textFill>
        </w:rPr>
        <w:t>环境影响</w:t>
      </w:r>
      <w:r>
        <w:rPr>
          <w:rFonts w:hint="eastAsia"/>
          <w:color w:val="000000" w:themeColor="text1"/>
          <w14:textFill>
            <w14:solidFill>
              <w14:schemeClr w14:val="tx1"/>
            </w14:solidFill>
          </w14:textFill>
        </w:rPr>
        <w:t>分析</w:t>
      </w:r>
    </w:p>
    <w:p w14:paraId="67CB54C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（1）污染影响型</w:t>
      </w:r>
    </w:p>
    <w:p w14:paraId="7E7F3F9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①管线泄漏对土壤环境的影响分析</w:t>
      </w:r>
    </w:p>
    <w:p w14:paraId="72B8392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正常工况下无废水及固废等污染物外排，不会造成土壤环境污染。事故状态下可能对土壤环境产生一定的影响，根据《环境影响评价技术导则</w:t>
      </w:r>
      <w:r>
        <w:rPr>
          <w:color w:val="000000" w:themeColor="text1"/>
          <w14:textFill>
            <w14:solidFill>
              <w14:schemeClr w14:val="tx1"/>
            </w14:solidFill>
          </w14:textFill>
        </w:rPr>
        <w:t xml:space="preserve"> 土壤环境（试行）》（HJ 964-2018）</w:t>
      </w:r>
      <w:r>
        <w:rPr>
          <w:rFonts w:hint="eastAsia"/>
          <w:color w:val="000000" w:themeColor="text1"/>
          <w14:textFill>
            <w14:solidFill>
              <w14:schemeClr w14:val="tx1"/>
            </w14:solidFill>
          </w14:textFill>
        </w:rPr>
        <w:t>，事故状态下对土壤环境的影响主要为污染影响型，对土壤环境的影响主要为单井采油管线发生破裂泄漏的原油垂直入渗对土壤的影响，运营期土壤环境影响源及影响因子识别详见表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-12。</w:t>
      </w:r>
    </w:p>
    <w:p w14:paraId="2075AC8B">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bookmarkStart w:id="491" w:name="_Hlk117530406"/>
      <w:bookmarkStart w:id="492" w:name="_Hlk117430406"/>
      <w:r>
        <w:rPr>
          <w:rFonts w:hint="eastAsia"/>
          <w:color w:val="000000" w:themeColor="text1"/>
          <w14:textFill>
            <w14:solidFill>
              <w14:schemeClr w14:val="tx1"/>
            </w14:solidFill>
          </w14:textFill>
        </w:rPr>
        <w:t>运营期</w:t>
      </w:r>
      <w:bookmarkStart w:id="493" w:name="_Hlk98508160"/>
      <w:r>
        <w:rPr>
          <w:rFonts w:hint="eastAsia"/>
          <w:color w:val="000000" w:themeColor="text1"/>
          <w14:textFill>
            <w14:solidFill>
              <w14:schemeClr w14:val="tx1"/>
            </w14:solidFill>
          </w14:textFill>
        </w:rPr>
        <w:t>土壤环境影响源及影响因子识别表</w:t>
      </w:r>
      <w:bookmarkEnd w:id="491"/>
      <w:bookmarkEnd w:id="493"/>
    </w:p>
    <w:bookmarkEnd w:id="492"/>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2125"/>
        <w:gridCol w:w="1273"/>
        <w:gridCol w:w="1746"/>
        <w:gridCol w:w="1743"/>
      </w:tblGrid>
      <w:tr w14:paraId="4AA489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vAlign w:val="center"/>
          </w:tcPr>
          <w:p w14:paraId="5D691175">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污染源</w:t>
            </w:r>
          </w:p>
        </w:tc>
        <w:tc>
          <w:tcPr>
            <w:tcW w:w="1217" w:type="pct"/>
            <w:vAlign w:val="center"/>
          </w:tcPr>
          <w:p w14:paraId="22CFA1DA">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工艺流程/节点</w:t>
            </w:r>
          </w:p>
        </w:tc>
        <w:tc>
          <w:tcPr>
            <w:tcW w:w="729" w:type="pct"/>
            <w:vAlign w:val="center"/>
          </w:tcPr>
          <w:p w14:paraId="1280F4B3">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污染途径</w:t>
            </w:r>
          </w:p>
        </w:tc>
        <w:tc>
          <w:tcPr>
            <w:tcW w:w="1000" w:type="pct"/>
            <w:vAlign w:val="center"/>
          </w:tcPr>
          <w:p w14:paraId="78383BF5">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全部污染物指标</w:t>
            </w:r>
          </w:p>
        </w:tc>
        <w:tc>
          <w:tcPr>
            <w:tcW w:w="998" w:type="pct"/>
            <w:vAlign w:val="center"/>
          </w:tcPr>
          <w:p w14:paraId="20612A68">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特征因子</w:t>
            </w:r>
          </w:p>
        </w:tc>
      </w:tr>
      <w:tr w14:paraId="7AB81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vAlign w:val="center"/>
          </w:tcPr>
          <w:p w14:paraId="2545B73D">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单井采油管线</w:t>
            </w:r>
          </w:p>
        </w:tc>
        <w:tc>
          <w:tcPr>
            <w:tcW w:w="1217" w:type="pct"/>
            <w:vAlign w:val="center"/>
          </w:tcPr>
          <w:p w14:paraId="7E9357E1">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管道破损发生泄漏</w:t>
            </w:r>
          </w:p>
        </w:tc>
        <w:tc>
          <w:tcPr>
            <w:tcW w:w="729" w:type="pct"/>
            <w:vAlign w:val="center"/>
          </w:tcPr>
          <w:p w14:paraId="759F3FD5">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垂直入渗</w:t>
            </w:r>
          </w:p>
        </w:tc>
        <w:tc>
          <w:tcPr>
            <w:tcW w:w="1000" w:type="pct"/>
            <w:vAlign w:val="center"/>
          </w:tcPr>
          <w:p w14:paraId="7960BA33">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石油烃</w:t>
            </w:r>
          </w:p>
        </w:tc>
        <w:tc>
          <w:tcPr>
            <w:tcW w:w="998" w:type="pct"/>
            <w:vAlign w:val="center"/>
          </w:tcPr>
          <w:p w14:paraId="0ED41F0E">
            <w:pPr>
              <w:pStyle w:val="38"/>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石油烃</w:t>
            </w:r>
          </w:p>
        </w:tc>
      </w:tr>
    </w:tbl>
    <w:p w14:paraId="0478BF20">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w:t>
      </w:r>
      <w:r>
        <w:rPr>
          <w:color w:val="000000" w:themeColor="text1"/>
          <w14:textFill>
            <w14:solidFill>
              <w14:schemeClr w14:val="tx1"/>
            </w14:solidFill>
          </w14:textFill>
        </w:rPr>
        <w:t xml:space="preserve">  土壤环境（试行）》（HJ964-02018）8.7.3污染影响型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评价工作等级为</w:t>
      </w:r>
      <w:r>
        <w:rPr>
          <w:rFonts w:hint="eastAsia"/>
          <w:color w:val="000000" w:themeColor="text1"/>
          <w14:textFill>
            <w14:solidFill>
              <w14:schemeClr w14:val="tx1"/>
            </w14:solidFill>
          </w14:textFill>
        </w:rPr>
        <w:t>一</w:t>
      </w:r>
      <w:r>
        <w:rPr>
          <w:color w:val="000000" w:themeColor="text1"/>
          <w14:textFill>
            <w14:solidFill>
              <w14:schemeClr w14:val="tx1"/>
            </w14:solidFill>
          </w14:textFill>
        </w:rPr>
        <w:t>级的建设项目，预测方法可参见附录E或类比分析进行预测。本次评价采用类比分析法预测项目</w:t>
      </w:r>
      <w:r>
        <w:rPr>
          <w:rFonts w:hint="eastAsia"/>
          <w:color w:val="000000" w:themeColor="text1"/>
          <w:lang w:val="en-US" w:eastAsia="zh-CN"/>
          <w14:textFill>
            <w14:solidFill>
              <w14:schemeClr w14:val="tx1"/>
            </w14:solidFill>
          </w14:textFill>
        </w:rPr>
        <w:t>运行后</w:t>
      </w:r>
      <w:r>
        <w:rPr>
          <w:rFonts w:hint="eastAsia"/>
          <w:color w:val="000000" w:themeColor="text1"/>
          <w14:textFill>
            <w14:solidFill>
              <w14:schemeClr w14:val="tx1"/>
            </w14:solidFill>
          </w14:textFill>
        </w:rPr>
        <w:t>单井采油管线破裂发生泄漏</w:t>
      </w:r>
      <w:r>
        <w:rPr>
          <w:color w:val="000000" w:themeColor="text1"/>
          <w14:textFill>
            <w14:solidFill>
              <w14:schemeClr w14:val="tx1"/>
            </w14:solidFill>
          </w14:textFill>
        </w:rPr>
        <w:t>对土壤环境的影响。</w:t>
      </w:r>
    </w:p>
    <w:p w14:paraId="2748CF38">
      <w:pPr>
        <w:pStyle w:val="193"/>
        <w:rPr>
          <w:rFonts w:hint="eastAsia"/>
          <w:color w:val="000000" w:themeColor="text1"/>
          <w14:textFill>
            <w14:solidFill>
              <w14:schemeClr w14:val="tx1"/>
            </w14:solidFill>
          </w14:textFill>
        </w:rPr>
      </w:pPr>
      <w:bookmarkStart w:id="494" w:name="_Hlk115193801"/>
      <w:r>
        <w:rPr>
          <w:rFonts w:hint="eastAsia"/>
          <w:color w:val="000000" w:themeColor="text1"/>
          <w:lang w:val="en-US" w:eastAsia="zh-CN"/>
          <w14:textFill>
            <w14:solidFill>
              <w14:schemeClr w14:val="tx1"/>
            </w14:solidFill>
          </w14:textFill>
        </w:rPr>
        <w:t>本项目新建</w:t>
      </w:r>
      <w:r>
        <w:rPr>
          <w:rFonts w:hint="eastAsia"/>
          <w:color w:val="000000" w:themeColor="text1"/>
          <w14:textFill>
            <w14:solidFill>
              <w14:schemeClr w14:val="tx1"/>
            </w14:solidFill>
          </w14:textFill>
        </w:rPr>
        <w:t>单井采油管线</w:t>
      </w:r>
      <w:r>
        <w:rPr>
          <w:rFonts w:hint="eastAsia"/>
          <w:color w:val="000000" w:themeColor="text1"/>
          <w:lang w:val="en-US" w:eastAsia="zh-CN"/>
          <w14:textFill>
            <w14:solidFill>
              <w14:schemeClr w14:val="tx1"/>
            </w14:solidFill>
          </w14:textFill>
        </w:rPr>
        <w:t>输送的介质为采出液（含水率为75%的原油），</w:t>
      </w:r>
      <w:r>
        <w:rPr>
          <w:rFonts w:hint="eastAsia"/>
          <w:color w:val="000000" w:themeColor="text1"/>
          <w14:textFill>
            <w14:solidFill>
              <w14:schemeClr w14:val="tx1"/>
            </w14:solidFill>
          </w14:textFill>
        </w:rPr>
        <w:t>管线破裂发生泄漏后，泄漏的采出液通过垂直入渗的方式进入管线下方及周边土壤，使受浸染的土壤理化性状发生变化，对土壤产生一定的影响。</w:t>
      </w:r>
    </w:p>
    <w:p w14:paraId="2ECA8FDC">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本次评价</w:t>
      </w:r>
      <w:bookmarkStart w:id="495" w:name="_Hlk115191896"/>
      <w:bookmarkStart w:id="496" w:name="_Hlk109730584"/>
      <w:r>
        <w:rPr>
          <w:rFonts w:hint="eastAsia"/>
          <w:color w:val="000000" w:themeColor="text1"/>
          <w:lang w:val="en-US" w:eastAsia="zh-CN"/>
          <w14:textFill>
            <w14:solidFill>
              <w14:schemeClr w14:val="tx1"/>
            </w14:solidFill>
          </w14:textFill>
        </w:rPr>
        <w:t>收集</w:t>
      </w:r>
      <w:r>
        <w:rPr>
          <w:rFonts w:hint="eastAsia"/>
          <w:color w:val="000000" w:themeColor="text1"/>
          <w14:textFill>
            <w14:solidFill>
              <w14:schemeClr w14:val="tx1"/>
            </w14:solidFill>
          </w14:textFill>
        </w:rPr>
        <w:t>的《</w:t>
      </w:r>
      <w:bookmarkStart w:id="497" w:name="_Hlk115191207"/>
      <w:r>
        <w:rPr>
          <w:rFonts w:hint="eastAsia"/>
          <w:color w:val="000000" w:themeColor="text1"/>
          <w14:textFill>
            <w14:solidFill>
              <w14:schemeClr w14:val="tx1"/>
            </w14:solidFill>
          </w14:textFill>
        </w:rPr>
        <w:t>石西油田作业区石南</w:t>
      </w:r>
      <w:r>
        <w:rPr>
          <w:color w:val="000000" w:themeColor="text1"/>
          <w14:textFill>
            <w14:solidFill>
              <w14:schemeClr w14:val="tx1"/>
            </w14:solidFill>
          </w14:textFill>
        </w:rPr>
        <w:t>4原油转输管线</w:t>
      </w:r>
      <w:bookmarkEnd w:id="497"/>
      <w:r>
        <w:rPr>
          <w:color w:val="000000" w:themeColor="text1"/>
          <w14:textFill>
            <w14:solidFill>
              <w14:schemeClr w14:val="tx1"/>
            </w14:solidFill>
          </w14:textFill>
        </w:rPr>
        <w:t>安全隐患治理工程</w:t>
      </w:r>
      <w:r>
        <w:rPr>
          <w:rFonts w:hint="eastAsia"/>
          <w:color w:val="000000" w:themeColor="text1"/>
          <w14:textFill>
            <w14:solidFill>
              <w14:schemeClr w14:val="tx1"/>
            </w14:solidFill>
          </w14:textFill>
        </w:rPr>
        <w:t>》</w:t>
      </w:r>
      <w:bookmarkEnd w:id="495"/>
      <w:r>
        <w:rPr>
          <w:rFonts w:hint="eastAsia"/>
          <w:color w:val="000000" w:themeColor="text1"/>
          <w14:textFill>
            <w14:solidFill>
              <w14:schemeClr w14:val="tx1"/>
            </w14:solidFill>
          </w14:textFill>
        </w:rPr>
        <w:t>发生过原油泄漏并进行过应急处置的管段土壤环境质量现状监测数据来进行类比分析说明本项目单井采油管线</w:t>
      </w:r>
      <w:r>
        <w:rPr>
          <w:rFonts w:hint="eastAsia"/>
          <w:color w:val="000000" w:themeColor="text1"/>
          <w:lang w:val="en-US" w:eastAsia="zh-CN"/>
          <w14:textFill>
            <w14:solidFill>
              <w14:schemeClr w14:val="tx1"/>
            </w14:solidFill>
          </w14:textFill>
        </w:rPr>
        <w:t>发生泄漏对土壤环境的影响。</w:t>
      </w:r>
      <w:r>
        <w:rPr>
          <w:rFonts w:hint="eastAsia"/>
          <w:color w:val="000000" w:themeColor="text1"/>
          <w14:textFill>
            <w14:solidFill>
              <w14:schemeClr w14:val="tx1"/>
            </w14:solidFill>
          </w14:textFill>
        </w:rPr>
        <w:t>监测数据详见表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-13。</w:t>
      </w:r>
    </w:p>
    <w:p w14:paraId="231108D8">
      <w:pPr>
        <w:pStyle w:val="112"/>
        <w:rPr>
          <w:rFonts w:hint="eastAsia"/>
          <w:color w:val="000000" w:themeColor="text1"/>
          <w14:textFill>
            <w14:solidFill>
              <w14:schemeClr w14:val="tx1"/>
            </w14:solidFill>
          </w14:textFill>
        </w:rPr>
      </w:pPr>
      <w:r>
        <w:rPr>
          <w:color w:val="000000" w:themeColor="text1"/>
          <w14:textFill>
            <w14:solidFill>
              <w14:schemeClr w14:val="tx1"/>
            </w14:solidFill>
          </w14:textFill>
        </w:rPr>
        <w:t>表5.2</w:t>
      </w:r>
      <w:r>
        <w:rPr>
          <w:rFonts w:hint="eastAsia"/>
          <w:color w:val="000000" w:themeColor="text1"/>
          <w14:textFill>
            <w14:solidFill>
              <w14:schemeClr w14:val="tx1"/>
            </w14:solidFill>
          </w14:textFill>
        </w:rPr>
        <w:t>-13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《石西油田作业区石南</w:t>
      </w:r>
      <w:r>
        <w:rPr>
          <w:color w:val="000000" w:themeColor="text1"/>
          <w14:textFill>
            <w14:solidFill>
              <w14:schemeClr w14:val="tx1"/>
            </w14:solidFill>
          </w14:textFill>
        </w:rPr>
        <w:t>4原油转输管线安全隐患治理工程</w:t>
      </w:r>
      <w:r>
        <w:rPr>
          <w:rFonts w:hint="eastAsia"/>
          <w:color w:val="000000" w:themeColor="text1"/>
          <w14:textFill>
            <w14:solidFill>
              <w14:schemeClr w14:val="tx1"/>
            </w14:solidFill>
          </w14:textFill>
        </w:rPr>
        <w:t>》土壤监测结果一览表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60"/>
        <w:gridCol w:w="1107"/>
        <w:gridCol w:w="826"/>
        <w:gridCol w:w="1112"/>
        <w:gridCol w:w="1107"/>
        <w:gridCol w:w="1109"/>
        <w:gridCol w:w="967"/>
        <w:gridCol w:w="1109"/>
        <w:gridCol w:w="733"/>
      </w:tblGrid>
      <w:tr w14:paraId="644286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restart"/>
            <w:vAlign w:val="center"/>
          </w:tcPr>
          <w:p w14:paraId="5F8D0302">
            <w:pPr>
              <w:pStyle w:val="210"/>
              <w:rPr>
                <w:rFonts w:hint="eastAsia"/>
                <w:color w:val="000000" w:themeColor="text1"/>
                <w:lang w:val="zh-CN"/>
                <w14:textFill>
                  <w14:solidFill>
                    <w14:schemeClr w14:val="tx1"/>
                  </w14:solidFill>
                </w14:textFill>
              </w:rPr>
            </w:pPr>
            <w:bookmarkStart w:id="498" w:name="_Hlk110354415"/>
            <w:r>
              <w:rPr>
                <w:rFonts w:hint="eastAsia"/>
                <w:color w:val="000000" w:themeColor="text1"/>
                <w:lang w:val="zh-CN"/>
                <w14:textFill>
                  <w14:solidFill>
                    <w14:schemeClr w14:val="tx1"/>
                  </w14:solidFill>
                </w14:textFill>
              </w:rPr>
              <w:t>点位</w:t>
            </w:r>
            <w:r>
              <w:rPr>
                <w:color w:val="000000" w:themeColor="text1"/>
                <w:lang w:val="zh-CN"/>
                <w14:textFill>
                  <w14:solidFill>
                    <w14:schemeClr w14:val="tx1"/>
                  </w14:solidFill>
                </w14:textFill>
              </w:rPr>
              <w:t>编号</w:t>
            </w:r>
          </w:p>
        </w:tc>
        <w:tc>
          <w:tcPr>
            <w:tcW w:w="634" w:type="pct"/>
            <w:vMerge w:val="restart"/>
            <w:vAlign w:val="center"/>
          </w:tcPr>
          <w:p w14:paraId="3FB95AF0">
            <w:pPr>
              <w:pStyle w:val="210"/>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监测因子</w:t>
            </w:r>
          </w:p>
        </w:tc>
        <w:tc>
          <w:tcPr>
            <w:tcW w:w="3568" w:type="pct"/>
            <w:gridSpan w:val="6"/>
            <w:vAlign w:val="center"/>
          </w:tcPr>
          <w:p w14:paraId="44E282A7">
            <w:pPr>
              <w:pStyle w:val="210"/>
              <w:rPr>
                <w:rFonts w:hint="eastAsia"/>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（柱状样）检测值</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g/</w:t>
            </w:r>
            <w:r>
              <w:rPr>
                <w:rFonts w:hint="eastAsia"/>
                <w:color w:val="000000" w:themeColor="text1"/>
                <w14:textFill>
                  <w14:solidFill>
                    <w14:schemeClr w14:val="tx1"/>
                  </w14:solidFill>
                </w14:textFill>
              </w:rPr>
              <w:t>kg</w:t>
            </w:r>
            <w:r>
              <w:rPr>
                <w:color w:val="000000" w:themeColor="text1"/>
                <w14:textFill>
                  <w14:solidFill>
                    <w14:schemeClr w14:val="tx1"/>
                  </w14:solidFill>
                </w14:textFill>
              </w:rPr>
              <w:t>）</w:t>
            </w:r>
          </w:p>
        </w:tc>
        <w:tc>
          <w:tcPr>
            <w:tcW w:w="420" w:type="pct"/>
            <w:vMerge w:val="restart"/>
            <w:vAlign w:val="center"/>
          </w:tcPr>
          <w:p w14:paraId="40BB15DD">
            <w:pPr>
              <w:pStyle w:val="210"/>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达标情况</w:t>
            </w:r>
          </w:p>
        </w:tc>
      </w:tr>
      <w:tr w14:paraId="1412C8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673EB1B9">
            <w:pPr>
              <w:pStyle w:val="210"/>
              <w:rPr>
                <w:rFonts w:hint="eastAsia"/>
                <w:color w:val="000000" w:themeColor="text1"/>
                <w:lang w:val="zh-CN"/>
                <w14:textFill>
                  <w14:solidFill>
                    <w14:schemeClr w14:val="tx1"/>
                  </w14:solidFill>
                </w14:textFill>
              </w:rPr>
            </w:pPr>
          </w:p>
        </w:tc>
        <w:tc>
          <w:tcPr>
            <w:tcW w:w="634" w:type="pct"/>
            <w:vMerge w:val="continue"/>
            <w:vAlign w:val="center"/>
          </w:tcPr>
          <w:p w14:paraId="6B34E391">
            <w:pPr>
              <w:pStyle w:val="210"/>
              <w:rPr>
                <w:rFonts w:hint="eastAsia"/>
                <w:color w:val="000000" w:themeColor="text1"/>
                <w:lang w:val="zh-CN"/>
                <w14:textFill>
                  <w14:solidFill>
                    <w14:schemeClr w14:val="tx1"/>
                  </w14:solidFill>
                </w14:textFill>
              </w:rPr>
            </w:pPr>
          </w:p>
        </w:tc>
        <w:tc>
          <w:tcPr>
            <w:tcW w:w="1110" w:type="pct"/>
            <w:gridSpan w:val="2"/>
            <w:tcBorders>
              <w:bottom w:val="single" w:color="auto" w:sz="4" w:space="0"/>
            </w:tcBorders>
            <w:vAlign w:val="center"/>
          </w:tcPr>
          <w:p w14:paraId="670B17F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r>
              <w:rPr>
                <w:rFonts w:hint="eastAsia"/>
                <w:color w:val="000000" w:themeColor="text1"/>
                <w14:textFill>
                  <w14:solidFill>
                    <w14:schemeClr w14:val="tx1"/>
                  </w14:solidFill>
                </w14:textFill>
              </w:rPr>
              <w:t>m</w:t>
            </w:r>
          </w:p>
        </w:tc>
        <w:tc>
          <w:tcPr>
            <w:tcW w:w="1269" w:type="pct"/>
            <w:gridSpan w:val="2"/>
            <w:tcBorders>
              <w:bottom w:val="single" w:color="auto" w:sz="4" w:space="0"/>
            </w:tcBorders>
            <w:vAlign w:val="center"/>
          </w:tcPr>
          <w:p w14:paraId="2FA2C33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0.5</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m</w:t>
            </w:r>
          </w:p>
        </w:tc>
        <w:tc>
          <w:tcPr>
            <w:tcW w:w="1189" w:type="pct"/>
            <w:gridSpan w:val="2"/>
            <w:tcBorders>
              <w:bottom w:val="single" w:color="auto" w:sz="4" w:space="0"/>
            </w:tcBorders>
            <w:vAlign w:val="center"/>
          </w:tcPr>
          <w:p w14:paraId="1228953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～3m</w:t>
            </w:r>
          </w:p>
        </w:tc>
        <w:tc>
          <w:tcPr>
            <w:tcW w:w="420" w:type="pct"/>
            <w:vMerge w:val="continue"/>
            <w:vAlign w:val="center"/>
          </w:tcPr>
          <w:p w14:paraId="39F200BB">
            <w:pPr>
              <w:pStyle w:val="210"/>
              <w:rPr>
                <w:rFonts w:hint="eastAsia"/>
                <w:color w:val="000000" w:themeColor="text1"/>
                <w:lang w:val="zh-CN"/>
                <w14:textFill>
                  <w14:solidFill>
                    <w14:schemeClr w14:val="tx1"/>
                  </w14:solidFill>
                </w14:textFill>
              </w:rPr>
            </w:pPr>
          </w:p>
        </w:tc>
      </w:tr>
      <w:tr w14:paraId="348E15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2FB2C80C">
            <w:pPr>
              <w:pStyle w:val="210"/>
              <w:rPr>
                <w:rFonts w:hint="eastAsia"/>
                <w:color w:val="000000" w:themeColor="text1"/>
                <w:lang w:val="zh-CN"/>
                <w14:textFill>
                  <w14:solidFill>
                    <w14:schemeClr w14:val="tx1"/>
                  </w14:solidFill>
                </w14:textFill>
              </w:rPr>
            </w:pPr>
          </w:p>
        </w:tc>
        <w:tc>
          <w:tcPr>
            <w:tcW w:w="634" w:type="pct"/>
            <w:vMerge w:val="continue"/>
            <w:vAlign w:val="center"/>
          </w:tcPr>
          <w:p w14:paraId="78B144AE">
            <w:pPr>
              <w:pStyle w:val="210"/>
              <w:rPr>
                <w:rFonts w:hint="eastAsia"/>
                <w:color w:val="000000" w:themeColor="text1"/>
                <w:lang w:val="zh-CN"/>
                <w14:textFill>
                  <w14:solidFill>
                    <w14:schemeClr w14:val="tx1"/>
                  </w14:solidFill>
                </w14:textFill>
              </w:rPr>
            </w:pPr>
          </w:p>
        </w:tc>
        <w:tc>
          <w:tcPr>
            <w:tcW w:w="473" w:type="pct"/>
            <w:tcBorders>
              <w:top w:val="single" w:color="auto" w:sz="4" w:space="0"/>
              <w:right w:val="single" w:color="auto" w:sz="4" w:space="0"/>
            </w:tcBorders>
            <w:vAlign w:val="center"/>
          </w:tcPr>
          <w:p w14:paraId="43A4BCA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637" w:type="pct"/>
            <w:tcBorders>
              <w:top w:val="single" w:color="auto" w:sz="4" w:space="0"/>
              <w:left w:val="single" w:color="auto" w:sz="4" w:space="0"/>
            </w:tcBorders>
            <w:vAlign w:val="center"/>
          </w:tcPr>
          <w:p w14:paraId="21E511E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634" w:type="pct"/>
            <w:tcBorders>
              <w:top w:val="single" w:color="auto" w:sz="4" w:space="0"/>
              <w:right w:val="single" w:color="auto" w:sz="4" w:space="0"/>
            </w:tcBorders>
            <w:vAlign w:val="center"/>
          </w:tcPr>
          <w:p w14:paraId="6BEBB0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635" w:type="pct"/>
            <w:tcBorders>
              <w:top w:val="single" w:color="auto" w:sz="4" w:space="0"/>
              <w:left w:val="single" w:color="auto" w:sz="4" w:space="0"/>
            </w:tcBorders>
            <w:vAlign w:val="center"/>
          </w:tcPr>
          <w:p w14:paraId="4BE73D5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554" w:type="pct"/>
            <w:tcBorders>
              <w:top w:val="single" w:color="auto" w:sz="4" w:space="0"/>
              <w:right w:val="single" w:color="auto" w:sz="4" w:space="0"/>
            </w:tcBorders>
            <w:vAlign w:val="center"/>
          </w:tcPr>
          <w:p w14:paraId="0129ED6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监测值</w:t>
            </w:r>
          </w:p>
        </w:tc>
        <w:tc>
          <w:tcPr>
            <w:tcW w:w="635" w:type="pct"/>
            <w:tcBorders>
              <w:top w:val="single" w:color="auto" w:sz="4" w:space="0"/>
              <w:left w:val="single" w:color="auto" w:sz="4" w:space="0"/>
            </w:tcBorders>
            <w:vAlign w:val="center"/>
          </w:tcPr>
          <w:p w14:paraId="40847ED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标准指数</w:t>
            </w:r>
          </w:p>
        </w:tc>
        <w:tc>
          <w:tcPr>
            <w:tcW w:w="420" w:type="pct"/>
            <w:vMerge w:val="continue"/>
            <w:vAlign w:val="center"/>
          </w:tcPr>
          <w:p w14:paraId="36033828">
            <w:pPr>
              <w:pStyle w:val="210"/>
              <w:rPr>
                <w:rFonts w:hint="eastAsia"/>
                <w:color w:val="000000" w:themeColor="text1"/>
                <w:lang w:val="zh-CN"/>
                <w14:textFill>
                  <w14:solidFill>
                    <w14:schemeClr w14:val="tx1"/>
                  </w14:solidFill>
                </w14:textFill>
              </w:rPr>
            </w:pPr>
          </w:p>
        </w:tc>
      </w:tr>
      <w:tr w14:paraId="1DACEC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restart"/>
            <w:vAlign w:val="center"/>
          </w:tcPr>
          <w:p w14:paraId="49EEABB5">
            <w:pPr>
              <w:pStyle w:val="210"/>
              <w:rPr>
                <w:rFonts w:hint="eastAsia"/>
                <w:color w:val="000000" w:themeColor="text1"/>
                <w:lang w:val="zh-CN"/>
                <w14:textFill>
                  <w14:solidFill>
                    <w14:schemeClr w14:val="tx1"/>
                  </w14:solidFill>
                </w14:textFill>
              </w:rPr>
            </w:pPr>
            <w:r>
              <w:rPr>
                <w:color w:val="000000" w:themeColor="text1"/>
                <w:lang w:val="zh-CN"/>
                <w14:textFill>
                  <w14:solidFill>
                    <w14:schemeClr w14:val="tx1"/>
                  </w14:solidFill>
                </w14:textFill>
              </w:rPr>
              <w:t>S1</w:t>
            </w:r>
          </w:p>
        </w:tc>
        <w:tc>
          <w:tcPr>
            <w:tcW w:w="634" w:type="pct"/>
            <w:vAlign w:val="center"/>
          </w:tcPr>
          <w:p w14:paraId="643E10F3">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pH</w:t>
            </w:r>
          </w:p>
        </w:tc>
        <w:tc>
          <w:tcPr>
            <w:tcW w:w="473" w:type="pct"/>
            <w:tcBorders>
              <w:right w:val="single" w:color="auto" w:sz="4" w:space="0"/>
            </w:tcBorders>
            <w:vAlign w:val="center"/>
          </w:tcPr>
          <w:p w14:paraId="3C1D1E1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.37</w:t>
            </w:r>
          </w:p>
        </w:tc>
        <w:tc>
          <w:tcPr>
            <w:tcW w:w="637" w:type="pct"/>
            <w:tcBorders>
              <w:left w:val="single" w:color="auto" w:sz="4" w:space="0"/>
            </w:tcBorders>
            <w:vAlign w:val="center"/>
          </w:tcPr>
          <w:p w14:paraId="4417E35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4" w:type="pct"/>
            <w:tcBorders>
              <w:right w:val="single" w:color="auto" w:sz="4" w:space="0"/>
            </w:tcBorders>
            <w:vAlign w:val="center"/>
          </w:tcPr>
          <w:p w14:paraId="637A81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.39</w:t>
            </w:r>
          </w:p>
        </w:tc>
        <w:tc>
          <w:tcPr>
            <w:tcW w:w="635" w:type="pct"/>
            <w:tcBorders>
              <w:left w:val="single" w:color="auto" w:sz="4" w:space="0"/>
            </w:tcBorders>
            <w:vAlign w:val="center"/>
          </w:tcPr>
          <w:p w14:paraId="6DD5BB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54" w:type="pct"/>
            <w:tcBorders>
              <w:right w:val="single" w:color="auto" w:sz="4" w:space="0"/>
            </w:tcBorders>
            <w:vAlign w:val="center"/>
          </w:tcPr>
          <w:p w14:paraId="3B79B14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.45</w:t>
            </w:r>
          </w:p>
        </w:tc>
        <w:tc>
          <w:tcPr>
            <w:tcW w:w="635" w:type="pct"/>
            <w:tcBorders>
              <w:left w:val="single" w:color="auto" w:sz="4" w:space="0"/>
            </w:tcBorders>
            <w:vAlign w:val="center"/>
          </w:tcPr>
          <w:p w14:paraId="46925F5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20" w:type="pct"/>
            <w:vAlign w:val="center"/>
          </w:tcPr>
          <w:p w14:paraId="786033B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BD138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0DFF1E7B">
            <w:pPr>
              <w:pStyle w:val="210"/>
              <w:rPr>
                <w:rFonts w:hint="eastAsia"/>
                <w:color w:val="000000" w:themeColor="text1"/>
                <w:lang w:val="zh-CN"/>
                <w14:textFill>
                  <w14:solidFill>
                    <w14:schemeClr w14:val="tx1"/>
                  </w14:solidFill>
                </w14:textFill>
              </w:rPr>
            </w:pPr>
          </w:p>
        </w:tc>
        <w:tc>
          <w:tcPr>
            <w:tcW w:w="634" w:type="pct"/>
            <w:vAlign w:val="center"/>
          </w:tcPr>
          <w:p w14:paraId="0F41126E">
            <w:pPr>
              <w:pStyle w:val="210"/>
              <w:rPr>
                <w:rFonts w:hint="eastAsia"/>
                <w:color w:val="000000" w:themeColor="text1"/>
                <w:szCs w:val="21"/>
                <w14:textFill>
                  <w14:solidFill>
                    <w14:schemeClr w14:val="tx1"/>
                  </w14:solidFill>
                </w14:textFill>
              </w:rPr>
            </w:pPr>
            <w:r>
              <w:rPr>
                <w:rFonts w:hint="eastAsia"/>
                <w:color w:val="000000" w:themeColor="text1"/>
                <w14:textFill>
                  <w14:solidFill>
                    <w14:schemeClr w14:val="tx1"/>
                  </w14:solidFill>
                </w14:textFill>
              </w:rPr>
              <w:t>石油烃（</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40</w:t>
            </w:r>
            <w:r>
              <w:rPr>
                <w:rFonts w:hint="eastAsia"/>
                <w:color w:val="000000" w:themeColor="text1"/>
                <w:vertAlign w:val="subscript"/>
                <w14:textFill>
                  <w14:solidFill>
                    <w14:schemeClr w14:val="tx1"/>
                  </w14:solidFill>
                </w14:textFill>
              </w:rPr>
              <w:t>）</w:t>
            </w:r>
          </w:p>
        </w:tc>
        <w:tc>
          <w:tcPr>
            <w:tcW w:w="473" w:type="pct"/>
            <w:tcBorders>
              <w:right w:val="single" w:color="auto" w:sz="4" w:space="0"/>
            </w:tcBorders>
            <w:vAlign w:val="center"/>
          </w:tcPr>
          <w:p w14:paraId="4E6CACD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3</w:t>
            </w:r>
          </w:p>
        </w:tc>
        <w:tc>
          <w:tcPr>
            <w:tcW w:w="637" w:type="pct"/>
            <w:tcBorders>
              <w:left w:val="single" w:color="auto" w:sz="4" w:space="0"/>
            </w:tcBorders>
            <w:vAlign w:val="center"/>
          </w:tcPr>
          <w:p w14:paraId="3A2FE516">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0.0140</w:t>
            </w:r>
          </w:p>
        </w:tc>
        <w:tc>
          <w:tcPr>
            <w:tcW w:w="634" w:type="pct"/>
            <w:tcBorders>
              <w:right w:val="single" w:color="auto" w:sz="4" w:space="0"/>
            </w:tcBorders>
            <w:vAlign w:val="center"/>
          </w:tcPr>
          <w:p w14:paraId="5A74582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5</w:t>
            </w:r>
          </w:p>
        </w:tc>
        <w:tc>
          <w:tcPr>
            <w:tcW w:w="635" w:type="pct"/>
            <w:tcBorders>
              <w:left w:val="single" w:color="auto" w:sz="4" w:space="0"/>
            </w:tcBorders>
            <w:vAlign w:val="center"/>
          </w:tcPr>
          <w:p w14:paraId="3C67B8B9">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0.0078</w:t>
            </w:r>
          </w:p>
        </w:tc>
        <w:tc>
          <w:tcPr>
            <w:tcW w:w="554" w:type="pct"/>
            <w:tcBorders>
              <w:right w:val="single" w:color="auto" w:sz="4" w:space="0"/>
            </w:tcBorders>
            <w:vAlign w:val="center"/>
          </w:tcPr>
          <w:p w14:paraId="72266D2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c>
          <w:tcPr>
            <w:tcW w:w="635" w:type="pct"/>
            <w:tcBorders>
              <w:left w:val="single" w:color="auto" w:sz="4" w:space="0"/>
            </w:tcBorders>
            <w:vAlign w:val="center"/>
          </w:tcPr>
          <w:p w14:paraId="4735F96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0.0022</w:t>
            </w:r>
          </w:p>
        </w:tc>
        <w:tc>
          <w:tcPr>
            <w:tcW w:w="420" w:type="pct"/>
            <w:vAlign w:val="center"/>
          </w:tcPr>
          <w:p w14:paraId="7CAE0A6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E0096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6467E9C1">
            <w:pPr>
              <w:pStyle w:val="210"/>
              <w:rPr>
                <w:rFonts w:hint="eastAsia"/>
                <w:color w:val="000000" w:themeColor="text1"/>
                <w:lang w:val="zh-CN"/>
                <w14:textFill>
                  <w14:solidFill>
                    <w14:schemeClr w14:val="tx1"/>
                  </w14:solidFill>
                </w14:textFill>
              </w:rPr>
            </w:pPr>
          </w:p>
        </w:tc>
        <w:tc>
          <w:tcPr>
            <w:tcW w:w="634" w:type="pct"/>
            <w:vAlign w:val="center"/>
          </w:tcPr>
          <w:p w14:paraId="017F90A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73" w:type="pct"/>
            <w:tcBorders>
              <w:right w:val="single" w:color="auto" w:sz="4" w:space="0"/>
            </w:tcBorders>
            <w:vAlign w:val="center"/>
          </w:tcPr>
          <w:p w14:paraId="15DCC34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.07</w:t>
            </w:r>
          </w:p>
        </w:tc>
        <w:tc>
          <w:tcPr>
            <w:tcW w:w="637" w:type="pct"/>
            <w:tcBorders>
              <w:left w:val="single" w:color="auto" w:sz="4" w:space="0"/>
            </w:tcBorders>
            <w:vAlign w:val="center"/>
          </w:tcPr>
          <w:p w14:paraId="513BB97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0.0011</w:t>
            </w:r>
          </w:p>
        </w:tc>
        <w:tc>
          <w:tcPr>
            <w:tcW w:w="634" w:type="pct"/>
            <w:tcBorders>
              <w:right w:val="single" w:color="auto" w:sz="4" w:space="0"/>
            </w:tcBorders>
            <w:vAlign w:val="center"/>
          </w:tcPr>
          <w:p w14:paraId="7B4693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c>
          <w:tcPr>
            <w:tcW w:w="635" w:type="pct"/>
            <w:tcBorders>
              <w:left w:val="single" w:color="auto" w:sz="4" w:space="0"/>
            </w:tcBorders>
            <w:vAlign w:val="center"/>
          </w:tcPr>
          <w:p w14:paraId="5DA332B1">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0.0008</w:t>
            </w:r>
          </w:p>
        </w:tc>
        <w:tc>
          <w:tcPr>
            <w:tcW w:w="554" w:type="pct"/>
            <w:tcBorders>
              <w:right w:val="single" w:color="auto" w:sz="4" w:space="0"/>
            </w:tcBorders>
            <w:vAlign w:val="center"/>
          </w:tcPr>
          <w:p w14:paraId="58DC8D2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c>
          <w:tcPr>
            <w:tcW w:w="635" w:type="pct"/>
            <w:tcBorders>
              <w:left w:val="single" w:color="auto" w:sz="4" w:space="0"/>
            </w:tcBorders>
            <w:vAlign w:val="center"/>
          </w:tcPr>
          <w:p w14:paraId="201F539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0.0008</w:t>
            </w:r>
          </w:p>
        </w:tc>
        <w:tc>
          <w:tcPr>
            <w:tcW w:w="420" w:type="pct"/>
            <w:vAlign w:val="center"/>
          </w:tcPr>
          <w:p w14:paraId="6CD622C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48816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279738DA">
            <w:pPr>
              <w:pStyle w:val="210"/>
              <w:rPr>
                <w:rFonts w:hint="eastAsia"/>
                <w:color w:val="000000" w:themeColor="text1"/>
                <w:lang w:val="zh-CN"/>
                <w14:textFill>
                  <w14:solidFill>
                    <w14:schemeClr w14:val="tx1"/>
                  </w14:solidFill>
                </w14:textFill>
              </w:rPr>
            </w:pPr>
          </w:p>
        </w:tc>
        <w:tc>
          <w:tcPr>
            <w:tcW w:w="634" w:type="pct"/>
            <w:vAlign w:val="center"/>
          </w:tcPr>
          <w:p w14:paraId="6F6CBCA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73" w:type="pct"/>
            <w:tcBorders>
              <w:right w:val="single" w:color="auto" w:sz="4" w:space="0"/>
            </w:tcBorders>
            <w:vAlign w:val="center"/>
          </w:tcPr>
          <w:p w14:paraId="398EABD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p>
        </w:tc>
        <w:tc>
          <w:tcPr>
            <w:tcW w:w="637" w:type="pct"/>
            <w:tcBorders>
              <w:left w:val="single" w:color="auto" w:sz="4" w:space="0"/>
            </w:tcBorders>
            <w:vAlign w:val="center"/>
          </w:tcPr>
          <w:p w14:paraId="31620D53">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0.0144</w:t>
            </w:r>
          </w:p>
        </w:tc>
        <w:tc>
          <w:tcPr>
            <w:tcW w:w="634" w:type="pct"/>
            <w:tcBorders>
              <w:right w:val="single" w:color="auto" w:sz="4" w:space="0"/>
            </w:tcBorders>
            <w:vAlign w:val="center"/>
          </w:tcPr>
          <w:p w14:paraId="19A5FCE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p>
        </w:tc>
        <w:tc>
          <w:tcPr>
            <w:tcW w:w="635" w:type="pct"/>
            <w:tcBorders>
              <w:left w:val="single" w:color="auto" w:sz="4" w:space="0"/>
            </w:tcBorders>
            <w:vAlign w:val="center"/>
          </w:tcPr>
          <w:p w14:paraId="0FE4C66D">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0.0167</w:t>
            </w:r>
          </w:p>
        </w:tc>
        <w:tc>
          <w:tcPr>
            <w:tcW w:w="554" w:type="pct"/>
            <w:tcBorders>
              <w:right w:val="single" w:color="auto" w:sz="4" w:space="0"/>
            </w:tcBorders>
            <w:vAlign w:val="center"/>
          </w:tcPr>
          <w:p w14:paraId="569CEB2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p>
        </w:tc>
        <w:tc>
          <w:tcPr>
            <w:tcW w:w="635" w:type="pct"/>
            <w:tcBorders>
              <w:left w:val="single" w:color="auto" w:sz="4" w:space="0"/>
            </w:tcBorders>
            <w:vAlign w:val="center"/>
          </w:tcPr>
          <w:p w14:paraId="5CF65A2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0.0144</w:t>
            </w:r>
          </w:p>
        </w:tc>
        <w:tc>
          <w:tcPr>
            <w:tcW w:w="420" w:type="pct"/>
            <w:vAlign w:val="center"/>
          </w:tcPr>
          <w:p w14:paraId="71ECCD2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DF66E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13DCE69E">
            <w:pPr>
              <w:pStyle w:val="210"/>
              <w:rPr>
                <w:rFonts w:hint="eastAsia"/>
                <w:color w:val="000000" w:themeColor="text1"/>
                <w:lang w:val="zh-CN"/>
                <w14:textFill>
                  <w14:solidFill>
                    <w14:schemeClr w14:val="tx1"/>
                  </w14:solidFill>
                </w14:textFill>
              </w:rPr>
            </w:pPr>
          </w:p>
        </w:tc>
        <w:tc>
          <w:tcPr>
            <w:tcW w:w="634" w:type="pct"/>
            <w:vAlign w:val="center"/>
          </w:tcPr>
          <w:p w14:paraId="1C87F75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铬</w:t>
            </w:r>
          </w:p>
        </w:tc>
        <w:tc>
          <w:tcPr>
            <w:tcW w:w="473" w:type="pct"/>
            <w:tcBorders>
              <w:right w:val="single" w:color="auto" w:sz="4" w:space="0"/>
            </w:tcBorders>
            <w:vAlign w:val="center"/>
          </w:tcPr>
          <w:p w14:paraId="2728AA6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.5L</w:t>
            </w:r>
          </w:p>
        </w:tc>
        <w:tc>
          <w:tcPr>
            <w:tcW w:w="637" w:type="pct"/>
            <w:tcBorders>
              <w:left w:val="single" w:color="auto" w:sz="4" w:space="0"/>
            </w:tcBorders>
            <w:vAlign w:val="center"/>
          </w:tcPr>
          <w:p w14:paraId="5E1F386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4" w:type="pct"/>
            <w:tcBorders>
              <w:right w:val="single" w:color="auto" w:sz="4" w:space="0"/>
            </w:tcBorders>
            <w:vAlign w:val="center"/>
          </w:tcPr>
          <w:p w14:paraId="6EC34CE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.5L</w:t>
            </w:r>
          </w:p>
        </w:tc>
        <w:tc>
          <w:tcPr>
            <w:tcW w:w="635" w:type="pct"/>
            <w:tcBorders>
              <w:left w:val="single" w:color="auto" w:sz="4" w:space="0"/>
            </w:tcBorders>
            <w:vAlign w:val="center"/>
          </w:tcPr>
          <w:p w14:paraId="5569844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54" w:type="pct"/>
            <w:tcBorders>
              <w:right w:val="single" w:color="auto" w:sz="4" w:space="0"/>
            </w:tcBorders>
            <w:vAlign w:val="center"/>
          </w:tcPr>
          <w:p w14:paraId="4C0422C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.5L</w:t>
            </w:r>
          </w:p>
        </w:tc>
        <w:tc>
          <w:tcPr>
            <w:tcW w:w="635" w:type="pct"/>
            <w:tcBorders>
              <w:left w:val="single" w:color="auto" w:sz="4" w:space="0"/>
            </w:tcBorders>
            <w:vAlign w:val="center"/>
          </w:tcPr>
          <w:p w14:paraId="55B82D9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20" w:type="pct"/>
            <w:vAlign w:val="center"/>
          </w:tcPr>
          <w:p w14:paraId="15B93A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BBC68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71F839C5">
            <w:pPr>
              <w:pStyle w:val="210"/>
              <w:rPr>
                <w:rFonts w:hint="eastAsia"/>
                <w:color w:val="000000" w:themeColor="text1"/>
                <w:lang w:val="zh-CN"/>
                <w14:textFill>
                  <w14:solidFill>
                    <w14:schemeClr w14:val="tx1"/>
                  </w14:solidFill>
                </w14:textFill>
              </w:rPr>
            </w:pPr>
          </w:p>
        </w:tc>
        <w:tc>
          <w:tcPr>
            <w:tcW w:w="634" w:type="pct"/>
            <w:vAlign w:val="center"/>
          </w:tcPr>
          <w:p w14:paraId="5ACD2E7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73" w:type="pct"/>
            <w:tcBorders>
              <w:right w:val="single" w:color="auto" w:sz="4" w:space="0"/>
            </w:tcBorders>
            <w:vAlign w:val="center"/>
          </w:tcPr>
          <w:p w14:paraId="0C7CFE8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4</w:t>
            </w:r>
          </w:p>
        </w:tc>
        <w:tc>
          <w:tcPr>
            <w:tcW w:w="637" w:type="pct"/>
            <w:tcBorders>
              <w:left w:val="single" w:color="auto" w:sz="4" w:space="0"/>
            </w:tcBorders>
            <w:vAlign w:val="center"/>
          </w:tcPr>
          <w:p w14:paraId="323D2C5A">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0.0013</w:t>
            </w:r>
          </w:p>
        </w:tc>
        <w:tc>
          <w:tcPr>
            <w:tcW w:w="634" w:type="pct"/>
            <w:tcBorders>
              <w:right w:val="single" w:color="auto" w:sz="4" w:space="0"/>
            </w:tcBorders>
            <w:vAlign w:val="center"/>
          </w:tcPr>
          <w:p w14:paraId="6FDB521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635" w:type="pct"/>
            <w:tcBorders>
              <w:left w:val="single" w:color="auto" w:sz="4" w:space="0"/>
            </w:tcBorders>
            <w:vAlign w:val="center"/>
          </w:tcPr>
          <w:p w14:paraId="4BE8E438">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0.0014</w:t>
            </w:r>
          </w:p>
        </w:tc>
        <w:tc>
          <w:tcPr>
            <w:tcW w:w="554" w:type="pct"/>
            <w:tcBorders>
              <w:right w:val="single" w:color="auto" w:sz="4" w:space="0"/>
            </w:tcBorders>
            <w:vAlign w:val="center"/>
          </w:tcPr>
          <w:p w14:paraId="408804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635" w:type="pct"/>
            <w:tcBorders>
              <w:left w:val="single" w:color="auto" w:sz="4" w:space="0"/>
            </w:tcBorders>
            <w:vAlign w:val="center"/>
          </w:tcPr>
          <w:p w14:paraId="3D11FF0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0.0014</w:t>
            </w:r>
          </w:p>
        </w:tc>
        <w:tc>
          <w:tcPr>
            <w:tcW w:w="420" w:type="pct"/>
            <w:vAlign w:val="center"/>
          </w:tcPr>
          <w:p w14:paraId="7672C35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D339D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75FDE6B2">
            <w:pPr>
              <w:pStyle w:val="210"/>
              <w:rPr>
                <w:rFonts w:hint="eastAsia"/>
                <w:color w:val="000000" w:themeColor="text1"/>
                <w:lang w:val="zh-CN"/>
                <w14:textFill>
                  <w14:solidFill>
                    <w14:schemeClr w14:val="tx1"/>
                  </w14:solidFill>
                </w14:textFill>
              </w:rPr>
            </w:pPr>
          </w:p>
        </w:tc>
        <w:tc>
          <w:tcPr>
            <w:tcW w:w="634" w:type="pct"/>
            <w:vAlign w:val="center"/>
          </w:tcPr>
          <w:p w14:paraId="28882C1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73" w:type="pct"/>
            <w:tcBorders>
              <w:right w:val="single" w:color="auto" w:sz="4" w:space="0"/>
            </w:tcBorders>
            <w:vAlign w:val="center"/>
          </w:tcPr>
          <w:p w14:paraId="0B10E1F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3</w:t>
            </w:r>
          </w:p>
        </w:tc>
        <w:tc>
          <w:tcPr>
            <w:tcW w:w="637" w:type="pct"/>
            <w:tcBorders>
              <w:left w:val="single" w:color="auto" w:sz="4" w:space="0"/>
            </w:tcBorders>
            <w:vAlign w:val="center"/>
          </w:tcPr>
          <w:p w14:paraId="21B8EE76">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0.0413</w:t>
            </w:r>
          </w:p>
        </w:tc>
        <w:tc>
          <w:tcPr>
            <w:tcW w:w="634" w:type="pct"/>
            <w:tcBorders>
              <w:right w:val="single" w:color="auto" w:sz="4" w:space="0"/>
            </w:tcBorders>
            <w:vAlign w:val="center"/>
          </w:tcPr>
          <w:p w14:paraId="4EA0ED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4</w:t>
            </w:r>
          </w:p>
        </w:tc>
        <w:tc>
          <w:tcPr>
            <w:tcW w:w="635" w:type="pct"/>
            <w:tcBorders>
              <w:left w:val="single" w:color="auto" w:sz="4" w:space="0"/>
            </w:tcBorders>
            <w:vAlign w:val="center"/>
          </w:tcPr>
          <w:p w14:paraId="0ECE94A8">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0.0425</w:t>
            </w:r>
          </w:p>
        </w:tc>
        <w:tc>
          <w:tcPr>
            <w:tcW w:w="554" w:type="pct"/>
            <w:tcBorders>
              <w:right w:val="single" w:color="auto" w:sz="4" w:space="0"/>
            </w:tcBorders>
            <w:vAlign w:val="center"/>
          </w:tcPr>
          <w:p w14:paraId="2629AEB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6</w:t>
            </w:r>
          </w:p>
        </w:tc>
        <w:tc>
          <w:tcPr>
            <w:tcW w:w="635" w:type="pct"/>
            <w:tcBorders>
              <w:left w:val="single" w:color="auto" w:sz="4" w:space="0"/>
            </w:tcBorders>
            <w:vAlign w:val="center"/>
          </w:tcPr>
          <w:p w14:paraId="281FCF5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0.0325</w:t>
            </w:r>
          </w:p>
        </w:tc>
        <w:tc>
          <w:tcPr>
            <w:tcW w:w="420" w:type="pct"/>
            <w:vAlign w:val="center"/>
          </w:tcPr>
          <w:p w14:paraId="6760F2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9E45E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10365504">
            <w:pPr>
              <w:pStyle w:val="210"/>
              <w:rPr>
                <w:rFonts w:hint="eastAsia"/>
                <w:color w:val="000000" w:themeColor="text1"/>
                <w:lang w:val="zh-CN"/>
                <w14:textFill>
                  <w14:solidFill>
                    <w14:schemeClr w14:val="tx1"/>
                  </w14:solidFill>
                </w14:textFill>
              </w:rPr>
            </w:pPr>
          </w:p>
        </w:tc>
        <w:tc>
          <w:tcPr>
            <w:tcW w:w="634" w:type="pct"/>
            <w:vAlign w:val="center"/>
          </w:tcPr>
          <w:p w14:paraId="0F6844A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73" w:type="pct"/>
            <w:tcBorders>
              <w:right w:val="single" w:color="auto" w:sz="4" w:space="0"/>
            </w:tcBorders>
            <w:vAlign w:val="center"/>
          </w:tcPr>
          <w:p w14:paraId="2E1DCDF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.062</w:t>
            </w:r>
          </w:p>
        </w:tc>
        <w:tc>
          <w:tcPr>
            <w:tcW w:w="637" w:type="pct"/>
            <w:tcBorders>
              <w:left w:val="single" w:color="auto" w:sz="4" w:space="0"/>
            </w:tcBorders>
            <w:vAlign w:val="center"/>
          </w:tcPr>
          <w:p w14:paraId="4872A79D">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0.0016</w:t>
            </w:r>
          </w:p>
        </w:tc>
        <w:tc>
          <w:tcPr>
            <w:tcW w:w="634" w:type="pct"/>
            <w:tcBorders>
              <w:right w:val="single" w:color="auto" w:sz="4" w:space="0"/>
            </w:tcBorders>
            <w:vAlign w:val="center"/>
          </w:tcPr>
          <w:p w14:paraId="7194FEA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.062</w:t>
            </w:r>
          </w:p>
        </w:tc>
        <w:tc>
          <w:tcPr>
            <w:tcW w:w="635" w:type="pct"/>
            <w:tcBorders>
              <w:left w:val="single" w:color="auto" w:sz="4" w:space="0"/>
            </w:tcBorders>
            <w:vAlign w:val="center"/>
          </w:tcPr>
          <w:p w14:paraId="7BFB78C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0.0016</w:t>
            </w:r>
          </w:p>
        </w:tc>
        <w:tc>
          <w:tcPr>
            <w:tcW w:w="554" w:type="pct"/>
            <w:tcBorders>
              <w:right w:val="single" w:color="auto" w:sz="4" w:space="0"/>
            </w:tcBorders>
            <w:vAlign w:val="center"/>
          </w:tcPr>
          <w:p w14:paraId="7956732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.058</w:t>
            </w:r>
          </w:p>
        </w:tc>
        <w:tc>
          <w:tcPr>
            <w:tcW w:w="635" w:type="pct"/>
            <w:tcBorders>
              <w:left w:val="single" w:color="auto" w:sz="4" w:space="0"/>
            </w:tcBorders>
            <w:vAlign w:val="center"/>
          </w:tcPr>
          <w:p w14:paraId="048C131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0.0015</w:t>
            </w:r>
          </w:p>
        </w:tc>
        <w:tc>
          <w:tcPr>
            <w:tcW w:w="420" w:type="pct"/>
            <w:vAlign w:val="center"/>
          </w:tcPr>
          <w:p w14:paraId="0CC5C35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8A5B6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68F77EC4">
            <w:pPr>
              <w:pStyle w:val="210"/>
              <w:rPr>
                <w:rFonts w:hint="eastAsia"/>
                <w:color w:val="000000" w:themeColor="text1"/>
                <w:lang w:val="zh-CN"/>
                <w14:textFill>
                  <w14:solidFill>
                    <w14:schemeClr w14:val="tx1"/>
                  </w14:solidFill>
                </w14:textFill>
              </w:rPr>
            </w:pPr>
          </w:p>
        </w:tc>
        <w:tc>
          <w:tcPr>
            <w:tcW w:w="634" w:type="pct"/>
            <w:vAlign w:val="center"/>
          </w:tcPr>
          <w:p w14:paraId="79C711B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73" w:type="pct"/>
            <w:tcBorders>
              <w:right w:val="single" w:color="auto" w:sz="4" w:space="0"/>
            </w:tcBorders>
            <w:vAlign w:val="center"/>
          </w:tcPr>
          <w:p w14:paraId="64FEDA7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.13</w:t>
            </w:r>
          </w:p>
        </w:tc>
        <w:tc>
          <w:tcPr>
            <w:tcW w:w="637" w:type="pct"/>
            <w:tcBorders>
              <w:left w:val="single" w:color="auto" w:sz="4" w:space="0"/>
            </w:tcBorders>
            <w:vAlign w:val="center"/>
          </w:tcPr>
          <w:p w14:paraId="200FEA5D">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0.1022</w:t>
            </w:r>
          </w:p>
        </w:tc>
        <w:tc>
          <w:tcPr>
            <w:tcW w:w="634" w:type="pct"/>
            <w:tcBorders>
              <w:right w:val="single" w:color="auto" w:sz="4" w:space="0"/>
            </w:tcBorders>
            <w:vAlign w:val="center"/>
          </w:tcPr>
          <w:p w14:paraId="1D9EB1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.22</w:t>
            </w:r>
          </w:p>
        </w:tc>
        <w:tc>
          <w:tcPr>
            <w:tcW w:w="635" w:type="pct"/>
            <w:tcBorders>
              <w:left w:val="single" w:color="auto" w:sz="4" w:space="0"/>
            </w:tcBorders>
            <w:vAlign w:val="center"/>
          </w:tcPr>
          <w:p w14:paraId="6BFFD872">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0.1037</w:t>
            </w:r>
          </w:p>
        </w:tc>
        <w:tc>
          <w:tcPr>
            <w:tcW w:w="554" w:type="pct"/>
            <w:tcBorders>
              <w:right w:val="single" w:color="auto" w:sz="4" w:space="0"/>
            </w:tcBorders>
            <w:vAlign w:val="center"/>
          </w:tcPr>
          <w:p w14:paraId="511F8A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.22</w:t>
            </w:r>
          </w:p>
        </w:tc>
        <w:tc>
          <w:tcPr>
            <w:tcW w:w="635" w:type="pct"/>
            <w:tcBorders>
              <w:left w:val="single" w:color="auto" w:sz="4" w:space="0"/>
            </w:tcBorders>
            <w:vAlign w:val="center"/>
          </w:tcPr>
          <w:p w14:paraId="42019E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0.1037</w:t>
            </w:r>
          </w:p>
        </w:tc>
        <w:tc>
          <w:tcPr>
            <w:tcW w:w="420" w:type="pct"/>
            <w:vAlign w:val="center"/>
          </w:tcPr>
          <w:p w14:paraId="531CF31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24012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restart"/>
            <w:vAlign w:val="center"/>
          </w:tcPr>
          <w:p w14:paraId="2849F459">
            <w:pPr>
              <w:pStyle w:val="210"/>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S</w:t>
            </w:r>
            <w:r>
              <w:rPr>
                <w:color w:val="000000" w:themeColor="text1"/>
                <w:lang w:val="zh-CN"/>
                <w14:textFill>
                  <w14:solidFill>
                    <w14:schemeClr w14:val="tx1"/>
                  </w14:solidFill>
                </w14:textFill>
              </w:rPr>
              <w:t>2</w:t>
            </w:r>
          </w:p>
        </w:tc>
        <w:tc>
          <w:tcPr>
            <w:tcW w:w="634" w:type="pct"/>
            <w:vAlign w:val="center"/>
          </w:tcPr>
          <w:p w14:paraId="382FCFAD">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pH</w:t>
            </w:r>
          </w:p>
        </w:tc>
        <w:tc>
          <w:tcPr>
            <w:tcW w:w="473" w:type="pct"/>
            <w:tcBorders>
              <w:right w:val="single" w:color="auto" w:sz="4" w:space="0"/>
            </w:tcBorders>
            <w:vAlign w:val="center"/>
          </w:tcPr>
          <w:p w14:paraId="1D3EF56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9</w:t>
            </w:r>
          </w:p>
        </w:tc>
        <w:tc>
          <w:tcPr>
            <w:tcW w:w="637" w:type="pct"/>
            <w:tcBorders>
              <w:left w:val="single" w:color="auto" w:sz="4" w:space="0"/>
            </w:tcBorders>
            <w:vAlign w:val="center"/>
          </w:tcPr>
          <w:p w14:paraId="1359CDF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4" w:type="pct"/>
            <w:tcBorders>
              <w:right w:val="single" w:color="auto" w:sz="4" w:space="0"/>
            </w:tcBorders>
            <w:vAlign w:val="center"/>
          </w:tcPr>
          <w:p w14:paraId="773FF44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.54</w:t>
            </w:r>
          </w:p>
        </w:tc>
        <w:tc>
          <w:tcPr>
            <w:tcW w:w="635" w:type="pct"/>
            <w:tcBorders>
              <w:left w:val="single" w:color="auto" w:sz="4" w:space="0"/>
            </w:tcBorders>
            <w:vAlign w:val="center"/>
          </w:tcPr>
          <w:p w14:paraId="6B8BC07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54" w:type="pct"/>
            <w:tcBorders>
              <w:right w:val="single" w:color="auto" w:sz="4" w:space="0"/>
            </w:tcBorders>
            <w:vAlign w:val="center"/>
          </w:tcPr>
          <w:p w14:paraId="6B64036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.62</w:t>
            </w:r>
          </w:p>
        </w:tc>
        <w:tc>
          <w:tcPr>
            <w:tcW w:w="635" w:type="pct"/>
            <w:tcBorders>
              <w:left w:val="single" w:color="auto" w:sz="4" w:space="0"/>
            </w:tcBorders>
            <w:vAlign w:val="center"/>
          </w:tcPr>
          <w:p w14:paraId="76E4573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20" w:type="pct"/>
            <w:vAlign w:val="center"/>
          </w:tcPr>
          <w:p w14:paraId="30F2EB7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4A136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1F0992F9">
            <w:pPr>
              <w:pStyle w:val="210"/>
              <w:rPr>
                <w:rFonts w:hint="eastAsia"/>
                <w:color w:val="000000" w:themeColor="text1"/>
                <w:lang w:val="zh-CN"/>
                <w14:textFill>
                  <w14:solidFill>
                    <w14:schemeClr w14:val="tx1"/>
                  </w14:solidFill>
                </w14:textFill>
              </w:rPr>
            </w:pPr>
          </w:p>
        </w:tc>
        <w:tc>
          <w:tcPr>
            <w:tcW w:w="634" w:type="pct"/>
            <w:vAlign w:val="center"/>
          </w:tcPr>
          <w:p w14:paraId="4D580D08">
            <w:pPr>
              <w:pStyle w:val="210"/>
              <w:rPr>
                <w:rFonts w:hint="eastAsia"/>
                <w:color w:val="000000" w:themeColor="text1"/>
                <w:szCs w:val="21"/>
                <w14:textFill>
                  <w14:solidFill>
                    <w14:schemeClr w14:val="tx1"/>
                  </w14:solidFill>
                </w14:textFill>
              </w:rPr>
            </w:pPr>
            <w:r>
              <w:rPr>
                <w:rFonts w:hint="eastAsia"/>
                <w:color w:val="000000" w:themeColor="text1"/>
                <w14:textFill>
                  <w14:solidFill>
                    <w14:schemeClr w14:val="tx1"/>
                  </w14:solidFill>
                </w14:textFill>
              </w:rPr>
              <w:t>石油烃（</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40</w:t>
            </w:r>
            <w:r>
              <w:rPr>
                <w:rFonts w:hint="eastAsia"/>
                <w:color w:val="000000" w:themeColor="text1"/>
                <w:vertAlign w:val="subscript"/>
                <w14:textFill>
                  <w14:solidFill>
                    <w14:schemeClr w14:val="tx1"/>
                  </w14:solidFill>
                </w14:textFill>
              </w:rPr>
              <w:t>）</w:t>
            </w:r>
          </w:p>
        </w:tc>
        <w:tc>
          <w:tcPr>
            <w:tcW w:w="473" w:type="pct"/>
            <w:tcBorders>
              <w:right w:val="single" w:color="auto" w:sz="4" w:space="0"/>
            </w:tcBorders>
            <w:vAlign w:val="center"/>
          </w:tcPr>
          <w:p w14:paraId="45F8DD0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4</w:t>
            </w:r>
          </w:p>
        </w:tc>
        <w:tc>
          <w:tcPr>
            <w:tcW w:w="637" w:type="pct"/>
            <w:tcBorders>
              <w:left w:val="single" w:color="auto" w:sz="4" w:space="0"/>
            </w:tcBorders>
            <w:vAlign w:val="center"/>
          </w:tcPr>
          <w:p w14:paraId="7744F9D6">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0.0098</w:t>
            </w:r>
          </w:p>
        </w:tc>
        <w:tc>
          <w:tcPr>
            <w:tcW w:w="634" w:type="pct"/>
            <w:tcBorders>
              <w:right w:val="single" w:color="auto" w:sz="4" w:space="0"/>
            </w:tcBorders>
            <w:vAlign w:val="center"/>
          </w:tcPr>
          <w:p w14:paraId="2C3176D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p>
        </w:tc>
        <w:tc>
          <w:tcPr>
            <w:tcW w:w="635" w:type="pct"/>
            <w:tcBorders>
              <w:left w:val="single" w:color="auto" w:sz="4" w:space="0"/>
            </w:tcBorders>
            <w:vAlign w:val="center"/>
          </w:tcPr>
          <w:p w14:paraId="00A8BF6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0.0033</w:t>
            </w:r>
          </w:p>
        </w:tc>
        <w:tc>
          <w:tcPr>
            <w:tcW w:w="554" w:type="pct"/>
            <w:tcBorders>
              <w:right w:val="single" w:color="auto" w:sz="4" w:space="0"/>
            </w:tcBorders>
            <w:vAlign w:val="center"/>
          </w:tcPr>
          <w:p w14:paraId="64C33C6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c>
          <w:tcPr>
            <w:tcW w:w="635" w:type="pct"/>
            <w:tcBorders>
              <w:left w:val="single" w:color="auto" w:sz="4" w:space="0"/>
            </w:tcBorders>
            <w:vAlign w:val="center"/>
          </w:tcPr>
          <w:p w14:paraId="30F092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0.0022</w:t>
            </w:r>
          </w:p>
        </w:tc>
        <w:tc>
          <w:tcPr>
            <w:tcW w:w="420" w:type="pct"/>
            <w:vAlign w:val="center"/>
          </w:tcPr>
          <w:p w14:paraId="183A036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857D1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37AFBDF1">
            <w:pPr>
              <w:pStyle w:val="210"/>
              <w:rPr>
                <w:rFonts w:hint="eastAsia"/>
                <w:color w:val="000000" w:themeColor="text1"/>
                <w:lang w:val="zh-CN"/>
                <w14:textFill>
                  <w14:solidFill>
                    <w14:schemeClr w14:val="tx1"/>
                  </w14:solidFill>
                </w14:textFill>
              </w:rPr>
            </w:pPr>
          </w:p>
        </w:tc>
        <w:tc>
          <w:tcPr>
            <w:tcW w:w="634" w:type="pct"/>
            <w:vAlign w:val="center"/>
          </w:tcPr>
          <w:p w14:paraId="6C16A1D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73" w:type="pct"/>
            <w:tcBorders>
              <w:right w:val="single" w:color="auto" w:sz="4" w:space="0"/>
            </w:tcBorders>
            <w:vAlign w:val="center"/>
          </w:tcPr>
          <w:p w14:paraId="3B4A8B8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.06</w:t>
            </w:r>
          </w:p>
        </w:tc>
        <w:tc>
          <w:tcPr>
            <w:tcW w:w="637" w:type="pct"/>
            <w:tcBorders>
              <w:left w:val="single" w:color="auto" w:sz="4" w:space="0"/>
            </w:tcBorders>
            <w:vAlign w:val="center"/>
          </w:tcPr>
          <w:p w14:paraId="35D82B63">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0.0009</w:t>
            </w:r>
          </w:p>
        </w:tc>
        <w:tc>
          <w:tcPr>
            <w:tcW w:w="634" w:type="pct"/>
            <w:tcBorders>
              <w:right w:val="single" w:color="auto" w:sz="4" w:space="0"/>
            </w:tcBorders>
            <w:vAlign w:val="center"/>
          </w:tcPr>
          <w:p w14:paraId="4105514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c>
          <w:tcPr>
            <w:tcW w:w="635" w:type="pct"/>
            <w:tcBorders>
              <w:left w:val="single" w:color="auto" w:sz="4" w:space="0"/>
            </w:tcBorders>
            <w:vAlign w:val="center"/>
          </w:tcPr>
          <w:p w14:paraId="040BE23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0.0008</w:t>
            </w:r>
          </w:p>
        </w:tc>
        <w:tc>
          <w:tcPr>
            <w:tcW w:w="554" w:type="pct"/>
            <w:tcBorders>
              <w:right w:val="single" w:color="auto" w:sz="4" w:space="0"/>
            </w:tcBorders>
            <w:vAlign w:val="center"/>
          </w:tcPr>
          <w:p w14:paraId="56F3290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c>
          <w:tcPr>
            <w:tcW w:w="635" w:type="pct"/>
            <w:tcBorders>
              <w:left w:val="single" w:color="auto" w:sz="4" w:space="0"/>
            </w:tcBorders>
            <w:vAlign w:val="center"/>
          </w:tcPr>
          <w:p w14:paraId="49790C5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0.0008</w:t>
            </w:r>
          </w:p>
        </w:tc>
        <w:tc>
          <w:tcPr>
            <w:tcW w:w="420" w:type="pct"/>
            <w:vAlign w:val="center"/>
          </w:tcPr>
          <w:p w14:paraId="43DA4A0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2AB4A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4C11DF76">
            <w:pPr>
              <w:pStyle w:val="210"/>
              <w:rPr>
                <w:rFonts w:hint="eastAsia"/>
                <w:color w:val="000000" w:themeColor="text1"/>
                <w:lang w:val="zh-CN"/>
                <w14:textFill>
                  <w14:solidFill>
                    <w14:schemeClr w14:val="tx1"/>
                  </w14:solidFill>
                </w14:textFill>
              </w:rPr>
            </w:pPr>
          </w:p>
        </w:tc>
        <w:tc>
          <w:tcPr>
            <w:tcW w:w="634" w:type="pct"/>
            <w:vAlign w:val="center"/>
          </w:tcPr>
          <w:p w14:paraId="64B680C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73" w:type="pct"/>
            <w:tcBorders>
              <w:right w:val="single" w:color="auto" w:sz="4" w:space="0"/>
            </w:tcBorders>
            <w:vAlign w:val="center"/>
          </w:tcPr>
          <w:p w14:paraId="4876C3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w:t>
            </w:r>
          </w:p>
        </w:tc>
        <w:tc>
          <w:tcPr>
            <w:tcW w:w="637" w:type="pct"/>
            <w:tcBorders>
              <w:left w:val="single" w:color="auto" w:sz="4" w:space="0"/>
            </w:tcBorders>
            <w:vAlign w:val="center"/>
          </w:tcPr>
          <w:p w14:paraId="0F2F7AF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0.0156</w:t>
            </w:r>
          </w:p>
        </w:tc>
        <w:tc>
          <w:tcPr>
            <w:tcW w:w="634" w:type="pct"/>
            <w:tcBorders>
              <w:right w:val="single" w:color="auto" w:sz="4" w:space="0"/>
            </w:tcBorders>
            <w:vAlign w:val="center"/>
          </w:tcPr>
          <w:p w14:paraId="2B8CA08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w:t>
            </w:r>
          </w:p>
        </w:tc>
        <w:tc>
          <w:tcPr>
            <w:tcW w:w="635" w:type="pct"/>
            <w:tcBorders>
              <w:left w:val="single" w:color="auto" w:sz="4" w:space="0"/>
            </w:tcBorders>
            <w:vAlign w:val="center"/>
          </w:tcPr>
          <w:p w14:paraId="4CF75C98">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0.0133</w:t>
            </w:r>
          </w:p>
        </w:tc>
        <w:tc>
          <w:tcPr>
            <w:tcW w:w="554" w:type="pct"/>
            <w:tcBorders>
              <w:right w:val="single" w:color="auto" w:sz="4" w:space="0"/>
            </w:tcBorders>
            <w:vAlign w:val="center"/>
          </w:tcPr>
          <w:p w14:paraId="48A80F3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p>
        </w:tc>
        <w:tc>
          <w:tcPr>
            <w:tcW w:w="635" w:type="pct"/>
            <w:tcBorders>
              <w:left w:val="single" w:color="auto" w:sz="4" w:space="0"/>
            </w:tcBorders>
            <w:vAlign w:val="center"/>
          </w:tcPr>
          <w:p w14:paraId="725D265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0.0144</w:t>
            </w:r>
          </w:p>
        </w:tc>
        <w:tc>
          <w:tcPr>
            <w:tcW w:w="420" w:type="pct"/>
            <w:vAlign w:val="center"/>
          </w:tcPr>
          <w:p w14:paraId="7A95DF7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7ACE5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60662676">
            <w:pPr>
              <w:pStyle w:val="210"/>
              <w:rPr>
                <w:rFonts w:hint="eastAsia"/>
                <w:color w:val="000000" w:themeColor="text1"/>
                <w:lang w:val="zh-CN"/>
                <w14:textFill>
                  <w14:solidFill>
                    <w14:schemeClr w14:val="tx1"/>
                  </w14:solidFill>
                </w14:textFill>
              </w:rPr>
            </w:pPr>
          </w:p>
        </w:tc>
        <w:tc>
          <w:tcPr>
            <w:tcW w:w="634" w:type="pct"/>
            <w:vAlign w:val="center"/>
          </w:tcPr>
          <w:p w14:paraId="49DE57D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铬</w:t>
            </w:r>
          </w:p>
        </w:tc>
        <w:tc>
          <w:tcPr>
            <w:tcW w:w="473" w:type="pct"/>
            <w:tcBorders>
              <w:right w:val="single" w:color="auto" w:sz="4" w:space="0"/>
            </w:tcBorders>
            <w:vAlign w:val="center"/>
          </w:tcPr>
          <w:p w14:paraId="71DC4D7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.5L</w:t>
            </w:r>
          </w:p>
        </w:tc>
        <w:tc>
          <w:tcPr>
            <w:tcW w:w="637" w:type="pct"/>
            <w:tcBorders>
              <w:left w:val="single" w:color="auto" w:sz="4" w:space="0"/>
            </w:tcBorders>
            <w:vAlign w:val="center"/>
          </w:tcPr>
          <w:p w14:paraId="2B95765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4" w:type="pct"/>
            <w:tcBorders>
              <w:right w:val="single" w:color="auto" w:sz="4" w:space="0"/>
            </w:tcBorders>
            <w:vAlign w:val="center"/>
          </w:tcPr>
          <w:p w14:paraId="1FEA082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.5L</w:t>
            </w:r>
          </w:p>
        </w:tc>
        <w:tc>
          <w:tcPr>
            <w:tcW w:w="635" w:type="pct"/>
            <w:tcBorders>
              <w:left w:val="single" w:color="auto" w:sz="4" w:space="0"/>
            </w:tcBorders>
            <w:vAlign w:val="center"/>
          </w:tcPr>
          <w:p w14:paraId="70488A0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54" w:type="pct"/>
            <w:tcBorders>
              <w:right w:val="single" w:color="auto" w:sz="4" w:space="0"/>
            </w:tcBorders>
            <w:vAlign w:val="center"/>
          </w:tcPr>
          <w:p w14:paraId="29E3122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.5L</w:t>
            </w:r>
          </w:p>
        </w:tc>
        <w:tc>
          <w:tcPr>
            <w:tcW w:w="635" w:type="pct"/>
            <w:tcBorders>
              <w:left w:val="single" w:color="auto" w:sz="4" w:space="0"/>
            </w:tcBorders>
            <w:vAlign w:val="center"/>
          </w:tcPr>
          <w:p w14:paraId="073CD25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20" w:type="pct"/>
            <w:vAlign w:val="center"/>
          </w:tcPr>
          <w:p w14:paraId="435D26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1B491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6EDE6E63">
            <w:pPr>
              <w:pStyle w:val="210"/>
              <w:rPr>
                <w:rFonts w:hint="eastAsia"/>
                <w:color w:val="000000" w:themeColor="text1"/>
                <w:lang w:val="zh-CN"/>
                <w14:textFill>
                  <w14:solidFill>
                    <w14:schemeClr w14:val="tx1"/>
                  </w14:solidFill>
                </w14:textFill>
              </w:rPr>
            </w:pPr>
          </w:p>
        </w:tc>
        <w:tc>
          <w:tcPr>
            <w:tcW w:w="634" w:type="pct"/>
            <w:vAlign w:val="center"/>
          </w:tcPr>
          <w:p w14:paraId="663DB88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73" w:type="pct"/>
            <w:tcBorders>
              <w:right w:val="single" w:color="auto" w:sz="4" w:space="0"/>
            </w:tcBorders>
            <w:vAlign w:val="center"/>
          </w:tcPr>
          <w:p w14:paraId="68DD41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637" w:type="pct"/>
            <w:tcBorders>
              <w:left w:val="single" w:color="auto" w:sz="4" w:space="0"/>
            </w:tcBorders>
            <w:vAlign w:val="center"/>
          </w:tcPr>
          <w:p w14:paraId="0B1D1A28">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0.0014</w:t>
            </w:r>
          </w:p>
        </w:tc>
        <w:tc>
          <w:tcPr>
            <w:tcW w:w="634" w:type="pct"/>
            <w:tcBorders>
              <w:right w:val="single" w:color="auto" w:sz="4" w:space="0"/>
            </w:tcBorders>
            <w:vAlign w:val="center"/>
          </w:tcPr>
          <w:p w14:paraId="7681253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3</w:t>
            </w:r>
          </w:p>
        </w:tc>
        <w:tc>
          <w:tcPr>
            <w:tcW w:w="635" w:type="pct"/>
            <w:tcBorders>
              <w:left w:val="single" w:color="auto" w:sz="4" w:space="0"/>
            </w:tcBorders>
            <w:vAlign w:val="center"/>
          </w:tcPr>
          <w:p w14:paraId="537D305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0.0013</w:t>
            </w:r>
          </w:p>
        </w:tc>
        <w:tc>
          <w:tcPr>
            <w:tcW w:w="554" w:type="pct"/>
            <w:tcBorders>
              <w:right w:val="single" w:color="auto" w:sz="4" w:space="0"/>
            </w:tcBorders>
            <w:vAlign w:val="center"/>
          </w:tcPr>
          <w:p w14:paraId="04B3EAD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635" w:type="pct"/>
            <w:tcBorders>
              <w:left w:val="single" w:color="auto" w:sz="4" w:space="0"/>
            </w:tcBorders>
            <w:vAlign w:val="center"/>
          </w:tcPr>
          <w:p w14:paraId="054542A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0.0014</w:t>
            </w:r>
          </w:p>
        </w:tc>
        <w:tc>
          <w:tcPr>
            <w:tcW w:w="420" w:type="pct"/>
            <w:vAlign w:val="center"/>
          </w:tcPr>
          <w:p w14:paraId="4D19CC0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64C26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3748DDA7">
            <w:pPr>
              <w:pStyle w:val="210"/>
              <w:rPr>
                <w:rFonts w:hint="eastAsia"/>
                <w:color w:val="000000" w:themeColor="text1"/>
                <w:lang w:val="zh-CN"/>
                <w14:textFill>
                  <w14:solidFill>
                    <w14:schemeClr w14:val="tx1"/>
                  </w14:solidFill>
                </w14:textFill>
              </w:rPr>
            </w:pPr>
          </w:p>
        </w:tc>
        <w:tc>
          <w:tcPr>
            <w:tcW w:w="634" w:type="pct"/>
            <w:vAlign w:val="center"/>
          </w:tcPr>
          <w:p w14:paraId="016C143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73" w:type="pct"/>
            <w:tcBorders>
              <w:right w:val="single" w:color="auto" w:sz="4" w:space="0"/>
            </w:tcBorders>
            <w:vAlign w:val="center"/>
          </w:tcPr>
          <w:p w14:paraId="2A50D6A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6</w:t>
            </w:r>
          </w:p>
        </w:tc>
        <w:tc>
          <w:tcPr>
            <w:tcW w:w="637" w:type="pct"/>
            <w:tcBorders>
              <w:left w:val="single" w:color="auto" w:sz="4" w:space="0"/>
            </w:tcBorders>
            <w:vAlign w:val="center"/>
          </w:tcPr>
          <w:p w14:paraId="7A46A4F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0.0450</w:t>
            </w:r>
          </w:p>
        </w:tc>
        <w:tc>
          <w:tcPr>
            <w:tcW w:w="634" w:type="pct"/>
            <w:tcBorders>
              <w:right w:val="single" w:color="auto" w:sz="4" w:space="0"/>
            </w:tcBorders>
            <w:vAlign w:val="center"/>
          </w:tcPr>
          <w:p w14:paraId="0334AD0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4</w:t>
            </w:r>
          </w:p>
        </w:tc>
        <w:tc>
          <w:tcPr>
            <w:tcW w:w="635" w:type="pct"/>
            <w:tcBorders>
              <w:left w:val="single" w:color="auto" w:sz="4" w:space="0"/>
            </w:tcBorders>
            <w:vAlign w:val="center"/>
          </w:tcPr>
          <w:p w14:paraId="16DFCF3A">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0.0425</w:t>
            </w:r>
          </w:p>
        </w:tc>
        <w:tc>
          <w:tcPr>
            <w:tcW w:w="554" w:type="pct"/>
            <w:tcBorders>
              <w:right w:val="single" w:color="auto" w:sz="4" w:space="0"/>
            </w:tcBorders>
            <w:vAlign w:val="center"/>
          </w:tcPr>
          <w:p w14:paraId="231D8F1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1</w:t>
            </w:r>
          </w:p>
        </w:tc>
        <w:tc>
          <w:tcPr>
            <w:tcW w:w="635" w:type="pct"/>
            <w:tcBorders>
              <w:left w:val="single" w:color="auto" w:sz="4" w:space="0"/>
            </w:tcBorders>
            <w:vAlign w:val="center"/>
          </w:tcPr>
          <w:p w14:paraId="4006ED2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0.0513</w:t>
            </w:r>
          </w:p>
        </w:tc>
        <w:tc>
          <w:tcPr>
            <w:tcW w:w="420" w:type="pct"/>
            <w:vAlign w:val="center"/>
          </w:tcPr>
          <w:p w14:paraId="64C4A07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6E34A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127B798D">
            <w:pPr>
              <w:pStyle w:val="210"/>
              <w:rPr>
                <w:rFonts w:hint="eastAsia"/>
                <w:color w:val="000000" w:themeColor="text1"/>
                <w:lang w:val="zh-CN"/>
                <w14:textFill>
                  <w14:solidFill>
                    <w14:schemeClr w14:val="tx1"/>
                  </w14:solidFill>
                </w14:textFill>
              </w:rPr>
            </w:pPr>
          </w:p>
        </w:tc>
        <w:tc>
          <w:tcPr>
            <w:tcW w:w="634" w:type="pct"/>
            <w:vAlign w:val="center"/>
          </w:tcPr>
          <w:p w14:paraId="25F2CF7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73" w:type="pct"/>
            <w:tcBorders>
              <w:right w:val="single" w:color="auto" w:sz="4" w:space="0"/>
            </w:tcBorders>
            <w:vAlign w:val="center"/>
          </w:tcPr>
          <w:p w14:paraId="6F0DFF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.055</w:t>
            </w:r>
          </w:p>
        </w:tc>
        <w:tc>
          <w:tcPr>
            <w:tcW w:w="637" w:type="pct"/>
            <w:tcBorders>
              <w:left w:val="single" w:color="auto" w:sz="4" w:space="0"/>
            </w:tcBorders>
            <w:vAlign w:val="center"/>
          </w:tcPr>
          <w:p w14:paraId="0718EB00">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0.0014</w:t>
            </w:r>
          </w:p>
        </w:tc>
        <w:tc>
          <w:tcPr>
            <w:tcW w:w="634" w:type="pct"/>
            <w:tcBorders>
              <w:right w:val="single" w:color="auto" w:sz="4" w:space="0"/>
            </w:tcBorders>
            <w:vAlign w:val="center"/>
          </w:tcPr>
          <w:p w14:paraId="61FC23D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.06</w:t>
            </w:r>
          </w:p>
        </w:tc>
        <w:tc>
          <w:tcPr>
            <w:tcW w:w="635" w:type="pct"/>
            <w:tcBorders>
              <w:left w:val="single" w:color="auto" w:sz="4" w:space="0"/>
            </w:tcBorders>
            <w:vAlign w:val="center"/>
          </w:tcPr>
          <w:p w14:paraId="20F885F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0.0016</w:t>
            </w:r>
          </w:p>
        </w:tc>
        <w:tc>
          <w:tcPr>
            <w:tcW w:w="554" w:type="pct"/>
            <w:tcBorders>
              <w:right w:val="single" w:color="auto" w:sz="4" w:space="0"/>
            </w:tcBorders>
            <w:vAlign w:val="center"/>
          </w:tcPr>
          <w:p w14:paraId="7939174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.083</w:t>
            </w:r>
          </w:p>
        </w:tc>
        <w:tc>
          <w:tcPr>
            <w:tcW w:w="635" w:type="pct"/>
            <w:tcBorders>
              <w:left w:val="single" w:color="auto" w:sz="4" w:space="0"/>
            </w:tcBorders>
            <w:vAlign w:val="center"/>
          </w:tcPr>
          <w:p w14:paraId="1E3F970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0.0022</w:t>
            </w:r>
          </w:p>
        </w:tc>
        <w:tc>
          <w:tcPr>
            <w:tcW w:w="420" w:type="pct"/>
            <w:vAlign w:val="center"/>
          </w:tcPr>
          <w:p w14:paraId="0891A7E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305C3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68A419FE">
            <w:pPr>
              <w:pStyle w:val="210"/>
              <w:rPr>
                <w:rFonts w:hint="eastAsia"/>
                <w:color w:val="000000" w:themeColor="text1"/>
                <w:lang w:val="zh-CN"/>
                <w14:textFill>
                  <w14:solidFill>
                    <w14:schemeClr w14:val="tx1"/>
                  </w14:solidFill>
                </w14:textFill>
              </w:rPr>
            </w:pPr>
          </w:p>
        </w:tc>
        <w:tc>
          <w:tcPr>
            <w:tcW w:w="634" w:type="pct"/>
            <w:vAlign w:val="center"/>
          </w:tcPr>
          <w:p w14:paraId="7A860D9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73" w:type="pct"/>
            <w:tcBorders>
              <w:right w:val="single" w:color="auto" w:sz="4" w:space="0"/>
            </w:tcBorders>
            <w:vAlign w:val="center"/>
          </w:tcPr>
          <w:p w14:paraId="03C3944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.45</w:t>
            </w:r>
          </w:p>
        </w:tc>
        <w:tc>
          <w:tcPr>
            <w:tcW w:w="637" w:type="pct"/>
            <w:tcBorders>
              <w:left w:val="single" w:color="auto" w:sz="4" w:space="0"/>
            </w:tcBorders>
            <w:vAlign w:val="center"/>
          </w:tcPr>
          <w:p w14:paraId="011B189F">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0.1075</w:t>
            </w:r>
          </w:p>
        </w:tc>
        <w:tc>
          <w:tcPr>
            <w:tcW w:w="634" w:type="pct"/>
            <w:tcBorders>
              <w:right w:val="single" w:color="auto" w:sz="4" w:space="0"/>
            </w:tcBorders>
            <w:vAlign w:val="center"/>
          </w:tcPr>
          <w:p w14:paraId="078C362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.42</w:t>
            </w:r>
          </w:p>
        </w:tc>
        <w:tc>
          <w:tcPr>
            <w:tcW w:w="635" w:type="pct"/>
            <w:tcBorders>
              <w:left w:val="single" w:color="auto" w:sz="4" w:space="0"/>
            </w:tcBorders>
            <w:vAlign w:val="center"/>
          </w:tcPr>
          <w:p w14:paraId="2907087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0.1070</w:t>
            </w:r>
          </w:p>
        </w:tc>
        <w:tc>
          <w:tcPr>
            <w:tcW w:w="554" w:type="pct"/>
            <w:tcBorders>
              <w:right w:val="single" w:color="auto" w:sz="4" w:space="0"/>
            </w:tcBorders>
            <w:vAlign w:val="center"/>
          </w:tcPr>
          <w:p w14:paraId="0DDD3B8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.43</w:t>
            </w:r>
          </w:p>
        </w:tc>
        <w:tc>
          <w:tcPr>
            <w:tcW w:w="635" w:type="pct"/>
            <w:tcBorders>
              <w:left w:val="single" w:color="auto" w:sz="4" w:space="0"/>
            </w:tcBorders>
            <w:vAlign w:val="center"/>
          </w:tcPr>
          <w:p w14:paraId="7B40736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0.1072</w:t>
            </w:r>
          </w:p>
        </w:tc>
        <w:tc>
          <w:tcPr>
            <w:tcW w:w="420" w:type="pct"/>
            <w:vAlign w:val="center"/>
          </w:tcPr>
          <w:p w14:paraId="72982D1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bookmarkEnd w:id="498"/>
      <w:tr w14:paraId="63C82E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restart"/>
            <w:vAlign w:val="center"/>
          </w:tcPr>
          <w:p w14:paraId="1F3B85AB">
            <w:pPr>
              <w:pStyle w:val="210"/>
              <w:rPr>
                <w:rFonts w:hint="eastAsia"/>
                <w:color w:val="000000" w:themeColor="text1"/>
                <w:lang w:val="zh-CN"/>
                <w14:textFill>
                  <w14:solidFill>
                    <w14:schemeClr w14:val="tx1"/>
                  </w14:solidFill>
                </w14:textFill>
              </w:rPr>
            </w:pPr>
            <w:r>
              <w:rPr>
                <w:color w:val="000000" w:themeColor="text1"/>
                <w:lang w:val="zh-CN"/>
                <w14:textFill>
                  <w14:solidFill>
                    <w14:schemeClr w14:val="tx1"/>
                  </w14:solidFill>
                </w14:textFill>
              </w:rPr>
              <w:t>S3</w:t>
            </w:r>
          </w:p>
        </w:tc>
        <w:tc>
          <w:tcPr>
            <w:tcW w:w="634" w:type="pct"/>
            <w:vAlign w:val="center"/>
          </w:tcPr>
          <w:p w14:paraId="4983A7AB">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pH</w:t>
            </w:r>
          </w:p>
        </w:tc>
        <w:tc>
          <w:tcPr>
            <w:tcW w:w="473" w:type="pct"/>
            <w:tcBorders>
              <w:right w:val="single" w:color="auto" w:sz="4" w:space="0"/>
            </w:tcBorders>
            <w:vAlign w:val="center"/>
          </w:tcPr>
          <w:p w14:paraId="5AC42DF3">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8.65</w:t>
            </w:r>
          </w:p>
        </w:tc>
        <w:tc>
          <w:tcPr>
            <w:tcW w:w="637" w:type="pct"/>
            <w:tcBorders>
              <w:left w:val="single" w:color="auto" w:sz="4" w:space="0"/>
            </w:tcBorders>
            <w:vAlign w:val="center"/>
          </w:tcPr>
          <w:p w14:paraId="3323B38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4" w:type="pct"/>
            <w:tcBorders>
              <w:right w:val="single" w:color="auto" w:sz="4" w:space="0"/>
            </w:tcBorders>
            <w:vAlign w:val="center"/>
          </w:tcPr>
          <w:p w14:paraId="7BAAD2E6">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8.92</w:t>
            </w:r>
          </w:p>
        </w:tc>
        <w:tc>
          <w:tcPr>
            <w:tcW w:w="635" w:type="pct"/>
            <w:tcBorders>
              <w:left w:val="single" w:color="auto" w:sz="4" w:space="0"/>
            </w:tcBorders>
            <w:vAlign w:val="center"/>
          </w:tcPr>
          <w:p w14:paraId="6369BCB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54" w:type="pct"/>
            <w:tcBorders>
              <w:right w:val="single" w:color="auto" w:sz="4" w:space="0"/>
            </w:tcBorders>
            <w:vAlign w:val="center"/>
          </w:tcPr>
          <w:p w14:paraId="6A7A69D0">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8.95</w:t>
            </w:r>
          </w:p>
        </w:tc>
        <w:tc>
          <w:tcPr>
            <w:tcW w:w="635" w:type="pct"/>
            <w:tcBorders>
              <w:left w:val="single" w:color="auto" w:sz="4" w:space="0"/>
            </w:tcBorders>
            <w:vAlign w:val="center"/>
          </w:tcPr>
          <w:p w14:paraId="753A318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20" w:type="pct"/>
            <w:vAlign w:val="center"/>
          </w:tcPr>
          <w:p w14:paraId="548A96C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5FC5C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11AA2AC0">
            <w:pPr>
              <w:pStyle w:val="210"/>
              <w:rPr>
                <w:rFonts w:hint="eastAsia"/>
                <w:color w:val="000000" w:themeColor="text1"/>
                <w:lang w:val="zh-CN"/>
                <w14:textFill>
                  <w14:solidFill>
                    <w14:schemeClr w14:val="tx1"/>
                  </w14:solidFill>
                </w14:textFill>
              </w:rPr>
            </w:pPr>
          </w:p>
        </w:tc>
        <w:tc>
          <w:tcPr>
            <w:tcW w:w="634" w:type="pct"/>
            <w:vAlign w:val="center"/>
          </w:tcPr>
          <w:p w14:paraId="4836B3BC">
            <w:pPr>
              <w:pStyle w:val="210"/>
              <w:rPr>
                <w:rFonts w:hint="eastAsia"/>
                <w:color w:val="000000" w:themeColor="text1"/>
                <w:szCs w:val="21"/>
                <w14:textFill>
                  <w14:solidFill>
                    <w14:schemeClr w14:val="tx1"/>
                  </w14:solidFill>
                </w14:textFill>
              </w:rPr>
            </w:pPr>
            <w:r>
              <w:rPr>
                <w:rFonts w:hint="eastAsia"/>
                <w:color w:val="000000" w:themeColor="text1"/>
                <w14:textFill>
                  <w14:solidFill>
                    <w14:schemeClr w14:val="tx1"/>
                  </w14:solidFill>
                </w14:textFill>
              </w:rPr>
              <w:t>石油烃（</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40</w:t>
            </w:r>
            <w:r>
              <w:rPr>
                <w:rFonts w:hint="eastAsia"/>
                <w:color w:val="000000" w:themeColor="text1"/>
                <w:vertAlign w:val="subscript"/>
                <w14:textFill>
                  <w14:solidFill>
                    <w14:schemeClr w14:val="tx1"/>
                  </w14:solidFill>
                </w14:textFill>
              </w:rPr>
              <w:t>）</w:t>
            </w:r>
          </w:p>
        </w:tc>
        <w:tc>
          <w:tcPr>
            <w:tcW w:w="473" w:type="pct"/>
            <w:tcBorders>
              <w:right w:val="single" w:color="auto" w:sz="4" w:space="0"/>
            </w:tcBorders>
            <w:vAlign w:val="center"/>
          </w:tcPr>
          <w:p w14:paraId="7599FEA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1</w:t>
            </w:r>
          </w:p>
        </w:tc>
        <w:tc>
          <w:tcPr>
            <w:tcW w:w="637" w:type="pct"/>
            <w:tcBorders>
              <w:left w:val="single" w:color="auto" w:sz="4" w:space="0"/>
            </w:tcBorders>
            <w:vAlign w:val="center"/>
          </w:tcPr>
          <w:p w14:paraId="2FCC0259">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0.0069</w:t>
            </w:r>
          </w:p>
        </w:tc>
        <w:tc>
          <w:tcPr>
            <w:tcW w:w="634" w:type="pct"/>
            <w:tcBorders>
              <w:right w:val="single" w:color="auto" w:sz="4" w:space="0"/>
            </w:tcBorders>
            <w:vAlign w:val="center"/>
          </w:tcPr>
          <w:p w14:paraId="4082DF8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8</w:t>
            </w:r>
          </w:p>
        </w:tc>
        <w:tc>
          <w:tcPr>
            <w:tcW w:w="635" w:type="pct"/>
            <w:tcBorders>
              <w:left w:val="single" w:color="auto" w:sz="4" w:space="0"/>
            </w:tcBorders>
            <w:vAlign w:val="center"/>
          </w:tcPr>
          <w:p w14:paraId="77C63E04">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0.0040</w:t>
            </w:r>
          </w:p>
        </w:tc>
        <w:tc>
          <w:tcPr>
            <w:tcW w:w="554" w:type="pct"/>
            <w:tcBorders>
              <w:right w:val="single" w:color="auto" w:sz="4" w:space="0"/>
            </w:tcBorders>
            <w:vAlign w:val="center"/>
          </w:tcPr>
          <w:p w14:paraId="0B4628F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635" w:type="pct"/>
            <w:tcBorders>
              <w:left w:val="single" w:color="auto" w:sz="4" w:space="0"/>
            </w:tcBorders>
            <w:vAlign w:val="center"/>
          </w:tcPr>
          <w:p w14:paraId="1D9DB1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0.0020</w:t>
            </w:r>
          </w:p>
        </w:tc>
        <w:tc>
          <w:tcPr>
            <w:tcW w:w="420" w:type="pct"/>
            <w:vAlign w:val="center"/>
          </w:tcPr>
          <w:p w14:paraId="45B89A1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318CA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4D8560D0">
            <w:pPr>
              <w:pStyle w:val="210"/>
              <w:rPr>
                <w:rFonts w:hint="eastAsia"/>
                <w:color w:val="000000" w:themeColor="text1"/>
                <w:lang w:val="zh-CN"/>
                <w14:textFill>
                  <w14:solidFill>
                    <w14:schemeClr w14:val="tx1"/>
                  </w14:solidFill>
                </w14:textFill>
              </w:rPr>
            </w:pPr>
          </w:p>
        </w:tc>
        <w:tc>
          <w:tcPr>
            <w:tcW w:w="634" w:type="pct"/>
            <w:vAlign w:val="center"/>
          </w:tcPr>
          <w:p w14:paraId="10DFE34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73" w:type="pct"/>
            <w:tcBorders>
              <w:right w:val="single" w:color="auto" w:sz="4" w:space="0"/>
            </w:tcBorders>
            <w:vAlign w:val="center"/>
          </w:tcPr>
          <w:p w14:paraId="781FF5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.04</w:t>
            </w:r>
          </w:p>
        </w:tc>
        <w:tc>
          <w:tcPr>
            <w:tcW w:w="637" w:type="pct"/>
            <w:tcBorders>
              <w:left w:val="single" w:color="auto" w:sz="4" w:space="0"/>
            </w:tcBorders>
            <w:vAlign w:val="center"/>
          </w:tcPr>
          <w:p w14:paraId="7D2220C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0.0006</w:t>
            </w:r>
          </w:p>
        </w:tc>
        <w:tc>
          <w:tcPr>
            <w:tcW w:w="634" w:type="pct"/>
            <w:tcBorders>
              <w:right w:val="single" w:color="auto" w:sz="4" w:space="0"/>
            </w:tcBorders>
            <w:vAlign w:val="center"/>
          </w:tcPr>
          <w:p w14:paraId="2151690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.04</w:t>
            </w:r>
          </w:p>
        </w:tc>
        <w:tc>
          <w:tcPr>
            <w:tcW w:w="635" w:type="pct"/>
            <w:tcBorders>
              <w:left w:val="single" w:color="auto" w:sz="4" w:space="0"/>
            </w:tcBorders>
            <w:vAlign w:val="center"/>
          </w:tcPr>
          <w:p w14:paraId="4B365A67">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0.0006</w:t>
            </w:r>
          </w:p>
        </w:tc>
        <w:tc>
          <w:tcPr>
            <w:tcW w:w="554" w:type="pct"/>
            <w:tcBorders>
              <w:right w:val="single" w:color="auto" w:sz="4" w:space="0"/>
            </w:tcBorders>
            <w:vAlign w:val="center"/>
          </w:tcPr>
          <w:p w14:paraId="7F36F1BD">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c>
          <w:tcPr>
            <w:tcW w:w="635" w:type="pct"/>
            <w:tcBorders>
              <w:left w:val="single" w:color="auto" w:sz="4" w:space="0"/>
            </w:tcBorders>
            <w:vAlign w:val="center"/>
          </w:tcPr>
          <w:p w14:paraId="79E4D51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0.0008</w:t>
            </w:r>
          </w:p>
        </w:tc>
        <w:tc>
          <w:tcPr>
            <w:tcW w:w="420" w:type="pct"/>
            <w:vAlign w:val="center"/>
          </w:tcPr>
          <w:p w14:paraId="5ACF05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A4C36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790D6F7A">
            <w:pPr>
              <w:pStyle w:val="210"/>
              <w:rPr>
                <w:rFonts w:hint="eastAsia"/>
                <w:color w:val="000000" w:themeColor="text1"/>
                <w:lang w:val="zh-CN"/>
                <w14:textFill>
                  <w14:solidFill>
                    <w14:schemeClr w14:val="tx1"/>
                  </w14:solidFill>
                </w14:textFill>
              </w:rPr>
            </w:pPr>
          </w:p>
        </w:tc>
        <w:tc>
          <w:tcPr>
            <w:tcW w:w="634" w:type="pct"/>
            <w:vAlign w:val="center"/>
          </w:tcPr>
          <w:p w14:paraId="137A921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473" w:type="pct"/>
            <w:tcBorders>
              <w:right w:val="single" w:color="auto" w:sz="4" w:space="0"/>
            </w:tcBorders>
            <w:vAlign w:val="center"/>
          </w:tcPr>
          <w:p w14:paraId="604305B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w:t>
            </w:r>
          </w:p>
        </w:tc>
        <w:tc>
          <w:tcPr>
            <w:tcW w:w="637" w:type="pct"/>
            <w:tcBorders>
              <w:left w:val="single" w:color="auto" w:sz="4" w:space="0"/>
            </w:tcBorders>
            <w:vAlign w:val="center"/>
          </w:tcPr>
          <w:p w14:paraId="063F58B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0.0156</w:t>
            </w:r>
          </w:p>
        </w:tc>
        <w:tc>
          <w:tcPr>
            <w:tcW w:w="634" w:type="pct"/>
            <w:tcBorders>
              <w:right w:val="single" w:color="auto" w:sz="4" w:space="0"/>
            </w:tcBorders>
            <w:vAlign w:val="center"/>
          </w:tcPr>
          <w:p w14:paraId="473BE58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p>
        </w:tc>
        <w:tc>
          <w:tcPr>
            <w:tcW w:w="635" w:type="pct"/>
            <w:tcBorders>
              <w:left w:val="single" w:color="auto" w:sz="4" w:space="0"/>
            </w:tcBorders>
            <w:vAlign w:val="center"/>
          </w:tcPr>
          <w:p w14:paraId="5FE280C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0.0167</w:t>
            </w:r>
          </w:p>
        </w:tc>
        <w:tc>
          <w:tcPr>
            <w:tcW w:w="554" w:type="pct"/>
            <w:tcBorders>
              <w:right w:val="single" w:color="auto" w:sz="4" w:space="0"/>
            </w:tcBorders>
            <w:vAlign w:val="center"/>
          </w:tcPr>
          <w:p w14:paraId="0F74413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w:t>
            </w:r>
          </w:p>
        </w:tc>
        <w:tc>
          <w:tcPr>
            <w:tcW w:w="635" w:type="pct"/>
            <w:tcBorders>
              <w:left w:val="single" w:color="auto" w:sz="4" w:space="0"/>
            </w:tcBorders>
            <w:vAlign w:val="center"/>
          </w:tcPr>
          <w:p w14:paraId="79F6C7C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0.0156</w:t>
            </w:r>
          </w:p>
        </w:tc>
        <w:tc>
          <w:tcPr>
            <w:tcW w:w="420" w:type="pct"/>
            <w:vAlign w:val="center"/>
          </w:tcPr>
          <w:p w14:paraId="0B5AED3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BAC5B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18C6F6E0">
            <w:pPr>
              <w:pStyle w:val="210"/>
              <w:rPr>
                <w:rFonts w:hint="eastAsia"/>
                <w:color w:val="000000" w:themeColor="text1"/>
                <w:lang w:val="zh-CN"/>
                <w14:textFill>
                  <w14:solidFill>
                    <w14:schemeClr w14:val="tx1"/>
                  </w14:solidFill>
                </w14:textFill>
              </w:rPr>
            </w:pPr>
          </w:p>
        </w:tc>
        <w:tc>
          <w:tcPr>
            <w:tcW w:w="634" w:type="pct"/>
            <w:vAlign w:val="center"/>
          </w:tcPr>
          <w:p w14:paraId="23F9AE6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铬</w:t>
            </w:r>
          </w:p>
        </w:tc>
        <w:tc>
          <w:tcPr>
            <w:tcW w:w="473" w:type="pct"/>
            <w:tcBorders>
              <w:right w:val="single" w:color="auto" w:sz="4" w:space="0"/>
            </w:tcBorders>
            <w:vAlign w:val="center"/>
          </w:tcPr>
          <w:p w14:paraId="3CA402F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.5L</w:t>
            </w:r>
          </w:p>
        </w:tc>
        <w:tc>
          <w:tcPr>
            <w:tcW w:w="637" w:type="pct"/>
            <w:tcBorders>
              <w:left w:val="single" w:color="auto" w:sz="4" w:space="0"/>
            </w:tcBorders>
            <w:vAlign w:val="center"/>
          </w:tcPr>
          <w:p w14:paraId="7B120F32">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4" w:type="pct"/>
            <w:tcBorders>
              <w:right w:val="single" w:color="auto" w:sz="4" w:space="0"/>
            </w:tcBorders>
            <w:vAlign w:val="center"/>
          </w:tcPr>
          <w:p w14:paraId="7EDDF91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.5L</w:t>
            </w:r>
          </w:p>
        </w:tc>
        <w:tc>
          <w:tcPr>
            <w:tcW w:w="635" w:type="pct"/>
            <w:tcBorders>
              <w:left w:val="single" w:color="auto" w:sz="4" w:space="0"/>
            </w:tcBorders>
            <w:vAlign w:val="center"/>
          </w:tcPr>
          <w:p w14:paraId="24A987A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54" w:type="pct"/>
            <w:tcBorders>
              <w:right w:val="single" w:color="auto" w:sz="4" w:space="0"/>
            </w:tcBorders>
            <w:vAlign w:val="center"/>
          </w:tcPr>
          <w:p w14:paraId="16C5D03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.5L</w:t>
            </w:r>
          </w:p>
        </w:tc>
        <w:tc>
          <w:tcPr>
            <w:tcW w:w="635" w:type="pct"/>
            <w:tcBorders>
              <w:left w:val="single" w:color="auto" w:sz="4" w:space="0"/>
            </w:tcBorders>
            <w:vAlign w:val="center"/>
          </w:tcPr>
          <w:p w14:paraId="3DD25AF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20" w:type="pct"/>
            <w:vAlign w:val="center"/>
          </w:tcPr>
          <w:p w14:paraId="49F8DFBE">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E3611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4E38A784">
            <w:pPr>
              <w:pStyle w:val="210"/>
              <w:rPr>
                <w:rFonts w:hint="eastAsia"/>
                <w:color w:val="000000" w:themeColor="text1"/>
                <w:lang w:val="zh-CN"/>
                <w14:textFill>
                  <w14:solidFill>
                    <w14:schemeClr w14:val="tx1"/>
                  </w14:solidFill>
                </w14:textFill>
              </w:rPr>
            </w:pPr>
          </w:p>
        </w:tc>
        <w:tc>
          <w:tcPr>
            <w:tcW w:w="634" w:type="pct"/>
            <w:vAlign w:val="center"/>
          </w:tcPr>
          <w:p w14:paraId="6E7F527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473" w:type="pct"/>
            <w:tcBorders>
              <w:right w:val="single" w:color="auto" w:sz="4" w:space="0"/>
            </w:tcBorders>
            <w:vAlign w:val="center"/>
          </w:tcPr>
          <w:p w14:paraId="258C4F9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637" w:type="pct"/>
            <w:tcBorders>
              <w:left w:val="single" w:color="auto" w:sz="4" w:space="0"/>
            </w:tcBorders>
            <w:vAlign w:val="center"/>
          </w:tcPr>
          <w:p w14:paraId="12D6271B">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0.0014</w:t>
            </w:r>
          </w:p>
        </w:tc>
        <w:tc>
          <w:tcPr>
            <w:tcW w:w="634" w:type="pct"/>
            <w:tcBorders>
              <w:right w:val="single" w:color="auto" w:sz="4" w:space="0"/>
            </w:tcBorders>
            <w:vAlign w:val="center"/>
          </w:tcPr>
          <w:p w14:paraId="3CA6E2B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635" w:type="pct"/>
            <w:tcBorders>
              <w:left w:val="single" w:color="auto" w:sz="4" w:space="0"/>
            </w:tcBorders>
            <w:vAlign w:val="center"/>
          </w:tcPr>
          <w:p w14:paraId="69547140">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0.0014</w:t>
            </w:r>
          </w:p>
        </w:tc>
        <w:tc>
          <w:tcPr>
            <w:tcW w:w="554" w:type="pct"/>
            <w:tcBorders>
              <w:right w:val="single" w:color="auto" w:sz="4" w:space="0"/>
            </w:tcBorders>
            <w:vAlign w:val="center"/>
          </w:tcPr>
          <w:p w14:paraId="67899E3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635" w:type="pct"/>
            <w:tcBorders>
              <w:left w:val="single" w:color="auto" w:sz="4" w:space="0"/>
            </w:tcBorders>
            <w:vAlign w:val="center"/>
          </w:tcPr>
          <w:p w14:paraId="2588328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0.0014</w:t>
            </w:r>
          </w:p>
        </w:tc>
        <w:tc>
          <w:tcPr>
            <w:tcW w:w="420" w:type="pct"/>
            <w:vAlign w:val="center"/>
          </w:tcPr>
          <w:p w14:paraId="7507FB0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987B8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0B3869DA">
            <w:pPr>
              <w:pStyle w:val="210"/>
              <w:rPr>
                <w:rFonts w:hint="eastAsia"/>
                <w:color w:val="000000" w:themeColor="text1"/>
                <w:lang w:val="zh-CN"/>
                <w14:textFill>
                  <w14:solidFill>
                    <w14:schemeClr w14:val="tx1"/>
                  </w14:solidFill>
                </w14:textFill>
              </w:rPr>
            </w:pPr>
          </w:p>
        </w:tc>
        <w:tc>
          <w:tcPr>
            <w:tcW w:w="634" w:type="pct"/>
            <w:vAlign w:val="center"/>
          </w:tcPr>
          <w:p w14:paraId="0E41930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73" w:type="pct"/>
            <w:tcBorders>
              <w:right w:val="single" w:color="auto" w:sz="4" w:space="0"/>
            </w:tcBorders>
            <w:vAlign w:val="center"/>
          </w:tcPr>
          <w:p w14:paraId="04B274A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7</w:t>
            </w:r>
          </w:p>
        </w:tc>
        <w:tc>
          <w:tcPr>
            <w:tcW w:w="637" w:type="pct"/>
            <w:tcBorders>
              <w:left w:val="single" w:color="auto" w:sz="4" w:space="0"/>
            </w:tcBorders>
            <w:vAlign w:val="center"/>
          </w:tcPr>
          <w:p w14:paraId="4D31B682">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0.0463</w:t>
            </w:r>
          </w:p>
        </w:tc>
        <w:tc>
          <w:tcPr>
            <w:tcW w:w="634" w:type="pct"/>
            <w:tcBorders>
              <w:right w:val="single" w:color="auto" w:sz="4" w:space="0"/>
            </w:tcBorders>
            <w:vAlign w:val="center"/>
          </w:tcPr>
          <w:p w14:paraId="07336788">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4</w:t>
            </w:r>
          </w:p>
        </w:tc>
        <w:tc>
          <w:tcPr>
            <w:tcW w:w="635" w:type="pct"/>
            <w:tcBorders>
              <w:left w:val="single" w:color="auto" w:sz="4" w:space="0"/>
            </w:tcBorders>
            <w:vAlign w:val="center"/>
          </w:tcPr>
          <w:p w14:paraId="5A1778C3">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0.0425</w:t>
            </w:r>
          </w:p>
        </w:tc>
        <w:tc>
          <w:tcPr>
            <w:tcW w:w="554" w:type="pct"/>
            <w:tcBorders>
              <w:right w:val="single" w:color="auto" w:sz="4" w:space="0"/>
            </w:tcBorders>
            <w:vAlign w:val="center"/>
          </w:tcPr>
          <w:p w14:paraId="5180BF0F">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7</w:t>
            </w:r>
          </w:p>
        </w:tc>
        <w:tc>
          <w:tcPr>
            <w:tcW w:w="635" w:type="pct"/>
            <w:tcBorders>
              <w:left w:val="single" w:color="auto" w:sz="4" w:space="0"/>
            </w:tcBorders>
            <w:vAlign w:val="center"/>
          </w:tcPr>
          <w:p w14:paraId="532E83B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0.0463</w:t>
            </w:r>
          </w:p>
        </w:tc>
        <w:tc>
          <w:tcPr>
            <w:tcW w:w="420" w:type="pct"/>
            <w:vAlign w:val="center"/>
          </w:tcPr>
          <w:p w14:paraId="3A7F87C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F5F9F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76B07D1E">
            <w:pPr>
              <w:pStyle w:val="210"/>
              <w:rPr>
                <w:rFonts w:hint="eastAsia"/>
                <w:color w:val="000000" w:themeColor="text1"/>
                <w:lang w:val="zh-CN"/>
                <w14:textFill>
                  <w14:solidFill>
                    <w14:schemeClr w14:val="tx1"/>
                  </w14:solidFill>
                </w14:textFill>
              </w:rPr>
            </w:pPr>
          </w:p>
        </w:tc>
        <w:tc>
          <w:tcPr>
            <w:tcW w:w="634" w:type="pct"/>
            <w:vAlign w:val="center"/>
          </w:tcPr>
          <w:p w14:paraId="6BBCD6A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73" w:type="pct"/>
            <w:tcBorders>
              <w:right w:val="single" w:color="auto" w:sz="4" w:space="0"/>
            </w:tcBorders>
            <w:vAlign w:val="center"/>
          </w:tcPr>
          <w:p w14:paraId="46833D66">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.121</w:t>
            </w:r>
          </w:p>
        </w:tc>
        <w:tc>
          <w:tcPr>
            <w:tcW w:w="637" w:type="pct"/>
            <w:tcBorders>
              <w:left w:val="single" w:color="auto" w:sz="4" w:space="0"/>
            </w:tcBorders>
            <w:vAlign w:val="center"/>
          </w:tcPr>
          <w:p w14:paraId="33D75A95">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0.0032</w:t>
            </w:r>
          </w:p>
        </w:tc>
        <w:tc>
          <w:tcPr>
            <w:tcW w:w="634" w:type="pct"/>
            <w:tcBorders>
              <w:right w:val="single" w:color="auto" w:sz="4" w:space="0"/>
            </w:tcBorders>
            <w:vAlign w:val="center"/>
          </w:tcPr>
          <w:p w14:paraId="67BAC88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.121</w:t>
            </w:r>
          </w:p>
        </w:tc>
        <w:tc>
          <w:tcPr>
            <w:tcW w:w="635" w:type="pct"/>
            <w:tcBorders>
              <w:left w:val="single" w:color="auto" w:sz="4" w:space="0"/>
            </w:tcBorders>
            <w:vAlign w:val="center"/>
          </w:tcPr>
          <w:p w14:paraId="03AB4740">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0.0032</w:t>
            </w:r>
          </w:p>
        </w:tc>
        <w:tc>
          <w:tcPr>
            <w:tcW w:w="554" w:type="pct"/>
            <w:tcBorders>
              <w:right w:val="single" w:color="auto" w:sz="4" w:space="0"/>
            </w:tcBorders>
            <w:vAlign w:val="center"/>
          </w:tcPr>
          <w:p w14:paraId="5CD906D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.129</w:t>
            </w:r>
          </w:p>
        </w:tc>
        <w:tc>
          <w:tcPr>
            <w:tcW w:w="635" w:type="pct"/>
            <w:tcBorders>
              <w:left w:val="single" w:color="auto" w:sz="4" w:space="0"/>
            </w:tcBorders>
            <w:vAlign w:val="center"/>
          </w:tcPr>
          <w:p w14:paraId="0CE74BF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0.0034</w:t>
            </w:r>
          </w:p>
        </w:tc>
        <w:tc>
          <w:tcPr>
            <w:tcW w:w="420" w:type="pct"/>
            <w:vAlign w:val="center"/>
          </w:tcPr>
          <w:p w14:paraId="205A9DA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A2B7B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2285771F">
            <w:pPr>
              <w:pStyle w:val="210"/>
              <w:rPr>
                <w:rFonts w:hint="eastAsia"/>
                <w:color w:val="000000" w:themeColor="text1"/>
                <w:lang w:val="zh-CN"/>
                <w14:textFill>
                  <w14:solidFill>
                    <w14:schemeClr w14:val="tx1"/>
                  </w14:solidFill>
                </w14:textFill>
              </w:rPr>
            </w:pPr>
          </w:p>
        </w:tc>
        <w:tc>
          <w:tcPr>
            <w:tcW w:w="634" w:type="pct"/>
            <w:vAlign w:val="center"/>
          </w:tcPr>
          <w:p w14:paraId="7537A7D1">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73" w:type="pct"/>
            <w:tcBorders>
              <w:right w:val="single" w:color="auto" w:sz="4" w:space="0"/>
            </w:tcBorders>
            <w:vAlign w:val="center"/>
          </w:tcPr>
          <w:p w14:paraId="732DE8A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.97</w:t>
            </w:r>
          </w:p>
        </w:tc>
        <w:tc>
          <w:tcPr>
            <w:tcW w:w="637" w:type="pct"/>
            <w:tcBorders>
              <w:left w:val="single" w:color="auto" w:sz="4" w:space="0"/>
            </w:tcBorders>
            <w:vAlign w:val="center"/>
          </w:tcPr>
          <w:p w14:paraId="4343F01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0.0995</w:t>
            </w:r>
          </w:p>
        </w:tc>
        <w:tc>
          <w:tcPr>
            <w:tcW w:w="634" w:type="pct"/>
            <w:tcBorders>
              <w:right w:val="single" w:color="auto" w:sz="4" w:space="0"/>
            </w:tcBorders>
            <w:vAlign w:val="center"/>
          </w:tcPr>
          <w:p w14:paraId="205F7C74">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.86</w:t>
            </w:r>
          </w:p>
        </w:tc>
        <w:tc>
          <w:tcPr>
            <w:tcW w:w="635" w:type="pct"/>
            <w:tcBorders>
              <w:left w:val="single" w:color="auto" w:sz="4" w:space="0"/>
            </w:tcBorders>
            <w:vAlign w:val="center"/>
          </w:tcPr>
          <w:p w14:paraId="0A36218C">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0.0977</w:t>
            </w:r>
          </w:p>
        </w:tc>
        <w:tc>
          <w:tcPr>
            <w:tcW w:w="554" w:type="pct"/>
            <w:tcBorders>
              <w:right w:val="single" w:color="auto" w:sz="4" w:space="0"/>
            </w:tcBorders>
            <w:vAlign w:val="center"/>
          </w:tcPr>
          <w:p w14:paraId="59B19C33">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.97</w:t>
            </w:r>
          </w:p>
        </w:tc>
        <w:tc>
          <w:tcPr>
            <w:tcW w:w="635" w:type="pct"/>
            <w:tcBorders>
              <w:left w:val="single" w:color="auto" w:sz="4" w:space="0"/>
            </w:tcBorders>
            <w:vAlign w:val="center"/>
          </w:tcPr>
          <w:p w14:paraId="0DC22E0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0.0995</w:t>
            </w:r>
          </w:p>
        </w:tc>
        <w:tc>
          <w:tcPr>
            <w:tcW w:w="420" w:type="pct"/>
            <w:vAlign w:val="center"/>
          </w:tcPr>
          <w:p w14:paraId="6D6D037B">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bookmarkEnd w:id="496"/>
    </w:tbl>
    <w:p w14:paraId="0DA512F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本次类比的石西油田作业区石南</w:t>
      </w:r>
      <w:r>
        <w:rPr>
          <w:color w:val="000000" w:themeColor="text1"/>
          <w14:textFill>
            <w14:solidFill>
              <w14:schemeClr w14:val="tx1"/>
            </w14:solidFill>
          </w14:textFill>
        </w:rPr>
        <w:t>4原油转输管线</w:t>
      </w:r>
      <w:r>
        <w:rPr>
          <w:rFonts w:hint="eastAsia"/>
          <w:color w:val="000000" w:themeColor="text1"/>
          <w:lang w:val="en-US" w:eastAsia="zh-CN"/>
          <w14:textFill>
            <w14:solidFill>
              <w14:schemeClr w14:val="tx1"/>
            </w14:solidFill>
          </w14:textFill>
        </w:rPr>
        <w:t>输送介质为含水率30%的原油，该管段</w:t>
      </w:r>
      <w:r>
        <w:rPr>
          <w:rFonts w:hint="eastAsia"/>
          <w:color w:val="000000" w:themeColor="text1"/>
          <w14:textFill>
            <w14:solidFill>
              <w14:schemeClr w14:val="tx1"/>
            </w14:solidFill>
          </w14:textFill>
        </w:rPr>
        <w:t>已发生过数</w:t>
      </w:r>
      <w:r>
        <w:rPr>
          <w:color w:val="000000" w:themeColor="text1"/>
          <w14:textFill>
            <w14:solidFill>
              <w14:schemeClr w14:val="tx1"/>
            </w14:solidFill>
          </w14:textFill>
        </w:rPr>
        <w:t>次泄漏事故，</w:t>
      </w:r>
      <w:r>
        <w:rPr>
          <w:rFonts w:hint="eastAsia"/>
          <w:color w:val="000000" w:themeColor="text1"/>
          <w14:textFill>
            <w14:solidFill>
              <w14:schemeClr w14:val="tx1"/>
            </w14:solidFill>
          </w14:textFill>
        </w:rPr>
        <w:t>管线</w:t>
      </w:r>
      <w:r>
        <w:rPr>
          <w:rFonts w:hint="eastAsia"/>
          <w:color w:val="000000" w:themeColor="text1"/>
          <w:lang w:val="en-US" w:eastAsia="zh-CN"/>
          <w14:textFill>
            <w14:solidFill>
              <w14:schemeClr w14:val="tx1"/>
            </w14:solidFill>
          </w14:textFill>
        </w:rPr>
        <w:t>发生</w:t>
      </w:r>
      <w:r>
        <w:rPr>
          <w:rFonts w:hint="eastAsia"/>
          <w:color w:val="000000" w:themeColor="text1"/>
          <w14:textFill>
            <w14:solidFill>
              <w14:schemeClr w14:val="tx1"/>
            </w14:solidFill>
          </w14:textFill>
        </w:rPr>
        <w:t>泄漏</w:t>
      </w:r>
      <w:r>
        <w:rPr>
          <w:rFonts w:hint="eastAsia"/>
          <w:color w:val="000000" w:themeColor="text1"/>
          <w:lang w:val="en-US" w:eastAsia="zh-CN"/>
          <w14:textFill>
            <w14:solidFill>
              <w14:schemeClr w14:val="tx1"/>
            </w14:solidFill>
          </w14:textFill>
        </w:rPr>
        <w:t>后</w:t>
      </w:r>
      <w:r>
        <w:rPr>
          <w:rFonts w:hint="eastAsia"/>
          <w:color w:val="000000" w:themeColor="text1"/>
          <w14:textFill>
            <w14:solidFill>
              <w14:schemeClr w14:val="tx1"/>
            </w14:solidFill>
          </w14:textFill>
        </w:rPr>
        <w:t>石西油田作业区</w:t>
      </w:r>
      <w:r>
        <w:rPr>
          <w:rFonts w:hint="eastAsia"/>
          <w:color w:val="000000" w:themeColor="text1"/>
          <w:lang w:val="en-US" w:eastAsia="zh-CN"/>
          <w14:textFill>
            <w14:solidFill>
              <w14:schemeClr w14:val="tx1"/>
            </w14:solidFill>
          </w14:textFill>
        </w:rPr>
        <w:t>采取的</w:t>
      </w:r>
      <w:r>
        <w:rPr>
          <w:rFonts w:hint="eastAsia"/>
          <w:color w:val="000000" w:themeColor="text1"/>
          <w14:textFill>
            <w14:solidFill>
              <w14:schemeClr w14:val="tx1"/>
            </w14:solidFill>
          </w14:textFill>
        </w:rPr>
        <w:t>应急处置措施具体如下：当发生管线泄漏后，快速做出响应，</w:t>
      </w:r>
      <w:r>
        <w:rPr>
          <w:color w:val="000000" w:themeColor="text1"/>
          <w14:textFill>
            <w14:solidFill>
              <w14:schemeClr w14:val="tx1"/>
            </w14:solidFill>
          </w14:textFill>
        </w:rPr>
        <w:t>关闭采油管线物料来源</w:t>
      </w:r>
      <w:r>
        <w:rPr>
          <w:rFonts w:hint="eastAsia"/>
          <w:color w:val="000000" w:themeColor="text1"/>
          <w14:textFill>
            <w14:solidFill>
              <w14:schemeClr w14:val="tx1"/>
            </w14:solidFill>
          </w14:textFill>
        </w:rPr>
        <w:t>，挖出管线破点，可回收原油</w:t>
      </w:r>
      <w:r>
        <w:rPr>
          <w:color w:val="000000" w:themeColor="text1"/>
          <w14:textFill>
            <w14:solidFill>
              <w14:schemeClr w14:val="tx1"/>
            </w14:solidFill>
          </w14:textFill>
        </w:rPr>
        <w:t>回收至</w:t>
      </w:r>
      <w:r>
        <w:rPr>
          <w:rFonts w:hint="eastAsia"/>
          <w:color w:val="000000" w:themeColor="text1"/>
          <w14:textFill>
            <w14:solidFill>
              <w14:schemeClr w14:val="tx1"/>
            </w14:solidFill>
          </w14:textFill>
        </w:rPr>
        <w:t>处理站</w:t>
      </w:r>
      <w:r>
        <w:rPr>
          <w:color w:val="000000" w:themeColor="text1"/>
          <w14:textFill>
            <w14:solidFill>
              <w14:schemeClr w14:val="tx1"/>
            </w14:solidFill>
          </w14:textFill>
        </w:rPr>
        <w:t>原油处理系统；采用管卡对</w:t>
      </w:r>
      <w:r>
        <w:rPr>
          <w:rFonts w:hint="eastAsia"/>
          <w:color w:val="000000" w:themeColor="text1"/>
          <w14:textFill>
            <w14:solidFill>
              <w14:schemeClr w14:val="tx1"/>
            </w14:solidFill>
          </w14:textFill>
        </w:rPr>
        <w:t>管线</w:t>
      </w:r>
      <w:r>
        <w:rPr>
          <w:color w:val="000000" w:themeColor="text1"/>
          <w14:textFill>
            <w14:solidFill>
              <w14:schemeClr w14:val="tx1"/>
            </w14:solidFill>
          </w14:textFill>
        </w:rPr>
        <w:t>破点进行修复，挖出的含油污泥</w:t>
      </w:r>
      <w:r>
        <w:rPr>
          <w:rFonts w:hint="eastAsia"/>
          <w:color w:val="000000" w:themeColor="text1"/>
          <w14:textFill>
            <w14:solidFill>
              <w14:schemeClr w14:val="tx1"/>
            </w14:solidFill>
          </w14:textFill>
        </w:rPr>
        <w:t>全部清理，交由具有相应危废处置资质的单位负责接收、转运和处置。应急处理完成后，用外购砂土回填管沟。</w:t>
      </w:r>
    </w:p>
    <w:p w14:paraId="5942AE51">
      <w:pPr>
        <w:pStyle w:val="12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-13中3个监测点均位于发生过原油泄漏并进行过应急处置的管段沿线的</w:t>
      </w:r>
      <w:r>
        <w:rPr>
          <w:rFonts w:hint="eastAsia"/>
          <w:color w:val="000000" w:themeColor="text1"/>
          <w:lang w:val="en-US" w:eastAsia="zh-CN"/>
          <w14:textFill>
            <w14:solidFill>
              <w14:schemeClr w14:val="tx1"/>
            </w14:solidFill>
          </w14:textFill>
        </w:rPr>
        <w:t>土壤</w:t>
      </w:r>
      <w:r>
        <w:rPr>
          <w:rFonts w:hint="eastAsia"/>
          <w:color w:val="000000" w:themeColor="text1"/>
          <w14:textFill>
            <w14:solidFill>
              <w14:schemeClr w14:val="tx1"/>
            </w14:solidFill>
          </w14:textFill>
        </w:rPr>
        <w:t>柱状样监测点，</w:t>
      </w:r>
      <w:r>
        <w:rPr>
          <w:color w:val="000000" w:themeColor="text1"/>
          <w14:textFill>
            <w14:solidFill>
              <w14:schemeClr w14:val="tx1"/>
            </w14:solidFill>
          </w14:textFill>
        </w:rPr>
        <w:t>监测数据表明，发生过泄漏事件的管段</w:t>
      </w:r>
      <w:r>
        <w:rPr>
          <w:rFonts w:hint="eastAsia"/>
          <w:color w:val="000000" w:themeColor="text1"/>
          <w:lang w:val="en-US" w:eastAsia="zh-CN"/>
          <w14:textFill>
            <w14:solidFill>
              <w14:schemeClr w14:val="tx1"/>
            </w14:solidFill>
          </w14:textFill>
        </w:rPr>
        <w:t>在采取有效的应急处置措施后，</w:t>
      </w:r>
      <w:r>
        <w:rPr>
          <w:color w:val="000000" w:themeColor="text1"/>
          <w14:textFill>
            <w14:solidFill>
              <w14:schemeClr w14:val="tx1"/>
            </w14:solidFill>
          </w14:textFill>
        </w:rPr>
        <w:t>土壤环境质量</w:t>
      </w:r>
      <w:r>
        <w:rPr>
          <w:rFonts w:hint="eastAsia"/>
          <w:color w:val="000000" w:themeColor="text1"/>
          <w14:textFill>
            <w14:solidFill>
              <w14:schemeClr w14:val="tx1"/>
            </w14:solidFill>
          </w14:textFill>
        </w:rPr>
        <w:t>监测的柱状样点石油烃（</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40</w:t>
      </w:r>
      <w:r>
        <w:rPr>
          <w:rFonts w:hint="eastAsia"/>
          <w:color w:val="000000" w:themeColor="text1"/>
          <w:vertAlign w:val="subscript"/>
          <w14:textFill>
            <w14:solidFill>
              <w14:schemeClr w14:val="tx1"/>
            </w14:solidFill>
          </w14:textFill>
        </w:rPr>
        <w:t>）</w:t>
      </w:r>
      <w:r>
        <w:rPr>
          <w:color w:val="000000" w:themeColor="text1"/>
          <w14:textFill>
            <w14:solidFill>
              <w14:schemeClr w14:val="tx1"/>
            </w14:solidFill>
          </w14:textFill>
        </w:rPr>
        <w:t>均满足《土壤环境质量  建设用地土壤污染风险管控标准（试行）》（GB36600-2018）中第二类用地筛选值要求，</w:t>
      </w:r>
      <w:r>
        <w:rPr>
          <w:rFonts w:hint="eastAsia"/>
          <w:color w:val="000000" w:themeColor="text1"/>
          <w:lang w:val="en-US" w:eastAsia="zh-CN"/>
          <w14:textFill>
            <w14:solidFill>
              <w14:schemeClr w14:val="tx1"/>
            </w14:solidFill>
          </w14:textFill>
        </w:rPr>
        <w:t>不会对管线沿线土壤造成污染。</w:t>
      </w:r>
    </w:p>
    <w:p w14:paraId="5D7FB482">
      <w:pPr>
        <w:pStyle w:val="12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本项目采油井井口设有紧急截断阀，单井采油管线发生泄漏事故后采取的应急措施为：快速作出响应，通过紧急截断阀</w:t>
      </w:r>
      <w:r>
        <w:rPr>
          <w:color w:val="000000" w:themeColor="text1"/>
          <w14:textFill>
            <w14:solidFill>
              <w14:schemeClr w14:val="tx1"/>
            </w14:solidFill>
          </w14:textFill>
        </w:rPr>
        <w:t>关闭</w:t>
      </w:r>
      <w:r>
        <w:rPr>
          <w:rFonts w:hint="eastAsia"/>
          <w:color w:val="000000" w:themeColor="text1"/>
          <w:lang w:val="en-US" w:eastAsia="zh-CN"/>
          <w14:textFill>
            <w14:solidFill>
              <w14:schemeClr w14:val="tx1"/>
            </w14:solidFill>
          </w14:textFill>
        </w:rPr>
        <w:t>单井</w:t>
      </w:r>
      <w:r>
        <w:rPr>
          <w:color w:val="000000" w:themeColor="text1"/>
          <w14:textFill>
            <w14:solidFill>
              <w14:schemeClr w14:val="tx1"/>
            </w14:solidFill>
          </w14:textFill>
        </w:rPr>
        <w:t>采油管线物料来源</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挖出管线破点，可回收原油回收至处理站原油处理系统；采用管卡或者更换管段的方式对管线破点进行修复，挖出的含油污泥全部清理，交由具有相应危废处置资质的单位负责接收、转运和处置。应急处理完成后，用外购砂土回填管沟。</w:t>
      </w:r>
    </w:p>
    <w:p w14:paraId="15322AF8">
      <w:pPr>
        <w:pStyle w:val="12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通过类比分析可知，本项目管线输送的介质与石南</w:t>
      </w:r>
      <w:r>
        <w:rPr>
          <w:color w:val="000000" w:themeColor="text1"/>
          <w14:textFill>
            <w14:solidFill>
              <w14:schemeClr w14:val="tx1"/>
            </w14:solidFill>
          </w14:textFill>
        </w:rPr>
        <w:t>4井区已经完成原油泄漏事故治理的管段类似，均为</w:t>
      </w:r>
      <w:r>
        <w:rPr>
          <w:rFonts w:hint="eastAsia"/>
          <w:color w:val="000000" w:themeColor="text1"/>
          <w14:textFill>
            <w14:solidFill>
              <w14:schemeClr w14:val="tx1"/>
            </w14:solidFill>
          </w14:textFill>
        </w:rPr>
        <w:t>含水原油</w:t>
      </w:r>
      <w:r>
        <w:rPr>
          <w:color w:val="000000" w:themeColor="text1"/>
          <w14:textFill>
            <w14:solidFill>
              <w14:schemeClr w14:val="tx1"/>
            </w14:solidFill>
          </w14:textFill>
        </w:rPr>
        <w:t>，对土壤的污染途径均为垂直入渗，</w:t>
      </w:r>
      <w:bookmarkStart w:id="499" w:name="_Hlk115195018"/>
      <w:r>
        <w:rPr>
          <w:rFonts w:hint="eastAsia"/>
          <w:color w:val="000000" w:themeColor="text1"/>
          <w:lang w:val="en-US" w:eastAsia="zh-CN"/>
          <w14:textFill>
            <w14:solidFill>
              <w14:schemeClr w14:val="tx1"/>
            </w14:solidFill>
          </w14:textFill>
        </w:rPr>
        <w:t>采取的应急处置措施基本相同，选用</w:t>
      </w:r>
      <w:r>
        <w:rPr>
          <w:rFonts w:hint="eastAsia"/>
          <w:color w:val="000000" w:themeColor="text1"/>
          <w14:textFill>
            <w14:solidFill>
              <w14:schemeClr w14:val="tx1"/>
            </w14:solidFill>
          </w14:textFill>
        </w:rPr>
        <w:t>《石西油田作业区石南</w:t>
      </w:r>
      <w:r>
        <w:rPr>
          <w:color w:val="000000" w:themeColor="text1"/>
          <w14:textFill>
            <w14:solidFill>
              <w14:schemeClr w14:val="tx1"/>
            </w14:solidFill>
          </w14:textFill>
        </w:rPr>
        <w:t>4原油转输管线安全隐患治理工程</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类比单井采油管线发生泄漏事故后对管线沿线土壤环境的影响具有一定的可比性。</w:t>
      </w:r>
    </w:p>
    <w:p w14:paraId="0A73B044">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综上所述，</w:t>
      </w:r>
      <w:r>
        <w:rPr>
          <w:color w:val="000000" w:themeColor="text1"/>
          <w14:textFill>
            <w14:solidFill>
              <w14:schemeClr w14:val="tx1"/>
            </w14:solidFill>
          </w14:textFill>
        </w:rPr>
        <w:t>即使</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运营期发生了</w:t>
      </w:r>
      <w:r>
        <w:rPr>
          <w:rFonts w:hint="eastAsia"/>
          <w:color w:val="000000" w:themeColor="text1"/>
          <w:lang w:val="en-US" w:eastAsia="zh-CN"/>
          <w14:textFill>
            <w14:solidFill>
              <w14:schemeClr w14:val="tx1"/>
            </w14:solidFill>
          </w14:textFill>
        </w:rPr>
        <w:t>单井采油</w:t>
      </w:r>
      <w:r>
        <w:rPr>
          <w:color w:val="000000" w:themeColor="text1"/>
          <w14:textFill>
            <w14:solidFill>
              <w14:schemeClr w14:val="tx1"/>
            </w14:solidFill>
          </w14:textFill>
        </w:rPr>
        <w:t>管线</w:t>
      </w:r>
      <w:r>
        <w:rPr>
          <w:rFonts w:hint="eastAsia"/>
          <w:color w:val="000000" w:themeColor="text1"/>
          <w14:textFill>
            <w14:solidFill>
              <w14:schemeClr w14:val="tx1"/>
            </w14:solidFill>
          </w14:textFill>
        </w:rPr>
        <w:t>等</w:t>
      </w:r>
      <w:r>
        <w:rPr>
          <w:color w:val="000000" w:themeColor="text1"/>
          <w14:textFill>
            <w14:solidFill>
              <w14:schemeClr w14:val="tx1"/>
            </w14:solidFill>
          </w14:textFill>
        </w:rPr>
        <w:t>泄漏事故，在继续落实</w:t>
      </w:r>
      <w:r>
        <w:rPr>
          <w:rFonts w:hint="eastAsia"/>
          <w:color w:val="000000" w:themeColor="text1"/>
          <w14:textFill>
            <w14:solidFill>
              <w14:schemeClr w14:val="tx1"/>
            </w14:solidFill>
          </w14:textFill>
        </w:rPr>
        <w:t>吉庆油田作业区</w:t>
      </w:r>
      <w:r>
        <w:rPr>
          <w:color w:val="000000" w:themeColor="text1"/>
          <w14:textFill>
            <w14:solidFill>
              <w14:schemeClr w14:val="tx1"/>
            </w14:solidFill>
          </w14:textFill>
        </w:rPr>
        <w:t>现有应急管理要求，及时响应，采取应急处置措施</w:t>
      </w:r>
      <w:r>
        <w:rPr>
          <w:rFonts w:hint="eastAsia"/>
          <w:color w:val="000000" w:themeColor="text1"/>
          <w14:textFill>
            <w14:solidFill>
              <w14:schemeClr w14:val="tx1"/>
            </w14:solidFill>
          </w14:textFill>
        </w:rPr>
        <w:t>封堵泄漏点，并将泄漏污油和含油污泥全部清理</w:t>
      </w:r>
      <w:r>
        <w:rPr>
          <w:color w:val="000000" w:themeColor="text1"/>
          <w14:textFill>
            <w14:solidFill>
              <w14:schemeClr w14:val="tx1"/>
            </w14:solidFill>
          </w14:textFill>
        </w:rPr>
        <w:t>的情况下，不会对项目区土壤环境产生不良影响</w:t>
      </w:r>
      <w:r>
        <w:rPr>
          <w:rFonts w:hint="eastAsia"/>
          <w:color w:val="000000" w:themeColor="text1"/>
          <w14:textFill>
            <w14:solidFill>
              <w14:schemeClr w14:val="tx1"/>
            </w14:solidFill>
          </w14:textFill>
        </w:rPr>
        <w:t>。</w:t>
      </w:r>
      <w:bookmarkEnd w:id="499"/>
    </w:p>
    <w:p w14:paraId="133DD83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②套管破损泄漏对土壤环境的影响分析</w:t>
      </w:r>
    </w:p>
    <w:p w14:paraId="469CF36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若采油井、</w:t>
      </w:r>
      <w:r>
        <w:rPr>
          <w:rFonts w:hint="eastAsia"/>
          <w:color w:val="000000" w:themeColor="text1"/>
          <w:lang w:val="en-US"/>
          <w14:textFill>
            <w14:solidFill>
              <w14:schemeClr w14:val="tx1"/>
            </w14:solidFill>
          </w14:textFill>
        </w:rPr>
        <w:t>注水井</w:t>
      </w:r>
      <w:r>
        <w:rPr>
          <w:rFonts w:hint="eastAsia"/>
          <w:color w:val="000000" w:themeColor="text1"/>
          <w14:textFill>
            <w14:solidFill>
              <w14:schemeClr w14:val="tx1"/>
            </w14:solidFill>
          </w14:textFill>
        </w:rPr>
        <w:t>固井质量不合格，套管破裂，发生井漏，石油类、</w:t>
      </w:r>
      <w:r>
        <w:rPr>
          <w:rFonts w:hint="eastAsia"/>
          <w:color w:val="000000" w:themeColor="text1"/>
          <w:lang w:val="en-US"/>
          <w14:textFill>
            <w14:solidFill>
              <w14:schemeClr w14:val="tx1"/>
            </w14:solidFill>
          </w14:textFill>
        </w:rPr>
        <w:t>悬浮物等</w:t>
      </w:r>
      <w:r>
        <w:rPr>
          <w:rFonts w:hint="eastAsia"/>
          <w:color w:val="000000" w:themeColor="text1"/>
          <w14:textFill>
            <w14:solidFill>
              <w14:schemeClr w14:val="tx1"/>
            </w14:solidFill>
          </w14:textFill>
        </w:rPr>
        <w:t>污染物有可能通过破裂的套管附近的孔隙、裂隙径流渗漏对周围土壤环境产生一定的影响。为防止套管破损污染周围土壤，对采油井、</w:t>
      </w:r>
      <w:r>
        <w:rPr>
          <w:rFonts w:hint="eastAsia"/>
          <w:color w:val="000000" w:themeColor="text1"/>
          <w:lang w:val="en-US"/>
          <w14:textFill>
            <w14:solidFill>
              <w14:schemeClr w14:val="tx1"/>
            </w14:solidFill>
          </w14:textFill>
        </w:rPr>
        <w:t>注水井</w:t>
      </w:r>
      <w:r>
        <w:rPr>
          <w:rFonts w:hint="eastAsia"/>
          <w:color w:val="000000" w:themeColor="text1"/>
          <w14:textFill>
            <w14:solidFill>
              <w14:schemeClr w14:val="tx1"/>
            </w14:solidFill>
          </w14:textFill>
        </w:rPr>
        <w:t>的套管进行定期维护，定期检查固井质量，保证其合格，若发现固井质量不合格以及套管破损的情况后，及时进行修复，尽量避免套管破损对周围土壤环境产生影响。</w:t>
      </w:r>
    </w:p>
    <w:p w14:paraId="0E327117">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（2）生态影响型</w:t>
      </w:r>
    </w:p>
    <w:p w14:paraId="40293B73">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正常工况下采出液通过管线转输至吉祥联合站，运营期无废水及固废等污染物外排，不会造成土壤环境污染。事故状态下单井注水管线破裂后，泄漏的净化后的中的采出水进入土壤中，单井注水管线沿线设有压力和远传信号，当发生管道破裂时，可在30min内切断最近阀门，并在</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h内排查到泄漏点并进行紧急封堵。初步估算，发生泄漏到封堵，预计从单井注水管线中泄漏的净化后的采出水量为0.3125</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，根据前文表3.2-7可知，采出水中氯离子含量为5324mg/L，则估算进入土壤中的盐分含量为=0.3125×5324×5</w:t>
      </w:r>
      <w:r>
        <w:rPr>
          <w:color w:val="000000" w:themeColor="text1"/>
          <w14:textFill>
            <w14:solidFill>
              <w14:schemeClr w14:val="tx1"/>
            </w14:solidFill>
          </w14:textFill>
        </w:rPr>
        <w:t>8.5</w:t>
      </w:r>
      <w:r>
        <w:rPr>
          <w:rFonts w:hint="eastAsia"/>
          <w:color w:val="000000" w:themeColor="text1"/>
          <w14:textFill>
            <w14:solidFill>
              <w14:schemeClr w14:val="tx1"/>
            </w14:solidFill>
          </w14:textFill>
        </w:rPr>
        <w:t>÷35.5=2742g。</w:t>
      </w:r>
    </w:p>
    <w:p w14:paraId="08DA782F">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本次预测采用HJ964-2018附录E.1.3中预测方法，预测公式如下：</w:t>
      </w:r>
    </w:p>
    <w:p w14:paraId="4041488A">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①单位质量土壤中某种物质的增量</w:t>
      </w:r>
    </w:p>
    <w:p w14:paraId="2388A915">
      <w:pPr>
        <w:spacing w:before="120"/>
        <w:ind w:firstLine="411" w:firstLineChars="196"/>
        <w:rPr>
          <w:rFonts w:hint="eastAsia" w:hAnsi="宋体" w:cs="宋体"/>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3600" behindDoc="1" locked="0" layoutInCell="1" allowOverlap="1">
            <wp:simplePos x="0" y="0"/>
            <wp:positionH relativeFrom="column">
              <wp:posOffset>545465</wp:posOffset>
            </wp:positionH>
            <wp:positionV relativeFrom="paragraph">
              <wp:posOffset>10160</wp:posOffset>
            </wp:positionV>
            <wp:extent cx="2809875" cy="304800"/>
            <wp:effectExtent l="0" t="0" r="9525"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2809875" cy="304800"/>
                    </a:xfrm>
                    <a:prstGeom prst="rect">
                      <a:avLst/>
                    </a:prstGeom>
                    <a:noFill/>
                    <a:ln>
                      <a:noFill/>
                    </a:ln>
                  </pic:spPr>
                </pic:pic>
              </a:graphicData>
            </a:graphic>
          </wp:anchor>
        </w:drawing>
      </w:r>
    </w:p>
    <w:p w14:paraId="4CCB4107">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式中：△S-单位质量表层土壤中某种物质的增量，g/kg；</w:t>
      </w:r>
    </w:p>
    <w:p w14:paraId="2C8A7E70">
      <w:pPr>
        <w:adjustRightInd w:val="0"/>
        <w:snapToGrid w:val="0"/>
        <w:spacing w:line="500" w:lineRule="exact"/>
        <w:ind w:firstLine="1200" w:firstLineChars="5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I</w:t>
      </w:r>
      <w:r>
        <w:rPr>
          <w:rFonts w:hint="eastAsia" w:ascii="宋体" w:hAnsi="宋体" w:cs="宋体"/>
          <w:color w:val="000000" w:themeColor="text1"/>
          <w:sz w:val="24"/>
          <w:szCs w:val="24"/>
          <w:vertAlign w:val="subscript"/>
          <w14:textFill>
            <w14:solidFill>
              <w14:schemeClr w14:val="tx1"/>
            </w14:solidFill>
          </w14:textFill>
        </w:rPr>
        <w:t>s</w:t>
      </w:r>
      <w:r>
        <w:rPr>
          <w:rFonts w:hint="eastAsia" w:ascii="宋体" w:hAnsi="宋体" w:cs="宋体"/>
          <w:color w:val="000000" w:themeColor="text1"/>
          <w:sz w:val="24"/>
          <w:szCs w:val="24"/>
          <w14:textFill>
            <w14:solidFill>
              <w14:schemeClr w14:val="tx1"/>
            </w14:solidFill>
          </w14:textFill>
        </w:rPr>
        <w:t>-预测评价范围内单位年份表层土壤中某种物质的输入量，g；</w:t>
      </w:r>
    </w:p>
    <w:p w14:paraId="582160CF">
      <w:pPr>
        <w:adjustRightInd w:val="0"/>
        <w:snapToGrid w:val="0"/>
        <w:spacing w:line="500" w:lineRule="exact"/>
        <w:ind w:firstLine="1200" w:firstLineChars="5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L</w:t>
      </w:r>
      <w:r>
        <w:rPr>
          <w:rFonts w:hint="eastAsia" w:ascii="宋体" w:hAnsi="宋体" w:cs="宋体"/>
          <w:color w:val="000000" w:themeColor="text1"/>
          <w:sz w:val="24"/>
          <w:szCs w:val="24"/>
          <w:vertAlign w:val="subscript"/>
          <w14:textFill>
            <w14:solidFill>
              <w14:schemeClr w14:val="tx1"/>
            </w14:solidFill>
          </w14:textFill>
        </w:rPr>
        <w:t>s</w:t>
      </w:r>
      <w:r>
        <w:rPr>
          <w:rFonts w:hint="eastAsia" w:ascii="宋体" w:hAnsi="宋体" w:cs="宋体"/>
          <w:color w:val="000000" w:themeColor="text1"/>
          <w:sz w:val="24"/>
          <w:szCs w:val="24"/>
          <w14:textFill>
            <w14:solidFill>
              <w14:schemeClr w14:val="tx1"/>
            </w14:solidFill>
          </w14:textFill>
        </w:rPr>
        <w:t>-预测评价范围内单位年份表层土壤中某种物质经淋溶排出的量，g；</w:t>
      </w:r>
    </w:p>
    <w:p w14:paraId="138BC20A">
      <w:pPr>
        <w:adjustRightInd w:val="0"/>
        <w:snapToGrid w:val="0"/>
        <w:spacing w:line="500" w:lineRule="exact"/>
        <w:ind w:firstLine="1200" w:firstLineChars="5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R</w:t>
      </w:r>
      <w:r>
        <w:rPr>
          <w:rFonts w:hint="eastAsia" w:ascii="宋体" w:hAnsi="宋体" w:cs="宋体"/>
          <w:color w:val="000000" w:themeColor="text1"/>
          <w:sz w:val="24"/>
          <w:szCs w:val="24"/>
          <w:vertAlign w:val="subscript"/>
          <w14:textFill>
            <w14:solidFill>
              <w14:schemeClr w14:val="tx1"/>
            </w14:solidFill>
          </w14:textFill>
        </w:rPr>
        <w:t>s</w:t>
      </w:r>
      <w:r>
        <w:rPr>
          <w:rFonts w:hint="eastAsia" w:ascii="宋体" w:hAnsi="宋体" w:cs="宋体"/>
          <w:color w:val="000000" w:themeColor="text1"/>
          <w:sz w:val="24"/>
          <w:szCs w:val="24"/>
          <w14:textFill>
            <w14:solidFill>
              <w14:schemeClr w14:val="tx1"/>
            </w14:solidFill>
          </w14:textFill>
        </w:rPr>
        <w:t>-预测评价范围内单位年份表层土壤中某种物质经径流排出的量，g；</w:t>
      </w:r>
    </w:p>
    <w:p w14:paraId="739FAF21">
      <w:pPr>
        <w:adjustRightInd w:val="0"/>
        <w:snapToGrid w:val="0"/>
        <w:spacing w:line="500" w:lineRule="exact"/>
        <w:ind w:firstLine="1200" w:firstLineChars="5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ρ</w:t>
      </w:r>
      <w:r>
        <w:rPr>
          <w:rFonts w:hint="eastAsia" w:ascii="宋体" w:hAnsi="宋体" w:cs="宋体"/>
          <w:color w:val="000000" w:themeColor="text1"/>
          <w:sz w:val="24"/>
          <w:szCs w:val="24"/>
          <w:vertAlign w:val="subscript"/>
          <w14:textFill>
            <w14:solidFill>
              <w14:schemeClr w14:val="tx1"/>
            </w14:solidFill>
          </w14:textFill>
        </w:rPr>
        <w:t>b－</w:t>
      </w:r>
      <w:r>
        <w:rPr>
          <w:rFonts w:hint="eastAsia" w:ascii="宋体" w:hAnsi="宋体" w:cs="宋体"/>
          <w:color w:val="000000" w:themeColor="text1"/>
          <w:sz w:val="24"/>
          <w:szCs w:val="24"/>
          <w14:textFill>
            <w14:solidFill>
              <w14:schemeClr w14:val="tx1"/>
            </w14:solidFill>
          </w14:textFill>
        </w:rPr>
        <w:t>表层土壤容重，kg/m</w:t>
      </w:r>
      <w:r>
        <w:rPr>
          <w:rFonts w:hint="eastAsia" w:ascii="宋体" w:hAnsi="宋体" w:cs="宋体"/>
          <w:color w:val="000000" w:themeColor="text1"/>
          <w:sz w:val="24"/>
          <w:szCs w:val="24"/>
          <w:vertAlign w:val="superscript"/>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w:t>
      </w:r>
    </w:p>
    <w:p w14:paraId="500E795A">
      <w:pPr>
        <w:adjustRightInd w:val="0"/>
        <w:snapToGrid w:val="0"/>
        <w:spacing w:line="500" w:lineRule="exact"/>
        <w:ind w:firstLine="1200" w:firstLineChars="5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A－预测评价范围，m</w:t>
      </w:r>
      <w:r>
        <w:rPr>
          <w:rFonts w:hint="eastAsia" w:ascii="宋体" w:hAnsi="宋体" w:cs="宋体"/>
          <w:color w:val="000000" w:themeColor="text1"/>
          <w:sz w:val="24"/>
          <w:szCs w:val="24"/>
          <w:vertAlign w:val="superscript"/>
          <w14:textFill>
            <w14:solidFill>
              <w14:schemeClr w14:val="tx1"/>
            </w14:solidFill>
          </w14:textFill>
        </w:rPr>
        <w:t>2</w:t>
      </w:r>
      <w:r>
        <w:rPr>
          <w:rFonts w:hint="eastAsia" w:ascii="宋体" w:hAnsi="宋体" w:cs="宋体"/>
          <w:color w:val="000000" w:themeColor="text1"/>
          <w:sz w:val="24"/>
          <w:szCs w:val="24"/>
          <w14:textFill>
            <w14:solidFill>
              <w14:schemeClr w14:val="tx1"/>
            </w14:solidFill>
          </w14:textFill>
        </w:rPr>
        <w:t>；</w:t>
      </w:r>
    </w:p>
    <w:p w14:paraId="56524EFB">
      <w:pPr>
        <w:adjustRightInd w:val="0"/>
        <w:snapToGrid w:val="0"/>
        <w:spacing w:line="500" w:lineRule="exact"/>
        <w:ind w:firstLine="1200" w:firstLineChars="5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D－表层土壤深度，一般取0.2m，可根据实际情况适当调整；</w:t>
      </w:r>
    </w:p>
    <w:p w14:paraId="2EACD27E">
      <w:pPr>
        <w:adjustRightInd w:val="0"/>
        <w:snapToGrid w:val="0"/>
        <w:spacing w:line="500" w:lineRule="exact"/>
        <w:ind w:firstLine="1200" w:firstLineChars="5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n－持续年份，a。</w:t>
      </w:r>
    </w:p>
    <w:p w14:paraId="37140769">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②单位质量土壤中某种物质的预测值</w:t>
      </w:r>
    </w:p>
    <w:p w14:paraId="166D269B">
      <w:pPr>
        <w:adjustRightInd w:val="0"/>
        <w:snapToGrid w:val="0"/>
        <w:spacing w:line="500" w:lineRule="exact"/>
        <w:jc w:val="center"/>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S=S</w:t>
      </w:r>
      <w:r>
        <w:rPr>
          <w:rFonts w:hint="eastAsia" w:ascii="宋体" w:hAnsi="宋体" w:cs="宋体"/>
          <w:color w:val="000000" w:themeColor="text1"/>
          <w:sz w:val="24"/>
          <w:szCs w:val="24"/>
          <w:vertAlign w:val="subscript"/>
          <w14:textFill>
            <w14:solidFill>
              <w14:schemeClr w14:val="tx1"/>
            </w14:solidFill>
          </w14:textFill>
        </w:rPr>
        <w:t>b</w:t>
      </w:r>
      <w:r>
        <w:rPr>
          <w:rFonts w:hint="eastAsia" w:ascii="宋体" w:hAnsi="宋体" w:cs="宋体"/>
          <w:color w:val="000000" w:themeColor="text1"/>
          <w:sz w:val="24"/>
          <w:szCs w:val="24"/>
          <w14:textFill>
            <w14:solidFill>
              <w14:schemeClr w14:val="tx1"/>
            </w14:solidFill>
          </w14:textFill>
        </w:rPr>
        <w:t>+△S</w:t>
      </w:r>
    </w:p>
    <w:p w14:paraId="746ECB84">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式中：S-单位质量土壤中某种物质的预测值，g/kg；</w:t>
      </w:r>
    </w:p>
    <w:p w14:paraId="59828488">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 xml:space="preserve">      S</w:t>
      </w:r>
      <w:r>
        <w:rPr>
          <w:rFonts w:hint="eastAsia" w:ascii="宋体" w:hAnsi="宋体" w:cs="宋体"/>
          <w:color w:val="000000" w:themeColor="text1"/>
          <w:sz w:val="24"/>
          <w:szCs w:val="24"/>
          <w:vertAlign w:val="subscript"/>
          <w14:textFill>
            <w14:solidFill>
              <w14:schemeClr w14:val="tx1"/>
            </w14:solidFill>
          </w14:textFill>
        </w:rPr>
        <w:t>b</w:t>
      </w:r>
      <w:r>
        <w:rPr>
          <w:rFonts w:hint="eastAsia" w:ascii="宋体" w:hAnsi="宋体" w:cs="宋体"/>
          <w:color w:val="000000" w:themeColor="text1"/>
          <w:sz w:val="24"/>
          <w:szCs w:val="24"/>
          <w14:textFill>
            <w14:solidFill>
              <w14:schemeClr w14:val="tx1"/>
            </w14:solidFill>
          </w14:textFill>
        </w:rPr>
        <w:t>-单位质量土壤中某种物质的现状值，g/kg。</w:t>
      </w:r>
    </w:p>
    <w:p w14:paraId="7F233FBA">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项目所处区域气候干燥，年降雨量较小，项目考虑最不利情况，Ls和Rs取值均为0，预测评价范围为以泄漏点为中心100m</w:t>
      </w:r>
      <w:r>
        <w:rPr>
          <w:rFonts w:hint="eastAsia" w:ascii="宋体" w:hAnsi="宋体" w:cs="宋体"/>
          <w:color w:val="000000" w:themeColor="text1"/>
          <w:kern w:val="0"/>
          <w:sz w:val="24"/>
          <w:szCs w:val="24"/>
          <w14:textFill>
            <w14:solidFill>
              <w14:schemeClr w14:val="tx1"/>
            </w14:solidFill>
          </w14:textFill>
        </w:rPr>
        <w:t>×1</w:t>
      </w:r>
      <w:r>
        <w:rPr>
          <w:rFonts w:hint="eastAsia" w:ascii="宋体" w:hAnsi="宋体" w:cs="宋体"/>
          <w:color w:val="000000" w:themeColor="text1"/>
          <w:sz w:val="24"/>
          <w:szCs w:val="24"/>
          <w14:textFill>
            <w14:solidFill>
              <w14:schemeClr w14:val="tx1"/>
            </w14:solidFill>
          </w14:textFill>
        </w:rPr>
        <w:t>00m范围，表层土壤容重根据区域土壤理化特性调查取值为</w:t>
      </w:r>
      <w:r>
        <w:rPr>
          <w:rFonts w:hint="eastAsia" w:ascii="宋体" w:hAnsi="宋体" w:cs="宋体"/>
          <w:color w:val="000000" w:themeColor="text1"/>
          <w:spacing w:val="-10"/>
          <w:sz w:val="24"/>
          <w:szCs w:val="24"/>
          <w14:textFill>
            <w14:solidFill>
              <w14:schemeClr w14:val="tx1"/>
            </w14:solidFill>
          </w14:textFill>
        </w:rPr>
        <w:t>1.2×</w:t>
      </w:r>
      <w:r>
        <w:rPr>
          <w:rFonts w:ascii="宋体" w:hAnsi="宋体" w:cs="宋体"/>
          <w:color w:val="000000" w:themeColor="text1"/>
          <w:spacing w:val="-10"/>
          <w:sz w:val="24"/>
          <w:szCs w:val="24"/>
          <w14:textFill>
            <w14:solidFill>
              <w14:schemeClr w14:val="tx1"/>
            </w14:solidFill>
          </w14:textFill>
        </w:rPr>
        <w:t>10</w:t>
      </w:r>
      <w:r>
        <w:rPr>
          <w:rFonts w:ascii="宋体" w:hAnsi="宋体" w:cs="宋体"/>
          <w:color w:val="000000" w:themeColor="text1"/>
          <w:spacing w:val="-10"/>
          <w:sz w:val="24"/>
          <w:szCs w:val="24"/>
          <w:vertAlign w:val="superscript"/>
          <w14:textFill>
            <w14:solidFill>
              <w14:schemeClr w14:val="tx1"/>
            </w14:solidFill>
          </w14:textFill>
        </w:rPr>
        <w:t>3</w:t>
      </w:r>
      <w:r>
        <w:rPr>
          <w:rFonts w:hint="eastAsia" w:ascii="宋体" w:hAnsi="宋体" w:cs="宋体"/>
          <w:color w:val="000000" w:themeColor="text1"/>
          <w:spacing w:val="-10"/>
          <w:sz w:val="24"/>
          <w:szCs w:val="24"/>
          <w14:textFill>
            <w14:solidFill>
              <w14:schemeClr w14:val="tx1"/>
            </w14:solidFill>
          </w14:textFill>
        </w:rPr>
        <w:t>kg/m</w:t>
      </w:r>
      <w:r>
        <w:rPr>
          <w:rFonts w:hint="eastAsia" w:ascii="宋体" w:hAnsi="宋体" w:cs="宋体"/>
          <w:color w:val="000000" w:themeColor="text1"/>
          <w:spacing w:val="-10"/>
          <w:sz w:val="24"/>
          <w:szCs w:val="24"/>
          <w:vertAlign w:val="superscript"/>
          <w14:textFill>
            <w14:solidFill>
              <w14:schemeClr w14:val="tx1"/>
            </w14:solidFill>
          </w14:textFill>
        </w:rPr>
        <w:t>3</w:t>
      </w:r>
      <w:r>
        <w:rPr>
          <w:rFonts w:hint="eastAsia" w:ascii="宋体" w:hAnsi="宋体" w:cs="宋体"/>
          <w:color w:val="000000" w:themeColor="text1"/>
          <w:spacing w:val="-10"/>
          <w:sz w:val="24"/>
          <w:szCs w:val="24"/>
          <w14:textFill>
            <w14:solidFill>
              <w14:schemeClr w14:val="tx1"/>
            </w14:solidFill>
          </w14:textFill>
        </w:rPr>
        <w:t>，根据项目区土壤盐分监测结果，</w:t>
      </w:r>
      <w:r>
        <w:rPr>
          <w:rFonts w:hint="eastAsia" w:ascii="宋体" w:hAnsi="宋体" w:cs="宋体"/>
          <w:color w:val="000000" w:themeColor="text1"/>
          <w:sz w:val="24"/>
          <w:szCs w:val="24"/>
          <w14:textFill>
            <w14:solidFill>
              <w14:schemeClr w14:val="tx1"/>
            </w14:solidFill>
          </w14:textFill>
        </w:rPr>
        <w:t>单位质量土壤中某种物质的现状值为28.8g/kg。</w:t>
      </w:r>
      <w:r>
        <w:rPr>
          <w:rFonts w:hint="eastAsia" w:ascii="宋体" w:hAnsi="宋体" w:cs="宋体"/>
          <w:color w:val="000000" w:themeColor="text1"/>
          <w:spacing w:val="-10"/>
          <w:sz w:val="24"/>
          <w:szCs w:val="24"/>
          <w14:textFill>
            <w14:solidFill>
              <w14:schemeClr w14:val="tx1"/>
            </w14:solidFill>
          </w14:textFill>
        </w:rPr>
        <w:t>预测年份为</w:t>
      </w:r>
      <w:r>
        <w:rPr>
          <w:rFonts w:ascii="宋体" w:hAnsi="宋体" w:cs="宋体"/>
          <w:color w:val="000000" w:themeColor="text1"/>
          <w:spacing w:val="-10"/>
          <w:sz w:val="24"/>
          <w:szCs w:val="24"/>
          <w14:textFill>
            <w14:solidFill>
              <w14:schemeClr w14:val="tx1"/>
            </w14:solidFill>
          </w14:textFill>
        </w:rPr>
        <w:t>1</w:t>
      </w:r>
      <w:r>
        <w:rPr>
          <w:rFonts w:hint="eastAsia" w:ascii="宋体" w:hAnsi="宋体" w:cs="宋体"/>
          <w:color w:val="000000" w:themeColor="text1"/>
          <w:spacing w:val="-10"/>
          <w:sz w:val="24"/>
          <w:szCs w:val="24"/>
          <w14:textFill>
            <w14:solidFill>
              <w14:schemeClr w14:val="tx1"/>
            </w14:solidFill>
          </w14:textFill>
        </w:rPr>
        <w:t>a（</w:t>
      </w:r>
      <w:r>
        <w:rPr>
          <w:rFonts w:ascii="宋体" w:hAnsi="宋体" w:cs="宋体"/>
          <w:color w:val="000000" w:themeColor="text1"/>
          <w:spacing w:val="-10"/>
          <w:sz w:val="24"/>
          <w:szCs w:val="24"/>
          <w14:textFill>
            <w14:solidFill>
              <w14:schemeClr w14:val="tx1"/>
            </w14:solidFill>
          </w14:textFill>
        </w:rPr>
        <w:t>365</w:t>
      </w:r>
      <w:r>
        <w:rPr>
          <w:rFonts w:hint="eastAsia" w:ascii="宋体" w:hAnsi="宋体" w:cs="宋体"/>
          <w:color w:val="000000" w:themeColor="text1"/>
          <w:spacing w:val="-10"/>
          <w:sz w:val="24"/>
          <w:szCs w:val="24"/>
          <w14:textFill>
            <w14:solidFill>
              <w14:schemeClr w14:val="tx1"/>
            </w14:solidFill>
          </w14:textFill>
        </w:rPr>
        <w:t>天）。</w:t>
      </w:r>
    </w:p>
    <w:p w14:paraId="0650B91C">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根据上述计算结果，在</w:t>
      </w:r>
      <w:r>
        <w:rPr>
          <w:rFonts w:ascii="宋体" w:hAnsi="宋体" w:cs="宋体"/>
          <w:color w:val="000000" w:themeColor="text1"/>
          <w:spacing w:val="-10"/>
          <w:sz w:val="24"/>
          <w:szCs w:val="24"/>
          <w14:textFill>
            <w14:solidFill>
              <w14:schemeClr w14:val="tx1"/>
            </w14:solidFill>
          </w14:textFill>
        </w:rPr>
        <w:t>1</w:t>
      </w:r>
      <w:r>
        <w:rPr>
          <w:rFonts w:hint="eastAsia" w:ascii="宋体" w:hAnsi="宋体" w:cs="宋体"/>
          <w:color w:val="000000" w:themeColor="text1"/>
          <w:spacing w:val="-10"/>
          <w:sz w:val="24"/>
          <w:szCs w:val="24"/>
          <w14:textFill>
            <w14:solidFill>
              <w14:schemeClr w14:val="tx1"/>
            </w14:solidFill>
          </w14:textFill>
        </w:rPr>
        <w:t>年内，单位质量土壤中盐分含量的增量为0.0011</w:t>
      </w:r>
      <w:r>
        <w:rPr>
          <w:rFonts w:hint="eastAsia" w:ascii="宋体" w:hAnsi="宋体" w:cs="宋体"/>
          <w:color w:val="000000" w:themeColor="text1"/>
          <w:sz w:val="24"/>
          <w:szCs w:val="24"/>
          <w14:textFill>
            <w14:solidFill>
              <w14:schemeClr w14:val="tx1"/>
            </w14:solidFill>
          </w14:textFill>
        </w:rPr>
        <w:t>g/kg，叠加现状值后的预测值为28.8011g/kg。</w:t>
      </w:r>
    </w:p>
    <w:p w14:paraId="61DA286F">
      <w:pPr>
        <w:adjustRightInd w:val="0"/>
        <w:snapToGrid w:val="0"/>
        <w:spacing w:line="50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从预测结果可知，发生泄漏后，导致泄漏点周边区域土壤中盐分含量有所升高，但在发生泄漏后，吉庆油田作业区按照要求将泄漏点周围区域土壤进行清理，且随着雨水淋溶，区域土壤中增加的盐分含量将逐渐降低直至恢复至平均水平。</w:t>
      </w:r>
    </w:p>
    <w:bookmarkEnd w:id="488"/>
    <w:bookmarkEnd w:id="489"/>
    <w:bookmarkEnd w:id="490"/>
    <w:bookmarkEnd w:id="494"/>
    <w:p w14:paraId="094E0C2F">
      <w:pPr>
        <w:pStyle w:val="8"/>
        <w:rPr>
          <w:rFonts w:hint="eastAsia"/>
          <w:color w:val="000000" w:themeColor="text1"/>
          <w14:textFill>
            <w14:solidFill>
              <w14:schemeClr w14:val="tx1"/>
            </w14:solidFill>
          </w14:textFill>
        </w:rPr>
      </w:pPr>
      <w:bookmarkStart w:id="500" w:name="_Toc475624483"/>
      <w:bookmarkStart w:id="501" w:name="_Toc474793588"/>
      <w:bookmarkStart w:id="502" w:name="_Toc474416145"/>
      <w:r>
        <w:rPr>
          <w:rFonts w:hint="eastAsia"/>
          <w:color w:val="000000" w:themeColor="text1"/>
          <w14:textFill>
            <w14:solidFill>
              <w14:schemeClr w14:val="tx1"/>
            </w14:solidFill>
          </w14:textFill>
        </w:rPr>
        <w:t>运营期生态环境影响分析</w:t>
      </w:r>
    </w:p>
    <w:p w14:paraId="12362318">
      <w:pPr>
        <w:pStyle w:val="537"/>
        <w:rPr>
          <w:rFonts w:hint="eastAsia"/>
          <w:color w:val="000000" w:themeColor="text1"/>
          <w14:textFill>
            <w14:solidFill>
              <w14:schemeClr w14:val="tx1"/>
            </w14:solidFill>
          </w14:textFill>
        </w:rPr>
      </w:pPr>
      <w:bookmarkStart w:id="503" w:name="_Hlk80202844"/>
      <w:r>
        <w:rPr>
          <w:rFonts w:hint="eastAsia"/>
          <w:color w:val="000000" w:themeColor="text1"/>
          <w14:textFill>
            <w14:solidFill>
              <w14:schemeClr w14:val="tx1"/>
            </w14:solidFill>
          </w14:textFill>
        </w:rPr>
        <w:t>运营期不新增占地，临时占地正在进行自然恢复。随着施工人员撤离作业区域，人类活动和占地都将减少，野生动物对新环境适应后的活动和分布范围将恢复。运营期正常的巡检等活动也会对野生动物的生存及栖息造成影响，但是由于作业区加强对环境保护的宣传工作、员工的环保意识，特别是对野生动物的保护意识不断加强，对野生动物不会产生太大影响。</w:t>
      </w:r>
    </w:p>
    <w:p w14:paraId="41ED1627">
      <w:pPr>
        <w:pStyle w:val="8"/>
        <w:rPr>
          <w:rFonts w:hint="eastAsia"/>
          <w:color w:val="000000" w:themeColor="text1"/>
          <w14:textFill>
            <w14:solidFill>
              <w14:schemeClr w14:val="tx1"/>
            </w14:solidFill>
          </w14:textFill>
        </w:rPr>
      </w:pPr>
      <w:bookmarkStart w:id="504" w:name="_Hlk162374973"/>
      <w:r>
        <w:rPr>
          <w:rFonts w:hint="eastAsia"/>
          <w:color w:val="000000" w:themeColor="text1"/>
          <w14:textFill>
            <w14:solidFill>
              <w14:schemeClr w14:val="tx1"/>
            </w14:solidFill>
          </w14:textFill>
        </w:rPr>
        <w:t>温室气体影响分析</w:t>
      </w:r>
    </w:p>
    <w:p w14:paraId="3F77A61E">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温室气体排放会加剧温室效应，导致气候异常、破坏生态环境，进而影响农、林、牧、渔等方方面面，对人类生存环境造成威胁。本工程涉及温室气体排放环节为原油开采过程中CH</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逃逸排放量和净购入电力隐含的CO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排放。项目运营期在工艺技术、节能设备及碳排放管理等方面均采取了</w:t>
      </w:r>
      <w:r>
        <w:rPr>
          <w:rFonts w:hint="eastAsia"/>
          <w:color w:val="000000" w:themeColor="text1"/>
          <w:lang w:eastAsia="zh-CN"/>
          <w14:textFill>
            <w14:solidFill>
              <w14:schemeClr w14:val="tx1"/>
            </w14:solidFill>
          </w14:textFill>
        </w:rPr>
        <w:t>较为</w:t>
      </w:r>
      <w:r>
        <w:rPr>
          <w:rFonts w:hint="eastAsia"/>
          <w:color w:val="000000" w:themeColor="text1"/>
          <w14:textFill>
            <w14:solidFill>
              <w14:schemeClr w14:val="tx1"/>
            </w14:solidFill>
          </w14:textFill>
        </w:rPr>
        <w:t>完善的减污降碳措施，有利于减少二氧化碳排放，对比同类企业碳排放水平，本工程CO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排放强度相对较低，温室气体排放对环境的影响不大。</w:t>
      </w:r>
    </w:p>
    <w:bookmarkEnd w:id="503"/>
    <w:bookmarkEnd w:id="504"/>
    <w:p w14:paraId="6C2C9F78">
      <w:pPr>
        <w:pStyle w:val="7"/>
        <w:rPr>
          <w:rFonts w:hint="eastAsia"/>
          <w:color w:val="000000" w:themeColor="text1"/>
          <w14:textFill>
            <w14:solidFill>
              <w14:schemeClr w14:val="tx1"/>
            </w14:solidFill>
          </w14:textFill>
        </w:rPr>
      </w:pPr>
      <w:bookmarkStart w:id="505" w:name="_Toc19612"/>
      <w:bookmarkStart w:id="506" w:name="_Hlk175263373"/>
      <w:r>
        <w:rPr>
          <w:rFonts w:hint="eastAsia"/>
          <w:color w:val="000000" w:themeColor="text1"/>
          <w14:textFill>
            <w14:solidFill>
              <w14:schemeClr w14:val="tx1"/>
            </w14:solidFill>
          </w14:textFill>
        </w:rPr>
        <w:t>退役期</w:t>
      </w:r>
      <w:r>
        <w:rPr>
          <w:color w:val="000000" w:themeColor="text1"/>
          <w14:textFill>
            <w14:solidFill>
              <w14:schemeClr w14:val="tx1"/>
            </w14:solidFill>
          </w14:textFill>
        </w:rPr>
        <w:t>影响分析</w:t>
      </w:r>
      <w:bookmarkEnd w:id="500"/>
      <w:bookmarkEnd w:id="501"/>
      <w:bookmarkEnd w:id="502"/>
      <w:bookmarkEnd w:id="505"/>
    </w:p>
    <w:bookmarkEnd w:id="506"/>
    <w:p w14:paraId="06EE9EE1">
      <w:pPr>
        <w:pStyle w:val="537"/>
        <w:rPr>
          <w:rFonts w:hint="eastAsia"/>
          <w:color w:val="000000" w:themeColor="text1"/>
          <w14:textFill>
            <w14:solidFill>
              <w14:schemeClr w14:val="tx1"/>
            </w14:solidFill>
          </w14:textFill>
        </w:rPr>
      </w:pPr>
      <w:bookmarkStart w:id="507" w:name="_Hlk175263426"/>
      <w:r>
        <w:rPr>
          <w:rFonts w:hint="eastAsia"/>
          <w:color w:val="000000" w:themeColor="text1"/>
          <w14:textFill>
            <w14:solidFill>
              <w14:schemeClr w14:val="tx1"/>
            </w14:solidFill>
          </w14:textFill>
        </w:rPr>
        <w:t>退役期内，各种机械设备停用，工作人员陆续撤离，大气污染物、废水、噪声及固体废物等对环境的影响将会逐步消失。</w:t>
      </w:r>
    </w:p>
    <w:p w14:paraId="0B51E0F4">
      <w:pPr>
        <w:pStyle w:val="53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退役期的清理工作包括地面设施拆除、井筒用水泥灌注封井、设水泥标桩、井场清理、管线封堵</w:t>
      </w:r>
      <w:r>
        <w:rPr>
          <w:color w:val="000000" w:themeColor="text1"/>
          <w14:textFill>
            <w14:solidFill>
              <w14:schemeClr w14:val="tx1"/>
            </w14:solidFill>
          </w14:textFill>
        </w:rPr>
        <w:t>等。</w:t>
      </w:r>
      <w:r>
        <w:rPr>
          <w:rFonts w:hint="eastAsia"/>
          <w:color w:val="000000" w:themeColor="text1"/>
          <w14:textFill>
            <w14:solidFill>
              <w14:schemeClr w14:val="tx1"/>
            </w14:solidFill>
          </w14:textFill>
        </w:rPr>
        <w:t>项目封井水泥全部由混凝土供应商提供，现场不设置搅拌点。</w:t>
      </w:r>
      <w:r>
        <w:rPr>
          <w:color w:val="000000" w:themeColor="text1"/>
          <w14:textFill>
            <w14:solidFill>
              <w14:schemeClr w14:val="tx1"/>
            </w14:solidFill>
          </w14:textFill>
        </w:rPr>
        <w:t>在</w:t>
      </w:r>
      <w:r>
        <w:rPr>
          <w:rFonts w:hint="eastAsia"/>
          <w:color w:val="000000" w:themeColor="text1"/>
          <w14:textFill>
            <w14:solidFill>
              <w14:schemeClr w14:val="tx1"/>
            </w14:solidFill>
          </w14:textFill>
        </w:rPr>
        <w:t>此过程中</w:t>
      </w:r>
      <w:r>
        <w:rPr>
          <w:color w:val="000000" w:themeColor="text1"/>
          <w14:textFill>
            <w14:solidFill>
              <w14:schemeClr w14:val="tx1"/>
            </w14:solidFill>
          </w14:textFill>
        </w:rPr>
        <w:t>，将会产生少量扬尘</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部分废弃管线</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废弃建筑残渣等固体废物，对这些废弃管线、残渣等进行集中清理收集，管线外运经清洗后可回收再利用，废弃建筑残渣</w:t>
      </w:r>
      <w:r>
        <w:rPr>
          <w:rFonts w:hint="eastAsia"/>
          <w:color w:val="000000" w:themeColor="text1"/>
          <w14:textFill>
            <w14:solidFill>
              <w14:schemeClr w14:val="tx1"/>
            </w14:solidFill>
          </w14:textFill>
        </w:rPr>
        <w:t>收集后交由环卫部门统一处置</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地面设施拆除、井场清理等工作过程中被原油污染的防渗膜以及落地油等危险废物，交由有资质的单位进行无害化处置，不会对周围环境产生影响。固体废物均妥善处理，可以有效控制对区域环境的影响。</w:t>
      </w:r>
    </w:p>
    <w:p w14:paraId="5F2FA17E">
      <w:pPr>
        <w:pStyle w:val="53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经过清理后，永久性占地范围内的水泥平台或砂砾石铺垫被清理，随后根据周边区域的自然现状对其进行恢复，使井场恢复到相对自然的一种状态。油田设施退役后，人员撤离，区域内没有了人为的扰动，井场范围内的自然植被会逐渐得以恢复，有助于区域生态环境的改善。</w:t>
      </w:r>
    </w:p>
    <w:bookmarkEnd w:id="507"/>
    <w:p w14:paraId="41534919">
      <w:pPr>
        <w:pStyle w:val="7"/>
        <w:rPr>
          <w:rFonts w:hint="eastAsia"/>
          <w:color w:val="000000" w:themeColor="text1"/>
          <w14:textFill>
            <w14:solidFill>
              <w14:schemeClr w14:val="tx1"/>
            </w14:solidFill>
          </w14:textFill>
        </w:rPr>
      </w:pPr>
      <w:bookmarkStart w:id="508" w:name="_Toc475624485"/>
      <w:bookmarkStart w:id="509" w:name="_Toc474793590"/>
      <w:bookmarkStart w:id="510" w:name="_Toc27520"/>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风险分析</w:t>
      </w:r>
      <w:bookmarkEnd w:id="508"/>
      <w:bookmarkEnd w:id="509"/>
      <w:bookmarkEnd w:id="510"/>
    </w:p>
    <w:p w14:paraId="33281442">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评价依据</w:t>
      </w:r>
    </w:p>
    <w:p w14:paraId="239DE917">
      <w:pPr>
        <w:pStyle w:val="120"/>
        <w:rPr>
          <w:rFonts w:hint="eastAsia"/>
          <w:color w:val="000000" w:themeColor="text1"/>
          <w14:textFill>
            <w14:solidFill>
              <w14:schemeClr w14:val="tx1"/>
            </w14:solidFill>
          </w14:textFill>
        </w:rPr>
      </w:pPr>
      <w:bookmarkStart w:id="511" w:name="_Hlk175242518"/>
      <w:r>
        <w:rPr>
          <w:rFonts w:hint="eastAsia"/>
          <w:color w:val="000000" w:themeColor="text1"/>
          <w14:textFill>
            <w14:solidFill>
              <w14:schemeClr w14:val="tx1"/>
            </w14:solidFill>
          </w14:textFill>
        </w:rPr>
        <w:t>本项目施工期涉及的危险物质为柴油、危险废物（废润滑油、废润滑油桶、沾油废防渗材料和废危化品包装材料）。施工期涉及的主要风险单元为钻井井场</w:t>
      </w:r>
      <w:bookmarkEnd w:id="511"/>
      <w:r>
        <w:rPr>
          <w:rFonts w:hint="eastAsia" w:cs="宋体"/>
          <w:color w:val="000000" w:themeColor="text1"/>
          <w14:textFill>
            <w14:solidFill>
              <w14:schemeClr w14:val="tx1"/>
            </w14:solidFill>
          </w14:textFill>
        </w:rPr>
        <w:t>。</w:t>
      </w:r>
    </w:p>
    <w:p w14:paraId="7C03EB46">
      <w:pPr>
        <w:pStyle w:val="120"/>
        <w:rPr>
          <w:rFonts w:hint="eastAsia"/>
          <w:color w:val="000000" w:themeColor="text1"/>
          <w14:textFill>
            <w14:solidFill>
              <w14:schemeClr w14:val="tx1"/>
            </w14:solidFill>
          </w14:textFill>
        </w:rPr>
      </w:pPr>
      <w:r>
        <w:rPr>
          <w:color w:val="000000" w:themeColor="text1"/>
          <w:lang w:val="en-US"/>
          <w14:textFill>
            <w14:solidFill>
              <w14:schemeClr w14:val="tx1"/>
            </w14:solidFill>
          </w14:textFill>
        </w:rPr>
        <w:t>运营期危险物质原油、伴生气（甲烷）、废润滑油、废润滑油桶、沾油废防渗材料和废弃的含油抹布、劳保用品。运营期涉及的主要风险单元为井场和单井采油管线。危险物质与临界量的比值（Q值）计算结果详见表2.6-11，其中</w:t>
      </w:r>
      <w:r>
        <w:rPr>
          <w:rFonts w:hint="eastAsia"/>
          <w:color w:val="000000" w:themeColor="text1"/>
          <w:lang w:val="en-US"/>
          <w14:textFill>
            <w14:solidFill>
              <w14:schemeClr w14:val="tx1"/>
            </w14:solidFill>
          </w14:textFill>
        </w:rPr>
        <w:t>施工期Q=0.028，运营期Q=0.0016</w:t>
      </w:r>
      <w:r>
        <w:rPr>
          <w:color w:val="000000" w:themeColor="text1"/>
          <w:lang w:val="en-US"/>
          <w14:textFill>
            <w14:solidFill>
              <w14:schemeClr w14:val="tx1"/>
            </w14:solidFill>
          </w14:textFill>
        </w:rPr>
        <w:t>，均小于1，判断风险潜势为Ⅰ。根据《建设项目环境风险评价技术导则》（HJ169-2018）相关要求，本次评价仅对可能存在的环境风险进行简单分析</w:t>
      </w:r>
      <w:r>
        <w:rPr>
          <w:rFonts w:hint="eastAsia"/>
          <w:color w:val="000000" w:themeColor="text1"/>
          <w14:textFill>
            <w14:solidFill>
              <w14:schemeClr w14:val="tx1"/>
            </w14:solidFill>
          </w14:textFill>
        </w:rPr>
        <w:t>。</w:t>
      </w:r>
      <w:bookmarkStart w:id="512" w:name="_Toc459026585"/>
    </w:p>
    <w:p w14:paraId="3D65C70E">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环境敏感目标</w:t>
      </w:r>
    </w:p>
    <w:p w14:paraId="049229D9">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简单分析不设评价范围，项目区周围无环境风险敏感目标。</w:t>
      </w:r>
    </w:p>
    <w:p w14:paraId="765C216D">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环境风险识别</w:t>
      </w:r>
    </w:p>
    <w:p w14:paraId="477B4A4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物质危险性识别</w:t>
      </w:r>
    </w:p>
    <w:p w14:paraId="5FDCA2F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本项目涉及的风险物质为</w:t>
      </w:r>
      <w:bookmarkStart w:id="513" w:name="_Hlk175242557"/>
      <w:r>
        <w:rPr>
          <w:rFonts w:hint="eastAsia"/>
          <w:color w:val="000000" w:themeColor="text1"/>
          <w14:textFill>
            <w14:solidFill>
              <w14:schemeClr w14:val="tx1"/>
            </w14:solidFill>
          </w14:textFill>
        </w:rPr>
        <w:t>柴油、原油、伴生气、废润滑油、废润滑油桶、沾油废防渗材料</w:t>
      </w:r>
      <w:bookmarkEnd w:id="513"/>
      <w:r>
        <w:rPr>
          <w:rFonts w:hint="eastAsia"/>
          <w:color w:val="000000" w:themeColor="text1"/>
          <w14:textFill>
            <w14:solidFill>
              <w14:schemeClr w14:val="tx1"/>
            </w14:solidFill>
          </w14:textFill>
        </w:rPr>
        <w:t>。柴油、原油、废润滑油、沾油废防渗材料其理化性质均与原油类似，原油和伴生气的主要物化、毒理性质、危险等级划分见表</w:t>
      </w:r>
      <w:r>
        <w:rPr>
          <w:color w:val="000000" w:themeColor="text1"/>
          <w14:textFill>
            <w14:solidFill>
              <w14:schemeClr w14:val="tx1"/>
            </w14:solidFill>
          </w14:textFill>
        </w:rPr>
        <w:t>5.4</w:t>
      </w:r>
      <w:r>
        <w:rPr>
          <w:rFonts w:hint="eastAsia"/>
          <w:color w:val="000000" w:themeColor="text1"/>
          <w14:textFill>
            <w14:solidFill>
              <w14:schemeClr w14:val="tx1"/>
            </w14:solidFill>
          </w14:textFill>
        </w:rPr>
        <w:t>-1。</w:t>
      </w:r>
    </w:p>
    <w:p w14:paraId="6587B461">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5.4</w:t>
      </w:r>
      <w:r>
        <w:rPr>
          <w:rFonts w:hint="eastAsia"/>
          <w:color w:val="000000" w:themeColor="text1"/>
          <w14:textFill>
            <w14:solidFill>
              <w14:schemeClr w14:val="tx1"/>
            </w14:solidFill>
          </w14:textFill>
        </w:rPr>
        <w:t>-1  原油、伴生气的理化性质及危险级别分类情况</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313"/>
        <w:gridCol w:w="730"/>
        <w:gridCol w:w="924"/>
        <w:gridCol w:w="3316"/>
        <w:gridCol w:w="1792"/>
        <w:gridCol w:w="690"/>
        <w:gridCol w:w="965"/>
      </w:tblGrid>
      <w:tr w14:paraId="782CE4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9" w:type="pct"/>
            <w:vAlign w:val="center"/>
          </w:tcPr>
          <w:p w14:paraId="221FCB33">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序号</w:t>
            </w:r>
          </w:p>
        </w:tc>
        <w:tc>
          <w:tcPr>
            <w:tcW w:w="418" w:type="pct"/>
            <w:vAlign w:val="center"/>
          </w:tcPr>
          <w:p w14:paraId="38C334D3">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名称</w:t>
            </w:r>
          </w:p>
        </w:tc>
        <w:tc>
          <w:tcPr>
            <w:tcW w:w="529" w:type="pct"/>
            <w:vAlign w:val="center"/>
          </w:tcPr>
          <w:p w14:paraId="33CE5F91">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组分</w:t>
            </w:r>
          </w:p>
        </w:tc>
        <w:tc>
          <w:tcPr>
            <w:tcW w:w="1898" w:type="pct"/>
            <w:vAlign w:val="center"/>
          </w:tcPr>
          <w:p w14:paraId="0F34FA25">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危险性</w:t>
            </w:r>
          </w:p>
        </w:tc>
        <w:tc>
          <w:tcPr>
            <w:tcW w:w="1026" w:type="pct"/>
            <w:vAlign w:val="center"/>
          </w:tcPr>
          <w:p w14:paraId="7E6D2751">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燃烧爆炸特性</w:t>
            </w:r>
          </w:p>
          <w:p w14:paraId="3C8A5260">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参数</w:t>
            </w:r>
          </w:p>
        </w:tc>
        <w:tc>
          <w:tcPr>
            <w:tcW w:w="395" w:type="pct"/>
            <w:vAlign w:val="center"/>
          </w:tcPr>
          <w:p w14:paraId="218701C5">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危险</w:t>
            </w:r>
          </w:p>
          <w:p w14:paraId="535BB4B0">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级别</w:t>
            </w:r>
          </w:p>
        </w:tc>
        <w:tc>
          <w:tcPr>
            <w:tcW w:w="552" w:type="pct"/>
            <w:vAlign w:val="center"/>
          </w:tcPr>
          <w:p w14:paraId="002FA0C7">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影响</w:t>
            </w:r>
          </w:p>
          <w:p w14:paraId="3E37A7CB">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途径</w:t>
            </w:r>
          </w:p>
        </w:tc>
      </w:tr>
      <w:tr w14:paraId="4644C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9" w:type="pct"/>
            <w:vAlign w:val="center"/>
          </w:tcPr>
          <w:p w14:paraId="6D505EFB">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c>
          <w:tcPr>
            <w:tcW w:w="418" w:type="pct"/>
            <w:vAlign w:val="center"/>
          </w:tcPr>
          <w:p w14:paraId="3F58BD18">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原油</w:t>
            </w:r>
          </w:p>
        </w:tc>
        <w:tc>
          <w:tcPr>
            <w:tcW w:w="529" w:type="pct"/>
            <w:vAlign w:val="center"/>
          </w:tcPr>
          <w:p w14:paraId="4A5B0993">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各种烃类和非烃类化合物所组成的复杂混合物</w:t>
            </w:r>
          </w:p>
        </w:tc>
        <w:tc>
          <w:tcPr>
            <w:tcW w:w="1898" w:type="pct"/>
            <w:vAlign w:val="center"/>
          </w:tcPr>
          <w:p w14:paraId="218B2DA9">
            <w:pPr>
              <w:snapToGrid w:val="0"/>
              <w:spacing w:line="280" w:lineRule="exac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原油本身无明显毒性。遇热分解出有毒烟雾，人体大量吸入可引起危害：有刺激和麻痹作用，急性中毒者有上呼吸道刺激症状。</w:t>
            </w:r>
          </w:p>
        </w:tc>
        <w:tc>
          <w:tcPr>
            <w:tcW w:w="1026" w:type="pct"/>
            <w:vAlign w:val="center"/>
          </w:tcPr>
          <w:p w14:paraId="73637D64">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热值：41870kJ/kg；沸点：300～325℃；闪点：23.5℃；爆炸极限：1.1%～6.4%（V）；自燃点：380～530℃</w:t>
            </w:r>
          </w:p>
        </w:tc>
        <w:tc>
          <w:tcPr>
            <w:tcW w:w="395" w:type="pct"/>
            <w:vAlign w:val="center"/>
          </w:tcPr>
          <w:p w14:paraId="4ACE4CBB">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高闪点液体</w:t>
            </w:r>
          </w:p>
        </w:tc>
        <w:tc>
          <w:tcPr>
            <w:tcW w:w="552" w:type="pct"/>
            <w:vAlign w:val="center"/>
          </w:tcPr>
          <w:p w14:paraId="67626EE2">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大气、地下水、土壤</w:t>
            </w:r>
          </w:p>
        </w:tc>
      </w:tr>
      <w:tr w14:paraId="4706F2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9" w:type="pct"/>
            <w:vAlign w:val="center"/>
          </w:tcPr>
          <w:p w14:paraId="56F3C424">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w:t>
            </w:r>
          </w:p>
        </w:tc>
        <w:tc>
          <w:tcPr>
            <w:tcW w:w="418" w:type="pct"/>
            <w:vAlign w:val="center"/>
          </w:tcPr>
          <w:p w14:paraId="60B87397">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伴生气</w:t>
            </w:r>
          </w:p>
        </w:tc>
        <w:tc>
          <w:tcPr>
            <w:tcW w:w="529" w:type="pct"/>
            <w:vAlign w:val="center"/>
          </w:tcPr>
          <w:p w14:paraId="1F3751E2">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主要成分包括甲烷、乙烷等</w:t>
            </w:r>
          </w:p>
        </w:tc>
        <w:tc>
          <w:tcPr>
            <w:tcW w:w="1898" w:type="pct"/>
            <w:vAlign w:val="center"/>
          </w:tcPr>
          <w:p w14:paraId="284CFF67">
            <w:pPr>
              <w:snapToGrid w:val="0"/>
              <w:spacing w:line="280" w:lineRule="exac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伴生气主要成分为天然气。天然气中含有的甲烷，是一种无毒气体，当空气中大量弥漫这种气体时会使人因氧气不足而呼吸困难，进而失去知觉、昏迷甚至残废。</w:t>
            </w:r>
          </w:p>
        </w:tc>
        <w:tc>
          <w:tcPr>
            <w:tcW w:w="1026" w:type="pct"/>
            <w:vAlign w:val="center"/>
          </w:tcPr>
          <w:p w14:paraId="2CEEE404">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热值：50009kJ/kg；爆炸极限：5%～14%（V）；自燃点：482～632℃</w:t>
            </w:r>
          </w:p>
        </w:tc>
        <w:tc>
          <w:tcPr>
            <w:tcW w:w="395" w:type="pct"/>
            <w:vAlign w:val="center"/>
          </w:tcPr>
          <w:p w14:paraId="63AE3FDF">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易燃气体</w:t>
            </w:r>
          </w:p>
        </w:tc>
        <w:tc>
          <w:tcPr>
            <w:tcW w:w="552" w:type="pct"/>
            <w:vAlign w:val="center"/>
          </w:tcPr>
          <w:p w14:paraId="2ED546B9">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大气</w:t>
            </w:r>
          </w:p>
        </w:tc>
      </w:tr>
      <w:tr w14:paraId="75774D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9" w:type="pct"/>
            <w:vAlign w:val="center"/>
          </w:tcPr>
          <w:p w14:paraId="709533FD">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w:t>
            </w:r>
          </w:p>
        </w:tc>
        <w:tc>
          <w:tcPr>
            <w:tcW w:w="418" w:type="pct"/>
            <w:vAlign w:val="center"/>
          </w:tcPr>
          <w:p w14:paraId="26F86666">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柴油</w:t>
            </w:r>
          </w:p>
        </w:tc>
        <w:tc>
          <w:tcPr>
            <w:tcW w:w="529" w:type="pct"/>
            <w:vAlign w:val="center"/>
          </w:tcPr>
          <w:p w14:paraId="227D29B4">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复杂烃类（碳原子数约10～22）混合物</w:t>
            </w:r>
          </w:p>
        </w:tc>
        <w:tc>
          <w:tcPr>
            <w:tcW w:w="1898" w:type="pct"/>
            <w:vAlign w:val="center"/>
          </w:tcPr>
          <w:p w14:paraId="36B59F48">
            <w:pPr>
              <w:snapToGrid w:val="0"/>
              <w:spacing w:line="280" w:lineRule="exac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柴油的毒性类似于煤油，但由于添加剂（如硫化酯类）的影响，毒性比煤油略大，主要有麻醉和刺激作用。柴油的雾滴吸入后可致吸入性肺炎，皮肤接触柴油可致接触性皮炎。</w:t>
            </w:r>
          </w:p>
        </w:tc>
        <w:tc>
          <w:tcPr>
            <w:tcW w:w="1026" w:type="pct"/>
            <w:vAlign w:val="center"/>
          </w:tcPr>
          <w:p w14:paraId="70AC4C2B">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热值：3.3×10</w:t>
            </w:r>
            <w:r>
              <w:rPr>
                <w:rFonts w:hint="eastAsia" w:ascii="宋体" w:hAnsi="宋体" w:cs="宋体"/>
                <w:color w:val="000000" w:themeColor="text1"/>
                <w:szCs w:val="21"/>
                <w:vertAlign w:val="superscript"/>
                <w14:textFill>
                  <w14:solidFill>
                    <w14:schemeClr w14:val="tx1"/>
                  </w14:solidFill>
                </w14:textFill>
              </w:rPr>
              <w:t>4</w:t>
            </w:r>
            <w:r>
              <w:rPr>
                <w:rFonts w:hint="eastAsia" w:ascii="宋体" w:hAnsi="宋体" w:cs="宋体"/>
                <w:color w:val="000000" w:themeColor="text1"/>
                <w:szCs w:val="21"/>
                <w14:textFill>
                  <w14:solidFill>
                    <w14:schemeClr w14:val="tx1"/>
                  </w14:solidFill>
                </w14:textFill>
              </w:rPr>
              <w:t>kJ/L；沸点范围：180～370℃和350～410℃；两类闪点：38℃</w:t>
            </w:r>
          </w:p>
        </w:tc>
        <w:tc>
          <w:tcPr>
            <w:tcW w:w="395" w:type="pct"/>
            <w:vAlign w:val="center"/>
          </w:tcPr>
          <w:p w14:paraId="1CF3049C">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高闪点液体</w:t>
            </w:r>
          </w:p>
        </w:tc>
        <w:tc>
          <w:tcPr>
            <w:tcW w:w="552" w:type="pct"/>
            <w:vAlign w:val="center"/>
          </w:tcPr>
          <w:p w14:paraId="3204993C">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大气、地下水、土壤</w:t>
            </w:r>
          </w:p>
        </w:tc>
      </w:tr>
      <w:tr w14:paraId="5E2AE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9" w:type="pct"/>
            <w:vAlign w:val="center"/>
          </w:tcPr>
          <w:p w14:paraId="7CF7CFC7">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w:t>
            </w:r>
          </w:p>
        </w:tc>
        <w:tc>
          <w:tcPr>
            <w:tcW w:w="418" w:type="pct"/>
            <w:vAlign w:val="center"/>
          </w:tcPr>
          <w:p w14:paraId="49EB02A6">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olor w:val="000000" w:themeColor="text1"/>
                <w14:textFill>
                  <w14:solidFill>
                    <w14:schemeClr w14:val="tx1"/>
                  </w14:solidFill>
                </w14:textFill>
              </w:rPr>
              <w:t>CO</w:t>
            </w:r>
          </w:p>
        </w:tc>
        <w:tc>
          <w:tcPr>
            <w:tcW w:w="529" w:type="pct"/>
            <w:vAlign w:val="center"/>
          </w:tcPr>
          <w:p w14:paraId="57D16FCC">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olor w:val="000000" w:themeColor="text1"/>
                <w14:textFill>
                  <w14:solidFill>
                    <w14:schemeClr w14:val="tx1"/>
                  </w14:solidFill>
                </w14:textFill>
              </w:rPr>
              <w:t>CO</w:t>
            </w:r>
          </w:p>
        </w:tc>
        <w:tc>
          <w:tcPr>
            <w:tcW w:w="1898" w:type="pct"/>
            <w:vAlign w:val="center"/>
          </w:tcPr>
          <w:p w14:paraId="18BAC89E">
            <w:pPr>
              <w:pStyle w:val="539"/>
              <w:rPr>
                <w:rFonts w:hint="eastAsia" w:ascii="宋体" w:eastAsia="宋体"/>
                <w:color w:val="000000" w:themeColor="text1"/>
                <w:lang w:eastAsia="zh-CN"/>
                <w14:textFill>
                  <w14:solidFill>
                    <w14:schemeClr w14:val="tx1"/>
                  </w14:solidFill>
                </w14:textFill>
              </w:rPr>
            </w:pPr>
            <w:r>
              <w:rPr>
                <w:rFonts w:hint="eastAsia" w:ascii="宋体" w:eastAsia="宋体"/>
                <w:color w:val="000000" w:themeColor="text1"/>
                <w:lang w:eastAsia="zh-CN"/>
                <w14:textFill>
                  <w14:solidFill>
                    <w14:schemeClr w14:val="tx1"/>
                  </w14:solidFill>
                </w14:textFill>
              </w:rPr>
              <w:t>危险特性：是一种易燃易爆气体。与空气混合能形成爆炸性混合物，遇明火、高热能引起燃烧爆炸。</w:t>
            </w:r>
          </w:p>
          <w:p w14:paraId="50AF1144">
            <w:pPr>
              <w:snapToGrid w:val="0"/>
              <w:spacing w:line="280" w:lineRule="exact"/>
              <w:rPr>
                <w:rFonts w:hint="eastAsia" w:ascii="宋体" w:hAnsi="宋体" w:cs="宋体"/>
                <w:color w:val="000000" w:themeColor="text1"/>
                <w:szCs w:val="21"/>
                <w14:textFill>
                  <w14:solidFill>
                    <w14:schemeClr w14:val="tx1"/>
                  </w14:solidFill>
                </w14:textFill>
              </w:rPr>
            </w:pPr>
            <w:r>
              <w:rPr>
                <w:rFonts w:hint="eastAsia" w:ascii="宋体"/>
                <w:color w:val="000000" w:themeColor="text1"/>
                <w14:textFill>
                  <w14:solidFill>
                    <w14:schemeClr w14:val="tx1"/>
                  </w14:solidFill>
                </w14:textFill>
              </w:rPr>
              <w:t>健康危害：一氧化碳在血中与血红蛋白结合而造成组织缺氧。急性中毒：轻度中毒者出现头痛、耳鸣、心悸、呕吐、无力，血液碳氧血红蛋白浓度可高于10%；中度中毒者除上述症状外，还有皮肤黏膜呈樱红色、脉快、烦躁、步态不稳、浅至中度昏迷，血液碳氧血红蛋白浓度可高于30%；重度患者深度昏迷、瞳孔缩小、肌张力增强、频繁抽搐、大小便失禁、休克、严重心肌损害等，血液碳氧血红蛋白可高于50%。慢性影响：能否造成慢性中毒及对心血管影响无定论。</w:t>
            </w:r>
          </w:p>
        </w:tc>
        <w:tc>
          <w:tcPr>
            <w:tcW w:w="1026" w:type="pct"/>
            <w:vAlign w:val="center"/>
          </w:tcPr>
          <w:p w14:paraId="67363C8F">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color w:val="000000" w:themeColor="text1"/>
                <w14:textFill>
                  <w14:solidFill>
                    <w14:schemeClr w14:val="tx1"/>
                  </w14:solidFill>
                </w14:textFill>
              </w:rPr>
              <w:t>常温下为无色无味气体；沸点：-191.5℃，难溶于水，爆炸极限（V%）：12.5～74.2，燃烧产物为二氧化碳。</w:t>
            </w:r>
          </w:p>
        </w:tc>
        <w:tc>
          <w:tcPr>
            <w:tcW w:w="395" w:type="pct"/>
            <w:vAlign w:val="center"/>
          </w:tcPr>
          <w:p w14:paraId="26BE3881">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color w:val="000000" w:themeColor="text1"/>
                <w14:textFill>
                  <w14:solidFill>
                    <w14:schemeClr w14:val="tx1"/>
                  </w14:solidFill>
                </w14:textFill>
              </w:rPr>
              <w:t>易燃气体</w:t>
            </w:r>
          </w:p>
        </w:tc>
        <w:tc>
          <w:tcPr>
            <w:tcW w:w="552" w:type="pct"/>
            <w:vAlign w:val="center"/>
          </w:tcPr>
          <w:p w14:paraId="6A8A7EAF">
            <w:pPr>
              <w:snapToGrid w:val="0"/>
              <w:spacing w:line="280" w:lineRule="exac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大气</w:t>
            </w:r>
          </w:p>
        </w:tc>
      </w:tr>
    </w:tbl>
    <w:p w14:paraId="2EE8F1E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生产设施危险性识别</w:t>
      </w:r>
    </w:p>
    <w:p w14:paraId="7B50221F">
      <w:pPr>
        <w:overflowPunct w:val="0"/>
        <w:adjustRightInd w:val="0"/>
        <w:snapToGrid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①井漏、井喷事故</w:t>
      </w:r>
    </w:p>
    <w:p w14:paraId="4C39E636">
      <w:pPr>
        <w:pStyle w:val="120"/>
        <w:adjustRightInd w:val="0"/>
        <w:snapToGrid w:val="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井场主要发生的风险事故为井喷、井漏及钻井期柴油储罐泄漏。井喷主要是在钻井或井下作业中发生的事故。本项目中，在钻井和井下作业过程中由于地层压力不稳、封井不严或者井控设备失灵，均可能发生井喷事故；发生井喷事故时，伴生气、原油和地层水一同冲出井口，很容易发生爆炸和火灾事故。井漏主要由于生产井固井质量不好，井下作业</w:t>
      </w:r>
      <w:r>
        <w:rPr>
          <w:rFonts w:hint="eastAsia"/>
          <w:color w:val="000000" w:themeColor="text1"/>
          <w:lang w:eastAsia="zh-CN"/>
          <w14:textFill>
            <w14:solidFill>
              <w14:schemeClr w14:val="tx1"/>
            </w14:solidFill>
          </w14:textFill>
        </w:rPr>
        <w:t>时</w:t>
      </w:r>
      <w:r>
        <w:rPr>
          <w:rFonts w:hint="eastAsia"/>
          <w:color w:val="000000" w:themeColor="text1"/>
          <w14:textFill>
            <w14:solidFill>
              <w14:schemeClr w14:val="tx1"/>
            </w14:solidFill>
          </w14:textFill>
        </w:rPr>
        <w:t>可能引发油水窜层，污染地下水。钻井期柴油储罐因质量、操作运行和管理等环节存在缺陷和失误，可能会发生泄漏，对周围地下水、土壤、大气等环境造成污染。</w:t>
      </w:r>
    </w:p>
    <w:p w14:paraId="644195A2">
      <w:pPr>
        <w:overflowPunct w:val="0"/>
        <w:adjustRightInd w:val="0"/>
        <w:snapToGrid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②施工期各类储罐危险性识别</w:t>
      </w:r>
    </w:p>
    <w:p w14:paraId="431656E5">
      <w:pPr>
        <w:overflowPunct w:val="0"/>
        <w:adjustRightInd w:val="0"/>
        <w:snapToGrid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施工期柴油储罐发生泄漏后，柴油中的油类物质挥发产生的非甲烷总烃进入环境空气可能会对周围环境空气产生影响。若遇明火，可发生火灾、爆炸，且火灾、爆炸产生的伴生、次生污染物也会对环境空气产生一定影响。</w:t>
      </w:r>
    </w:p>
    <w:p w14:paraId="4B107060">
      <w:pPr>
        <w:overflowPunct w:val="0"/>
        <w:adjustRightInd w:val="0"/>
        <w:snapToGrid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泄漏的油类物质可使土壤透气性下降、土壤理化性状发生变化，导致土壤中石油类污染物增加，造成土地肥力下降、改变土壤的理化性质，从而影响土壤的正常结构和功能。</w:t>
      </w:r>
    </w:p>
    <w:p w14:paraId="50B3DCE7">
      <w:pPr>
        <w:overflowPunct w:val="0"/>
        <w:adjustRightInd w:val="0"/>
        <w:snapToGrid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当泄漏事故不可控时，泄漏的油品经土层渗漏，通过包气带进入含水层，发生渗漏污染地下水的风险事故。</w:t>
      </w:r>
    </w:p>
    <w:p w14:paraId="1F2E7571">
      <w:pPr>
        <w:overflowPunct w:val="0"/>
        <w:adjustRightInd w:val="0"/>
        <w:snapToGrid w:val="0"/>
        <w:spacing w:line="500" w:lineRule="exact"/>
        <w:ind w:firstLine="480"/>
        <w:rPr>
          <w:rFonts w:hint="eastAsia" w:ascii="宋体" w:hAnsi="宋体"/>
          <w:color w:val="000000" w:themeColor="text1"/>
          <w:sz w:val="24"/>
          <w:szCs w:val="24"/>
          <w14:textFill>
            <w14:solidFill>
              <w14:schemeClr w14:val="tx1"/>
            </w14:solidFill>
          </w14:textFill>
        </w:rPr>
      </w:pPr>
      <w:bookmarkStart w:id="514" w:name="_Hlk37930210"/>
      <w:r>
        <w:rPr>
          <w:rFonts w:hint="eastAsia" w:ascii="宋体" w:hAnsi="宋体"/>
          <w:color w:val="000000" w:themeColor="text1"/>
          <w:sz w:val="24"/>
          <w:szCs w:val="24"/>
          <w:lang w:val="en-US" w:eastAsia="zh-CN"/>
          <w14:textFill>
            <w14:solidFill>
              <w14:schemeClr w14:val="tx1"/>
            </w14:solidFill>
          </w14:textFill>
        </w:rPr>
        <w:t>③</w:t>
      </w:r>
      <w:r>
        <w:rPr>
          <w:rFonts w:hint="eastAsia" w:ascii="宋体" w:hAnsi="宋体"/>
          <w:color w:val="000000" w:themeColor="text1"/>
          <w:sz w:val="24"/>
          <w:szCs w:val="24"/>
          <w14:textFill>
            <w14:solidFill>
              <w14:schemeClr w14:val="tx1"/>
            </w14:solidFill>
          </w14:textFill>
        </w:rPr>
        <w:t>管线危险性识别</w:t>
      </w:r>
    </w:p>
    <w:p w14:paraId="545C3CA0">
      <w:pPr>
        <w:overflowPunct w:val="0"/>
        <w:adjustRightInd w:val="0"/>
        <w:snapToGrid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单井采油管线、</w:t>
      </w:r>
      <w:r>
        <w:rPr>
          <w:rFonts w:hint="eastAsia" w:ascii="宋体" w:hAnsi="宋体"/>
          <w:color w:val="000000" w:themeColor="text1"/>
          <w:sz w:val="24"/>
          <w:szCs w:val="24"/>
          <w:lang w:val="en-US" w:eastAsia="zh-CN"/>
          <w14:textFill>
            <w14:solidFill>
              <w14:schemeClr w14:val="tx1"/>
            </w14:solidFill>
          </w14:textFill>
        </w:rPr>
        <w:t>单井掺热水管线和单井注水管线</w:t>
      </w:r>
      <w:r>
        <w:rPr>
          <w:rFonts w:hint="eastAsia" w:ascii="宋体" w:hAnsi="宋体"/>
          <w:color w:val="000000" w:themeColor="text1"/>
          <w:sz w:val="24"/>
          <w:szCs w:val="24"/>
          <w14:textFill>
            <w14:solidFill>
              <w14:schemeClr w14:val="tx1"/>
            </w14:solidFill>
          </w14:textFill>
        </w:rPr>
        <w:t>等因管线本身的设计、管材制造、施工、操作运行和管理等各环节都可能存在着缺陷和失误，所有这些因素都可能导致事故的发生。发生的事故主要为管线破裂造成的原油、伴生气</w:t>
      </w:r>
      <w:r>
        <w:rPr>
          <w:rFonts w:hint="eastAsia" w:ascii="宋体" w:hAnsi="宋体"/>
          <w:color w:val="000000" w:themeColor="text1"/>
          <w:sz w:val="24"/>
          <w:szCs w:val="24"/>
          <w:lang w:val="en-US" w:eastAsia="zh-CN"/>
          <w14:textFill>
            <w14:solidFill>
              <w14:schemeClr w14:val="tx1"/>
            </w14:solidFill>
          </w14:textFill>
        </w:rPr>
        <w:t>和净化后的采出水</w:t>
      </w:r>
      <w:r>
        <w:rPr>
          <w:rFonts w:hint="eastAsia" w:ascii="宋体" w:hAnsi="宋体"/>
          <w:color w:val="000000" w:themeColor="text1"/>
          <w:sz w:val="24"/>
          <w:szCs w:val="24"/>
          <w14:textFill>
            <w14:solidFill>
              <w14:schemeClr w14:val="tx1"/>
            </w14:solidFill>
          </w14:textFill>
        </w:rPr>
        <w:t>泄漏，对周围土壤环境、地下水环境和大气环境造成直接污染。</w:t>
      </w:r>
    </w:p>
    <w:bookmarkEnd w:id="514"/>
    <w:p w14:paraId="718EB863">
      <w:pPr>
        <w:overflowPunct w:val="0"/>
        <w:adjustRightInd w:val="0"/>
        <w:snapToGrid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④</w:t>
      </w:r>
      <w:r>
        <w:rPr>
          <w:rFonts w:hint="eastAsia" w:ascii="宋体" w:hAnsi="宋体"/>
          <w:color w:val="000000" w:themeColor="text1"/>
          <w:sz w:val="24"/>
          <w:szCs w:val="24"/>
          <w14:textFill>
            <w14:solidFill>
              <w14:schemeClr w14:val="tx1"/>
            </w14:solidFill>
          </w14:textFill>
        </w:rPr>
        <w:t>压裂液泄漏事故识别</w:t>
      </w:r>
    </w:p>
    <w:p w14:paraId="0B44AE3F">
      <w:pPr>
        <w:kinsoku w:val="0"/>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井下作业时，压裂液配置完成后由罐车拉运至井场，罐体可能因腐蚀过薄甚至穿孔、焊缝开裂、密封损坏、附件失灵等原因造成酸化液和压裂液泄漏。</w:t>
      </w:r>
    </w:p>
    <w:p w14:paraId="42914F4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（3）风险</w:t>
      </w:r>
      <w:r>
        <w:rPr>
          <w:color w:val="000000" w:themeColor="text1"/>
          <w14:textFill>
            <w14:solidFill>
              <w14:schemeClr w14:val="tx1"/>
            </w14:solidFill>
          </w14:textFill>
        </w:rPr>
        <w:t>类型</w:t>
      </w:r>
      <w:r>
        <w:rPr>
          <w:rFonts w:hint="eastAsia"/>
          <w:color w:val="000000" w:themeColor="text1"/>
          <w14:textFill>
            <w14:solidFill>
              <w14:schemeClr w14:val="tx1"/>
            </w14:solidFill>
          </w14:textFill>
        </w:rPr>
        <w:t>识别</w:t>
      </w:r>
    </w:p>
    <w:p w14:paraId="1AB27587">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bookmarkStart w:id="515" w:name="_Hlk148008357"/>
      <w:r>
        <w:rPr>
          <w:rFonts w:hint="eastAsia" w:ascii="宋体" w:hAnsi="宋体"/>
          <w:color w:val="000000" w:themeColor="text1"/>
          <w:sz w:val="24"/>
          <w:szCs w:val="24"/>
          <w14:textFill>
            <w14:solidFill>
              <w14:schemeClr w14:val="tx1"/>
            </w14:solidFill>
          </w14:textFill>
        </w:rPr>
        <w:t>环境风险类型</w:t>
      </w:r>
      <w:r>
        <w:rPr>
          <w:rFonts w:ascii="宋体" w:hAnsi="宋体"/>
          <w:color w:val="000000" w:themeColor="text1"/>
          <w:sz w:val="24"/>
          <w:szCs w:val="24"/>
          <w14:textFill>
            <w14:solidFill>
              <w14:schemeClr w14:val="tx1"/>
            </w14:solidFill>
          </w14:textFill>
        </w:rPr>
        <w:t>主要</w:t>
      </w:r>
      <w:r>
        <w:rPr>
          <w:rFonts w:hint="eastAsia" w:ascii="宋体" w:hAnsi="宋体"/>
          <w:color w:val="000000" w:themeColor="text1"/>
          <w:sz w:val="24"/>
          <w:szCs w:val="24"/>
          <w14:textFill>
            <w14:solidFill>
              <w14:schemeClr w14:val="tx1"/>
            </w14:solidFill>
          </w14:textFill>
        </w:rPr>
        <w:t>为柴油、原油、伴生气和危险废物泄漏，</w:t>
      </w:r>
      <w:r>
        <w:rPr>
          <w:rFonts w:ascii="宋体" w:hAnsi="宋体"/>
          <w:color w:val="000000" w:themeColor="text1"/>
          <w:sz w:val="24"/>
          <w:szCs w:val="24"/>
          <w14:textFill>
            <w14:solidFill>
              <w14:schemeClr w14:val="tx1"/>
            </w14:solidFill>
          </w14:textFill>
        </w:rPr>
        <w:t>火灾</w:t>
      </w:r>
      <w:r>
        <w:rPr>
          <w:rFonts w:hint="eastAsia" w:ascii="宋体" w:hAnsi="宋体"/>
          <w:color w:val="000000" w:themeColor="text1"/>
          <w:sz w:val="24"/>
          <w:szCs w:val="24"/>
          <w14:textFill>
            <w14:solidFill>
              <w14:schemeClr w14:val="tx1"/>
            </w14:solidFill>
          </w14:textFill>
        </w:rPr>
        <w:t>、</w:t>
      </w:r>
      <w:r>
        <w:rPr>
          <w:rFonts w:ascii="宋体" w:hAnsi="宋体"/>
          <w:color w:val="000000" w:themeColor="text1"/>
          <w:sz w:val="24"/>
          <w:szCs w:val="24"/>
          <w14:textFill>
            <w14:solidFill>
              <w14:schemeClr w14:val="tx1"/>
            </w14:solidFill>
          </w14:textFill>
        </w:rPr>
        <w:t>爆炸</w:t>
      </w:r>
      <w:r>
        <w:rPr>
          <w:rFonts w:hint="eastAsia" w:ascii="宋体" w:hAnsi="宋体"/>
          <w:color w:val="000000" w:themeColor="text1"/>
          <w:sz w:val="24"/>
          <w:szCs w:val="24"/>
          <w14:textFill>
            <w14:solidFill>
              <w14:schemeClr w14:val="tx1"/>
            </w14:solidFill>
          </w14:textFill>
        </w:rPr>
        <w:t>等引发的伴生/次生污染物排放。</w:t>
      </w:r>
    </w:p>
    <w:bookmarkEnd w:id="515"/>
    <w:p w14:paraId="51BB3302">
      <w:pPr>
        <w:overflowPunct w:val="0"/>
        <w:spacing w:line="500" w:lineRule="exact"/>
        <w:ind w:firstLine="48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（4）危险物质向环境转移的可能途径和影响方式</w:t>
      </w:r>
    </w:p>
    <w:p w14:paraId="5EFAA42C">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施工期柴油储罐发生泄漏或发生井喷事故，泄漏的柴油中的油品对大气、土壤和地下水环境产生一定的影响。</w:t>
      </w:r>
    </w:p>
    <w:p w14:paraId="15A0AA6C">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运营期井场内设备和管线发生破损造成</w:t>
      </w:r>
      <w:bookmarkStart w:id="516" w:name="_Hlk148008400"/>
      <w:r>
        <w:rPr>
          <w:rFonts w:hint="eastAsia" w:ascii="宋体" w:hAnsi="宋体"/>
          <w:color w:val="000000" w:themeColor="text1"/>
          <w:sz w:val="24"/>
          <w:szCs w:val="24"/>
          <w14:textFill>
            <w14:solidFill>
              <w14:schemeClr w14:val="tx1"/>
            </w14:solidFill>
          </w14:textFill>
        </w:rPr>
        <w:t>原油</w:t>
      </w:r>
      <w:r>
        <w:rPr>
          <w:rFonts w:hint="eastAsia" w:ascii="宋体" w:hAnsi="宋体"/>
          <w:color w:val="000000" w:themeColor="text1"/>
          <w:sz w:val="24"/>
          <w:szCs w:val="24"/>
          <w:lang w:eastAsia="zh-CN"/>
          <w14:textFill>
            <w14:solidFill>
              <w14:schemeClr w14:val="tx1"/>
            </w14:solidFill>
          </w14:textFill>
        </w:rPr>
        <w:t>、</w:t>
      </w:r>
      <w:r>
        <w:rPr>
          <w:rFonts w:hint="eastAsia" w:ascii="宋体" w:hAnsi="宋体"/>
          <w:color w:val="000000" w:themeColor="text1"/>
          <w:sz w:val="24"/>
          <w:szCs w:val="24"/>
          <w14:textFill>
            <w14:solidFill>
              <w14:schemeClr w14:val="tx1"/>
            </w14:solidFill>
          </w14:textFill>
        </w:rPr>
        <w:t>伴生气</w:t>
      </w:r>
      <w:r>
        <w:rPr>
          <w:rFonts w:hint="eastAsia" w:ascii="宋体" w:hAnsi="宋体"/>
          <w:color w:val="000000" w:themeColor="text1"/>
          <w:sz w:val="24"/>
          <w:szCs w:val="24"/>
          <w:lang w:val="en-US" w:eastAsia="zh-CN"/>
          <w14:textFill>
            <w14:solidFill>
              <w14:schemeClr w14:val="tx1"/>
            </w14:solidFill>
          </w14:textFill>
        </w:rPr>
        <w:t>和净化后的采出水</w:t>
      </w:r>
      <w:r>
        <w:rPr>
          <w:rFonts w:hint="eastAsia" w:ascii="宋体" w:hAnsi="宋体"/>
          <w:color w:val="000000" w:themeColor="text1"/>
          <w:sz w:val="24"/>
          <w:szCs w:val="24"/>
          <w14:textFill>
            <w14:solidFill>
              <w14:schemeClr w14:val="tx1"/>
            </w14:solidFill>
          </w14:textFill>
        </w:rPr>
        <w:t>发生泄漏，污染土壤和大气，泄漏原油可能通过包气带渗漏进入地下含水层，污染地下水；泄漏的油气若遇明火，发生火灾、爆炸，污染大气环境。</w:t>
      </w:r>
    </w:p>
    <w:bookmarkEnd w:id="516"/>
    <w:p w14:paraId="4FB6AAC7">
      <w:pPr>
        <w:pStyle w:val="8"/>
        <w:rPr>
          <w:rFonts w:hint="eastAsia"/>
          <w:color w:val="000000" w:themeColor="text1"/>
          <w14:textFill>
            <w14:solidFill>
              <w14:schemeClr w14:val="tx1"/>
            </w14:solidFill>
          </w14:textFill>
        </w:rPr>
      </w:pPr>
      <w:bookmarkStart w:id="517" w:name="_Hlk175252814"/>
      <w:bookmarkStart w:id="518" w:name="_Hlk521702572"/>
      <w:r>
        <w:rPr>
          <w:rFonts w:hint="eastAsia"/>
          <w:color w:val="000000" w:themeColor="text1"/>
          <w14:textFill>
            <w14:solidFill>
              <w14:schemeClr w14:val="tx1"/>
            </w14:solidFill>
          </w14:textFill>
        </w:rPr>
        <w:t>环境风险分析</w:t>
      </w:r>
    </w:p>
    <w:bookmarkEnd w:id="517"/>
    <w:p w14:paraId="3BE168DB">
      <w:pPr>
        <w:pStyle w:val="120"/>
        <w:ind w:firstLine="480"/>
        <w:rPr>
          <w:rFonts w:hint="eastAsia"/>
          <w:color w:val="000000" w:themeColor="text1"/>
          <w14:textFill>
            <w14:solidFill>
              <w14:schemeClr w14:val="tx1"/>
            </w14:solidFill>
          </w14:textFill>
        </w:rPr>
      </w:pPr>
      <w:bookmarkStart w:id="519" w:name="_Hlk217135197"/>
      <w:bookmarkStart w:id="520" w:name="_Hlk147587756"/>
      <w:r>
        <w:rPr>
          <w:rFonts w:hint="eastAsia"/>
          <w:color w:val="000000" w:themeColor="text1"/>
          <w14:textFill>
            <w14:solidFill>
              <w14:schemeClr w14:val="tx1"/>
            </w14:solidFill>
          </w14:textFill>
        </w:rPr>
        <w:t>（1）施工期环境风险分析</w:t>
      </w:r>
    </w:p>
    <w:p w14:paraId="51807B44">
      <w:pPr>
        <w:pStyle w:val="391"/>
        <w:ind w:firstLine="480"/>
        <w:rPr>
          <w:rFonts w:hint="eastAsia" w:ascii="宋体" w:hAnsi="宋体"/>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r>
        <w:rPr>
          <w:rFonts w:ascii="宋体" w:hAnsi="宋体"/>
          <w:color w:val="000000" w:themeColor="text1"/>
          <w14:textFill>
            <w14:solidFill>
              <w14:schemeClr w14:val="tx1"/>
            </w14:solidFill>
          </w14:textFill>
        </w:rPr>
        <w:t>环境风险</w:t>
      </w:r>
      <w:r>
        <w:rPr>
          <w:rFonts w:hint="eastAsia" w:ascii="宋体" w:hAnsi="宋体"/>
          <w:color w:val="000000" w:themeColor="text1"/>
          <w14:textFill>
            <w14:solidFill>
              <w14:schemeClr w14:val="tx1"/>
            </w14:solidFill>
          </w14:textFill>
        </w:rPr>
        <w:t>主要为钻井期</w:t>
      </w:r>
      <w:r>
        <w:rPr>
          <w:rFonts w:ascii="宋体" w:hAnsi="宋体"/>
          <w:color w:val="000000" w:themeColor="text1"/>
          <w14:textFill>
            <w14:solidFill>
              <w14:schemeClr w14:val="tx1"/>
            </w14:solidFill>
          </w14:textFill>
        </w:rPr>
        <w:t>井喷</w:t>
      </w:r>
      <w:r>
        <w:rPr>
          <w:rFonts w:hint="eastAsia" w:ascii="宋体" w:hAnsi="宋体"/>
          <w:color w:val="000000" w:themeColor="text1"/>
          <w14:textFill>
            <w14:solidFill>
              <w14:schemeClr w14:val="tx1"/>
            </w14:solidFill>
          </w14:textFill>
        </w:rPr>
        <w:t>、井漏</w:t>
      </w:r>
      <w:r>
        <w:rPr>
          <w:rFonts w:hint="eastAsia" w:ascii="宋体" w:hAnsi="宋体"/>
          <w:color w:val="000000" w:themeColor="text1"/>
          <w:lang w:val="en-US" w:eastAsia="zh-CN"/>
          <w14:textFill>
            <w14:solidFill>
              <w14:schemeClr w14:val="tx1"/>
            </w14:solidFill>
          </w14:textFill>
        </w:rPr>
        <w:t>和</w:t>
      </w:r>
      <w:r>
        <w:rPr>
          <w:rFonts w:hint="eastAsia" w:ascii="宋体" w:hAnsi="宋体"/>
          <w:color w:val="000000" w:themeColor="text1"/>
          <w14:textFill>
            <w14:solidFill>
              <w14:schemeClr w14:val="tx1"/>
            </w14:solidFill>
          </w14:textFill>
        </w:rPr>
        <w:t>柴油储罐泄漏。</w:t>
      </w:r>
    </w:p>
    <w:bookmarkEnd w:id="519"/>
    <w:p w14:paraId="4905B426">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①井喷事故环境影响分析</w:t>
      </w:r>
    </w:p>
    <w:p w14:paraId="31FA7CEB">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井场左右两侧各设置1条放喷管线。钻井过程中钻遇油气层，少量的油气排出，在井口液气分离器分离后，伴生气随着排气管线充分燃烧后放空，分离出的液相，排至应急放喷池。</w:t>
      </w:r>
    </w:p>
    <w:p w14:paraId="0E08EDEC">
      <w:pPr>
        <w:pStyle w:val="47"/>
        <w:keepNext w:val="0"/>
        <w:keepLines w:val="0"/>
        <w:pageBreakBefore w:val="0"/>
        <w:widowControl w:val="0"/>
        <w:kinsoku/>
        <w:wordWrap/>
        <w:overflowPunct/>
        <w:topLinePunct w:val="0"/>
        <w:autoSpaceDE/>
        <w:autoSpaceDN/>
        <w:bidi w:val="0"/>
        <w:adjustRightInd w:val="0"/>
        <w:snapToGrid w:val="0"/>
        <w:spacing w:before="0" w:beforeAutospacing="0" w:after="0" w:afterAutospacing="0" w:line="500" w:lineRule="exact"/>
        <w:ind w:firstLine="480" w:firstLineChars="200"/>
        <w:jc w:val="both"/>
        <w:textAlignment w:val="auto"/>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bCs/>
          <w:color w:val="000000" w:themeColor="text1"/>
          <w:kern w:val="2"/>
          <w:lang w:bidi="ar"/>
          <w14:textFill>
            <w14:solidFill>
              <w14:schemeClr w14:val="tx1"/>
            </w14:solidFill>
          </w14:textFill>
        </w:rPr>
        <w:t>一旦发生井喷突发事件，立即启动相应的突发事件专项应急预案。在套压超过最大允许关井压力应考虑井口装置额定工作压力、套管抗内压强度的80%和薄弱地层破裂压力所允许的关井压力的情况下才进行放喷。通过放喷管线排放至应急放喷池内，</w:t>
      </w:r>
      <w:r>
        <w:rPr>
          <w:rFonts w:hint="eastAsia" w:ascii="宋体" w:hAnsi="宋体" w:eastAsia="宋体" w:cs="宋体"/>
          <w:snapToGrid w:val="0"/>
          <w:color w:val="000000" w:themeColor="text1"/>
          <w:kern w:val="2"/>
          <w:lang w:bidi="ar"/>
          <w14:textFill>
            <w14:solidFill>
              <w14:schemeClr w14:val="tx1"/>
            </w14:solidFill>
          </w14:textFill>
        </w:rPr>
        <w:t>待事故结束后，</w:t>
      </w:r>
      <w:r>
        <w:rPr>
          <w:rFonts w:hint="eastAsia" w:ascii="宋体" w:hAnsi="宋体" w:eastAsia="宋体" w:cs="宋体"/>
          <w:color w:val="000000" w:themeColor="text1"/>
          <w:kern w:val="2"/>
          <w:lang w:bidi="ar"/>
          <w14:textFill>
            <w14:solidFill>
              <w14:schemeClr w14:val="tx1"/>
            </w14:solidFill>
          </w14:textFill>
        </w:rPr>
        <w:t>对放喷液进行集中收集处理，将泄漏的采出液最大限度地回收，对少量确实无法回收的油以及受污染的土壤形成的落地油，采用铲除油泥层等有效方法，落地油集中收集后不在井场贮存，直接交由具有相应危废处置资质的单位进行接收、转运和处置，以降低残油对生态环境的污染程度；由于钻井井口设置有井控系统，</w:t>
      </w:r>
      <w:r>
        <w:rPr>
          <w:color w:val="000000" w:themeColor="text1"/>
          <w14:textFill>
            <w14:solidFill>
              <w14:schemeClr w14:val="tx1"/>
            </w14:solidFill>
          </w14:textFill>
        </w:rPr>
        <w:t>在井场一侧预留应急放喷池位置</w:t>
      </w:r>
      <w:r>
        <w:rPr>
          <w:rFonts w:hint="eastAsia" w:ascii="宋体" w:hAnsi="宋体" w:eastAsia="宋体" w:cs="宋体"/>
          <w:color w:val="000000" w:themeColor="text1"/>
          <w:kern w:val="2"/>
          <w:lang w:bidi="ar"/>
          <w14:textFill>
            <w14:solidFill>
              <w14:schemeClr w14:val="tx1"/>
            </w14:solidFill>
          </w14:textFill>
        </w:rPr>
        <w:t>。应急放喷池仅在事故状态下开挖，井场旁有一辆挖机随时待命，一旦发生井喷，挖机可立即开挖放喷池，快速开挖至规定尺寸后，立刻采用人工防渗层进行防渗，防渗材料为HDPE防渗膜，防渗材料存放在井场内，渗透系数≤10</w:t>
      </w:r>
      <w:r>
        <w:rPr>
          <w:rFonts w:hint="eastAsia" w:ascii="宋体" w:hAnsi="宋体" w:eastAsia="宋体" w:cs="宋体"/>
          <w:color w:val="000000" w:themeColor="text1"/>
          <w:kern w:val="2"/>
          <w:vertAlign w:val="superscript"/>
          <w:lang w:bidi="ar"/>
          <w14:textFill>
            <w14:solidFill>
              <w14:schemeClr w14:val="tx1"/>
            </w14:solidFill>
          </w14:textFill>
        </w:rPr>
        <w:t>-</w:t>
      </w:r>
      <w:r>
        <w:rPr>
          <w:rFonts w:hint="eastAsia" w:ascii="宋体" w:hAnsi="宋体" w:eastAsia="宋体" w:cs="宋体"/>
          <w:color w:val="000000" w:themeColor="text1"/>
          <w:kern w:val="2"/>
          <w:vertAlign w:val="superscript"/>
          <w:lang w:val="en-US" w:eastAsia="zh-CN" w:bidi="ar"/>
          <w14:textFill>
            <w14:solidFill>
              <w14:schemeClr w14:val="tx1"/>
            </w14:solidFill>
          </w14:textFill>
        </w:rPr>
        <w:t>7</w:t>
      </w:r>
      <w:r>
        <w:rPr>
          <w:rFonts w:hint="eastAsia" w:ascii="宋体" w:hAnsi="宋体" w:eastAsia="宋体" w:cs="宋体"/>
          <w:color w:val="000000" w:themeColor="text1"/>
          <w:kern w:val="2"/>
          <w:lang w:bidi="ar"/>
          <w14:textFill>
            <w14:solidFill>
              <w14:schemeClr w14:val="tx1"/>
            </w14:solidFill>
          </w14:textFill>
        </w:rPr>
        <w:t>cm/s。</w:t>
      </w:r>
    </w:p>
    <w:p w14:paraId="3D9F1B5A">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eastAsia="宋体" w:cs="宋体"/>
          <w:color w:val="000000" w:themeColor="text1"/>
          <w:kern w:val="2"/>
          <w:sz w:val="24"/>
          <w:szCs w:val="24"/>
          <w:lang w:val="en-US" w:eastAsia="zh-CN" w:bidi="ar"/>
          <w14:textFill>
            <w14:solidFill>
              <w14:schemeClr w14:val="tx1"/>
            </w14:solidFill>
          </w14:textFill>
        </w:rPr>
        <w:t>井喷事故不可控的情况，可能导致大量的油气喷出井口、散落于井场周围，根据类比资料，井喷范围内土壤表层可见有蜡状的原油喷散物，</w:t>
      </w:r>
      <w:r>
        <w:rPr>
          <w:rFonts w:hint="eastAsia" w:ascii="宋体" w:hAnsi="宋体"/>
          <w:color w:val="000000" w:themeColor="text1"/>
          <w:sz w:val="24"/>
          <w:szCs w:val="24"/>
          <w14:textFill>
            <w14:solidFill>
              <w14:schemeClr w14:val="tx1"/>
            </w14:solidFill>
          </w14:textFill>
        </w:rPr>
        <w:t>井喷的影响范围主要集中在</w:t>
      </w:r>
      <w:r>
        <w:rPr>
          <w:rFonts w:hint="eastAsia"/>
          <w:color w:val="000000" w:themeColor="text1"/>
          <w14:textFill>
            <w14:solidFill>
              <w14:schemeClr w14:val="tx1"/>
            </w14:solidFill>
          </w14:textFill>
        </w:rPr>
        <w:t>以</w:t>
      </w:r>
      <w:r>
        <w:rPr>
          <w:rFonts w:hint="eastAsia" w:ascii="宋体" w:hAnsi="宋体" w:eastAsia="宋体" w:cs="Times New Roman"/>
          <w:color w:val="000000" w:themeColor="text1"/>
          <w:sz w:val="24"/>
          <w:szCs w:val="24"/>
          <w14:textFill>
            <w14:solidFill>
              <w14:schemeClr w14:val="tx1"/>
            </w14:solidFill>
          </w14:textFill>
        </w:rPr>
        <w:t>井眼为圆心、半径200m的区域，由于本项目井喷影响范围</w:t>
      </w:r>
      <w:r>
        <w:rPr>
          <w:rFonts w:hint="eastAsia" w:ascii="宋体" w:hAnsi="宋体" w:eastAsia="宋体" w:cs="Times New Roman"/>
          <w:color w:val="000000" w:themeColor="text1"/>
          <w:sz w:val="24"/>
          <w:szCs w:val="24"/>
          <w:lang w:val="en-US" w:eastAsia="zh-CN"/>
          <w14:textFill>
            <w14:solidFill>
              <w14:schemeClr w14:val="tx1"/>
            </w14:solidFill>
          </w14:textFill>
        </w:rPr>
        <w:t>无</w:t>
      </w:r>
      <w:r>
        <w:rPr>
          <w:rFonts w:hint="eastAsia" w:ascii="宋体" w:hAnsi="宋体"/>
          <w:color w:val="000000" w:themeColor="text1"/>
          <w:sz w:val="24"/>
          <w:szCs w:val="24"/>
          <w14:textFill>
            <w14:solidFill>
              <w14:schemeClr w14:val="tx1"/>
            </w14:solidFill>
          </w14:textFill>
        </w:rPr>
        <w:t>居民</w:t>
      </w:r>
      <w:r>
        <w:rPr>
          <w:rFonts w:hint="eastAsia" w:ascii="宋体" w:hAnsi="宋体"/>
          <w:color w:val="000000" w:themeColor="text1"/>
          <w:sz w:val="24"/>
          <w:szCs w:val="24"/>
          <w:lang w:val="en-US" w:eastAsia="zh-CN"/>
          <w14:textFill>
            <w14:solidFill>
              <w14:schemeClr w14:val="tx1"/>
            </w14:solidFill>
          </w14:textFill>
        </w:rPr>
        <w:t>等大气保护目标</w:t>
      </w:r>
      <w:r>
        <w:rPr>
          <w:rFonts w:hint="eastAsia" w:ascii="宋体" w:hAnsi="宋体" w:eastAsia="宋体" w:cs="Times New Roman"/>
          <w:color w:val="000000" w:themeColor="text1"/>
          <w:sz w:val="24"/>
          <w:szCs w:val="24"/>
          <w14:textFill>
            <w14:solidFill>
              <w14:schemeClr w14:val="tx1"/>
            </w14:solidFill>
          </w14:textFill>
        </w:rPr>
        <w:t>，</w:t>
      </w:r>
      <w:r>
        <w:rPr>
          <w:rFonts w:hint="eastAsia" w:ascii="宋体" w:hAnsi="宋体"/>
          <w:color w:val="000000" w:themeColor="text1"/>
          <w:sz w:val="24"/>
          <w:szCs w:val="24"/>
          <w:lang w:val="en-US" w:eastAsia="zh-CN"/>
          <w14:textFill>
            <w14:solidFill>
              <w14:schemeClr w14:val="tx1"/>
            </w14:solidFill>
          </w14:textFill>
        </w:rPr>
        <w:t>则</w:t>
      </w:r>
      <w:r>
        <w:rPr>
          <w:rFonts w:hint="eastAsia" w:ascii="宋体" w:hAnsi="宋体" w:eastAsia="宋体" w:cs="Times New Roman"/>
          <w:color w:val="000000" w:themeColor="text1"/>
          <w:sz w:val="24"/>
          <w:szCs w:val="24"/>
          <w14:textFill>
            <w14:solidFill>
              <w14:schemeClr w14:val="tx1"/>
            </w14:solidFill>
          </w14:textFill>
        </w:rPr>
        <w:t>井喷</w:t>
      </w:r>
      <w:r>
        <w:rPr>
          <w:rFonts w:hint="eastAsia" w:ascii="宋体" w:hAnsi="宋体"/>
          <w:color w:val="000000" w:themeColor="text1"/>
          <w:sz w:val="24"/>
          <w:szCs w:val="24"/>
          <w14:textFill>
            <w14:solidFill>
              <w14:schemeClr w14:val="tx1"/>
            </w14:solidFill>
          </w14:textFill>
        </w:rPr>
        <w:t>对人员的伤害有限，对项目区及周边土壤环境、</w:t>
      </w:r>
      <w:r>
        <w:rPr>
          <w:rFonts w:hint="eastAsia" w:ascii="宋体" w:hAnsi="宋体"/>
          <w:color w:val="000000" w:themeColor="text1"/>
          <w:sz w:val="24"/>
          <w:szCs w:val="24"/>
          <w:lang w:val="en-US" w:eastAsia="zh-CN"/>
          <w14:textFill>
            <w14:solidFill>
              <w14:schemeClr w14:val="tx1"/>
            </w14:solidFill>
          </w14:textFill>
        </w:rPr>
        <w:t>大气环境、地下</w:t>
      </w:r>
      <w:r>
        <w:rPr>
          <w:rFonts w:hint="eastAsia" w:ascii="宋体" w:hAnsi="宋体"/>
          <w:color w:val="000000" w:themeColor="text1"/>
          <w:sz w:val="24"/>
          <w:szCs w:val="24"/>
          <w14:textFill>
            <w14:solidFill>
              <w14:schemeClr w14:val="tx1"/>
            </w14:solidFill>
          </w14:textFill>
        </w:rPr>
        <w:t>水环境产生一定影响，尤其对耕地中的土壤</w:t>
      </w:r>
      <w:r>
        <w:rPr>
          <w:rFonts w:hint="eastAsia" w:ascii="宋体" w:hAnsi="宋体"/>
          <w:color w:val="000000" w:themeColor="text1"/>
          <w:sz w:val="24"/>
          <w:szCs w:val="24"/>
          <w:lang w:val="en-US" w:eastAsia="zh-CN"/>
          <w14:textFill>
            <w14:solidFill>
              <w14:schemeClr w14:val="tx1"/>
            </w14:solidFill>
          </w14:textFill>
        </w:rPr>
        <w:t>和农作物</w:t>
      </w:r>
      <w:r>
        <w:rPr>
          <w:rFonts w:hint="eastAsia" w:ascii="宋体" w:hAnsi="宋体"/>
          <w:color w:val="000000" w:themeColor="text1"/>
          <w:sz w:val="24"/>
          <w:szCs w:val="24"/>
          <w14:textFill>
            <w14:solidFill>
              <w14:schemeClr w14:val="tx1"/>
            </w14:solidFill>
          </w14:textFill>
        </w:rPr>
        <w:t>产生一定的影响。</w:t>
      </w:r>
    </w:p>
    <w:p w14:paraId="7ADCE47A">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1）对土壤环境影响分析</w:t>
      </w:r>
    </w:p>
    <w:p w14:paraId="073611E3">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井喷是油田开发过程中的意外事故，一次井喷可抛洒大量的伴生气和原油，其中的轻组分挥发，而重组分油对土壤有一定的影响。井喷会造成大量原油覆盖在土壤表层，使土壤表层的土壤透气性下降，理化性状发生变化，对影响范围内的土壤表层造成严重的污染。井喷持续时间越长，对土壤造成的污染越严重。但根据已有的相关资料，井喷事故主要影响事故区域内的表层土壤，对地表</w:t>
      </w:r>
      <w:r>
        <w:rPr>
          <w:rFonts w:ascii="宋体" w:hAnsi="宋体"/>
          <w:color w:val="000000" w:themeColor="text1"/>
          <w:sz w:val="24"/>
          <w:szCs w:val="24"/>
          <w14:textFill>
            <w14:solidFill>
              <w14:schemeClr w14:val="tx1"/>
            </w14:solidFill>
          </w14:textFill>
        </w:rPr>
        <w:t>20cm</w:t>
      </w:r>
      <w:r>
        <w:rPr>
          <w:rFonts w:hint="eastAsia" w:ascii="宋体" w:hAnsi="宋体"/>
          <w:color w:val="000000" w:themeColor="text1"/>
          <w:sz w:val="24"/>
          <w:szCs w:val="24"/>
          <w14:textFill>
            <w14:solidFill>
              <w14:schemeClr w14:val="tx1"/>
            </w14:solidFill>
          </w14:textFill>
        </w:rPr>
        <w:t>以下深度的土壤影响不大。</w:t>
      </w:r>
    </w:p>
    <w:p w14:paraId="4058E4CB">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井喷事故一旦发生，大量的油气喷出井口，散落于井场周围，</w:t>
      </w:r>
      <w:r>
        <w:rPr>
          <w:rFonts w:hint="eastAsia" w:ascii="宋体" w:hAnsi="宋体"/>
          <w:color w:val="000000" w:themeColor="text1"/>
          <w:sz w:val="24"/>
          <w:szCs w:val="24"/>
          <w:lang w:eastAsia="zh-CN"/>
          <w14:textFill>
            <w14:solidFill>
              <w14:schemeClr w14:val="tx1"/>
            </w14:solidFill>
          </w14:textFill>
        </w:rPr>
        <w:t>据类比资料</w:t>
      </w:r>
      <w:r>
        <w:rPr>
          <w:rFonts w:hint="eastAsia" w:ascii="宋体" w:hAnsi="宋体"/>
          <w:color w:val="000000" w:themeColor="text1"/>
          <w:sz w:val="24"/>
          <w:szCs w:val="24"/>
          <w14:textFill>
            <w14:solidFill>
              <w14:schemeClr w14:val="tx1"/>
            </w14:solidFill>
          </w14:textFill>
        </w:rPr>
        <w:t>，井喷范围内土壤表层可见有蜡状的原油喷散物，井喷事故状态下，油气泄漏事故可使井喷影响范围内的土壤理化性质发生变化，破坏土壤结构，影响土壤的通透性、降低土壤质量和耕地肥力；事故发生后应及时清理现场，对原油进行回收，受污染的土壤集中收集后由有相应危险废物处置资质的单位进行回收处置，将井喷事故对周边植被的影响降至最低。井场进行了分区防渗，井口采取重点防渗，一旦发生事故，可减缓对地表土壤环境的影响。</w:t>
      </w:r>
    </w:p>
    <w:p w14:paraId="2D4E037C">
      <w:pPr>
        <w:overflowPunct w:val="0"/>
        <w:spacing w:line="500" w:lineRule="exact"/>
        <w:ind w:left="48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2）对地下水环境影响分析</w:t>
      </w:r>
    </w:p>
    <w:p w14:paraId="24E86751">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井喷事故一旦发生，大量的油气喷出井口，散落于井场周围，除造成重大经济损失外，还会造成严重的环境污染。根据测算，井喷发生后，喷出的液量较大，一般需要</w:t>
      </w:r>
      <w:r>
        <w:rPr>
          <w:rFonts w:ascii="宋体" w:hAnsi="宋体"/>
          <w:color w:val="000000" w:themeColor="text1"/>
          <w:sz w:val="24"/>
          <w:szCs w:val="24"/>
          <w14:textFill>
            <w14:solidFill>
              <w14:schemeClr w14:val="tx1"/>
            </w14:solidFill>
          </w14:textFill>
        </w:rPr>
        <w:t>1</w:t>
      </w:r>
      <w:r>
        <w:rPr>
          <w:rFonts w:hint="eastAsia" w:ascii="宋体" w:hAnsi="宋体"/>
          <w:color w:val="000000" w:themeColor="text1"/>
          <w:sz w:val="24"/>
          <w:szCs w:val="24"/>
          <w14:textFill>
            <w14:solidFill>
              <w14:schemeClr w14:val="tx1"/>
            </w14:solidFill>
          </w14:textFill>
        </w:rPr>
        <w:t>—</w:t>
      </w:r>
      <w:r>
        <w:rPr>
          <w:rFonts w:ascii="宋体" w:hAnsi="宋体"/>
          <w:color w:val="000000" w:themeColor="text1"/>
          <w:sz w:val="24"/>
          <w:szCs w:val="24"/>
          <w14:textFill>
            <w14:solidFill>
              <w14:schemeClr w14:val="tx1"/>
            </w14:solidFill>
          </w14:textFill>
        </w:rPr>
        <w:t>2d</w:t>
      </w:r>
      <w:r>
        <w:rPr>
          <w:rFonts w:hint="eastAsia" w:ascii="宋体" w:hAnsi="宋体"/>
          <w:color w:val="000000" w:themeColor="text1"/>
          <w:sz w:val="24"/>
          <w:szCs w:val="24"/>
          <w14:textFill>
            <w14:solidFill>
              <w14:schemeClr w14:val="tx1"/>
            </w14:solidFill>
          </w14:textFill>
        </w:rPr>
        <w:t>才能得以控制。据类比资料，井喷污染范围在半径</w:t>
      </w:r>
      <w:r>
        <w:rPr>
          <w:rFonts w:ascii="宋体" w:hAnsi="宋体"/>
          <w:color w:val="000000" w:themeColor="text1"/>
          <w:sz w:val="24"/>
          <w:szCs w:val="24"/>
          <w14:textFill>
            <w14:solidFill>
              <w14:schemeClr w14:val="tx1"/>
            </w14:solidFill>
          </w14:textFill>
        </w:rPr>
        <w:t>200m</w:t>
      </w:r>
      <w:r>
        <w:rPr>
          <w:rFonts w:hint="eastAsia" w:ascii="宋体" w:hAnsi="宋体"/>
          <w:color w:val="000000" w:themeColor="text1"/>
          <w:sz w:val="24"/>
          <w:szCs w:val="24"/>
          <w14:textFill>
            <w14:solidFill>
              <w14:schemeClr w14:val="tx1"/>
            </w14:solidFill>
          </w14:textFill>
        </w:rPr>
        <w:t>左右时，井喷持续时间</w:t>
      </w:r>
      <w:r>
        <w:rPr>
          <w:rFonts w:ascii="宋体" w:hAnsi="宋体"/>
          <w:color w:val="000000" w:themeColor="text1"/>
          <w:sz w:val="24"/>
          <w:szCs w:val="24"/>
          <w14:textFill>
            <w14:solidFill>
              <w14:schemeClr w14:val="tx1"/>
            </w14:solidFill>
          </w14:textFill>
        </w:rPr>
        <w:t>2d</w:t>
      </w:r>
      <w:r>
        <w:rPr>
          <w:rFonts w:hint="eastAsia" w:ascii="宋体" w:hAnsi="宋体"/>
          <w:color w:val="000000" w:themeColor="text1"/>
          <w:sz w:val="24"/>
          <w:szCs w:val="24"/>
          <w14:textFill>
            <w14:solidFill>
              <w14:schemeClr w14:val="tx1"/>
            </w14:solidFill>
          </w14:textFill>
        </w:rPr>
        <w:t>，井喷范围内土壤表层可见有蜡状的喷散物，井喷的影响范围及影响程度较大。但从事故井区土壤剖面分析，井喷事故后石油类污染物主要聚集在土壤剖面</w:t>
      </w:r>
      <w:r>
        <w:rPr>
          <w:rFonts w:ascii="宋体" w:hAnsi="宋体"/>
          <w:color w:val="000000" w:themeColor="text1"/>
          <w:sz w:val="24"/>
          <w:szCs w:val="24"/>
          <w14:textFill>
            <w14:solidFill>
              <w14:schemeClr w14:val="tx1"/>
            </w14:solidFill>
          </w14:textFill>
        </w:rPr>
        <w:t>1m</w:t>
      </w:r>
      <w:r>
        <w:rPr>
          <w:rFonts w:hint="eastAsia" w:ascii="宋体" w:hAnsi="宋体"/>
          <w:color w:val="000000" w:themeColor="text1"/>
          <w:sz w:val="24"/>
          <w:szCs w:val="24"/>
          <w14:textFill>
            <w14:solidFill>
              <w14:schemeClr w14:val="tx1"/>
            </w14:solidFill>
          </w14:textFill>
        </w:rPr>
        <w:t>以内，石油类污染物很难下渗到</w:t>
      </w:r>
      <w:r>
        <w:rPr>
          <w:rFonts w:ascii="宋体" w:hAnsi="宋体"/>
          <w:color w:val="000000" w:themeColor="text1"/>
          <w:sz w:val="24"/>
          <w:szCs w:val="24"/>
          <w14:textFill>
            <w14:solidFill>
              <w14:schemeClr w14:val="tx1"/>
            </w14:solidFill>
          </w14:textFill>
        </w:rPr>
        <w:t>2m</w:t>
      </w:r>
      <w:r>
        <w:rPr>
          <w:rFonts w:hint="eastAsia" w:ascii="宋体" w:hAnsi="宋体"/>
          <w:color w:val="000000" w:themeColor="text1"/>
          <w:sz w:val="24"/>
          <w:szCs w:val="24"/>
          <w14:textFill>
            <w14:solidFill>
              <w14:schemeClr w14:val="tx1"/>
            </w14:solidFill>
          </w14:textFill>
        </w:rPr>
        <w:t>以下，对地下水体的影响概率不大，及时采取有效措施治理污染，井喷不会造成地下水污染。</w:t>
      </w:r>
    </w:p>
    <w:p w14:paraId="02D05BE8">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3）对植被的影响分析</w:t>
      </w:r>
    </w:p>
    <w:p w14:paraId="1F30D2AB">
      <w:pPr>
        <w:overflowPunct w:val="0"/>
        <w:spacing w:line="500" w:lineRule="exact"/>
        <w:ind w:firstLine="480" w:firstLineChars="200"/>
        <w:rPr>
          <w:rFonts w:hint="eastAsia" w:ascii="宋体" w:hAnsi="宋体" w:eastAsia="宋体" w:cs="Times New Roman"/>
          <w:color w:val="000000" w:themeColor="text1"/>
          <w:sz w:val="24"/>
          <w:szCs w:val="24"/>
          <w14:textFill>
            <w14:solidFill>
              <w14:schemeClr w14:val="tx1"/>
            </w14:solidFill>
          </w14:textFill>
        </w:rPr>
      </w:pPr>
      <w:r>
        <w:rPr>
          <w:rFonts w:hint="eastAsia" w:ascii="宋体" w:hAnsi="宋体" w:eastAsia="宋体" w:cs="Times New Roman"/>
          <w:color w:val="000000" w:themeColor="text1"/>
          <w:sz w:val="24"/>
          <w:szCs w:val="24"/>
          <w14:textFill>
            <w14:solidFill>
              <w14:schemeClr w14:val="tx1"/>
            </w14:solidFill>
          </w14:textFill>
        </w:rPr>
        <w:t>井喷事故发生后，喷出的油类物质可能对周围自然植被和农作物产生一定的影响，井场周围半径200m范围内的植被将全部由于石油类污染而使其呼吸受阻，不能进行正常光合作用而死亡；原油进入土壤后与土壤结合，渗入土壤孔隙，使土壤透气性和呼吸作用减弱，改变了土壤质地和结构，影响到土壤的生物功能，进而造成生长其上的植物和土壤动物的死亡，这种影响会导致污染地段多年无法生长植物或长势减弱，甚至使这一区域变为裸地。由于这一影响使土壤结构受石油类污染而发生变化，因此，被污染区域的植被不易恢复。若井喷时发生火灾，结果将使燃烧范围内的植被全部死亡。必须采取严格有效的风险防范措施，防止、降低井喷事故风险发生。事故发生后应及时清理现场，</w:t>
      </w:r>
      <w:bookmarkStart w:id="521" w:name="_Hlk175608479"/>
      <w:r>
        <w:rPr>
          <w:rFonts w:hint="eastAsia" w:ascii="宋体" w:hAnsi="宋体" w:eastAsia="宋体" w:cs="Times New Roman"/>
          <w:color w:val="000000" w:themeColor="text1"/>
          <w:sz w:val="24"/>
          <w:szCs w:val="24"/>
          <w14:textFill>
            <w14:solidFill>
              <w14:schemeClr w14:val="tx1"/>
            </w14:solidFill>
          </w14:textFill>
        </w:rPr>
        <w:t>及时清理沾染油污的植被，对落地油进行回收，受污染的土壤集中收集后由有相应危险废物处置资质的单位进行回收处置，将井喷事故对周边植被的影响降至最低</w:t>
      </w:r>
      <w:bookmarkEnd w:id="521"/>
      <w:r>
        <w:rPr>
          <w:rFonts w:hint="eastAsia" w:ascii="宋体" w:hAnsi="宋体" w:eastAsia="宋体" w:cs="Times New Roman"/>
          <w:color w:val="000000" w:themeColor="text1"/>
          <w:sz w:val="24"/>
          <w:szCs w:val="24"/>
          <w14:textFill>
            <w14:solidFill>
              <w14:schemeClr w14:val="tx1"/>
            </w14:solidFill>
          </w14:textFill>
        </w:rPr>
        <w:t>。</w:t>
      </w:r>
    </w:p>
    <w:p w14:paraId="4DD75C07">
      <w:pPr>
        <w:overflowPunct w:val="0"/>
        <w:spacing w:line="500" w:lineRule="exact"/>
        <w:ind w:firstLine="480" w:firstLineChars="200"/>
        <w:rPr>
          <w:rFonts w:hint="eastAsia" w:ascii="宋体" w:hAnsi="宋体"/>
          <w:color w:val="000000" w:themeColor="text1"/>
          <w:sz w:val="24"/>
          <w:szCs w:val="24"/>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4）对大气环境影响分析</w:t>
      </w:r>
    </w:p>
    <w:p w14:paraId="5F5D218A">
      <w:pPr>
        <w:overflowPunct w:val="0"/>
        <w:spacing w:line="500" w:lineRule="exact"/>
        <w:ind w:firstLine="480" w:firstLineChars="200"/>
        <w:rPr>
          <w:rFonts w:hint="eastAsia" w:ascii="宋体" w:hAnsi="宋体"/>
          <w:color w:val="000000" w:themeColor="text1"/>
          <w:sz w:val="24"/>
          <w:szCs w:val="24"/>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发生井喷失控事故后，伴生气和原油挥发产生的非甲烷总烃进入环境空气，可能会对周围环境空气产生影响。若遇明火可能发生火灾、爆炸，随之产生的伴生、次生污染物会对环境空气产生一定的影响，并对环境和施工人员产生一定危害，主要危害包括：遇明火可能发生火灾或爆炸事故，造成人员伤亡；烃类气体以及火灾或爆炸事故次生污染物CO对人体的毒性危害，对周围的大气环境及施工人员造成影响。伴生气中的甲烷进入大气后，可能会造成中毒事件。</w:t>
      </w:r>
    </w:p>
    <w:p w14:paraId="5569C76B">
      <w:pPr>
        <w:overflowPunct w:val="0"/>
        <w:spacing w:line="500" w:lineRule="exact"/>
        <w:ind w:firstLine="480" w:firstLineChars="200"/>
        <w:rPr>
          <w:rFonts w:hint="eastAsia" w:eastAsia="宋体"/>
          <w:color w:val="000000" w:themeColor="text1"/>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由于地域空旷，扩散条件较好，发生事故后，及时采取相应的措施，不会对周围环境空气产生明显影响。</w:t>
      </w:r>
    </w:p>
    <w:p w14:paraId="73CA5E4E">
      <w:pPr>
        <w:pStyle w:val="120"/>
        <w:adjustRightInd w:val="0"/>
        <w:snapToGrid w:val="0"/>
        <w:ind w:firstLine="480"/>
        <w:rPr>
          <w:rFonts w:hint="eastAsia"/>
          <w:color w:val="000000" w:themeColor="text1"/>
          <w14:textFill>
            <w14:solidFill>
              <w14:schemeClr w14:val="tx1"/>
            </w14:solidFill>
          </w14:textFill>
        </w:rPr>
      </w:pPr>
      <w:bookmarkStart w:id="522" w:name="_Hlk217135209"/>
      <w:r>
        <w:rPr>
          <w:rFonts w:hint="eastAsia"/>
          <w:color w:val="000000" w:themeColor="text1"/>
          <w14:textFill>
            <w14:solidFill>
              <w14:schemeClr w14:val="tx1"/>
            </w14:solidFill>
          </w14:textFill>
        </w:rPr>
        <w:t>②柴油储罐泄漏环境影响分析</w:t>
      </w:r>
    </w:p>
    <w:p w14:paraId="3590CA7A">
      <w:pPr>
        <w:pStyle w:val="120"/>
        <w:adjustRightInd w:val="0"/>
        <w:snapToGrid w:val="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钻井过程中会在井场布置柴油储罐，一旦储罐发生泄漏，泄漏的柴油对大气环境产生一定的影响，若防渗膜破损，泄漏的</w:t>
      </w:r>
      <w:r>
        <w:rPr>
          <w:rFonts w:hint="eastAsia"/>
          <w:color w:val="000000" w:themeColor="text1"/>
          <w:lang w:val="en-US" w:eastAsia="zh-CN"/>
          <w14:textFill>
            <w14:solidFill>
              <w14:schemeClr w14:val="tx1"/>
            </w14:solidFill>
          </w14:textFill>
        </w:rPr>
        <w:t>柴油</w:t>
      </w:r>
      <w:r>
        <w:rPr>
          <w:rFonts w:hint="eastAsia"/>
          <w:color w:val="000000" w:themeColor="text1"/>
          <w14:textFill>
            <w14:solidFill>
              <w14:schemeClr w14:val="tx1"/>
            </w14:solidFill>
          </w14:textFill>
        </w:rPr>
        <w:t>对土壤环境和地下水环境可能产生一定的影响。</w:t>
      </w:r>
    </w:p>
    <w:p w14:paraId="0EB472C8">
      <w:pPr>
        <w:pStyle w:val="120"/>
        <w:adjustRightInd w:val="0"/>
        <w:snapToGrid w:val="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1）对大气环境影响分析</w:t>
      </w:r>
    </w:p>
    <w:p w14:paraId="3BA40892">
      <w:pPr>
        <w:pStyle w:val="120"/>
        <w:spacing w:line="480" w:lineRule="exact"/>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柴油储罐出现泄漏后，油品进入环境空气，其中的非甲烷总烃可能会对周围环境空气产生影响，若遇明火，可发生火灾、爆炸，火灾、爆炸产生的伴生/次生污染物可能对环境空气产生一定的影响。</w:t>
      </w:r>
      <w:r>
        <w:rPr>
          <w:rFonts w:hint="eastAsia" w:ascii="宋体" w:hAnsi="宋体" w:eastAsia="宋体" w:cs="Times New Roman"/>
          <w:color w:val="000000" w:themeColor="text1"/>
          <w:sz w:val="24"/>
          <w:szCs w:val="24"/>
          <w14:textFill>
            <w14:solidFill>
              <w14:schemeClr w14:val="tx1"/>
            </w14:solidFill>
          </w14:textFill>
        </w:rPr>
        <w:t>由于本项目</w:t>
      </w:r>
      <w:r>
        <w:rPr>
          <w:rFonts w:hint="eastAsia" w:ascii="宋体" w:hAnsi="宋体" w:eastAsia="宋体" w:cs="Times New Roman"/>
          <w:color w:val="000000" w:themeColor="text1"/>
          <w:sz w:val="24"/>
          <w:szCs w:val="24"/>
          <w:lang w:val="en-US" w:eastAsia="zh-CN"/>
          <w14:textFill>
            <w14:solidFill>
              <w14:schemeClr w14:val="tx1"/>
            </w14:solidFill>
          </w14:textFill>
        </w:rPr>
        <w:t>周边无</w:t>
      </w:r>
      <w:r>
        <w:rPr>
          <w:rFonts w:hint="eastAsia" w:ascii="宋体" w:hAnsi="宋体"/>
          <w:color w:val="000000" w:themeColor="text1"/>
          <w:sz w:val="24"/>
          <w:szCs w:val="24"/>
          <w14:textFill>
            <w14:solidFill>
              <w14:schemeClr w14:val="tx1"/>
            </w14:solidFill>
          </w14:textFill>
        </w:rPr>
        <w:t>居民</w:t>
      </w:r>
      <w:r>
        <w:rPr>
          <w:rFonts w:hint="eastAsia" w:ascii="宋体" w:hAnsi="宋体"/>
          <w:color w:val="000000" w:themeColor="text1"/>
          <w:sz w:val="24"/>
          <w:szCs w:val="24"/>
          <w:lang w:val="en-US" w:eastAsia="zh-CN"/>
          <w14:textFill>
            <w14:solidFill>
              <w14:schemeClr w14:val="tx1"/>
            </w14:solidFill>
          </w14:textFill>
        </w:rPr>
        <w:t>区等大气保护目标</w:t>
      </w:r>
      <w:r>
        <w:rPr>
          <w:rFonts w:hint="eastAsia" w:ascii="宋体" w:hAnsi="宋体" w:eastAsia="宋体" w:cs="Times New Roman"/>
          <w:color w:val="000000" w:themeColor="text1"/>
          <w:sz w:val="24"/>
          <w:szCs w:val="24"/>
          <w14:textFill>
            <w14:solidFill>
              <w14:schemeClr w14:val="tx1"/>
            </w14:solidFill>
          </w14:textFill>
        </w:rPr>
        <w:t>，</w:t>
      </w:r>
      <w:r>
        <w:rPr>
          <w:rFonts w:hint="eastAsia" w:ascii="宋体" w:hAnsi="宋体"/>
          <w:color w:val="000000" w:themeColor="text1"/>
          <w:sz w:val="24"/>
          <w:szCs w:val="24"/>
          <w:lang w:val="en-US" w:eastAsia="zh-CN"/>
          <w14:textFill>
            <w14:solidFill>
              <w14:schemeClr w14:val="tx1"/>
            </w14:solidFill>
          </w14:textFill>
        </w:rPr>
        <w:t>火灾、爆炸产生的伴生/次生污染物对周围的大气环境影响有限，且项目区地域空旷，扩散条件较好，发生事故后，及时采取相应的措施，不会对周围环境空气产生明显影响</w:t>
      </w:r>
      <w:r>
        <w:rPr>
          <w:rFonts w:hint="eastAsia"/>
          <w:color w:val="000000" w:themeColor="text1"/>
          <w14:textFill>
            <w14:solidFill>
              <w14:schemeClr w14:val="tx1"/>
            </w14:solidFill>
          </w14:textFill>
        </w:rPr>
        <w:t>。</w:t>
      </w:r>
    </w:p>
    <w:p w14:paraId="1EE99F6F">
      <w:pPr>
        <w:pStyle w:val="120"/>
        <w:spacing w:line="480" w:lineRule="exact"/>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2）对土壤环境影响分析</w:t>
      </w:r>
    </w:p>
    <w:p w14:paraId="0396295D">
      <w:pPr>
        <w:pStyle w:val="120"/>
        <w:spacing w:line="480" w:lineRule="exact"/>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泄漏的油品可使土壤透气性下降、土壤理化性状发生变化。泄漏的油品如果进入土壤，从而使土壤质地、结构发生改变，影响到土地功能。</w:t>
      </w:r>
    </w:p>
    <w:p w14:paraId="32BD8591">
      <w:pPr>
        <w:pStyle w:val="120"/>
        <w:spacing w:line="480" w:lineRule="exact"/>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储罐发生泄漏时，泄漏的油品进入土壤中后，渗入土壤孔隙，则使土壤透气性和呼吸作用减弱，影响土壤中的微生物生存，造成土壤盐碱化，破坏土壤结构，增加土壤中石油类污染物，造成土地肥力下降，改变土壤的理化性质，影响土壤正常的结构和功能。</w:t>
      </w:r>
    </w:p>
    <w:p w14:paraId="2BB9C8AB">
      <w:pPr>
        <w:adjustRightInd w:val="0"/>
        <w:snapToGrid w:val="0"/>
        <w:spacing w:line="500" w:lineRule="exact"/>
        <w:ind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柴油储罐底部铺</w:t>
      </w:r>
      <w:r>
        <w:rPr>
          <w:rFonts w:hint="eastAsia" w:ascii="宋体" w:hAnsi="宋体"/>
          <w:color w:val="000000" w:themeColor="text1"/>
          <w:sz w:val="24"/>
          <w14:textFill>
            <w14:solidFill>
              <w14:schemeClr w14:val="tx1"/>
            </w14:solidFill>
          </w14:textFill>
        </w:rPr>
        <w:t>设防渗膜，储罐发生泄漏后，及时清理，不能回收的油品以及受污染的土壤应集中收集后交由有相应处置资质的单位进行回收处置；发生事故后，及时采取相应的措施，不会对周围土壤环境产生明显影响。</w:t>
      </w:r>
    </w:p>
    <w:p w14:paraId="11541C6B">
      <w:pPr>
        <w:overflowPunct w:val="0"/>
        <w:adjustRightInd w:val="0"/>
        <w:snapToGrid w:val="0"/>
        <w:spacing w:line="500" w:lineRule="exact"/>
        <w:ind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3）</w:t>
      </w:r>
      <w:r>
        <w:rPr>
          <w:rFonts w:ascii="宋体" w:hAnsi="宋体"/>
          <w:color w:val="000000" w:themeColor="text1"/>
          <w:sz w:val="24"/>
          <w14:textFill>
            <w14:solidFill>
              <w14:schemeClr w14:val="tx1"/>
            </w14:solidFill>
          </w14:textFill>
        </w:rPr>
        <w:t>对植被</w:t>
      </w:r>
      <w:r>
        <w:rPr>
          <w:rFonts w:hint="eastAsia" w:ascii="宋体" w:hAnsi="宋体"/>
          <w:color w:val="000000" w:themeColor="text1"/>
          <w:sz w:val="24"/>
          <w14:textFill>
            <w14:solidFill>
              <w14:schemeClr w14:val="tx1"/>
            </w14:solidFill>
          </w14:textFill>
        </w:rPr>
        <w:t>影响分析</w:t>
      </w:r>
    </w:p>
    <w:p w14:paraId="62D2F59B">
      <w:pPr>
        <w:overflowPunct w:val="0"/>
        <w:adjustRightInd w:val="0"/>
        <w:snapToGrid w:val="0"/>
        <w:spacing w:line="500" w:lineRule="exact"/>
        <w:ind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油品泄漏对植被的影响主要分为三种途径，一是泄漏物直接黏附于植物体阻断植物的光合作用，使植物枯萎、死亡；二是油品污染土壤造成的土壤理性化性状变化间接影响植物生长，严重时会导致植物死亡；三是泄漏的油品中的轻组分挥发，在对空气环境产生影响的同时，也对周围植物产生影响。发生事故后，及时采取相应的措施，不会对周围植被产生明显影响。</w:t>
      </w:r>
    </w:p>
    <w:p w14:paraId="5225391D">
      <w:pPr>
        <w:overflowPunct w:val="0"/>
        <w:adjustRightInd w:val="0"/>
        <w:snapToGrid w:val="0"/>
        <w:spacing w:line="500" w:lineRule="exact"/>
        <w:ind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4）对地下水环境影响分析</w:t>
      </w:r>
    </w:p>
    <w:p w14:paraId="790CE666">
      <w:pPr>
        <w:overflowPunct w:val="0"/>
        <w:adjustRightInd w:val="0"/>
        <w:snapToGrid w:val="0"/>
        <w:spacing w:line="500" w:lineRule="exact"/>
        <w:ind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柴油储罐泄漏的油品下渗而可能导致地下水污染风险的发生。发生泄漏事故后，及时维修处理，即使有少量的污染物泄漏，也很难通过防渗层渗入包气带。储罐底部铺设防渗膜，采取钢制储罐，发生泄漏的概率极小，同时一旦发生泄漏会在较短时间内发现并采取堵漏措施，出现长期连续性泄漏的可能性很低，发生渗漏污染地下水的风险事故概率较低。</w:t>
      </w:r>
    </w:p>
    <w:bookmarkEnd w:id="522"/>
    <w:p w14:paraId="7EEFC139">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③井漏环境影响分析</w:t>
      </w:r>
    </w:p>
    <w:p w14:paraId="4ED4B6BF">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漏事故对地下水的污染途径主要是钻井液漏失于地下水含水层中，造成地下含水层水质污染。钻井液漏失于地下含水层其径流型污染的范围不大，主要发生在局部且持续时间较短；使用清洁无害的非磺化水基钻井液，严格控制使用有毒有害钻井液；同时严格要求套管下入深度、确保固井质量等措施，可有效控制钻井液在含水层中的漏失。因此，井漏事故对地下水环境的影响在可接受范围内。</w:t>
      </w:r>
    </w:p>
    <w:p w14:paraId="51738DC9">
      <w:pPr>
        <w:pStyle w:val="120"/>
        <w:adjustRightInd w:val="0"/>
        <w:snapToGrid w:val="0"/>
        <w:spacing w:line="460" w:lineRule="exact"/>
        <w:ind w:firstLine="480"/>
        <w:rPr>
          <w:rFonts w:hint="eastAsia"/>
          <w:color w:val="000000" w:themeColor="text1"/>
          <w:lang w:val="zh-CN"/>
          <w14:textFill>
            <w14:solidFill>
              <w14:schemeClr w14:val="tx1"/>
            </w14:solidFill>
          </w14:textFill>
        </w:rPr>
      </w:pPr>
      <w:bookmarkStart w:id="523" w:name="_Hlk217135232"/>
      <w:r>
        <w:rPr>
          <w:rFonts w:hint="eastAsia"/>
          <w:color w:val="000000" w:themeColor="text1"/>
          <w14:textFill>
            <w14:solidFill>
              <w14:schemeClr w14:val="tx1"/>
            </w14:solidFill>
          </w14:textFill>
        </w:rPr>
        <w:t>④</w:t>
      </w:r>
      <w:r>
        <w:rPr>
          <w:rFonts w:hint="eastAsia"/>
          <w:color w:val="000000" w:themeColor="text1"/>
          <w:lang w:val="zh-CN"/>
          <w14:textFill>
            <w14:solidFill>
              <w14:schemeClr w14:val="tx1"/>
            </w14:solidFill>
          </w14:textFill>
        </w:rPr>
        <w:t>柴油拉运过程中泄漏风险分析</w:t>
      </w:r>
    </w:p>
    <w:p w14:paraId="59132E09">
      <w:pPr>
        <w:pStyle w:val="120"/>
        <w:adjustRightInd w:val="0"/>
        <w:snapToGrid w:val="0"/>
        <w:spacing w:line="460" w:lineRule="exact"/>
        <w:ind w:firstLine="480"/>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柴油拉运过程中的风险主要为罐车上的储罐发生泄漏、火灾、爆炸等事故对周围环境的影响，其影响与储罐泄漏影响相同，具体影响见储罐泄漏影响分析。</w:t>
      </w:r>
    </w:p>
    <w:bookmarkEnd w:id="523"/>
    <w:p w14:paraId="4FD9FD30">
      <w:pPr>
        <w:pStyle w:val="165"/>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（2）运营期环境风险分析</w:t>
      </w:r>
    </w:p>
    <w:p w14:paraId="2DC28151">
      <w:pPr>
        <w:pStyle w:val="165"/>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原油、伴生气发生泄漏后，可能对周围土壤环境、大气环境、地下水环境产生一定的影响，具体影响分析如下：</w:t>
      </w:r>
      <w:r>
        <w:rPr>
          <w:color w:val="000000" w:themeColor="text1"/>
          <w14:textFill>
            <w14:solidFill>
              <w14:schemeClr w14:val="tx1"/>
            </w14:solidFill>
          </w14:textFill>
        </w:rPr>
        <w:t xml:space="preserve"> </w:t>
      </w:r>
    </w:p>
    <w:p w14:paraId="19E7BEEB">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bookmarkStart w:id="524" w:name="_Hlk175252845"/>
      <w:r>
        <w:rPr>
          <w:rFonts w:hint="eastAsia" w:ascii="宋体" w:hAnsi="宋体"/>
          <w:color w:val="000000" w:themeColor="text1"/>
          <w:sz w:val="24"/>
          <w:szCs w:val="24"/>
          <w:lang w:val="en-US" w:eastAsia="zh-CN"/>
          <w14:textFill>
            <w14:solidFill>
              <w14:schemeClr w14:val="tx1"/>
            </w14:solidFill>
          </w14:textFill>
        </w:rPr>
        <w:t>①</w:t>
      </w:r>
      <w:r>
        <w:rPr>
          <w:rFonts w:hint="eastAsia" w:ascii="宋体" w:hAnsi="宋体"/>
          <w:color w:val="000000" w:themeColor="text1"/>
          <w:sz w:val="24"/>
          <w:szCs w:val="24"/>
          <w14:textFill>
            <w14:solidFill>
              <w14:schemeClr w14:val="tx1"/>
            </w14:solidFill>
          </w14:textFill>
        </w:rPr>
        <w:t>井喷事故环境影响分析</w:t>
      </w:r>
    </w:p>
    <w:bookmarkEnd w:id="524"/>
    <w:p w14:paraId="6A940394">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1）</w:t>
      </w:r>
      <w:r>
        <w:rPr>
          <w:rFonts w:hint="eastAsia" w:ascii="宋体" w:hAnsi="宋体"/>
          <w:color w:val="000000" w:themeColor="text1"/>
          <w:sz w:val="24"/>
          <w:szCs w:val="24"/>
          <w14:textFill>
            <w14:solidFill>
              <w14:schemeClr w14:val="tx1"/>
            </w14:solidFill>
          </w14:textFill>
        </w:rPr>
        <w:t>对土壤环境影响分析</w:t>
      </w:r>
    </w:p>
    <w:p w14:paraId="4B5A262C">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井喷是油田开发过程中的意外事故，一次井喷可抛洒大量的天然气和原油，其中的轻组分挥发，而重组分油对土壤有一定的影响。井喷会造成大量原油覆盖在土壤表层，使土壤表层的土壤透气性下降，理化性状发生变化，对影响范围内的土壤表层造成严重的污染。井喷持续时间越长，对土壤造成的污染越严重。但根据已有的相关资料，井喷事故主要影响事故区域内的表层土壤，对地表</w:t>
      </w:r>
      <w:r>
        <w:rPr>
          <w:rFonts w:ascii="宋体" w:hAnsi="宋体"/>
          <w:color w:val="000000" w:themeColor="text1"/>
          <w:sz w:val="24"/>
          <w:szCs w:val="24"/>
          <w14:textFill>
            <w14:solidFill>
              <w14:schemeClr w14:val="tx1"/>
            </w14:solidFill>
          </w14:textFill>
        </w:rPr>
        <w:t>20cm</w:t>
      </w:r>
      <w:r>
        <w:rPr>
          <w:rFonts w:hint="eastAsia" w:ascii="宋体" w:hAnsi="宋体"/>
          <w:color w:val="000000" w:themeColor="text1"/>
          <w:sz w:val="24"/>
          <w:szCs w:val="24"/>
          <w14:textFill>
            <w14:solidFill>
              <w14:schemeClr w14:val="tx1"/>
            </w14:solidFill>
          </w14:textFill>
        </w:rPr>
        <w:t>以下深度的土壤影响不大。</w:t>
      </w:r>
    </w:p>
    <w:p w14:paraId="5C7744EB">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井喷事故一旦发生，大量的油气喷出井口，散落于井场周围，</w:t>
      </w:r>
      <w:r>
        <w:rPr>
          <w:rFonts w:hint="eastAsia" w:ascii="宋体" w:hAnsi="宋体"/>
          <w:color w:val="000000" w:themeColor="text1"/>
          <w:sz w:val="24"/>
          <w:szCs w:val="24"/>
          <w:lang w:eastAsia="zh-CN"/>
          <w14:textFill>
            <w14:solidFill>
              <w14:schemeClr w14:val="tx1"/>
            </w14:solidFill>
          </w14:textFill>
        </w:rPr>
        <w:t>据类比资料</w:t>
      </w:r>
      <w:r>
        <w:rPr>
          <w:rFonts w:hint="eastAsia" w:ascii="宋体" w:hAnsi="宋体"/>
          <w:color w:val="000000" w:themeColor="text1"/>
          <w:sz w:val="24"/>
          <w:szCs w:val="24"/>
          <w14:textFill>
            <w14:solidFill>
              <w14:schemeClr w14:val="tx1"/>
            </w14:solidFill>
          </w14:textFill>
        </w:rPr>
        <w:t>，井喷范围内土壤表层可见有蜡状的原油喷散物，井喷的影响范围主要集中在</w:t>
      </w:r>
      <w:r>
        <w:rPr>
          <w:rFonts w:hint="eastAsia"/>
          <w:color w:val="000000" w:themeColor="text1"/>
          <w14:textFill>
            <w14:solidFill>
              <w14:schemeClr w14:val="tx1"/>
            </w14:solidFill>
          </w14:textFill>
        </w:rPr>
        <w:t>以</w:t>
      </w:r>
      <w:r>
        <w:rPr>
          <w:rFonts w:hint="eastAsia" w:ascii="宋体" w:hAnsi="宋体" w:eastAsia="宋体" w:cs="Times New Roman"/>
          <w:color w:val="000000" w:themeColor="text1"/>
          <w:sz w:val="24"/>
          <w:szCs w:val="24"/>
          <w14:textFill>
            <w14:solidFill>
              <w14:schemeClr w14:val="tx1"/>
            </w14:solidFill>
          </w14:textFill>
        </w:rPr>
        <w:t>井眼为圆心、半径200m的区域，所以井喷对人员的伤害有限，</w:t>
      </w:r>
      <w:r>
        <w:rPr>
          <w:rFonts w:hint="eastAsia" w:ascii="宋体" w:hAnsi="宋体"/>
          <w:color w:val="000000" w:themeColor="text1"/>
          <w:sz w:val="24"/>
          <w:szCs w:val="24"/>
          <w14:textFill>
            <w14:solidFill>
              <w14:schemeClr w14:val="tx1"/>
            </w14:solidFill>
          </w14:textFill>
        </w:rPr>
        <w:t>对项目区及周边土壤环境、水环境产生一定影响。井场进行了分区防渗，一旦发生事故，可减缓对地表土壤环境的影响。</w:t>
      </w:r>
    </w:p>
    <w:p w14:paraId="669BCA87">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2）</w:t>
      </w:r>
      <w:r>
        <w:rPr>
          <w:rFonts w:hint="eastAsia" w:ascii="宋体" w:hAnsi="宋体"/>
          <w:color w:val="000000" w:themeColor="text1"/>
          <w:sz w:val="24"/>
          <w:szCs w:val="24"/>
          <w14:textFill>
            <w14:solidFill>
              <w14:schemeClr w14:val="tx1"/>
            </w14:solidFill>
          </w14:textFill>
        </w:rPr>
        <w:t>对水环境影响分析</w:t>
      </w:r>
    </w:p>
    <w:p w14:paraId="01B5911C">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井喷事故一旦发生，大量的油气喷出井口，散落于井场周围，除造成重大经济损失外，还会造成严重的环境污染。根据测算，井喷发生后，喷出的液量较大，一般需要</w:t>
      </w:r>
      <w:r>
        <w:rPr>
          <w:rFonts w:ascii="宋体" w:hAnsi="宋体"/>
          <w:color w:val="000000" w:themeColor="text1"/>
          <w:sz w:val="24"/>
          <w:szCs w:val="24"/>
          <w14:textFill>
            <w14:solidFill>
              <w14:schemeClr w14:val="tx1"/>
            </w14:solidFill>
          </w14:textFill>
        </w:rPr>
        <w:t>1</w:t>
      </w:r>
      <w:r>
        <w:rPr>
          <w:rFonts w:hint="eastAsia" w:ascii="宋体" w:hAnsi="宋体"/>
          <w:color w:val="000000" w:themeColor="text1"/>
          <w:sz w:val="24"/>
          <w:szCs w:val="24"/>
          <w14:textFill>
            <w14:solidFill>
              <w14:schemeClr w14:val="tx1"/>
            </w14:solidFill>
          </w14:textFill>
        </w:rPr>
        <w:t>～</w:t>
      </w:r>
      <w:r>
        <w:rPr>
          <w:rFonts w:ascii="宋体" w:hAnsi="宋体"/>
          <w:color w:val="000000" w:themeColor="text1"/>
          <w:sz w:val="24"/>
          <w:szCs w:val="24"/>
          <w14:textFill>
            <w14:solidFill>
              <w14:schemeClr w14:val="tx1"/>
            </w14:solidFill>
          </w14:textFill>
        </w:rPr>
        <w:t>2d</w:t>
      </w:r>
      <w:r>
        <w:rPr>
          <w:rFonts w:hint="eastAsia" w:ascii="宋体" w:hAnsi="宋体"/>
          <w:color w:val="000000" w:themeColor="text1"/>
          <w:sz w:val="24"/>
          <w:szCs w:val="24"/>
          <w14:textFill>
            <w14:solidFill>
              <w14:schemeClr w14:val="tx1"/>
            </w14:solidFill>
          </w14:textFill>
        </w:rPr>
        <w:t>才能得以控制。据类比资料，井喷污染范围在半径</w:t>
      </w:r>
      <w:r>
        <w:rPr>
          <w:rFonts w:ascii="宋体" w:hAnsi="宋体"/>
          <w:color w:val="000000" w:themeColor="text1"/>
          <w:sz w:val="24"/>
          <w:szCs w:val="24"/>
          <w14:textFill>
            <w14:solidFill>
              <w14:schemeClr w14:val="tx1"/>
            </w14:solidFill>
          </w14:textFill>
        </w:rPr>
        <w:t>200m</w:t>
      </w:r>
      <w:r>
        <w:rPr>
          <w:rFonts w:hint="eastAsia" w:ascii="宋体" w:hAnsi="宋体"/>
          <w:color w:val="000000" w:themeColor="text1"/>
          <w:sz w:val="24"/>
          <w:szCs w:val="24"/>
          <w14:textFill>
            <w14:solidFill>
              <w14:schemeClr w14:val="tx1"/>
            </w14:solidFill>
          </w14:textFill>
        </w:rPr>
        <w:t>左右时，井喷持续时间</w:t>
      </w:r>
      <w:r>
        <w:rPr>
          <w:rFonts w:ascii="宋体" w:hAnsi="宋体"/>
          <w:color w:val="000000" w:themeColor="text1"/>
          <w:sz w:val="24"/>
          <w:szCs w:val="24"/>
          <w14:textFill>
            <w14:solidFill>
              <w14:schemeClr w14:val="tx1"/>
            </w14:solidFill>
          </w14:textFill>
        </w:rPr>
        <w:t>2d</w:t>
      </w:r>
      <w:r>
        <w:rPr>
          <w:rFonts w:hint="eastAsia" w:ascii="宋体" w:hAnsi="宋体"/>
          <w:color w:val="000000" w:themeColor="text1"/>
          <w:sz w:val="24"/>
          <w:szCs w:val="24"/>
          <w14:textFill>
            <w14:solidFill>
              <w14:schemeClr w14:val="tx1"/>
            </w14:solidFill>
          </w14:textFill>
        </w:rPr>
        <w:t>，井喷范围内土壤表层可见有蜡状的喷散物，井喷的影响范围及影响程度较大。但从事故井区土壤剖面分析，井喷事故后石油类污染物主要聚集在土壤剖面</w:t>
      </w:r>
      <w:r>
        <w:rPr>
          <w:rFonts w:ascii="宋体" w:hAnsi="宋体"/>
          <w:color w:val="000000" w:themeColor="text1"/>
          <w:sz w:val="24"/>
          <w:szCs w:val="24"/>
          <w14:textFill>
            <w14:solidFill>
              <w14:schemeClr w14:val="tx1"/>
            </w14:solidFill>
          </w14:textFill>
        </w:rPr>
        <w:t>1m</w:t>
      </w:r>
      <w:r>
        <w:rPr>
          <w:rFonts w:hint="eastAsia" w:ascii="宋体" w:hAnsi="宋体"/>
          <w:color w:val="000000" w:themeColor="text1"/>
          <w:sz w:val="24"/>
          <w:szCs w:val="24"/>
          <w14:textFill>
            <w14:solidFill>
              <w14:schemeClr w14:val="tx1"/>
            </w14:solidFill>
          </w14:textFill>
        </w:rPr>
        <w:t>以内，石油类污染物很难下渗到</w:t>
      </w:r>
      <w:r>
        <w:rPr>
          <w:rFonts w:ascii="宋体" w:hAnsi="宋体"/>
          <w:color w:val="000000" w:themeColor="text1"/>
          <w:sz w:val="24"/>
          <w:szCs w:val="24"/>
          <w14:textFill>
            <w14:solidFill>
              <w14:schemeClr w14:val="tx1"/>
            </w14:solidFill>
          </w14:textFill>
        </w:rPr>
        <w:t>2m</w:t>
      </w:r>
      <w:r>
        <w:rPr>
          <w:rFonts w:hint="eastAsia" w:ascii="宋体" w:hAnsi="宋体"/>
          <w:color w:val="000000" w:themeColor="text1"/>
          <w:sz w:val="24"/>
          <w:szCs w:val="24"/>
          <w14:textFill>
            <w14:solidFill>
              <w14:schemeClr w14:val="tx1"/>
            </w14:solidFill>
          </w14:textFill>
        </w:rPr>
        <w:t>以下，对地下水体的影响概率不大，及时采取有效措施治理污染，井喷不会造成地下水污染。</w:t>
      </w:r>
    </w:p>
    <w:p w14:paraId="2D8CA083">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bookmarkStart w:id="525" w:name="_Hlk175252858"/>
      <w:r>
        <w:rPr>
          <w:rFonts w:hint="eastAsia" w:ascii="宋体" w:hAnsi="宋体"/>
          <w:color w:val="000000" w:themeColor="text1"/>
          <w:sz w:val="24"/>
          <w:szCs w:val="24"/>
          <w:lang w:val="en-US" w:eastAsia="zh-CN"/>
          <w14:textFill>
            <w14:solidFill>
              <w14:schemeClr w14:val="tx1"/>
            </w14:solidFill>
          </w14:textFill>
        </w:rPr>
        <w:t>3）</w:t>
      </w:r>
      <w:r>
        <w:rPr>
          <w:rFonts w:hint="eastAsia" w:ascii="宋体" w:hAnsi="宋体"/>
          <w:color w:val="000000" w:themeColor="text1"/>
          <w:sz w:val="24"/>
          <w:szCs w:val="24"/>
          <w14:textFill>
            <w14:solidFill>
              <w14:schemeClr w14:val="tx1"/>
            </w14:solidFill>
          </w14:textFill>
        </w:rPr>
        <w:t>对草地</w:t>
      </w:r>
      <w:r>
        <w:rPr>
          <w:rFonts w:hint="eastAsia" w:ascii="宋体" w:hAnsi="宋体"/>
          <w:color w:val="000000" w:themeColor="text1"/>
          <w:sz w:val="24"/>
          <w:szCs w:val="24"/>
          <w:lang w:eastAsia="zh-CN"/>
          <w14:textFill>
            <w14:solidFill>
              <w14:schemeClr w14:val="tx1"/>
            </w14:solidFill>
          </w14:textFill>
        </w:rPr>
        <w:t>、</w:t>
      </w:r>
      <w:r>
        <w:rPr>
          <w:rFonts w:hint="eastAsia" w:ascii="宋体" w:hAnsi="宋体"/>
          <w:color w:val="000000" w:themeColor="text1"/>
          <w:sz w:val="24"/>
          <w:szCs w:val="24"/>
          <w14:textFill>
            <w14:solidFill>
              <w14:schemeClr w14:val="tx1"/>
            </w14:solidFill>
          </w14:textFill>
        </w:rPr>
        <w:t>农田</w:t>
      </w:r>
      <w:r>
        <w:rPr>
          <w:rFonts w:hint="eastAsia" w:ascii="宋体" w:hAnsi="宋体"/>
          <w:color w:val="000000" w:themeColor="text1"/>
          <w:sz w:val="24"/>
          <w:szCs w:val="24"/>
          <w:lang w:val="en-US" w:eastAsia="zh-CN"/>
          <w14:textFill>
            <w14:solidFill>
              <w14:schemeClr w14:val="tx1"/>
            </w14:solidFill>
          </w14:textFill>
        </w:rPr>
        <w:t>和园地</w:t>
      </w:r>
      <w:r>
        <w:rPr>
          <w:rFonts w:hint="eastAsia" w:ascii="宋体" w:hAnsi="宋体"/>
          <w:color w:val="000000" w:themeColor="text1"/>
          <w:sz w:val="24"/>
          <w:szCs w:val="24"/>
          <w14:textFill>
            <w14:solidFill>
              <w14:schemeClr w14:val="tx1"/>
            </w14:solidFill>
          </w14:textFill>
        </w:rPr>
        <w:t>的影响分析</w:t>
      </w:r>
    </w:p>
    <w:p w14:paraId="06F6840F">
      <w:pPr>
        <w:overflowPunct w:val="0"/>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井喷发生时，原油中的轻组分挥发，在对空气环境产生影响的同时，也对周围农田、</w:t>
      </w:r>
      <w:r>
        <w:rPr>
          <w:rFonts w:hint="eastAsia" w:ascii="宋体" w:hAnsi="宋体"/>
          <w:color w:val="000000" w:themeColor="text1"/>
          <w:sz w:val="24"/>
          <w:szCs w:val="24"/>
          <w:lang w:val="en-US" w:eastAsia="zh-CN"/>
          <w14:textFill>
            <w14:solidFill>
              <w14:schemeClr w14:val="tx1"/>
            </w14:solidFill>
          </w14:textFill>
        </w:rPr>
        <w:t>园地</w:t>
      </w:r>
      <w:r>
        <w:rPr>
          <w:rFonts w:hint="eastAsia" w:ascii="宋体" w:hAnsi="宋体"/>
          <w:color w:val="000000" w:themeColor="text1"/>
          <w:sz w:val="24"/>
          <w:szCs w:val="24"/>
          <w14:textFill>
            <w14:solidFill>
              <w14:schemeClr w14:val="tx1"/>
            </w14:solidFill>
          </w14:textFill>
        </w:rPr>
        <w:t>及草地产生影响，井场周围半径200</w:t>
      </w:r>
      <w:r>
        <w:rPr>
          <w:rFonts w:ascii="宋体" w:hAnsi="宋体"/>
          <w:color w:val="000000" w:themeColor="text1"/>
          <w:sz w:val="24"/>
          <w:szCs w:val="24"/>
          <w14:textFill>
            <w14:solidFill>
              <w14:schemeClr w14:val="tx1"/>
            </w14:solidFill>
          </w14:textFill>
        </w:rPr>
        <w:t>m</w:t>
      </w:r>
      <w:r>
        <w:rPr>
          <w:rFonts w:hint="eastAsia" w:ascii="宋体" w:hAnsi="宋体"/>
          <w:color w:val="000000" w:themeColor="text1"/>
          <w:sz w:val="24"/>
          <w:szCs w:val="24"/>
          <w14:textFill>
            <w14:solidFill>
              <w14:schemeClr w14:val="tx1"/>
            </w14:solidFill>
          </w14:textFill>
        </w:rPr>
        <w:t>范围内的农田</w:t>
      </w:r>
      <w:r>
        <w:rPr>
          <w:rFonts w:hint="eastAsia" w:ascii="宋体" w:hAnsi="宋体"/>
          <w:color w:val="000000" w:themeColor="text1"/>
          <w:sz w:val="24"/>
          <w:szCs w:val="24"/>
          <w:lang w:eastAsia="zh-CN"/>
          <w14:textFill>
            <w14:solidFill>
              <w14:schemeClr w14:val="tx1"/>
            </w14:solidFill>
          </w14:textFill>
        </w:rPr>
        <w:t>（</w:t>
      </w:r>
      <w:r>
        <w:rPr>
          <w:rFonts w:hint="eastAsia" w:ascii="宋体" w:hAnsi="宋体"/>
          <w:color w:val="000000" w:themeColor="text1"/>
          <w:sz w:val="24"/>
          <w:szCs w:val="24"/>
          <w:lang w:val="en-US" w:eastAsia="zh-CN"/>
          <w14:textFill>
            <w14:solidFill>
              <w14:schemeClr w14:val="tx1"/>
            </w14:solidFill>
          </w14:textFill>
        </w:rPr>
        <w:t>一般耕地和永久基本农田</w:t>
      </w:r>
      <w:r>
        <w:rPr>
          <w:rFonts w:hint="eastAsia" w:ascii="宋体" w:hAnsi="宋体"/>
          <w:color w:val="000000" w:themeColor="text1"/>
          <w:sz w:val="24"/>
          <w:szCs w:val="24"/>
          <w:lang w:eastAsia="zh-CN"/>
          <w14:textFill>
            <w14:solidFill>
              <w14:schemeClr w14:val="tx1"/>
            </w14:solidFill>
          </w14:textFill>
        </w:rPr>
        <w:t>）</w:t>
      </w:r>
      <w:r>
        <w:rPr>
          <w:rFonts w:hint="eastAsia" w:ascii="宋体" w:hAnsi="宋体"/>
          <w:color w:val="000000" w:themeColor="text1"/>
          <w:sz w:val="24"/>
          <w:szCs w:val="24"/>
          <w14:textFill>
            <w14:solidFill>
              <w14:schemeClr w14:val="tx1"/>
            </w14:solidFill>
          </w14:textFill>
        </w:rPr>
        <w:t>、草地（天然牧草地）、其他</w:t>
      </w:r>
      <w:r>
        <w:rPr>
          <w:rFonts w:hint="eastAsia" w:ascii="宋体" w:hAnsi="宋体"/>
          <w:color w:val="000000" w:themeColor="text1"/>
          <w:sz w:val="24"/>
          <w:szCs w:val="24"/>
          <w:lang w:val="en-US" w:eastAsia="zh-CN"/>
          <w14:textFill>
            <w14:solidFill>
              <w14:schemeClr w14:val="tx1"/>
            </w14:solidFill>
          </w14:textFill>
        </w:rPr>
        <w:t>园地</w:t>
      </w:r>
      <w:r>
        <w:rPr>
          <w:rFonts w:hint="eastAsia" w:ascii="宋体" w:hAnsi="宋体"/>
          <w:color w:val="000000" w:themeColor="text1"/>
          <w:sz w:val="24"/>
          <w:szCs w:val="24"/>
          <w14:textFill>
            <w14:solidFill>
              <w14:schemeClr w14:val="tx1"/>
            </w14:solidFill>
          </w14:textFill>
        </w:rPr>
        <w:t>中的植被将全部由于石油类污染而使其呼吸受阻，不能进行正常光合作用而死亡；原油进入土壤后与土壤结合，渗入土壤孔隙，使土壤透气性和呼吸作用减弱，改变了土壤质地和结构，影响到土壤的生物功能，进而造成生长其上的植物和土壤动物的死亡，这种影响会导致污染地段多年无法生长植物或长势减弱，甚至使这一区域变为裸地。由于这一影响使土壤结构受石油类污染而发生变化，因此，被污染区域的植被不易恢复。若井喷时发生火灾，结果将使燃烧范围内的植被全部死亡。必须采取严格有效的风险防范措施，防止、降低井喷事故风险发生。事故发生后应及时清理现场，对原油进行回收，受污染的土壤集中收集后由有相应危废处置资质的单位进行回收处置，将井喷事故对周边植被和农作物的影响降至最低。</w:t>
      </w:r>
    </w:p>
    <w:p w14:paraId="3A34DBFC">
      <w:pPr>
        <w:pStyle w:val="165"/>
        <w:rPr>
          <w:rFonts w:hint="eastAsia"/>
          <w:snapToGrid w:val="0"/>
          <w:color w:val="000000" w:themeColor="text1"/>
          <w14:textFill>
            <w14:solidFill>
              <w14:schemeClr w14:val="tx1"/>
            </w14:solidFill>
          </w14:textFill>
        </w:rPr>
      </w:pPr>
      <w:r>
        <w:rPr>
          <w:rFonts w:hint="eastAsia"/>
          <w:snapToGrid w:val="0"/>
          <w:color w:val="000000" w:themeColor="text1"/>
          <w:lang w:val="en-US" w:eastAsia="zh-CN"/>
          <w14:textFill>
            <w14:solidFill>
              <w14:schemeClr w14:val="tx1"/>
            </w14:solidFill>
          </w14:textFill>
        </w:rPr>
        <w:t>②</w:t>
      </w:r>
      <w:r>
        <w:rPr>
          <w:rFonts w:hint="eastAsia"/>
          <w:snapToGrid w:val="0"/>
          <w:color w:val="000000" w:themeColor="text1"/>
          <w14:textFill>
            <w14:solidFill>
              <w14:schemeClr w14:val="tx1"/>
            </w14:solidFill>
          </w14:textFill>
        </w:rPr>
        <w:t>井漏事故影响分析</w:t>
      </w:r>
    </w:p>
    <w:p w14:paraId="18E836A7">
      <w:pPr>
        <w:pStyle w:val="165"/>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井漏事故一般发生在井下作业修井过程中，通常是由于套管破损或者固井质量不好，导致修井液漏入地层。漏层的类型、井漏的严重程度，因漏失层位各不相同，变化很大，一旦发生井漏，使大量修井液漏失，除造成经济损失外，还可能对地下含水层和油层造成一定的污染和危害。本次拟部署钻井表层套管下入深度为</w:t>
      </w:r>
      <w:r>
        <w:rPr>
          <w:rFonts w:hint="eastAsia"/>
          <w:color w:val="000000" w:themeColor="text1"/>
          <w:lang w:val="en-US"/>
          <w14:textFill>
            <w14:solidFill>
              <w14:schemeClr w14:val="tx1"/>
            </w14:solidFill>
          </w14:textFill>
        </w:rPr>
        <w:t>400</w:t>
      </w:r>
      <w:r>
        <w:rPr>
          <w:rFonts w:hint="eastAsia"/>
          <w:color w:val="000000" w:themeColor="text1"/>
          <w14:textFill>
            <w14:solidFill>
              <w14:schemeClr w14:val="tx1"/>
            </w14:solidFill>
          </w14:textFill>
        </w:rPr>
        <w:t>m，超出本区域地下水含水层深度，在钻井过程中采用下套管注水泥固井、完井方式进行水泥固井，对含水层进行了固封处理，发生井漏的可能性较小，不会对地下水环境产生明显影响。</w:t>
      </w:r>
    </w:p>
    <w:bookmarkEnd w:id="525"/>
    <w:p w14:paraId="1F8571EC">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③</w:t>
      </w:r>
      <w:r>
        <w:rPr>
          <w:rFonts w:hint="eastAsia"/>
          <w:color w:val="000000" w:themeColor="text1"/>
          <w14:textFill>
            <w14:solidFill>
              <w14:schemeClr w14:val="tx1"/>
            </w14:solidFill>
          </w14:textFill>
        </w:rPr>
        <w:t>管线、设备泄漏事故影响分析</w:t>
      </w:r>
    </w:p>
    <w:p w14:paraId="5D7028A0">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对土壤的影响</w:t>
      </w:r>
      <w:r>
        <w:rPr>
          <w:rFonts w:hint="eastAsia"/>
          <w:color w:val="000000" w:themeColor="text1"/>
          <w14:textFill>
            <w14:solidFill>
              <w14:schemeClr w14:val="tx1"/>
            </w14:solidFill>
          </w14:textFill>
        </w:rPr>
        <w:t>分析</w:t>
      </w:r>
    </w:p>
    <w:p w14:paraId="32D35D50">
      <w:pPr>
        <w:adjustRightInd w:val="0"/>
        <w:snapToGrid w:val="0"/>
        <w:spacing w:line="48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采油井场内设备和单井采油管线发生泄漏后相当于向土壤中直接注入油品，油品渗入土壤孔隙，则使土壤透气性和呼吸作用减弱，影响土壤中的微生物生存，造成土壤盐碱化，破坏土壤结构，增加土壤中石油类污染物，造成土地肥力下降，改变土壤的理化性质，影响土壤正常的结构和功能，进而影响荒漠植被的生长（尤其是对农田农作物的影响），并可影响局部的生态环境。根据类比调查结果可知，油品泄漏事故发生后，在非渗透性的基岩及粘重土壤上污染（扩展）面积较大，而疏松土质上影响的扩展范围较小，在泄漏事故发生的最初，原油在土壤中下渗至一定深度，随泄漏历时的延长，下渗深度增加不大（落地油一般在土壤表层20cm以上深度内积聚）。根据非正常工况下土壤环境影响分析结果可知，站内设备和管线等事故发生后及时采取措施并将受污染的土壤清理，不会对土壤环境产生明显不利影响。</w:t>
      </w:r>
    </w:p>
    <w:bookmarkEnd w:id="520"/>
    <w:p w14:paraId="71AFA212">
      <w:pPr>
        <w:adjustRightInd w:val="0"/>
        <w:snapToGrid w:val="0"/>
        <w:spacing w:line="48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2）</w:t>
      </w:r>
      <w:r>
        <w:rPr>
          <w:rFonts w:ascii="宋体" w:hAnsi="宋体"/>
          <w:color w:val="000000" w:themeColor="text1"/>
          <w:sz w:val="24"/>
          <w:szCs w:val="24"/>
          <w14:textFill>
            <w14:solidFill>
              <w14:schemeClr w14:val="tx1"/>
            </w14:solidFill>
          </w14:textFill>
        </w:rPr>
        <w:t>对植被的影响</w:t>
      </w:r>
    </w:p>
    <w:p w14:paraId="79E98ED6">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原油泄漏对植被的影响主要分为三种途径，一是泄漏油品直接粘附于植物体阻断植物的光合作用，使植物枯萎、死亡；二是原油污染土壤造成的土壤理性化性状变化间接影响植物生长，严重时会导致植物死亡；三是泄漏的油品中的轻组分挥发，在对空气环境产生影响的同时，也对周围植物产生影响。发生事故后，及时采取相应的措施，不会对周围植被产生明显影响。</w:t>
      </w:r>
    </w:p>
    <w:p w14:paraId="1019A327">
      <w:pPr>
        <w:adjustRightInd w:val="0"/>
        <w:snapToGrid w:val="0"/>
        <w:spacing w:line="480" w:lineRule="exact"/>
        <w:ind w:firstLine="480"/>
        <w:rPr>
          <w:rFonts w:hint="eastAsia" w:ascii="宋体" w:hAnsi="宋体"/>
          <w:color w:val="000000" w:themeColor="text1"/>
          <w:sz w:val="24"/>
          <w:szCs w:val="24"/>
          <w14:textFill>
            <w14:solidFill>
              <w14:schemeClr w14:val="tx1"/>
            </w14:solidFill>
          </w14:textFill>
        </w:rPr>
      </w:pPr>
      <w:bookmarkStart w:id="526" w:name="_Hlk147587769"/>
      <w:r>
        <w:rPr>
          <w:rFonts w:hint="eastAsia" w:ascii="宋体" w:hAnsi="宋体"/>
          <w:color w:val="000000" w:themeColor="text1"/>
          <w:sz w:val="24"/>
          <w:szCs w:val="24"/>
          <w:lang w:val="en-US" w:eastAsia="zh-CN"/>
          <w14:textFill>
            <w14:solidFill>
              <w14:schemeClr w14:val="tx1"/>
            </w14:solidFill>
          </w14:textFill>
        </w:rPr>
        <w:t>3）</w:t>
      </w:r>
      <w:r>
        <w:rPr>
          <w:rFonts w:hint="eastAsia" w:ascii="宋体" w:hAnsi="宋体"/>
          <w:color w:val="000000" w:themeColor="text1"/>
          <w:sz w:val="24"/>
          <w:szCs w:val="24"/>
          <w14:textFill>
            <w14:solidFill>
              <w14:schemeClr w14:val="tx1"/>
            </w14:solidFill>
          </w14:textFill>
        </w:rPr>
        <w:t>对地下水环境的影响</w:t>
      </w:r>
    </w:p>
    <w:bookmarkEnd w:id="526"/>
    <w:p w14:paraId="4294C8F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内设备和管线发生泄漏后，泄漏的油品下渗，进而导致地下水污染风险的发生。发生泄漏事故后，及时发现、及时维修处理，即使有少量的污染物泄漏，也很难通过防渗层渗入包气带。故在正常工况下，加大检修力度，发生泄漏事故及时找到泄漏点，及时维修，并将受污染的土壤全部回收，交由有相应危险废物处置资质的单位进行回收处置，污染物从源头和末端均得到控制，没有污染地下水的通道，污染物不会渗入地下污染地下水体。当泄漏事故不可控时，泄漏的油品经土层渗漏，通过包气带进入含水层。根据《采油废水中石油类污染物在土壤中的迁移规律研究》（岳占林文）中结论：土壤尽管颗粒较粗、结构较松散、孔隙比较大，但对石油类物质的截留作用是非常显著的，石油类很难在土壤剖面中随水下渗迁移，基本上被截留在0～10cm或0～20cm表层土壤中，其中表层0～5cm土壤截留了90%以上的泄漏原油。</w:t>
      </w:r>
    </w:p>
    <w:p w14:paraId="60ED7AC0">
      <w:pPr>
        <w:pStyle w:val="120"/>
        <w:rPr>
          <w:rFonts w:hint="eastAsia"/>
          <w:color w:val="000000" w:themeColor="text1"/>
          <w14:textFill>
            <w14:solidFill>
              <w14:schemeClr w14:val="tx1"/>
            </w14:solidFill>
          </w14:textFill>
        </w:rPr>
      </w:pPr>
      <w:bookmarkStart w:id="527" w:name="_Hlk147587764"/>
      <w:r>
        <w:rPr>
          <w:rFonts w:hint="eastAsia"/>
          <w:color w:val="000000" w:themeColor="text1"/>
          <w14:textFill>
            <w14:solidFill>
              <w14:schemeClr w14:val="tx1"/>
            </w14:solidFill>
          </w14:textFill>
        </w:rPr>
        <w:t>根据事故状态下对地下的预测可知，单井采油管线发生泄漏后100d和1000d下游石油类达标时对应的距离分别为50m和154m。项目区土壤在消除土体裂隙和根孔影响的试验条件下，石油类下渗下移的深度不会超过30cm，</w:t>
      </w:r>
      <w:r>
        <w:rPr>
          <w:color w:val="000000" w:themeColor="text1"/>
          <w:kern w:val="0"/>
          <w:szCs w:val="26"/>
          <w14:textFill>
            <w14:solidFill>
              <w14:schemeClr w14:val="tx1"/>
            </w14:solidFill>
          </w14:textFill>
        </w:rPr>
        <w:t>承压水顶板埋深在50～100m</w:t>
      </w:r>
      <w:r>
        <w:rPr>
          <w:rFonts w:hint="eastAsia"/>
          <w:color w:val="000000" w:themeColor="text1"/>
          <w:kern w:val="0"/>
          <w:szCs w:val="26"/>
          <w14:textFill>
            <w14:solidFill>
              <w14:schemeClr w14:val="tx1"/>
            </w14:solidFill>
          </w14:textFill>
        </w:rPr>
        <w:t>以下</w:t>
      </w:r>
      <w:r>
        <w:rPr>
          <w:rFonts w:hint="eastAsia"/>
          <w:color w:val="000000" w:themeColor="text1"/>
          <w14:textFill>
            <w14:solidFill>
              <w14:schemeClr w14:val="tx1"/>
            </w14:solidFill>
          </w14:textFill>
        </w:rPr>
        <w:t>，泄漏的原油进入地下水的可能性很小，并定期对设备进行检修，将事故发生的概率降至最低，发生泄漏后做到及时发现、及时处理，彻底清除泄漏油品及被污染的土壤。因此，发生泄漏后采取相应的措施后不会对地下水环境产生大的影响。</w:t>
      </w:r>
    </w:p>
    <w:bookmarkEnd w:id="527"/>
    <w:p w14:paraId="118AF03E">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对大气环境的影响分析</w:t>
      </w:r>
    </w:p>
    <w:p w14:paraId="1A2F41DC">
      <w:pPr>
        <w:pStyle w:val="120"/>
        <w:rPr>
          <w:rFonts w:hint="eastAsia"/>
          <w:color w:val="000000" w:themeColor="text1"/>
          <w14:textFill>
            <w14:solidFill>
              <w14:schemeClr w14:val="tx1"/>
            </w14:solidFill>
          </w14:textFill>
        </w:rPr>
      </w:pPr>
      <w:bookmarkStart w:id="528" w:name="_Hlk80209261"/>
      <w:r>
        <w:rPr>
          <w:rFonts w:hint="eastAsia"/>
          <w:color w:val="000000" w:themeColor="text1"/>
          <w14:textFill>
            <w14:solidFill>
              <w14:schemeClr w14:val="tx1"/>
            </w14:solidFill>
          </w14:textFill>
        </w:rPr>
        <w:t>管线埋地敷设，管线发生泄漏后，油气很难透过土壤扩散到大气环境中，泄漏物对大气环境影响较小；井场和站场内设备发生泄漏事故后，油气进入环境空气，其中的</w:t>
      </w:r>
      <w:r>
        <w:rPr>
          <w:color w:val="000000" w:themeColor="text1"/>
          <w14:textFill>
            <w14:solidFill>
              <w14:schemeClr w14:val="tx1"/>
            </w14:solidFill>
          </w14:textFill>
        </w:rPr>
        <w:t>NMHC</w:t>
      </w:r>
      <w:r>
        <w:rPr>
          <w:rFonts w:hint="eastAsia"/>
          <w:color w:val="000000" w:themeColor="text1"/>
          <w14:textFill>
            <w14:solidFill>
              <w14:schemeClr w14:val="tx1"/>
            </w14:solidFill>
          </w14:textFill>
        </w:rPr>
        <w:t>可能会对周围环境空气产生影响，若遇明火，可发生火灾、爆炸，火灾、爆炸产生的伴生/次生污染物可能对环境空气产生一定的影响。由于项目区周围无环境敏感目标，且地域空旷，扩散条件较好，发生事故后，及时采取相应的措施，不会对周围环境空气产生明显影响。</w:t>
      </w:r>
      <w:bookmarkEnd w:id="512"/>
      <w:bookmarkEnd w:id="518"/>
      <w:bookmarkEnd w:id="528"/>
      <w:bookmarkStart w:id="529" w:name="_Toc475624491"/>
      <w:bookmarkStart w:id="530" w:name="_Hlk40733172"/>
      <w:bookmarkStart w:id="531" w:name="_Toc475624487"/>
    </w:p>
    <w:p w14:paraId="21FE4567">
      <w:pPr>
        <w:pStyle w:val="120"/>
        <w:rPr>
          <w:rFonts w:hint="eastAsia"/>
          <w:color w:val="000000" w:themeColor="text1"/>
          <w14:textFill>
            <w14:solidFill>
              <w14:schemeClr w14:val="tx1"/>
            </w14:solidFill>
          </w14:textFill>
        </w:rPr>
      </w:pPr>
      <w:bookmarkStart w:id="532" w:name="_Hlk173407554"/>
      <w:r>
        <w:rPr>
          <w:rFonts w:hint="eastAsia"/>
          <w:color w:val="000000" w:themeColor="text1"/>
          <w:lang w:val="en-US" w:eastAsia="zh-CN"/>
          <w14:textFill>
            <w14:solidFill>
              <w14:schemeClr w14:val="tx1"/>
            </w14:solidFill>
          </w14:textFill>
        </w:rPr>
        <w:t>④</w:t>
      </w:r>
      <w:r>
        <w:rPr>
          <w:rFonts w:hint="eastAsia"/>
          <w:color w:val="000000" w:themeColor="text1"/>
          <w14:textFill>
            <w14:solidFill>
              <w14:schemeClr w14:val="tx1"/>
            </w14:solidFill>
          </w14:textFill>
        </w:rPr>
        <w:t>事故状态下对大气环境敏感目标的影响分析</w:t>
      </w:r>
    </w:p>
    <w:p w14:paraId="32B947E7">
      <w:pPr>
        <w:pStyle w:val="120"/>
        <w:rPr>
          <w:rFonts w:hint="eastAsia"/>
          <w:color w:val="000000" w:themeColor="text1"/>
          <w:kern w:val="0"/>
          <w14:textFill>
            <w14:solidFill>
              <w14:schemeClr w14:val="tx1"/>
            </w14:solidFill>
          </w14:textFill>
        </w:rPr>
      </w:pPr>
      <w:r>
        <w:rPr>
          <w:rFonts w:hint="eastAsia"/>
          <w:color w:val="000000" w:themeColor="text1"/>
          <w14:textFill>
            <w14:solidFill>
              <w14:schemeClr w14:val="tx1"/>
            </w14:solidFill>
          </w14:textFill>
        </w:rPr>
        <w:t>事故状态下泄漏的油气及火灾、爆炸产生废伴生/次生污染物可能对—张家庄子村、张家庄子中村、张家庄子上村的居民产生一定的影响，运营过程</w:t>
      </w:r>
      <w:r>
        <w:rPr>
          <w:rFonts w:hint="eastAsia"/>
          <w:color w:val="000000" w:themeColor="text1"/>
          <w:lang w:val="en-US"/>
          <w14:textFill>
            <w14:solidFill>
              <w14:schemeClr w14:val="tx1"/>
            </w14:solidFill>
          </w14:textFill>
        </w:rPr>
        <w:t>中应</w:t>
      </w:r>
      <w:r>
        <w:rPr>
          <w:rFonts w:hint="eastAsia"/>
          <w:color w:val="000000" w:themeColor="text1"/>
          <w14:textFill>
            <w14:solidFill>
              <w14:schemeClr w14:val="tx1"/>
            </w14:solidFill>
          </w14:textFill>
        </w:rPr>
        <w:t>加强各类设备巡检、检修，项目区设置禁止烟火标识，事故发生概率较低；</w:t>
      </w:r>
      <w:r>
        <w:rPr>
          <w:rFonts w:hint="eastAsia"/>
          <w:color w:val="000000" w:themeColor="text1"/>
          <w:kern w:val="0"/>
          <w14:textFill>
            <w14:solidFill>
              <w14:schemeClr w14:val="tx1"/>
            </w14:solidFill>
          </w14:textFill>
        </w:rPr>
        <w:t>由于项目区地域空旷，扩散条件较好，项目实施不会对上述大气环境敏感目标产生明显不利影响。</w:t>
      </w:r>
    </w:p>
    <w:bookmarkEnd w:id="532"/>
    <w:p w14:paraId="09082756">
      <w:pPr>
        <w:pStyle w:val="120"/>
        <w:rPr>
          <w:rFonts w:hint="eastAsia"/>
          <w:color w:val="000000" w:themeColor="text1"/>
          <w14:textFill>
            <w14:solidFill>
              <w14:schemeClr w14:val="tx1"/>
            </w14:solidFill>
          </w14:textFill>
        </w:rPr>
      </w:pPr>
    </w:p>
    <w:bookmarkEnd w:id="529"/>
    <w:bookmarkEnd w:id="530"/>
    <w:p w14:paraId="18D9CD7C">
      <w:pPr>
        <w:pStyle w:val="6"/>
        <w:rPr>
          <w:rFonts w:hint="eastAsia"/>
          <w:color w:val="000000" w:themeColor="text1"/>
          <w:lang w:val="zh-CN"/>
          <w14:textFill>
            <w14:solidFill>
              <w14:schemeClr w14:val="tx1"/>
            </w14:solidFill>
          </w14:textFill>
        </w:rPr>
      </w:pPr>
      <w:r>
        <w:rPr>
          <w:color w:val="000000" w:themeColor="text1"/>
          <w:lang w:val="zh-CN"/>
          <w14:textFill>
            <w14:solidFill>
              <w14:schemeClr w14:val="tx1"/>
            </w14:solidFill>
          </w14:textFill>
        </w:rPr>
        <w:br w:type="page"/>
      </w:r>
      <w:bookmarkStart w:id="533" w:name="_Toc12392"/>
      <w:r>
        <w:rPr>
          <w:rFonts w:hint="eastAsia"/>
          <w:color w:val="000000" w:themeColor="text1"/>
          <w:lang w:val="zh-CN"/>
          <w14:textFill>
            <w14:solidFill>
              <w14:schemeClr w14:val="tx1"/>
            </w14:solidFill>
          </w14:textFill>
        </w:rPr>
        <w:t>环境保护措施及其可行性论证</w:t>
      </w:r>
      <w:bookmarkEnd w:id="531"/>
      <w:bookmarkEnd w:id="533"/>
    </w:p>
    <w:p w14:paraId="76ACCD35">
      <w:pPr>
        <w:pStyle w:val="7"/>
        <w:rPr>
          <w:rFonts w:hint="eastAsia"/>
          <w:color w:val="000000" w:themeColor="text1"/>
          <w:lang w:val="zh-CN"/>
          <w14:textFill>
            <w14:solidFill>
              <w14:schemeClr w14:val="tx1"/>
            </w14:solidFill>
          </w14:textFill>
        </w:rPr>
      </w:pPr>
      <w:bookmarkStart w:id="534" w:name="_Toc475624488"/>
      <w:bookmarkStart w:id="535" w:name="_Toc18343"/>
      <w:bookmarkStart w:id="536" w:name="_Toc445996461"/>
      <w:bookmarkStart w:id="537" w:name="_Toc21102"/>
      <w:bookmarkStart w:id="538" w:name="_Toc14133"/>
      <w:bookmarkStart w:id="539" w:name="_Toc445840420"/>
      <w:bookmarkStart w:id="540" w:name="_Toc448413619"/>
      <w:bookmarkStart w:id="541" w:name="_Toc445842140"/>
      <w:bookmarkStart w:id="542" w:name="_Toc459026594"/>
      <w:bookmarkStart w:id="543" w:name="_Toc31327"/>
      <w:r>
        <w:rPr>
          <w:rFonts w:hint="eastAsia"/>
          <w:color w:val="000000" w:themeColor="text1"/>
          <w:lang w:val="zh-CN"/>
          <w14:textFill>
            <w14:solidFill>
              <w14:schemeClr w14:val="tx1"/>
            </w14:solidFill>
          </w14:textFill>
        </w:rPr>
        <w:t>施工期</w:t>
      </w:r>
      <w:r>
        <w:rPr>
          <w:color w:val="000000" w:themeColor="text1"/>
          <w:lang w:val="zh-CN"/>
          <w14:textFill>
            <w14:solidFill>
              <w14:schemeClr w14:val="tx1"/>
            </w14:solidFill>
          </w14:textFill>
        </w:rPr>
        <w:t>环境保护措施</w:t>
      </w:r>
      <w:bookmarkEnd w:id="534"/>
      <w:r>
        <w:rPr>
          <w:rFonts w:hint="eastAsia"/>
          <w:color w:val="000000" w:themeColor="text1"/>
          <w:lang w:val="zh-CN"/>
          <w14:textFill>
            <w14:solidFill>
              <w14:schemeClr w14:val="tx1"/>
            </w14:solidFill>
          </w14:textFill>
        </w:rPr>
        <w:t>及其可行性论证</w:t>
      </w:r>
      <w:bookmarkEnd w:id="535"/>
    </w:p>
    <w:bookmarkEnd w:id="536"/>
    <w:bookmarkEnd w:id="537"/>
    <w:bookmarkEnd w:id="538"/>
    <w:bookmarkEnd w:id="539"/>
    <w:bookmarkEnd w:id="540"/>
    <w:bookmarkEnd w:id="541"/>
    <w:bookmarkEnd w:id="542"/>
    <w:bookmarkEnd w:id="543"/>
    <w:p w14:paraId="5E496F2D">
      <w:pPr>
        <w:pStyle w:val="8"/>
        <w:rPr>
          <w:rFonts w:hint="eastAsia"/>
          <w:color w:val="000000" w:themeColor="text1"/>
          <w:lang w:val="zh-CN"/>
          <w14:textFill>
            <w14:solidFill>
              <w14:schemeClr w14:val="tx1"/>
            </w14:solidFill>
          </w14:textFill>
        </w:rPr>
      </w:pPr>
      <w:bookmarkStart w:id="544" w:name="_Toc445842141"/>
      <w:bookmarkStart w:id="545" w:name="_Toc445996462"/>
      <w:bookmarkStart w:id="546" w:name="_Toc10287"/>
      <w:bookmarkStart w:id="547" w:name="_Hlk40731057"/>
      <w:r>
        <w:rPr>
          <w:rFonts w:hint="eastAsia"/>
          <w:color w:val="000000" w:themeColor="text1"/>
          <w:lang w:val="zh-CN"/>
          <w14:textFill>
            <w14:solidFill>
              <w14:schemeClr w14:val="tx1"/>
            </w14:solidFill>
          </w14:textFill>
        </w:rPr>
        <w:t>施工期大气污染防治措施</w:t>
      </w:r>
      <w:bookmarkEnd w:id="544"/>
      <w:bookmarkEnd w:id="545"/>
      <w:bookmarkEnd w:id="546"/>
    </w:p>
    <w:bookmarkEnd w:id="547"/>
    <w:p w14:paraId="423AF42E">
      <w:pPr>
        <w:pStyle w:val="120"/>
        <w:rPr>
          <w:rFonts w:hint="eastAsia"/>
          <w:color w:val="000000" w:themeColor="text1"/>
          <w14:textFill>
            <w14:solidFill>
              <w14:schemeClr w14:val="tx1"/>
            </w14:solidFill>
          </w14:textFill>
        </w:rPr>
      </w:pPr>
      <w:bookmarkStart w:id="548" w:name="_Hlk40731105"/>
      <w:bookmarkStart w:id="549" w:name="OLE_LINK388"/>
      <w:bookmarkStart w:id="550" w:name="_Hlk175132138"/>
      <w:bookmarkStart w:id="551" w:name="_Toc1790"/>
      <w:bookmarkStart w:id="552" w:name="_Toc445842142"/>
      <w:bookmarkStart w:id="553" w:name="_Toc445996463"/>
      <w:r>
        <w:rPr>
          <w:rFonts w:hint="eastAsia"/>
          <w:color w:val="000000" w:themeColor="text1"/>
          <w14:textFill>
            <w14:solidFill>
              <w14:schemeClr w14:val="tx1"/>
            </w14:solidFill>
          </w14:textFill>
        </w:rPr>
        <w:t>（1）合理规划运输道路线路，尽量利用油田现有的公路网，施工车辆严格按照规定线路行驶，严禁乱碾乱压。运输车辆应加盖篷布，不能超载过量；严禁车辆在行驶中沿途振漏建筑材料及建筑废料。</w:t>
      </w:r>
    </w:p>
    <w:p w14:paraId="6AB6529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bookmarkEnd w:id="548"/>
      <w:r>
        <w:rPr>
          <w:rFonts w:hint="eastAsia"/>
          <w:color w:val="000000" w:themeColor="text1"/>
          <w14:textFill>
            <w14:solidFill>
              <w14:schemeClr w14:val="tx1"/>
            </w14:solidFill>
          </w14:textFill>
        </w:rPr>
        <w:t>粉状材料及临时土方等在施工区堆放应采取覆盖防尘布，采用覆盖措施时，在非作业情况下覆盖率须达到100%。逸散性材料运输采用苫布遮盖。</w:t>
      </w:r>
    </w:p>
    <w:p w14:paraId="6F8B487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（3）优化施工组织，道路和管线分段施工，缩短施工时间。场地平整时，禁止利用挖掘机进行抛撒土石方的作业。严禁在大风天气进行土方作业。</w:t>
      </w:r>
    </w:p>
    <w:p w14:paraId="4D66EBD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（4）施工结束后尽快对施工场地进行整理和平整，减少风蚀量。</w:t>
      </w:r>
    </w:p>
    <w:p w14:paraId="0073952B">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（5）加强对施工人员的环保教育，增强全体施工人员的环保意识，坚持文明施工、科学施工，减少施工期的大气污染。</w:t>
      </w:r>
    </w:p>
    <w:p w14:paraId="6D2E4D36">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（6）运输车辆及施工机械采用符合国家标准的油品，定期对施工机械及运输车辆保养维护。</w:t>
      </w:r>
    </w:p>
    <w:p w14:paraId="24551279">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（7）管线焊接时，</w:t>
      </w:r>
      <w:bookmarkStart w:id="554" w:name="_Hlk177556490"/>
      <w:r>
        <w:rPr>
          <w:rFonts w:hint="eastAsia"/>
          <w:color w:val="000000" w:themeColor="text1"/>
          <w:lang w:bidi="ar"/>
          <w14:textFill>
            <w14:solidFill>
              <w14:schemeClr w14:val="tx1"/>
            </w14:solidFill>
          </w14:textFill>
        </w:rPr>
        <w:t>使用国家合格的焊条产品。</w:t>
      </w:r>
      <w:bookmarkEnd w:id="554"/>
    </w:p>
    <w:p w14:paraId="6EB262BA">
      <w:pPr>
        <w:pStyle w:val="120"/>
        <w:rPr>
          <w:rFonts w:hint="eastAsia"/>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（8）</w:t>
      </w:r>
      <w:r>
        <w:rPr>
          <w:rFonts w:hint="eastAsia"/>
          <w:color w:val="000000" w:themeColor="text1"/>
          <w14:textFill>
            <w14:solidFill>
              <w14:schemeClr w14:val="tx1"/>
            </w14:solidFill>
          </w14:textFill>
        </w:rPr>
        <w:t>使用高质量柴油机、柴油发</w:t>
      </w:r>
      <w:r>
        <w:rPr>
          <w:rFonts w:hint="eastAsia" w:ascii="宋体" w:hAnsi="宋体" w:eastAsia="宋体" w:cs="Times New Roman"/>
          <w:color w:val="000000" w:themeColor="text1"/>
          <w:lang w:bidi="ar"/>
          <w14:textFill>
            <w14:solidFill>
              <w14:schemeClr w14:val="tx1"/>
            </w14:solidFill>
          </w14:textFill>
        </w:rPr>
        <w:t>电机和硫含量≤</w:t>
      </w:r>
      <w:r>
        <w:rPr>
          <w:rFonts w:hint="default" w:ascii="宋体" w:hAnsi="宋体" w:eastAsia="宋体" w:cs="Times New Roman"/>
          <w:color w:val="000000" w:themeColor="text1"/>
          <w:lang w:bidi="ar"/>
          <w14:textFill>
            <w14:solidFill>
              <w14:schemeClr w14:val="tx1"/>
            </w14:solidFill>
          </w14:textFill>
        </w:rPr>
        <w:t>10ppm</w:t>
      </w:r>
      <w:r>
        <w:rPr>
          <w:rFonts w:hint="eastAsia" w:ascii="宋体" w:hAnsi="宋体" w:eastAsia="宋体" w:cs="Times New Roman"/>
          <w:color w:val="000000" w:themeColor="text1"/>
          <w:lang w:bidi="ar"/>
          <w14:textFill>
            <w14:solidFill>
              <w14:schemeClr w14:val="tx1"/>
            </w14:solidFill>
          </w14:textFill>
        </w:rPr>
        <w:t>的低硫清洁柴油</w:t>
      </w:r>
      <w:r>
        <w:rPr>
          <w:rFonts w:hint="eastAsia" w:ascii="宋体" w:hAnsi="宋体" w:eastAsia="宋体" w:cs="Times New Roman"/>
          <w:color w:val="000000" w:themeColor="text1"/>
          <w:lang w:eastAsia="zh-CN" w:bidi="ar"/>
          <w14:textFill>
            <w14:solidFill>
              <w14:schemeClr w14:val="tx1"/>
            </w14:solidFill>
          </w14:textFill>
        </w:rPr>
        <w:t>，</w:t>
      </w:r>
      <w:r>
        <w:rPr>
          <w:rFonts w:hint="eastAsia" w:ascii="宋体" w:hAnsi="宋体" w:eastAsia="宋体" w:cs="Times New Roman"/>
          <w:color w:val="000000" w:themeColor="text1"/>
          <w:lang w:bidi="ar"/>
          <w14:textFill>
            <w14:solidFill>
              <w14:schemeClr w14:val="tx1"/>
            </w14:solidFill>
          </w14:textFill>
        </w:rPr>
        <w:t>并</w:t>
      </w:r>
      <w:r>
        <w:rPr>
          <w:rFonts w:hint="eastAsia"/>
          <w:color w:val="000000" w:themeColor="text1"/>
          <w14:textFill>
            <w14:solidFill>
              <w14:schemeClr w14:val="tx1"/>
            </w14:solidFill>
          </w14:textFill>
        </w:rPr>
        <w:t>定期对设备进行保养维护。</w:t>
      </w:r>
    </w:p>
    <w:p w14:paraId="4C82714E">
      <w:pPr>
        <w:pStyle w:val="193"/>
        <w:jc w:val="distribut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rFonts w:hint="eastAsia"/>
          <w:color w:val="000000" w:themeColor="text1"/>
          <w:spacing w:val="-4"/>
          <w14:textFill>
            <w14:solidFill>
              <w14:schemeClr w14:val="tx1"/>
            </w14:solidFill>
          </w14:textFill>
        </w:rPr>
        <w:t>柴油储罐采用固定顶罐，井场内柴油罐容积为30m</w:t>
      </w:r>
      <w:r>
        <w:rPr>
          <w:rFonts w:hint="eastAsia"/>
          <w:color w:val="000000" w:themeColor="text1"/>
          <w:spacing w:val="-4"/>
          <w:vertAlign w:val="superscript"/>
          <w14:textFill>
            <w14:solidFill>
              <w14:schemeClr w14:val="tx1"/>
            </w14:solidFill>
          </w14:textFill>
        </w:rPr>
        <w:t>3</w:t>
      </w:r>
      <w:r>
        <w:rPr>
          <w:rFonts w:hint="eastAsia"/>
          <w:color w:val="000000" w:themeColor="text1"/>
          <w:spacing w:val="-4"/>
          <w14:textFill>
            <w14:solidFill>
              <w14:schemeClr w14:val="tx1"/>
            </w14:solidFill>
          </w14:textFill>
        </w:rPr>
        <w:t>，小于75m</w:t>
      </w:r>
      <w:r>
        <w:rPr>
          <w:rFonts w:hint="eastAsia"/>
          <w:color w:val="000000" w:themeColor="text1"/>
          <w:spacing w:val="-4"/>
          <w:vertAlign w:val="superscript"/>
          <w14:textFill>
            <w14:solidFill>
              <w14:schemeClr w14:val="tx1"/>
            </w14:solidFill>
          </w14:textFill>
        </w:rPr>
        <w:t>3</w:t>
      </w:r>
      <w:r>
        <w:rPr>
          <w:rFonts w:hint="eastAsia"/>
          <w:color w:val="000000" w:themeColor="text1"/>
          <w:spacing w:val="-4"/>
          <w14:textFill>
            <w14:solidFill>
              <w14:schemeClr w14:val="tx1"/>
            </w14:solidFill>
          </w14:textFill>
        </w:rPr>
        <w:t>，且柴油真实蒸汽压小于27.6kPa，按照《挥发性有机物无组织排放控制标准》（GB37822-2019）中要求可不采取油罐烃蒸气回收措施。施工期应加强储罐的检修和维护，柴油储罐罐体应保持完好，不应有孔洞；储罐附件开口（孔），除采样、计量和例行检查、维护和其他正常活动外，应密闭；定期监测呼吸阀的定压是否符合设定要求</w:t>
      </w:r>
      <w:r>
        <w:rPr>
          <w:rFonts w:hint="eastAsia"/>
          <w:color w:val="000000" w:themeColor="text1"/>
          <w14:textFill>
            <w14:solidFill>
              <w14:schemeClr w14:val="tx1"/>
            </w14:solidFill>
          </w14:textFill>
        </w:rPr>
        <w:t>。</w:t>
      </w:r>
    </w:p>
    <w:p w14:paraId="4341A15E">
      <w:pPr>
        <w:pStyle w:val="120"/>
        <w:rPr>
          <w:rFonts w:hint="eastAsia" w:cs="宋体"/>
          <w:color w:val="000000" w:themeColor="text1"/>
          <w:kern w:val="0"/>
          <w:lang w:bidi="ar"/>
          <w14:textFill>
            <w14:solidFill>
              <w14:schemeClr w14:val="tx1"/>
            </w14:solidFill>
          </w14:textFill>
        </w:rPr>
      </w:pPr>
      <w:r>
        <w:rPr>
          <w:rFonts w:hint="eastAsia"/>
          <w:color w:val="000000" w:themeColor="text1"/>
          <w14:textFill>
            <w14:solidFill>
              <w14:schemeClr w14:val="tx1"/>
            </w14:solidFill>
          </w14:textFill>
        </w:rPr>
        <w:t>（10）废弃水基钻井液、非磺化水基钻井岩屑暂存于罐中，及时转运</w:t>
      </w:r>
      <w:bookmarkEnd w:id="549"/>
      <w:r>
        <w:rPr>
          <w:rFonts w:hint="eastAsia" w:cs="宋体"/>
          <w:color w:val="000000" w:themeColor="text1"/>
          <w:kern w:val="0"/>
          <w:lang w:bidi="ar"/>
          <w14:textFill>
            <w14:solidFill>
              <w14:schemeClr w14:val="tx1"/>
            </w14:solidFill>
          </w14:textFill>
        </w:rPr>
        <w:t>。</w:t>
      </w:r>
    </w:p>
    <w:bookmarkEnd w:id="550"/>
    <w:p w14:paraId="47D8596E">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施工期废水污染防治措施</w:t>
      </w:r>
    </w:p>
    <w:p w14:paraId="51EBB956">
      <w:pPr>
        <w:pStyle w:val="120"/>
        <w:rPr>
          <w:rFonts w:hint="eastAsia"/>
          <w:color w:val="000000" w:themeColor="text1"/>
          <w:lang w:bidi="ar"/>
          <w14:textFill>
            <w14:solidFill>
              <w14:schemeClr w14:val="tx1"/>
            </w14:solidFill>
          </w14:textFill>
        </w:rPr>
      </w:pPr>
      <w:bookmarkStart w:id="555" w:name="_Hlk80273130"/>
      <w:r>
        <w:rPr>
          <w:rFonts w:hint="eastAsia"/>
          <w:color w:val="000000" w:themeColor="text1"/>
          <w:lang w:bidi="ar"/>
          <w14:textFill>
            <w14:solidFill>
              <w14:schemeClr w14:val="tx1"/>
            </w14:solidFill>
          </w14:textFill>
        </w:rPr>
        <w:t>（1）管道试压采用清水试压，管道试压废水产生量较小，主要污染物为悬浮物，试压结束后，用于项目区洒水抑尘。</w:t>
      </w:r>
    </w:p>
    <w:p w14:paraId="5B31F30E">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（2）混凝土养护废水污染物为悬浮物，用于项目区洒水抑尘。</w:t>
      </w:r>
    </w:p>
    <w:p w14:paraId="700380F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）压裂返排液由罐车拉运至吉祥联合站采出水处理系统处理后回注油藏。</w:t>
      </w:r>
    </w:p>
    <w:p w14:paraId="517670A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）施工期间钻井井场分为重点防渗区、一般防渗区和简单防渗区。</w:t>
      </w:r>
    </w:p>
    <w:p w14:paraId="737BFB5B">
      <w:pPr>
        <w:pStyle w:val="193"/>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间钻井井场分为重点防渗区、一般防渗区和简单防渗区。其中柴油储罐、发电房、废料场、不落地系统、钻井液储罐区、岩屑储罐区、钻井井口、危险废物贮存点和应急放喷池（应急放喷池仅在事故状态下开挖）区域为重点防渗区，采用防渗膜进行防渗，防渗层防渗性能不应低于6.0m厚渗透系数不大于10</w:t>
      </w:r>
      <w:r>
        <w:rPr>
          <w:rFonts w:hint="eastAsia"/>
          <w:color w:val="000000" w:themeColor="text1"/>
          <w:vertAlign w:val="superscript"/>
          <w14:textFill>
            <w14:solidFill>
              <w14:schemeClr w14:val="tx1"/>
            </w14:solidFill>
          </w14:textFill>
        </w:rPr>
        <w:t>-10</w:t>
      </w:r>
      <w:r>
        <w:rPr>
          <w:rFonts w:hint="eastAsia"/>
          <w:color w:val="000000" w:themeColor="text1"/>
          <w14:textFill>
            <w14:solidFill>
              <w14:schemeClr w14:val="tx1"/>
            </w14:solidFill>
          </w14:textFill>
        </w:rPr>
        <w:t>cm/s的黏土的防渗性能；化工爬犁、材料爬犁</w:t>
      </w:r>
      <w:r>
        <w:rPr>
          <w:rFonts w:hint="eastAsia"/>
          <w:color w:val="000000" w:themeColor="text1"/>
          <w:lang w:val="en-US" w:eastAsia="zh-CN"/>
          <w14:textFill>
            <w14:solidFill>
              <w14:schemeClr w14:val="tx1"/>
            </w14:solidFill>
          </w14:textFill>
        </w:rPr>
        <w:t>和</w:t>
      </w:r>
      <w:r>
        <w:rPr>
          <w:rFonts w:hint="eastAsia"/>
          <w:color w:val="000000" w:themeColor="text1"/>
          <w14:textFill>
            <w14:solidFill>
              <w14:schemeClr w14:val="tx1"/>
            </w14:solidFill>
          </w14:textFill>
        </w:rPr>
        <w:t>材料房区域为一般防渗区，防渗层防渗性能不应低于1.5m厚渗透系数不大于10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cm/s的黏土的防渗性能；水罐区、地质房、录井房和值班房等其他区域为简单防渗区。</w:t>
      </w:r>
    </w:p>
    <w:p w14:paraId="47CC54B7">
      <w:pPr>
        <w:pStyle w:val="120"/>
        <w:rPr>
          <w:rFonts w:hint="eastAsia" w:cs="宋体"/>
          <w:color w:val="000000" w:themeColor="text1"/>
          <w:spacing w:val="-4"/>
          <w:kern w:val="0"/>
          <w14:textFill>
            <w14:solidFill>
              <w14:schemeClr w14:val="tx1"/>
            </w14:solidFill>
          </w14:textFill>
        </w:rPr>
      </w:pPr>
      <w:r>
        <w:rPr>
          <w:rFonts w:hint="eastAsia"/>
          <w:color w:val="000000" w:themeColor="text1"/>
          <w14:textFill>
            <w14:solidFill>
              <w14:schemeClr w14:val="tx1"/>
            </w14:solidFill>
          </w14:textFill>
        </w:rPr>
        <w:t>分区防渗情况详见表6.1-1和图6.1-1。</w:t>
      </w:r>
    </w:p>
    <w:p w14:paraId="04DAC41B">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表6.1-1  项目分区防渗表</w:t>
      </w:r>
    </w:p>
    <w:tbl>
      <w:tblPr>
        <w:tblStyle w:val="41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47"/>
        <w:gridCol w:w="1318"/>
        <w:gridCol w:w="3148"/>
        <w:gridCol w:w="3117"/>
      </w:tblGrid>
      <w:tr w14:paraId="6514A9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57" w:type="pct"/>
            <w:tcBorders>
              <w:top w:val="single" w:color="auto" w:sz="12" w:space="0"/>
              <w:left w:val="nil"/>
              <w:bottom w:val="single" w:color="auto" w:sz="6" w:space="0"/>
              <w:right w:val="single" w:color="auto" w:sz="6" w:space="0"/>
            </w:tcBorders>
            <w:vAlign w:val="center"/>
          </w:tcPr>
          <w:p w14:paraId="57A1E83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时期</w:t>
            </w:r>
          </w:p>
        </w:tc>
        <w:tc>
          <w:tcPr>
            <w:tcW w:w="755" w:type="pct"/>
            <w:tcBorders>
              <w:top w:val="single" w:color="auto" w:sz="12" w:space="0"/>
              <w:left w:val="single" w:color="auto" w:sz="6" w:space="0"/>
              <w:bottom w:val="single" w:color="auto" w:sz="6" w:space="0"/>
              <w:right w:val="single" w:color="auto" w:sz="6" w:space="0"/>
            </w:tcBorders>
            <w:vAlign w:val="center"/>
          </w:tcPr>
          <w:p w14:paraId="79559C5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防渗分区</w:t>
            </w:r>
          </w:p>
        </w:tc>
        <w:tc>
          <w:tcPr>
            <w:tcW w:w="1803" w:type="pct"/>
            <w:tcBorders>
              <w:top w:val="single" w:color="auto" w:sz="12" w:space="0"/>
              <w:left w:val="single" w:color="auto" w:sz="6" w:space="0"/>
              <w:bottom w:val="single" w:color="auto" w:sz="6" w:space="0"/>
              <w:right w:val="single" w:color="auto" w:sz="6" w:space="0"/>
            </w:tcBorders>
            <w:vAlign w:val="center"/>
          </w:tcPr>
          <w:p w14:paraId="645B3E5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生产单元</w:t>
            </w:r>
          </w:p>
        </w:tc>
        <w:tc>
          <w:tcPr>
            <w:tcW w:w="1785" w:type="pct"/>
            <w:tcBorders>
              <w:top w:val="single" w:color="auto" w:sz="12" w:space="0"/>
              <w:left w:val="single" w:color="auto" w:sz="6" w:space="0"/>
              <w:bottom w:val="single" w:color="auto" w:sz="6" w:space="0"/>
              <w:right w:val="nil"/>
            </w:tcBorders>
            <w:vAlign w:val="center"/>
          </w:tcPr>
          <w:p w14:paraId="1B74A61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防渗性能要求</w:t>
            </w:r>
          </w:p>
        </w:tc>
      </w:tr>
      <w:tr w14:paraId="0C8B01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57" w:type="pct"/>
            <w:vMerge w:val="restart"/>
            <w:tcBorders>
              <w:top w:val="single" w:color="auto" w:sz="6" w:space="0"/>
              <w:left w:val="nil"/>
              <w:bottom w:val="single" w:color="auto" w:sz="6" w:space="0"/>
              <w:right w:val="single" w:color="auto" w:sz="6" w:space="0"/>
            </w:tcBorders>
            <w:vAlign w:val="center"/>
          </w:tcPr>
          <w:p w14:paraId="64B98752">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钻井井场</w:t>
            </w:r>
          </w:p>
        </w:tc>
        <w:tc>
          <w:tcPr>
            <w:tcW w:w="755" w:type="pct"/>
            <w:tcBorders>
              <w:top w:val="single" w:color="auto" w:sz="6" w:space="0"/>
              <w:left w:val="single" w:color="auto" w:sz="6" w:space="0"/>
              <w:bottom w:val="single" w:color="auto" w:sz="6" w:space="0"/>
              <w:right w:val="single" w:color="auto" w:sz="6" w:space="0"/>
            </w:tcBorders>
            <w:vAlign w:val="center"/>
          </w:tcPr>
          <w:p w14:paraId="3C8953B8">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一般防渗区</w:t>
            </w:r>
          </w:p>
        </w:tc>
        <w:tc>
          <w:tcPr>
            <w:tcW w:w="1803" w:type="pct"/>
            <w:tcBorders>
              <w:top w:val="single" w:color="auto" w:sz="6" w:space="0"/>
              <w:left w:val="single" w:color="auto" w:sz="6" w:space="0"/>
              <w:bottom w:val="single" w:color="auto" w:sz="6" w:space="0"/>
              <w:right w:val="single" w:color="auto" w:sz="6" w:space="0"/>
            </w:tcBorders>
            <w:vAlign w:val="center"/>
          </w:tcPr>
          <w:p w14:paraId="7B5D8824">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化工爬犁、材料爬犁、材料房</w:t>
            </w:r>
          </w:p>
        </w:tc>
        <w:tc>
          <w:tcPr>
            <w:tcW w:w="1785" w:type="pct"/>
            <w:tcBorders>
              <w:top w:val="single" w:color="auto" w:sz="6" w:space="0"/>
              <w:left w:val="single" w:color="auto" w:sz="6" w:space="0"/>
              <w:bottom w:val="single" w:color="auto" w:sz="6" w:space="0"/>
              <w:right w:val="nil"/>
            </w:tcBorders>
            <w:vAlign w:val="center"/>
          </w:tcPr>
          <w:p w14:paraId="4E3CC62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等效黏土防渗层MB≥1.5m，K≤1.0×10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w:t>
            </w:r>
          </w:p>
        </w:tc>
      </w:tr>
      <w:tr w14:paraId="104245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57" w:type="pct"/>
            <w:vMerge w:val="continue"/>
            <w:tcBorders>
              <w:top w:val="single" w:color="auto" w:sz="6" w:space="0"/>
              <w:left w:val="nil"/>
              <w:bottom w:val="single" w:color="auto" w:sz="6" w:space="0"/>
              <w:right w:val="single" w:color="auto" w:sz="6" w:space="0"/>
            </w:tcBorders>
            <w:vAlign w:val="center"/>
          </w:tcPr>
          <w:p w14:paraId="4BB696CB">
            <w:pPr>
              <w:pStyle w:val="280"/>
              <w:spacing w:line="300" w:lineRule="exact"/>
              <w:rPr>
                <w:rFonts w:hint="eastAsia"/>
                <w:color w:val="000000" w:themeColor="text1"/>
                <w14:textFill>
                  <w14:solidFill>
                    <w14:schemeClr w14:val="tx1"/>
                  </w14:solidFill>
                </w14:textFill>
              </w:rPr>
            </w:pPr>
          </w:p>
        </w:tc>
        <w:tc>
          <w:tcPr>
            <w:tcW w:w="755" w:type="pct"/>
            <w:tcBorders>
              <w:top w:val="single" w:color="auto" w:sz="6" w:space="0"/>
              <w:left w:val="single" w:color="auto" w:sz="6" w:space="0"/>
              <w:bottom w:val="single" w:color="auto" w:sz="6" w:space="0"/>
              <w:right w:val="single" w:color="auto" w:sz="6" w:space="0"/>
            </w:tcBorders>
            <w:vAlign w:val="center"/>
          </w:tcPr>
          <w:p w14:paraId="36C3BABF">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重点防渗区</w:t>
            </w:r>
          </w:p>
        </w:tc>
        <w:tc>
          <w:tcPr>
            <w:tcW w:w="1803" w:type="pct"/>
            <w:tcBorders>
              <w:top w:val="single" w:color="auto" w:sz="6" w:space="0"/>
              <w:left w:val="single" w:color="auto" w:sz="6" w:space="0"/>
              <w:bottom w:val="single" w:color="auto" w:sz="6" w:space="0"/>
              <w:right w:val="single" w:color="auto" w:sz="6" w:space="0"/>
            </w:tcBorders>
            <w:vAlign w:val="center"/>
          </w:tcPr>
          <w:p w14:paraId="0DDFF26E">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柴油储罐、发电房、废料场、不落地系统、钻井液储罐区、岩屑储罐区、钻井井口、危险废物贮存点、应急放喷池（应急放喷池仅在事故状态下开挖）</w:t>
            </w:r>
          </w:p>
        </w:tc>
        <w:tc>
          <w:tcPr>
            <w:tcW w:w="1785" w:type="pct"/>
            <w:tcBorders>
              <w:top w:val="single" w:color="auto" w:sz="6" w:space="0"/>
              <w:left w:val="single" w:color="auto" w:sz="6" w:space="0"/>
              <w:bottom w:val="single" w:color="auto" w:sz="6" w:space="0"/>
              <w:right w:val="nil"/>
            </w:tcBorders>
            <w:vAlign w:val="center"/>
          </w:tcPr>
          <w:p w14:paraId="63640C8C">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铺设2mm厚的HDPE防渗膜（渗透系数不大于10—</w:t>
            </w:r>
            <w:r>
              <w:rPr>
                <w:rFonts w:hint="eastAsia"/>
                <w:color w:val="000000" w:themeColor="text1"/>
                <w:vertAlign w:val="superscript"/>
                <w14:textFill>
                  <w14:solidFill>
                    <w14:schemeClr w14:val="tx1"/>
                  </w14:solidFill>
                </w14:textFill>
              </w:rPr>
              <w:t>10</w:t>
            </w:r>
            <w:r>
              <w:rPr>
                <w:rFonts w:hint="eastAsia"/>
                <w:color w:val="000000" w:themeColor="text1"/>
                <w14:textFill>
                  <w14:solidFill>
                    <w14:schemeClr w14:val="tx1"/>
                  </w14:solidFill>
                </w14:textFill>
              </w:rPr>
              <w:t>cm/s）或者采取铺设渗透系数不大于10—</w:t>
            </w:r>
            <w:r>
              <w:rPr>
                <w:rFonts w:hint="eastAsia"/>
                <w:color w:val="000000" w:themeColor="text1"/>
                <w:vertAlign w:val="superscript"/>
                <w14:textFill>
                  <w14:solidFill>
                    <w14:schemeClr w14:val="tx1"/>
                  </w14:solidFill>
                </w14:textFill>
              </w:rPr>
              <w:t>10</w:t>
            </w:r>
            <w:r>
              <w:rPr>
                <w:rFonts w:hint="eastAsia"/>
                <w:color w:val="000000" w:themeColor="text1"/>
                <w14:textFill>
                  <w14:solidFill>
                    <w14:schemeClr w14:val="tx1"/>
                  </w14:solidFill>
                </w14:textFill>
              </w:rPr>
              <w:t>cm/s、至少2mm厚的其他人工材料的防渗措施</w:t>
            </w:r>
          </w:p>
        </w:tc>
      </w:tr>
      <w:tr w14:paraId="7A8649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57" w:type="pct"/>
            <w:vMerge w:val="continue"/>
            <w:tcBorders>
              <w:top w:val="single" w:color="auto" w:sz="6" w:space="0"/>
              <w:left w:val="nil"/>
              <w:bottom w:val="single" w:color="auto" w:sz="12" w:space="0"/>
              <w:right w:val="single" w:color="auto" w:sz="6" w:space="0"/>
            </w:tcBorders>
            <w:vAlign w:val="center"/>
          </w:tcPr>
          <w:p w14:paraId="5975109E">
            <w:pPr>
              <w:pStyle w:val="280"/>
              <w:spacing w:line="300" w:lineRule="exact"/>
              <w:rPr>
                <w:rFonts w:hint="eastAsia"/>
                <w:color w:val="000000" w:themeColor="text1"/>
                <w14:textFill>
                  <w14:solidFill>
                    <w14:schemeClr w14:val="tx1"/>
                  </w14:solidFill>
                </w14:textFill>
              </w:rPr>
            </w:pPr>
          </w:p>
        </w:tc>
        <w:tc>
          <w:tcPr>
            <w:tcW w:w="755" w:type="pct"/>
            <w:tcBorders>
              <w:top w:val="single" w:color="auto" w:sz="6" w:space="0"/>
              <w:left w:val="single" w:color="auto" w:sz="6" w:space="0"/>
              <w:bottom w:val="single" w:color="auto" w:sz="12" w:space="0"/>
              <w:right w:val="single" w:color="auto" w:sz="6" w:space="0"/>
            </w:tcBorders>
            <w:vAlign w:val="center"/>
          </w:tcPr>
          <w:p w14:paraId="7B0B57E9">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简单防渗区</w:t>
            </w:r>
          </w:p>
        </w:tc>
        <w:tc>
          <w:tcPr>
            <w:tcW w:w="1803" w:type="pct"/>
            <w:tcBorders>
              <w:top w:val="single" w:color="auto" w:sz="6" w:space="0"/>
              <w:left w:val="single" w:color="auto" w:sz="6" w:space="0"/>
              <w:bottom w:val="single" w:color="auto" w:sz="12" w:space="0"/>
              <w:right w:val="single" w:color="auto" w:sz="6" w:space="0"/>
            </w:tcBorders>
            <w:vAlign w:val="center"/>
          </w:tcPr>
          <w:p w14:paraId="7D386FAA">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水罐区、地质房、录井房、值班房、化验房、远控台、消防房、管线盒、过桥、配电房、钳工房</w:t>
            </w:r>
          </w:p>
        </w:tc>
        <w:tc>
          <w:tcPr>
            <w:tcW w:w="1785" w:type="pct"/>
            <w:tcBorders>
              <w:top w:val="single" w:color="auto" w:sz="6" w:space="0"/>
              <w:left w:val="single" w:color="auto" w:sz="6" w:space="0"/>
              <w:bottom w:val="single" w:color="auto" w:sz="12" w:space="0"/>
              <w:right w:val="nil"/>
            </w:tcBorders>
            <w:vAlign w:val="center"/>
          </w:tcPr>
          <w:p w14:paraId="7920CDDB">
            <w:pPr>
              <w:pStyle w:val="280"/>
              <w:spacing w:line="30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一般地面硬化</w:t>
            </w:r>
          </w:p>
        </w:tc>
      </w:tr>
    </w:tbl>
    <w:p w14:paraId="0CC0EEA9">
      <w:pPr>
        <w:pStyle w:val="537"/>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建设单位应监督施工单位严格按照表6.1-1的分区防渗要求执行，以确保防渗措施的落实和有效性。</w:t>
      </w:r>
    </w:p>
    <w:p w14:paraId="609078AC">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）钻井时采用套管与地层隔离开、并在套管与地层之间注入水泥进行固井，水泥浆返至地面，封隔疏松地层和水层。</w:t>
      </w:r>
    </w:p>
    <w:p w14:paraId="21724FEE">
      <w:pPr>
        <w:pStyle w:val="462"/>
        <w:rPr>
          <w:rFonts w:hint="eastAsia"/>
          <w:color w:val="000000" w:themeColor="text1"/>
          <w14:textFill>
            <w14:solidFill>
              <w14:schemeClr w14:val="tx1"/>
            </w14:solidFill>
          </w14:textFill>
        </w:rPr>
      </w:pPr>
      <w:bookmarkStart w:id="556" w:name="_Hlk183361829"/>
      <w:r>
        <w:rPr>
          <w:rFonts w:hint="eastAsia"/>
          <w:color w:val="000000" w:themeColor="text1"/>
          <w:lang w:bidi="ar"/>
          <w14:textFill>
            <w14:solidFill>
              <w14:schemeClr w14:val="tx1"/>
            </w14:solidFill>
          </w14:textFill>
        </w:rPr>
        <w:t>（</w:t>
      </w:r>
      <w:r>
        <w:rPr>
          <w:rFonts w:hint="eastAsia"/>
          <w:color w:val="000000" w:themeColor="text1"/>
          <w:lang w:val="en-US" w:eastAsia="zh-CN" w:bidi="ar"/>
          <w14:textFill>
            <w14:solidFill>
              <w14:schemeClr w14:val="tx1"/>
            </w14:solidFill>
          </w14:textFill>
        </w:rPr>
        <w:t>6</w:t>
      </w:r>
      <w:r>
        <w:rPr>
          <w:rFonts w:hint="eastAsia"/>
          <w:color w:val="000000" w:themeColor="text1"/>
          <w:lang w:bidi="ar"/>
          <w14:textFill>
            <w14:solidFill>
              <w14:schemeClr w14:val="tx1"/>
            </w14:solidFill>
          </w14:textFill>
        </w:rPr>
        <w:t>）本项目钻井过程中采用下套管注水泥固井的完井方式进行水泥固井，将含水层与井筒分隔开，一开、二开环空水泥浆均返至地面，对含水层进行了固封处理，同时严格要求套管下入深度、确保固井质量等措施，可有效控制钻井液在含水层中的漏失。钻井时严格落实套管下入深度合格和固井质量合格，同时定期检查固井质量，发现固井质量不合格应及时采取措施，保证固井质量合格，可有效防止地下水污染。</w:t>
      </w:r>
    </w:p>
    <w:bookmarkEnd w:id="556"/>
    <w:p w14:paraId="39711116">
      <w:pPr>
        <w:pStyle w:val="462"/>
        <w:rPr>
          <w:rFonts w:hint="eastAsia"/>
          <w:color w:val="000000" w:themeColor="text1"/>
          <w14:textFill>
            <w14:solidFill>
              <w14:schemeClr w14:val="tx1"/>
            </w14:solidFill>
          </w14:textFill>
        </w:rPr>
      </w:pPr>
      <w:bookmarkStart w:id="557" w:name="OLE_LINK414"/>
      <w:r>
        <w:rPr>
          <w:rFonts w:hint="eastAsia"/>
          <w:color w:val="000000" w:themeColor="text1"/>
          <w:lang w:bidi="ar"/>
          <w14:textFill>
            <w14:solidFill>
              <w14:schemeClr w14:val="tx1"/>
            </w14:solidFill>
          </w14:textFill>
        </w:rPr>
        <w:t>（</w:t>
      </w:r>
      <w:r>
        <w:rPr>
          <w:rFonts w:hint="eastAsia"/>
          <w:color w:val="000000" w:themeColor="text1"/>
          <w:lang w:val="en-US" w:eastAsia="zh-CN" w:bidi="ar"/>
          <w14:textFill>
            <w14:solidFill>
              <w14:schemeClr w14:val="tx1"/>
            </w14:solidFill>
          </w14:textFill>
        </w:rPr>
        <w:t>7</w:t>
      </w:r>
      <w:r>
        <w:rPr>
          <w:rFonts w:hint="eastAsia"/>
          <w:color w:val="000000" w:themeColor="text1"/>
          <w:lang w:bidi="ar"/>
          <w14:textFill>
            <w14:solidFill>
              <w14:schemeClr w14:val="tx1"/>
            </w14:solidFill>
          </w14:textFill>
        </w:rPr>
        <w:t>）对产生的压裂返排液、</w:t>
      </w:r>
      <w:r>
        <w:rPr>
          <w:rFonts w:hint="eastAsia"/>
          <w:color w:val="000000" w:themeColor="text1"/>
          <w14:textFill>
            <w14:solidFill>
              <w14:schemeClr w14:val="tx1"/>
            </w14:solidFill>
          </w14:textFill>
        </w:rPr>
        <w:t>废弃水基钻井液、</w:t>
      </w:r>
      <w:r>
        <w:rPr>
          <w:rFonts w:hint="eastAsia"/>
          <w:color w:val="000000" w:themeColor="text1"/>
          <w:lang w:bidi="ar"/>
          <w14:textFill>
            <w14:solidFill>
              <w14:schemeClr w14:val="tx1"/>
            </w14:solidFill>
          </w14:textFill>
        </w:rPr>
        <w:t>水基钻井岩屑、沾油废防渗材料、废润滑油、废润滑油桶和</w:t>
      </w:r>
      <w:r>
        <w:rPr>
          <w:rFonts w:hint="eastAsia" w:cs="宋体"/>
          <w:color w:val="000000" w:themeColor="text1"/>
          <w14:textFill>
            <w14:solidFill>
              <w14:schemeClr w14:val="tx1"/>
            </w14:solidFill>
          </w14:textFill>
        </w:rPr>
        <w:t>废危化品包装材料</w:t>
      </w:r>
      <w:r>
        <w:rPr>
          <w:rFonts w:hint="eastAsia"/>
          <w:color w:val="000000" w:themeColor="text1"/>
          <w:lang w:bidi="ar"/>
          <w14:textFill>
            <w14:solidFill>
              <w14:schemeClr w14:val="tx1"/>
            </w14:solidFill>
          </w14:textFill>
        </w:rPr>
        <w:t>严格管理，禁止乱排。</w:t>
      </w:r>
    </w:p>
    <w:bookmarkEnd w:id="557"/>
    <w:p w14:paraId="41A9589A">
      <w:pPr>
        <w:pStyle w:val="193"/>
        <w:spacing w:line="240" w:lineRule="auto"/>
        <w:ind w:firstLine="0" w:firstLineChars="0"/>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304790" cy="3463290"/>
            <wp:effectExtent l="0" t="0" r="10160" b="3810"/>
            <wp:docPr id="235287071" name="图片 23528707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87071" name="图片 235287071" descr="图片1"/>
                    <pic:cNvPicPr>
                      <a:picLocks noChangeAspect="1"/>
                    </pic:cNvPicPr>
                  </pic:nvPicPr>
                  <pic:blipFill>
                    <a:blip r:embed="rId36"/>
                    <a:stretch>
                      <a:fillRect/>
                    </a:stretch>
                  </pic:blipFill>
                  <pic:spPr>
                    <a:xfrm>
                      <a:off x="0" y="0"/>
                      <a:ext cx="5304790" cy="3463290"/>
                    </a:xfrm>
                    <a:prstGeom prst="rect">
                      <a:avLst/>
                    </a:prstGeom>
                  </pic:spPr>
                </pic:pic>
              </a:graphicData>
            </a:graphic>
          </wp:inline>
        </w:drawing>
      </w:r>
    </w:p>
    <w:p w14:paraId="18B8DD18">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图6.1-1  钻井期井场分区防渗示意</w:t>
      </w:r>
      <w:bookmarkStart w:id="558" w:name="OLE_LINK265"/>
      <w:r>
        <w:rPr>
          <w:rFonts w:hint="eastAsia"/>
          <w:color w:val="000000" w:themeColor="text1"/>
          <w14:textFill>
            <w14:solidFill>
              <w14:schemeClr w14:val="tx1"/>
            </w14:solidFill>
          </w14:textFill>
        </w:rPr>
        <w:t>图</w:t>
      </w:r>
      <w:bookmarkEnd w:id="558"/>
    </w:p>
    <w:p w14:paraId="0706B0B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）本项目部署的采油井设计、建造和改造应满足SY/T 6596-2016中的相关要求，以满足采油井的完整性。具体如下：</w:t>
      </w:r>
    </w:p>
    <w:p w14:paraId="26B5616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①油井套管技术状况合格，按《套管柱试压规范》（SY/T5467-2007）的要求进行套管试压。</w:t>
      </w:r>
    </w:p>
    <w:p w14:paraId="1765690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②表层套管、技术套管、生产套管固井水泥应返至地面，固井质量合格。</w:t>
      </w:r>
    </w:p>
    <w:p w14:paraId="287A2FFE">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③井口装置结构完整、密封良好，压力级别满足要求，材质满足防腐要求。</w:t>
      </w:r>
    </w:p>
    <w:bookmarkEnd w:id="555"/>
    <w:p w14:paraId="728FFAF0">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施工期噪声污染防治措施</w:t>
      </w:r>
    </w:p>
    <w:p w14:paraId="189AB6F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（1）在设备选型上要求采用低噪声的设备，施工设备要经常检查维修，对噪声</w:t>
      </w:r>
      <w:r>
        <w:rPr>
          <w:color w:val="000000" w:themeColor="text1"/>
          <w14:textFill>
            <w14:solidFill>
              <w14:schemeClr w14:val="tx1"/>
            </w14:solidFill>
          </w14:textFill>
        </w:rPr>
        <w:t>较大的设备采取</w:t>
      </w:r>
      <w:r>
        <w:rPr>
          <w:rFonts w:hint="eastAsia"/>
          <w:color w:val="000000" w:themeColor="text1"/>
          <w14:textFill>
            <w14:solidFill>
              <w14:schemeClr w14:val="tx1"/>
            </w14:solidFill>
          </w14:textFill>
        </w:rPr>
        <w:t>基础减振措施。</w:t>
      </w:r>
    </w:p>
    <w:p w14:paraId="0269B2E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（2）加强施工场地管理，合理疏导进入施工区的车辆，禁止运输车辆随意高声鸣笛。</w:t>
      </w:r>
    </w:p>
    <w:p w14:paraId="2C009F2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采取以上措施后，施工边界噪声符合《建筑施工噪声排放标准》（GB12523-2025）中的相关要求。</w:t>
      </w:r>
    </w:p>
    <w:p w14:paraId="2EE6A291">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施工期固体废物防治措施</w:t>
      </w:r>
    </w:p>
    <w:p w14:paraId="60F767C5">
      <w:pPr>
        <w:pStyle w:val="120"/>
        <w:rPr>
          <w:rFonts w:hint="eastAsia"/>
          <w:color w:val="000000" w:themeColor="text1"/>
          <w14:textFill>
            <w14:solidFill>
              <w14:schemeClr w14:val="tx1"/>
            </w14:solidFill>
          </w14:textFill>
        </w:rPr>
      </w:pPr>
      <w:bookmarkStart w:id="559" w:name="_Hlk175826753"/>
      <w:bookmarkStart w:id="560" w:name="_Hlk175134896"/>
      <w:bookmarkStart w:id="561" w:name="_Hlk511374887"/>
      <w:r>
        <w:rPr>
          <w:rFonts w:hint="eastAsia"/>
          <w:color w:val="000000" w:themeColor="text1"/>
          <w14:textFill>
            <w14:solidFill>
              <w14:schemeClr w14:val="tx1"/>
            </w14:solidFill>
          </w14:textFill>
        </w:rPr>
        <w:t>（1）钻井岩屑</w:t>
      </w:r>
      <w:r>
        <w:rPr>
          <w:rFonts w:hint="eastAsia"/>
          <w:color w:val="000000" w:themeColor="text1"/>
          <w:lang w:val="en-US" w:eastAsia="zh-CN"/>
          <w14:textFill>
            <w14:solidFill>
              <w14:schemeClr w14:val="tx1"/>
            </w14:solidFill>
          </w14:textFill>
        </w:rPr>
        <w:t>和</w:t>
      </w:r>
      <w:r>
        <w:rPr>
          <w:rStyle w:val="536"/>
          <w:color w:val="000000" w:themeColor="text1"/>
          <w14:textFill>
            <w14:solidFill>
              <w14:schemeClr w14:val="tx1"/>
            </w14:solidFill>
          </w14:textFill>
        </w:rPr>
        <w:t>废弃</w:t>
      </w:r>
      <w:r>
        <w:rPr>
          <w:rStyle w:val="536"/>
          <w:rFonts w:hint="eastAsia"/>
          <w:color w:val="000000" w:themeColor="text1"/>
          <w14:textFill>
            <w14:solidFill>
              <w14:schemeClr w14:val="tx1"/>
            </w14:solidFill>
          </w14:textFill>
        </w:rPr>
        <w:t>钻井液</w:t>
      </w:r>
    </w:p>
    <w:p w14:paraId="0E54DB45">
      <w:pPr>
        <w:pStyle w:val="120"/>
        <w:ind w:firstLine="468"/>
        <w:rPr>
          <w:rFonts w:hint="eastAsia"/>
          <w:color w:val="000000" w:themeColor="text1"/>
          <w:spacing w:val="-6"/>
          <w14:textFill>
            <w14:solidFill>
              <w14:schemeClr w14:val="tx1"/>
            </w14:solidFill>
          </w14:textFill>
        </w:rPr>
      </w:pPr>
      <w:r>
        <w:rPr>
          <w:rFonts w:hint="eastAsia"/>
          <w:color w:val="000000" w:themeColor="text1"/>
          <w:spacing w:val="-6"/>
          <w:lang w:val="en-US" w:eastAsia="zh-CN"/>
          <w14:textFill>
            <w14:solidFill>
              <w14:schemeClr w14:val="tx1"/>
            </w14:solidFill>
          </w14:textFill>
        </w:rPr>
        <w:t>本项目新钻井</w:t>
      </w:r>
      <w:r>
        <w:rPr>
          <w:rFonts w:hint="eastAsia"/>
          <w:color w:val="000000" w:themeColor="text1"/>
          <w:spacing w:val="-6"/>
          <w14:textFill>
            <w14:solidFill>
              <w14:schemeClr w14:val="tx1"/>
            </w14:solidFill>
          </w14:textFill>
        </w:rPr>
        <w:t>一开和二开均采用非磺化水基钻井液</w:t>
      </w:r>
      <w:r>
        <w:rPr>
          <w:rStyle w:val="536"/>
          <w:rFonts w:hint="eastAsia"/>
          <w:color w:val="000000" w:themeColor="text1"/>
          <w14:textFill>
            <w14:solidFill>
              <w14:schemeClr w14:val="tx1"/>
            </w14:solidFill>
          </w14:textFill>
        </w:rPr>
        <w:t>，非磺化水基钻井岩屑经不落地系统进行固液分离，分离出的液相（钻井液）排入钻井液储罐，循环使用，完井后拉运至下一口井再利用，钻井过程中钻井液的循环利用率约为95%，剩余未利用的约为5%沾到钻井岩屑上未完全分离，作为废弃钻井液同钻井岩屑一同处置。不落地系统分离出的固相即为</w:t>
      </w:r>
      <w:r>
        <w:rPr>
          <w:rStyle w:val="536"/>
          <w:color w:val="000000" w:themeColor="text1"/>
          <w14:textFill>
            <w14:solidFill>
              <w14:schemeClr w14:val="tx1"/>
            </w14:solidFill>
          </w14:textFill>
        </w:rPr>
        <w:t>废弃</w:t>
      </w:r>
      <w:r>
        <w:rPr>
          <w:rStyle w:val="536"/>
          <w:rFonts w:hint="eastAsia"/>
          <w:color w:val="000000" w:themeColor="text1"/>
          <w14:textFill>
            <w14:solidFill>
              <w14:schemeClr w14:val="tx1"/>
            </w14:solidFill>
          </w14:textFill>
        </w:rPr>
        <w:t>钻井液和钻井岩屑。其中分离出的非磺化水基钻井岩屑和废弃非磺化水基钻井液属于一般工业固体废物，固体废物代码为071-001-S12，进钻井井场专用储罐暂存，</w:t>
      </w:r>
      <w:r>
        <w:rPr>
          <w:rStyle w:val="536"/>
          <w:rFonts w:hint="eastAsia"/>
          <w:color w:val="000000" w:themeColor="text1"/>
          <w:lang w:val="en-US" w:eastAsia="zh-CN"/>
          <w14:textFill>
            <w14:solidFill>
              <w14:schemeClr w14:val="tx1"/>
            </w14:solidFill>
          </w14:textFill>
        </w:rPr>
        <w:t>本项目钻井工程拟由中国石油集团西部钻探工程有限公司克拉玛依钻井公司实施，</w:t>
      </w:r>
      <w:r>
        <w:rPr>
          <w:rStyle w:val="536"/>
          <w:rFonts w:hint="eastAsia"/>
          <w:color w:val="000000" w:themeColor="text1"/>
          <w14:textFill>
            <w14:solidFill>
              <w14:schemeClr w14:val="tx1"/>
            </w14:solidFill>
          </w14:textFill>
        </w:rPr>
        <w:t>分离出的水基钻井岩屑和废弃水基钻井液</w:t>
      </w:r>
      <w:r>
        <w:rPr>
          <w:rStyle w:val="536"/>
          <w:rFonts w:hint="eastAsia"/>
          <w:color w:val="000000" w:themeColor="text1"/>
          <w:lang w:val="en-US" w:eastAsia="zh-CN"/>
          <w14:textFill>
            <w14:solidFill>
              <w14:schemeClr w14:val="tx1"/>
            </w14:solidFill>
          </w14:textFill>
        </w:rPr>
        <w:t>最终</w:t>
      </w:r>
      <w:r>
        <w:rPr>
          <w:rFonts w:hint="eastAsia"/>
          <w:color w:val="000000" w:themeColor="text1"/>
          <w14:textFill>
            <w14:solidFill>
              <w14:schemeClr w14:val="tx1"/>
            </w14:solidFill>
          </w14:textFill>
        </w:rPr>
        <w:t>委托新疆盛洁环境技术有限责任公司拉运处置</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处置协议详见附件11</w:t>
      </w:r>
      <w:r>
        <w:rPr>
          <w:rFonts w:hint="eastAsia"/>
          <w:color w:val="000000" w:themeColor="text1"/>
          <w:lang w:eastAsia="zh-CN"/>
          <w14:textFill>
            <w14:solidFill>
              <w14:schemeClr w14:val="tx1"/>
            </w14:solidFill>
          </w14:textFill>
        </w:rPr>
        <w:t>）</w:t>
      </w:r>
      <w:r>
        <w:rPr>
          <w:rStyle w:val="536"/>
          <w:rFonts w:hint="eastAsia"/>
          <w:color w:val="000000" w:themeColor="text1"/>
          <w14:textFill>
            <w14:solidFill>
              <w14:schemeClr w14:val="tx1"/>
            </w14:solidFill>
          </w14:textFill>
        </w:rPr>
        <w:t>，经处置检测满足《油气田钻井固体废物综合利用污染控制要求》（DB65/T3997-2017）中限值要求，石油烃满足《土壤环境质量 建设用地土壤污染风险管控标准（试行）》（GB36600-2018）中表2第二类用地筛选值后用于铺垫油区内的井场、道路等。</w:t>
      </w:r>
      <w:r>
        <w:rPr>
          <w:rFonts w:hint="eastAsia"/>
          <w:color w:val="000000" w:themeColor="text1"/>
          <w14:textFill>
            <w14:solidFill>
              <w14:schemeClr w14:val="tx1"/>
            </w14:solidFill>
          </w14:textFill>
        </w:rPr>
        <w:t>若不满足《油气田钻井固体废物综合利用污染控制要求》（DB6/T3997-2017）和《土壤环境质量 建设用地土壤污染风险管控标准（试行）》（GB36600-2018）相关标准限值要求，则由岩屑处置单位进行进一步处置，直至各污染物浓度上述标准后综合利用。</w:t>
      </w:r>
      <w:r>
        <w:rPr>
          <w:rFonts w:hint="eastAsia"/>
          <w:color w:val="000000" w:themeColor="text1"/>
          <w:spacing w:val="-6"/>
          <w14:textFill>
            <w14:solidFill>
              <w14:schemeClr w14:val="tx1"/>
            </w14:solidFill>
          </w14:textFill>
        </w:rPr>
        <w:t>水基钻井岩屑处理工艺流程如图6.1-2所示。</w:t>
      </w:r>
    </w:p>
    <w:p w14:paraId="686C8C5A">
      <w:pPr>
        <w:pStyle w:val="112"/>
        <w:rPr>
          <w:rFonts w:hint="eastAsia"/>
          <w:color w:val="000000" w:themeColor="text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2616200</wp:posOffset>
                </wp:positionH>
                <wp:positionV relativeFrom="paragraph">
                  <wp:posOffset>68580</wp:posOffset>
                </wp:positionV>
                <wp:extent cx="1116965" cy="398145"/>
                <wp:effectExtent l="0" t="0" r="0" b="0"/>
                <wp:wrapNone/>
                <wp:docPr id="414" name="文本框 414"/>
                <wp:cNvGraphicFramePr/>
                <a:graphic xmlns:a="http://schemas.openxmlformats.org/drawingml/2006/main">
                  <a:graphicData uri="http://schemas.microsoft.com/office/word/2010/wordprocessingShape">
                    <wps:wsp>
                      <wps:cNvSpPr txBox="1"/>
                      <wps:spPr>
                        <a:xfrm>
                          <a:off x="1901825" y="8933180"/>
                          <a:ext cx="1116965" cy="398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2366D9">
                            <w:pPr>
                              <w:rPr>
                                <w:rFonts w:hint="default" w:eastAsia="宋体"/>
                                <w:lang w:val="en-US" w:eastAsia="zh-CN"/>
                              </w:rPr>
                            </w:pPr>
                            <w:r>
                              <w:rPr>
                                <w:rFonts w:hint="eastAsia"/>
                                <w:lang w:val="en-US" w:eastAsia="zh-CN"/>
                              </w:rPr>
                              <w:t>废弃钻井液</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pt;margin-top:5.4pt;height:31.35pt;width:87.95pt;z-index:251688960;mso-width-relative:page;mso-height-relative:page;" filled="f" stroked="f" coordsize="21600,21600" o:gfxdata="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DOrur2gAAAAkBAAAPAAAAAAAA&#10;AAEAIAAAACIAAABkcnMvZG93bnJldi54bWxQSwECFAAUAAAACACHTuJA4kvYm0kCAAB2BAAADgAA&#10;AAAAAAABACAAAAApAQAAZHJzL2Uyb0RvYy54bWxQSwUGAAAAAAYABgBZAQAA5AUAAAAA&#10;">
                <v:fill on="f" focussize="0,0"/>
                <v:stroke on="f" weight="0.5pt"/>
                <v:imagedata o:title=""/>
                <o:lock v:ext="edit" aspectratio="f"/>
                <v:textbox>
                  <w:txbxContent>
                    <w:p w14:paraId="342366D9">
                      <w:pPr>
                        <w:rPr>
                          <w:rFonts w:hint="default" w:eastAsia="宋体"/>
                          <w:lang w:val="en-US" w:eastAsia="zh-CN"/>
                        </w:rPr>
                      </w:pPr>
                      <w:r>
                        <w:rPr>
                          <w:rFonts w:hint="eastAsia"/>
                          <w:lang w:val="en-US" w:eastAsia="zh-CN"/>
                        </w:rPr>
                        <w:t>废弃钻井液</w:t>
                      </w:r>
                    </w:p>
                  </w:txbxContent>
                </v:textbox>
              </v:shape>
            </w:pict>
          </mc:Fallback>
        </mc:AlternateContent>
      </w:r>
      <w:r>
        <w:rPr>
          <w:rFonts w:hint="eastAsia"/>
          <w:color w:val="000000" w:themeColor="text1"/>
          <w14:textFill>
            <w14:solidFill>
              <w14:schemeClr w14:val="tx1"/>
            </w14:solidFill>
          </w14:textFill>
        </w:rPr>
        <mc:AlternateContent>
          <mc:Choice Requires="wpc">
            <w:drawing>
              <wp:anchor distT="0" distB="0" distL="114935" distR="114935" simplePos="0" relativeHeight="251675648" behindDoc="0" locked="0" layoutInCell="1" allowOverlap="1">
                <wp:simplePos x="0" y="0"/>
                <wp:positionH relativeFrom="column">
                  <wp:posOffset>219075</wp:posOffset>
                </wp:positionH>
                <wp:positionV relativeFrom="paragraph">
                  <wp:posOffset>92075</wp:posOffset>
                </wp:positionV>
                <wp:extent cx="4846955" cy="1199515"/>
                <wp:effectExtent l="0" t="0" r="0" b="0"/>
                <wp:wrapTopAndBottom/>
                <wp:docPr id="1434585134" name="画布 1434585134"/>
                <wp:cNvGraphicFramePr/>
                <a:graphic xmlns:a="http://schemas.openxmlformats.org/drawingml/2006/main">
                  <a:graphicData uri="http://schemas.microsoft.com/office/word/2010/wordprocessingCanvas">
                    <wpc:wpc>
                      <wpc:bg/>
                      <wpc:whole/>
                      <wps:wsp>
                        <wps:cNvPr id="1733575096" name="矩形 34"/>
                        <wps:cNvSpPr/>
                        <wps:spPr>
                          <a:xfrm>
                            <a:off x="1539875" y="111760"/>
                            <a:ext cx="913130" cy="26289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EA52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不落地系统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54236897" name="矩形 35"/>
                        <wps:cNvSpPr/>
                        <wps:spPr>
                          <a:xfrm>
                            <a:off x="3275965" y="24765"/>
                            <a:ext cx="1078865" cy="86169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869A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暂存于井场右侧地面（底部铺设防渗膜）后委外拉运处置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58290704" name="直接箭头连接符 37"/>
                        <wps:cNvCnPr/>
                        <wps:spPr>
                          <a:xfrm>
                            <a:off x="2453005" y="243205"/>
                            <a:ext cx="82296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98678882" name="直接箭头连接符 38"/>
                        <wps:cNvCnPr/>
                        <wps:spPr>
                          <a:xfrm flipV="1">
                            <a:off x="1188085" y="242570"/>
                            <a:ext cx="340995" cy="2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19685015" name="矩形 39"/>
                        <wps:cNvSpPr/>
                        <wps:spPr>
                          <a:xfrm>
                            <a:off x="1524635" y="734695"/>
                            <a:ext cx="1293495" cy="26289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3CC98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回用于钻井液配置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303454" name="直接箭头连接符 40"/>
                        <wps:cNvCnPr/>
                        <wps:spPr>
                          <a:xfrm flipH="1">
                            <a:off x="2040255" y="374650"/>
                            <a:ext cx="635" cy="3600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837169321" name="矩形 41"/>
                        <wps:cNvSpPr/>
                        <wps:spPr>
                          <a:xfrm>
                            <a:off x="1970405" y="405765"/>
                            <a:ext cx="469265" cy="26289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6015B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液相</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86334845" name="矩形 42"/>
                        <wps:cNvSpPr/>
                        <wps:spPr>
                          <a:xfrm>
                            <a:off x="2342515" y="0"/>
                            <a:ext cx="1056005" cy="692785"/>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6A56D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水基钻井岩屑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6700657" name="矩形 3"/>
                        <wps:cNvSpPr/>
                        <wps:spPr>
                          <a:xfrm>
                            <a:off x="128905" y="113665"/>
                            <a:ext cx="1059180" cy="26289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95052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钻井液及岩屑</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anchor>
            </w:drawing>
          </mc:Choice>
          <mc:Fallback>
            <w:pict>
              <v:group id="_x0000_s1026" o:spid="_x0000_s1026" o:spt="203" style="position:absolute;left:0pt;margin-left:17.25pt;margin-top:7.25pt;height:94.45pt;width:381.65pt;mso-wrap-distance-bottom:0pt;mso-wrap-distance-top:0pt;z-index:251675648;mso-width-relative:page;mso-height-relative:page;" coordsize="4846955,1199515" editas="canvas" o:gfxdata="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">
                <o:lock v:ext="edit" aspectratio="f"/>
                <v:shape id="_x0000_s1026" o:spid="_x0000_s1026" style="position:absolute;left:0;top:0;height:1199515;width:4846955;" filled="f" stroked="f" coordsize="21600,21600" o:gfxdata="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">
                  <v:fill on="f" focussize="0,0"/>
                  <v:stroke on="f"/>
                  <v:imagedata o:title=""/>
                  <o:lock v:ext="edit" aspectratio="f"/>
                </v:shape>
                <v:rect id="矩形 34" o:spid="_x0000_s1026" o:spt="1" style="position:absolute;left:1539875;top:111760;height:262890;width:913130;v-text-anchor:middle;" fillcolor="#FFFFFF [3212]" filled="t" stroked="t" coordsize="21600,21600" o:gfxdata="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esl8x2AAAAAkBAAAPAAAA&#10;AAAAAAEAIAAAACIAAABkcnMvZG93bnJldi54bWxQSwECFAAUAAAACACHTuJA3GhW3ocCAAASBQAA&#10;DgAAAAAAAAABACAAAAAnAQAAZHJzL2Uyb0RvYy54bWxQSwUGAAAAAAYABgBZAQAAIAYAAAAA&#10;">
                  <v:fill on="t" focussize="0,0"/>
                  <v:stroke weight="0.5pt" color="#000000 [3213]" miterlimit="8" joinstyle="miter"/>
                  <v:imagedata o:title=""/>
                  <o:lock v:ext="edit" aspectratio="f"/>
                  <v:textbox>
                    <w:txbxContent>
                      <w:p w14:paraId="416EA52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不落地系统</w:t>
                        </w:r>
                      </w:p>
                    </w:txbxContent>
                  </v:textbox>
                </v:rect>
                <v:rect id="矩形 35" o:spid="_x0000_s1026" o:spt="1" style="position:absolute;left:3275965;top:24765;height:861695;width:1078865;v-text-anchor:middle;" fillcolor="#FFFFFF [3212]" filled="t" stroked="t" coordsize="21600,21600" o:gfxdata="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esl8x2AAAAAkBAAAPAAAA&#10;AAAAAAEAIAAAACIAAABkcnMvZG93bnJldi54bWxQSwECFAAUAAAACACHTuJAQ0rwc4cCAAASBQAA&#10;DgAAAAAAAAABACAAAAAnAQAAZHJzL2Uyb0RvYy54bWxQSwUGAAAAAAYABgBZAQAAIAYAAAAA&#10;">
                  <v:fill on="t" focussize="0,0"/>
                  <v:stroke weight="0.5pt" color="#000000 [3213]" miterlimit="8" joinstyle="miter"/>
                  <v:imagedata o:title=""/>
                  <o:lock v:ext="edit" aspectratio="f"/>
                  <v:textbox>
                    <w:txbxContent>
                      <w:p w14:paraId="49F869A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暂存于井场右侧地面（底部铺设防渗膜）后委外拉运处置</w:t>
                        </w:r>
                      </w:p>
                    </w:txbxContent>
                  </v:textbox>
                </v:rect>
                <v:shape id="直接箭头连接符 37" o:spid="_x0000_s1026" o:spt="32" type="#_x0000_t32" style="position:absolute;left:2453005;top:243205;height:0;width:822960;" filled="f" stroked="t" coordsize="21600,21600" o:gfxdata="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5xHOt2QAAAAkBAAAPAAAA&#10;AAAAAAEAIAAAACIAAABkcnMvZG93bnJldi54bWxQSwECFAAUAAAACACHTuJAnhASvxQCAADxAwAA&#10;DgAAAAAAAAABACAAAAAoAQAAZHJzL2Uyb0RvYy54bWxQSwUGAAAAAAYABgBZAQAArgUAAAAA&#10;">
                  <v:fill on="f" focussize="0,0"/>
                  <v:stroke weight="0.5pt" color="#000000 [3213]" miterlimit="8" joinstyle="miter" endarrow="open"/>
                  <v:imagedata o:title=""/>
                  <o:lock v:ext="edit" aspectratio="f"/>
                </v:shape>
                <v:shape id="直接箭头连接符 38" o:spid="_x0000_s1026" o:spt="32" type="#_x0000_t32" style="position:absolute;left:1188085;top:242570;flip:y;height:2540;width:340995;" filled="f" stroked="t" coordsize="21600,21600" o:gfxdata="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689CgNgA&#10;AAAJAQAADwAAAAAAAAABACAAAAAiAAAAZHJzL2Rvd25yZXYueG1sUEsBAhQAFAAAAAgAh07iQPFP&#10;l3ofAgAA/gMAAA4AAAAAAAAAAQAgAAAAJwEAAGRycy9lMm9Eb2MueG1sUEsFBgAAAAAGAAYAWQEA&#10;ALgFAAAAAA==&#10;">
                  <v:fill on="f" focussize="0,0"/>
                  <v:stroke weight="0.5pt" color="#000000 [3213]" miterlimit="8" joinstyle="miter" endarrow="open"/>
                  <v:imagedata o:title=""/>
                  <o:lock v:ext="edit" aspectratio="f"/>
                </v:shape>
                <v:rect id="矩形 39" o:spid="_x0000_s1026" o:spt="1" style="position:absolute;left:1524635;top:734695;height:262890;width:1293495;v-text-anchor:middle;" fillcolor="#FFFFFF [3212]" filled="t" stroked="t" coordsize="21600,21600" o:gfxdata="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B6yXzHYAAAACQEAAA8A&#10;AAAAAAAAAQAgAAAAIgAAAGRycy9kb3ducmV2LnhtbFBLAQIUABQAAAAIAIdO4kDOHFVMiQIAABMF&#10;AAAOAAAAAAAAAAEAIAAAACcBAABkcnMvZTJvRG9jLnhtbFBLBQYAAAAABgAGAFkBAAAiBgAAAAA=&#10;">
                  <v:fill on="t" focussize="0,0"/>
                  <v:stroke weight="0.5pt" color="#000000 [3213]" miterlimit="8" joinstyle="miter"/>
                  <v:imagedata o:title=""/>
                  <o:lock v:ext="edit" aspectratio="f"/>
                  <v:textbox>
                    <w:txbxContent>
                      <w:p w14:paraId="533CC98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回用于钻井液配置</w:t>
                        </w:r>
                      </w:p>
                    </w:txbxContent>
                  </v:textbox>
                </v:rect>
                <v:shape id="直接箭头连接符 40" o:spid="_x0000_s1026" o:spt="32" type="#_x0000_t32" style="position:absolute;left:2040255;top:374650;flip:x;height:360045;width:635;" filled="f" stroked="t" coordsize="21600,21600" o:gfxdata="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vPQoDYAAAACQEA&#10;AA8AAAAAAAAAAQAgAAAAIgAAAGRycy9kb3ducmV2LnhtbFBLAQIUABQAAAAIAIdO4kDf3MnNGgIA&#10;APwDAAAOAAAAAAAAAAEAIAAAACcBAABkcnMvZTJvRG9jLnhtbFBLBQYAAAAABgAGAFkBAACzBQAA&#10;AAA=&#10;">
                  <v:fill on="f" focussize="0,0"/>
                  <v:stroke weight="0.5pt" color="#000000 [3213]" miterlimit="8" joinstyle="miter" endarrow="open"/>
                  <v:imagedata o:title=""/>
                  <o:lock v:ext="edit" aspectratio="f"/>
                </v:shape>
                <v:rect id="矩形 41" o:spid="_x0000_s1026" o:spt="1" style="position:absolute;left:1970405;top:405765;height:262890;width:469265;v-text-anchor:middle;" filled="f" stroked="f" coordsize="21600,21600" o:gfxdata="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ohh959oAAAAJAQAADwAAAAAAAAABACAAAAAiAAAAZHJzL2Rv&#10;d25yZXYueG1sUEsBAhQAFAAAAAgAh07iQFC50gdxAgAAwAQAAA4AAAAAAAAAAQAgAAAAKQEAAGRy&#10;cy9lMm9Eb2MueG1sUEsFBgAAAAAGAAYAWQEAAAwGAAAAAA==&#10;">
                  <v:fill on="f" focussize="0,0"/>
                  <v:stroke on="f" weight="0.5pt" miterlimit="8" joinstyle="miter"/>
                  <v:imagedata o:title=""/>
                  <o:lock v:ext="edit" aspectratio="f"/>
                  <v:textbox>
                    <w:txbxContent>
                      <w:p w14:paraId="156015B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液相</w:t>
                        </w:r>
                      </w:p>
                    </w:txbxContent>
                  </v:textbox>
                </v:rect>
                <v:rect id="矩形 42" o:spid="_x0000_s1026" o:spt="1" style="position:absolute;left:2342515;top:0;height:692785;width:1056005;v-text-anchor:middle;" filled="f" stroked="f" coordsize="21600,21600" o:gfxdata="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iGH3n2gAAAAkBAAAPAAAAAAAAAAEAIAAAACIAAABkcnMvZG93bnJl&#10;di54bWxQSwECFAAUAAAACACHTuJALiumLW0CAAC8BAAADgAAAAAAAAABACAAAAApAQAAZHJzL2Uy&#10;b0RvYy54bWxQSwUGAAAAAAYABgBZAQAACAYAAAAA&#10;">
                  <v:fill on="f" focussize="0,0"/>
                  <v:stroke on="f" weight="0.5pt" miterlimit="8" joinstyle="miter"/>
                  <v:imagedata o:title=""/>
                  <o:lock v:ext="edit" aspectratio="f"/>
                  <v:textbox>
                    <w:txbxContent>
                      <w:p w14:paraId="3E6A56D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水基钻井岩屑</w:t>
                        </w:r>
                      </w:p>
                    </w:txbxContent>
                  </v:textbox>
                </v:rect>
                <v:rect id="矩形 3" o:spid="_x0000_s1026" o:spt="1" style="position:absolute;left:128905;top:113665;height:262890;width:1059180;v-text-anchor:middle;" fillcolor="#FFFFFF [3212]" filled="t" stroked="t" coordsize="21600,21600" o:gfxdata="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HrJfMdgAAAAJAQAADwAAAAAAAAAB&#10;ACAAAAAiAAAAZHJzL2Rvd25yZXYueG1sUEsBAhQAFAAAAAgAh07iQHXlSxiCAgAAEAUAAA4AAAAA&#10;AAAAAQAgAAAAJwEAAGRycy9lMm9Eb2MueG1sUEsFBgAAAAAGAAYAWQEAABsGAAAAAA==&#10;">
                  <v:fill on="t" focussize="0,0"/>
                  <v:stroke weight="0.5pt" color="#000000 [3213]" miterlimit="8" joinstyle="miter"/>
                  <v:imagedata o:title=""/>
                  <o:lock v:ext="edit" aspectratio="f"/>
                  <v:textbox>
                    <w:txbxContent>
                      <w:p w14:paraId="3C95052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钻井液及岩屑</w:t>
                        </w:r>
                      </w:p>
                    </w:txbxContent>
                  </v:textbox>
                </v:rect>
                <w10:wrap type="topAndBottom"/>
              </v:group>
            </w:pict>
          </mc:Fallback>
        </mc:AlternateContent>
      </w:r>
      <w:r>
        <w:rPr>
          <w:rFonts w:hint="eastAsia"/>
          <w:color w:val="000000" w:themeColor="text1"/>
          <w14:textFill>
            <w14:solidFill>
              <w14:schemeClr w14:val="tx1"/>
            </w14:solidFill>
          </w14:textFill>
        </w:rPr>
        <w:t>图6.1-2  水基钻井岩屑处理工艺流程图</w:t>
      </w:r>
    </w:p>
    <w:p w14:paraId="2936816E">
      <w:pPr>
        <w:pStyle w:val="112"/>
        <w:rPr>
          <w:rFonts w:hint="eastAsia"/>
          <w:color w:val="000000" w:themeColor="text1"/>
          <w14:textFill>
            <w14:solidFill>
              <w14:schemeClr w14:val="tx1"/>
            </w14:solidFill>
          </w14:textFill>
        </w:rPr>
      </w:pPr>
    </w:p>
    <w:bookmarkEnd w:id="559"/>
    <w:tbl>
      <w:tblPr>
        <w:tblStyle w:val="51"/>
        <w:tblW w:w="9072" w:type="dxa"/>
        <w:jc w:val="center"/>
        <w:tblLayout w:type="autofit"/>
        <w:tblCellMar>
          <w:top w:w="0" w:type="dxa"/>
          <w:left w:w="108" w:type="dxa"/>
          <w:bottom w:w="0" w:type="dxa"/>
          <w:right w:w="108" w:type="dxa"/>
        </w:tblCellMar>
      </w:tblPr>
      <w:tblGrid>
        <w:gridCol w:w="4551"/>
        <w:gridCol w:w="4521"/>
      </w:tblGrid>
      <w:tr w14:paraId="055AAFA2">
        <w:tblPrEx>
          <w:tblCellMar>
            <w:top w:w="0" w:type="dxa"/>
            <w:left w:w="108" w:type="dxa"/>
            <w:bottom w:w="0" w:type="dxa"/>
            <w:right w:w="108" w:type="dxa"/>
          </w:tblCellMar>
        </w:tblPrEx>
        <w:trPr>
          <w:trHeight w:val="340" w:hRule="atLeast"/>
          <w:jc w:val="center"/>
        </w:trPr>
        <w:tc>
          <w:tcPr>
            <w:tcW w:w="4551" w:type="dxa"/>
            <w:vAlign w:val="center"/>
          </w:tcPr>
          <w:p w14:paraId="275151EE">
            <w:pPr>
              <w:pStyle w:val="538"/>
              <w:ind w:firstLine="40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472055" cy="1844040"/>
                  <wp:effectExtent l="0" t="0" r="4445" b="3810"/>
                  <wp:docPr id="1802007139" name="图片 17" descr="图1-2 泥浆不落地处理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07139" name="图片 17" descr="图1-2 泥浆不落地处理系统"/>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2472055" cy="1844040"/>
                          </a:xfrm>
                          <a:prstGeom prst="rect">
                            <a:avLst/>
                          </a:prstGeom>
                          <a:noFill/>
                          <a:ln>
                            <a:noFill/>
                          </a:ln>
                        </pic:spPr>
                      </pic:pic>
                    </a:graphicData>
                  </a:graphic>
                </wp:inline>
              </w:drawing>
            </w:r>
          </w:p>
        </w:tc>
        <w:tc>
          <w:tcPr>
            <w:tcW w:w="4521" w:type="dxa"/>
            <w:vAlign w:val="center"/>
          </w:tcPr>
          <w:p w14:paraId="75C0ED40">
            <w:pPr>
              <w:pStyle w:val="538"/>
              <w:ind w:firstLine="40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448560" cy="1837055"/>
                  <wp:effectExtent l="0" t="0" r="8890" b="10795"/>
                  <wp:docPr id="2437019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01952" name="图片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2448560" cy="1837055"/>
                          </a:xfrm>
                          <a:prstGeom prst="rect">
                            <a:avLst/>
                          </a:prstGeom>
                          <a:noFill/>
                          <a:ln>
                            <a:noFill/>
                          </a:ln>
                        </pic:spPr>
                      </pic:pic>
                    </a:graphicData>
                  </a:graphic>
                </wp:inline>
              </w:drawing>
            </w:r>
          </w:p>
        </w:tc>
      </w:tr>
      <w:tr w14:paraId="0621DBA4">
        <w:tblPrEx>
          <w:tblCellMar>
            <w:top w:w="0" w:type="dxa"/>
            <w:left w:w="108" w:type="dxa"/>
            <w:bottom w:w="0" w:type="dxa"/>
            <w:right w:w="108" w:type="dxa"/>
          </w:tblCellMar>
        </w:tblPrEx>
        <w:trPr>
          <w:trHeight w:val="332" w:hRule="atLeast"/>
          <w:jc w:val="center"/>
        </w:trPr>
        <w:tc>
          <w:tcPr>
            <w:tcW w:w="4551" w:type="dxa"/>
            <w:vAlign w:val="center"/>
          </w:tcPr>
          <w:p w14:paraId="0310853D">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不落地设备</w:t>
            </w:r>
          </w:p>
        </w:tc>
        <w:tc>
          <w:tcPr>
            <w:tcW w:w="4521" w:type="dxa"/>
            <w:vAlign w:val="center"/>
          </w:tcPr>
          <w:p w14:paraId="2BD42F28">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大颗粒筛分器</w:t>
            </w:r>
          </w:p>
        </w:tc>
      </w:tr>
    </w:tbl>
    <w:p w14:paraId="5BF3DF58">
      <w:pPr>
        <w:pStyle w:val="120"/>
        <w:rPr>
          <w:rFonts w:hint="eastAsia"/>
          <w:color w:val="000000" w:themeColor="text1"/>
          <w14:textFill>
            <w14:solidFill>
              <w14:schemeClr w14:val="tx1"/>
            </w14:solidFill>
          </w14:textFill>
        </w:rPr>
      </w:pPr>
      <w:bookmarkStart w:id="562" w:name="OLE_LINK421"/>
      <w:r>
        <w:rPr>
          <w:rFonts w:hint="eastAsia"/>
          <w:color w:val="000000" w:themeColor="text1"/>
          <w14:textFill>
            <w14:solidFill>
              <w14:schemeClr w14:val="tx1"/>
            </w14:solidFill>
          </w14:textFill>
        </w:rPr>
        <w:t>本次评价采用新疆油田某井的水基钻井岩屑监测数据（见表6.1-2）来说明水基钻井岩屑处置的可行性和合理性。</w:t>
      </w:r>
    </w:p>
    <w:p w14:paraId="35CC18B9">
      <w:pPr>
        <w:snapToGrid w:val="0"/>
        <w:spacing w:line="480" w:lineRule="exact"/>
        <w:jc w:val="center"/>
        <w:rPr>
          <w:rFonts w:hint="eastAsia" w:ascii="黑体" w:hAnsi="黑体" w:eastAsia="黑体" w:cs="黑体"/>
          <w:color w:val="000000" w:themeColor="text1"/>
          <w:szCs w:val="21"/>
          <w14:textFill>
            <w14:solidFill>
              <w14:schemeClr w14:val="tx1"/>
            </w14:solidFill>
          </w14:textFill>
        </w:rPr>
      </w:pPr>
      <w:r>
        <w:rPr>
          <w:rFonts w:hint="eastAsia" w:ascii="黑体" w:hAnsi="黑体" w:eastAsia="黑体" w:cs="黑体"/>
          <w:color w:val="000000" w:themeColor="text1"/>
          <w:szCs w:val="21"/>
          <w14:textFill>
            <w14:solidFill>
              <w14:schemeClr w14:val="tx1"/>
            </w14:solidFill>
          </w14:textFill>
        </w:rPr>
        <w:t>表6.1-2  水基钻井岩屑检测结果</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02"/>
        <w:gridCol w:w="1566"/>
        <w:gridCol w:w="1367"/>
        <w:gridCol w:w="1027"/>
        <w:gridCol w:w="1587"/>
        <w:gridCol w:w="1378"/>
      </w:tblGrid>
      <w:tr w14:paraId="4496D1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vMerge w:val="restart"/>
            <w:tcBorders>
              <w:top w:val="single" w:color="auto" w:sz="12" w:space="0"/>
              <w:left w:val="nil"/>
              <w:bottom w:val="single" w:color="auto" w:sz="6" w:space="0"/>
              <w:right w:val="single" w:color="auto" w:sz="6" w:space="0"/>
            </w:tcBorders>
            <w:vAlign w:val="center"/>
          </w:tcPr>
          <w:p w14:paraId="71DD3E4E">
            <w:pPr>
              <w:widowControl/>
              <w:autoSpaceDE w:val="0"/>
              <w:autoSpaceDN w:val="0"/>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检测项</w:t>
            </w:r>
          </w:p>
        </w:tc>
        <w:tc>
          <w:tcPr>
            <w:tcW w:w="897" w:type="pct"/>
            <w:vMerge w:val="restart"/>
            <w:tcBorders>
              <w:top w:val="single" w:color="auto" w:sz="12" w:space="0"/>
              <w:left w:val="single" w:color="auto" w:sz="6" w:space="0"/>
              <w:bottom w:val="single" w:color="auto" w:sz="6" w:space="0"/>
              <w:right w:val="single" w:color="auto" w:sz="6" w:space="0"/>
            </w:tcBorders>
            <w:vAlign w:val="center"/>
          </w:tcPr>
          <w:p w14:paraId="4FAC3304">
            <w:pPr>
              <w:widowControl/>
              <w:autoSpaceDE w:val="0"/>
              <w:autoSpaceDN w:val="0"/>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单位</w:t>
            </w:r>
          </w:p>
        </w:tc>
        <w:tc>
          <w:tcPr>
            <w:tcW w:w="1371" w:type="pct"/>
            <w:gridSpan w:val="2"/>
            <w:tcBorders>
              <w:top w:val="single" w:color="auto" w:sz="12" w:space="0"/>
              <w:left w:val="single" w:color="auto" w:sz="6" w:space="0"/>
              <w:bottom w:val="single" w:color="auto" w:sz="6" w:space="0"/>
              <w:right w:val="single" w:color="auto" w:sz="6" w:space="0"/>
            </w:tcBorders>
            <w:vAlign w:val="center"/>
          </w:tcPr>
          <w:p w14:paraId="1C2E03E3">
            <w:pPr>
              <w:widowControl/>
              <w:autoSpaceDE w:val="0"/>
              <w:autoSpaceDN w:val="0"/>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某井检测值</w:t>
            </w:r>
          </w:p>
        </w:tc>
        <w:tc>
          <w:tcPr>
            <w:tcW w:w="909" w:type="pct"/>
            <w:vMerge w:val="restart"/>
            <w:tcBorders>
              <w:top w:val="single" w:color="auto" w:sz="12" w:space="0"/>
              <w:left w:val="single" w:color="auto" w:sz="6" w:space="0"/>
              <w:bottom w:val="single" w:color="auto" w:sz="6" w:space="0"/>
              <w:right w:val="single" w:color="auto" w:sz="6" w:space="0"/>
            </w:tcBorders>
            <w:vAlign w:val="center"/>
          </w:tcPr>
          <w:p w14:paraId="2C57D05E">
            <w:pPr>
              <w:widowControl/>
              <w:autoSpaceDE w:val="0"/>
              <w:autoSpaceDN w:val="0"/>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标准限值</w:t>
            </w:r>
          </w:p>
        </w:tc>
        <w:tc>
          <w:tcPr>
            <w:tcW w:w="789" w:type="pct"/>
            <w:vMerge w:val="restart"/>
            <w:tcBorders>
              <w:top w:val="single" w:color="auto" w:sz="12" w:space="0"/>
              <w:left w:val="single" w:color="auto" w:sz="6" w:space="0"/>
              <w:bottom w:val="single" w:color="auto" w:sz="6" w:space="0"/>
              <w:right w:val="nil"/>
            </w:tcBorders>
            <w:vAlign w:val="center"/>
          </w:tcPr>
          <w:p w14:paraId="3FE162C4">
            <w:pPr>
              <w:widowControl/>
              <w:autoSpaceDE w:val="0"/>
              <w:autoSpaceDN w:val="0"/>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判定结果</w:t>
            </w:r>
          </w:p>
        </w:tc>
      </w:tr>
      <w:tr w14:paraId="6348A5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12" w:space="0"/>
              <w:left w:val="nil"/>
              <w:bottom w:val="single" w:color="auto" w:sz="6" w:space="0"/>
              <w:right w:val="single" w:color="auto" w:sz="6" w:space="0"/>
            </w:tcBorders>
            <w:vAlign w:val="center"/>
          </w:tcPr>
          <w:p w14:paraId="68DD8228">
            <w:pPr>
              <w:widowControl/>
              <w:jc w:val="left"/>
              <w:rPr>
                <w:rFonts w:hint="eastAsia" w:ascii="宋体" w:hAnsi="宋体" w:cs="宋体"/>
                <w:color w:val="000000" w:themeColor="text1"/>
                <w:kern w:val="0"/>
                <w:sz w:val="22"/>
                <w14:textFill>
                  <w14:solidFill>
                    <w14:schemeClr w14:val="tx1"/>
                  </w14:solidFill>
                </w14:textFill>
              </w:rPr>
            </w:pPr>
          </w:p>
        </w:tc>
        <w:tc>
          <w:tcPr>
            <w:tcW w:w="0" w:type="auto"/>
            <w:vMerge w:val="continue"/>
            <w:tcBorders>
              <w:top w:val="single" w:color="auto" w:sz="12" w:space="0"/>
              <w:left w:val="single" w:color="auto" w:sz="6" w:space="0"/>
              <w:bottom w:val="single" w:color="auto" w:sz="6" w:space="0"/>
              <w:right w:val="single" w:color="auto" w:sz="6" w:space="0"/>
            </w:tcBorders>
            <w:vAlign w:val="center"/>
          </w:tcPr>
          <w:p w14:paraId="14D73477">
            <w:pPr>
              <w:widowControl/>
              <w:jc w:val="left"/>
              <w:rPr>
                <w:rFonts w:hint="eastAsia" w:ascii="宋体" w:hAnsi="宋体" w:cs="宋体"/>
                <w:color w:val="000000" w:themeColor="text1"/>
                <w:kern w:val="0"/>
                <w:sz w:val="22"/>
                <w14:textFill>
                  <w14:solidFill>
                    <w14:schemeClr w14:val="tx1"/>
                  </w14:solidFill>
                </w14:textFill>
              </w:rPr>
            </w:pPr>
          </w:p>
        </w:tc>
        <w:tc>
          <w:tcPr>
            <w:tcW w:w="783" w:type="pct"/>
            <w:tcBorders>
              <w:top w:val="single" w:color="auto" w:sz="6" w:space="0"/>
              <w:left w:val="single" w:color="auto" w:sz="6" w:space="0"/>
              <w:bottom w:val="single" w:color="auto" w:sz="6" w:space="0"/>
              <w:right w:val="single" w:color="auto" w:sz="6" w:space="0"/>
            </w:tcBorders>
            <w:vAlign w:val="center"/>
          </w:tcPr>
          <w:p w14:paraId="1F047D58">
            <w:pPr>
              <w:widowControl/>
              <w:autoSpaceDE w:val="0"/>
              <w:autoSpaceDN w:val="0"/>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一开、二开</w:t>
            </w:r>
          </w:p>
        </w:tc>
        <w:tc>
          <w:tcPr>
            <w:tcW w:w="588" w:type="pct"/>
            <w:tcBorders>
              <w:top w:val="single" w:color="auto" w:sz="6" w:space="0"/>
              <w:left w:val="single" w:color="auto" w:sz="6" w:space="0"/>
              <w:bottom w:val="single" w:color="auto" w:sz="6" w:space="0"/>
              <w:right w:val="single" w:color="auto" w:sz="6" w:space="0"/>
            </w:tcBorders>
            <w:vAlign w:val="center"/>
          </w:tcPr>
          <w:p w14:paraId="0A4950B8">
            <w:pPr>
              <w:widowControl/>
              <w:autoSpaceDE w:val="0"/>
              <w:autoSpaceDN w:val="0"/>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三开</w:t>
            </w:r>
          </w:p>
        </w:tc>
        <w:tc>
          <w:tcPr>
            <w:tcW w:w="0" w:type="auto"/>
            <w:vMerge w:val="continue"/>
            <w:tcBorders>
              <w:top w:val="single" w:color="auto" w:sz="12" w:space="0"/>
              <w:left w:val="single" w:color="auto" w:sz="6" w:space="0"/>
              <w:bottom w:val="single" w:color="auto" w:sz="6" w:space="0"/>
              <w:right w:val="single" w:color="auto" w:sz="6" w:space="0"/>
            </w:tcBorders>
            <w:vAlign w:val="center"/>
          </w:tcPr>
          <w:p w14:paraId="39AA5BB7">
            <w:pPr>
              <w:widowControl/>
              <w:jc w:val="left"/>
              <w:rPr>
                <w:rFonts w:hint="eastAsia" w:ascii="宋体" w:hAnsi="宋体" w:cs="宋体"/>
                <w:color w:val="000000" w:themeColor="text1"/>
                <w:kern w:val="0"/>
                <w:sz w:val="22"/>
                <w14:textFill>
                  <w14:solidFill>
                    <w14:schemeClr w14:val="tx1"/>
                  </w14:solidFill>
                </w14:textFill>
              </w:rPr>
            </w:pPr>
          </w:p>
        </w:tc>
        <w:tc>
          <w:tcPr>
            <w:tcW w:w="0" w:type="auto"/>
            <w:vMerge w:val="continue"/>
            <w:tcBorders>
              <w:top w:val="single" w:color="auto" w:sz="12" w:space="0"/>
              <w:left w:val="single" w:color="auto" w:sz="6" w:space="0"/>
              <w:bottom w:val="single" w:color="auto" w:sz="6" w:space="0"/>
              <w:right w:val="nil"/>
            </w:tcBorders>
            <w:vAlign w:val="center"/>
          </w:tcPr>
          <w:p w14:paraId="578D5026">
            <w:pPr>
              <w:widowControl/>
              <w:jc w:val="left"/>
              <w:rPr>
                <w:rFonts w:hint="eastAsia" w:ascii="宋体" w:hAnsi="宋体" w:cs="宋体"/>
                <w:color w:val="000000" w:themeColor="text1"/>
                <w:kern w:val="0"/>
                <w:sz w:val="22"/>
                <w14:textFill>
                  <w14:solidFill>
                    <w14:schemeClr w14:val="tx1"/>
                  </w14:solidFill>
                </w14:textFill>
              </w:rPr>
            </w:pPr>
          </w:p>
        </w:tc>
      </w:tr>
      <w:tr w14:paraId="4B039B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74FD89CC">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pH</w:t>
            </w:r>
          </w:p>
        </w:tc>
        <w:tc>
          <w:tcPr>
            <w:tcW w:w="897" w:type="pct"/>
            <w:tcBorders>
              <w:top w:val="single" w:color="auto" w:sz="6" w:space="0"/>
              <w:left w:val="single" w:color="auto" w:sz="6" w:space="0"/>
              <w:bottom w:val="single" w:color="auto" w:sz="6" w:space="0"/>
              <w:right w:val="single" w:color="auto" w:sz="6" w:space="0"/>
            </w:tcBorders>
            <w:vAlign w:val="center"/>
          </w:tcPr>
          <w:p w14:paraId="3D9C5836">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无量纲</w:t>
            </w:r>
          </w:p>
        </w:tc>
        <w:tc>
          <w:tcPr>
            <w:tcW w:w="783" w:type="pct"/>
            <w:tcBorders>
              <w:top w:val="single" w:color="auto" w:sz="6" w:space="0"/>
              <w:left w:val="single" w:color="auto" w:sz="6" w:space="0"/>
              <w:bottom w:val="single" w:color="auto" w:sz="6" w:space="0"/>
              <w:right w:val="single" w:color="auto" w:sz="6" w:space="0"/>
            </w:tcBorders>
            <w:vAlign w:val="center"/>
          </w:tcPr>
          <w:p w14:paraId="31F0E842">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7.31</w:t>
            </w:r>
          </w:p>
        </w:tc>
        <w:tc>
          <w:tcPr>
            <w:tcW w:w="588" w:type="pct"/>
            <w:tcBorders>
              <w:top w:val="single" w:color="auto" w:sz="6" w:space="0"/>
              <w:left w:val="single" w:color="auto" w:sz="6" w:space="0"/>
              <w:bottom w:val="single" w:color="auto" w:sz="6" w:space="0"/>
              <w:right w:val="single" w:color="auto" w:sz="6" w:space="0"/>
            </w:tcBorders>
            <w:vAlign w:val="center"/>
          </w:tcPr>
          <w:p w14:paraId="020B0140">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7.53</w:t>
            </w:r>
          </w:p>
        </w:tc>
        <w:tc>
          <w:tcPr>
            <w:tcW w:w="909" w:type="pct"/>
            <w:tcBorders>
              <w:top w:val="single" w:color="auto" w:sz="6" w:space="0"/>
              <w:left w:val="single" w:color="auto" w:sz="6" w:space="0"/>
              <w:bottom w:val="single" w:color="auto" w:sz="6" w:space="0"/>
              <w:right w:val="single" w:color="auto" w:sz="6" w:space="0"/>
            </w:tcBorders>
            <w:vAlign w:val="center"/>
          </w:tcPr>
          <w:p w14:paraId="7B3B9C7C">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2.0-12.5</w:t>
            </w:r>
          </w:p>
        </w:tc>
        <w:tc>
          <w:tcPr>
            <w:tcW w:w="789" w:type="pct"/>
            <w:tcBorders>
              <w:top w:val="single" w:color="auto" w:sz="6" w:space="0"/>
              <w:left w:val="single" w:color="auto" w:sz="6" w:space="0"/>
              <w:bottom w:val="single" w:color="auto" w:sz="6" w:space="0"/>
              <w:right w:val="nil"/>
            </w:tcBorders>
            <w:vAlign w:val="center"/>
          </w:tcPr>
          <w:p w14:paraId="38EF2FA5">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7C65E7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646D2BFC">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六价铬</w:t>
            </w:r>
          </w:p>
        </w:tc>
        <w:tc>
          <w:tcPr>
            <w:tcW w:w="897" w:type="pct"/>
            <w:tcBorders>
              <w:top w:val="single" w:color="auto" w:sz="6" w:space="0"/>
              <w:left w:val="single" w:color="auto" w:sz="6" w:space="0"/>
              <w:bottom w:val="single" w:color="auto" w:sz="6" w:space="0"/>
              <w:right w:val="single" w:color="auto" w:sz="6" w:space="0"/>
            </w:tcBorders>
            <w:vAlign w:val="center"/>
          </w:tcPr>
          <w:p w14:paraId="4B3D4886">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mg/kg</w:t>
            </w:r>
          </w:p>
        </w:tc>
        <w:tc>
          <w:tcPr>
            <w:tcW w:w="783" w:type="pct"/>
            <w:tcBorders>
              <w:top w:val="single" w:color="auto" w:sz="6" w:space="0"/>
              <w:left w:val="single" w:color="auto" w:sz="6" w:space="0"/>
              <w:bottom w:val="single" w:color="auto" w:sz="6" w:space="0"/>
              <w:right w:val="single" w:color="auto" w:sz="6" w:space="0"/>
            </w:tcBorders>
            <w:vAlign w:val="center"/>
          </w:tcPr>
          <w:p w14:paraId="09141EB1">
            <w:pPr>
              <w:adjustRightInd w:val="0"/>
              <w:snapToGrid w:val="0"/>
              <w:jc w:val="center"/>
              <w:rPr>
                <w:rFonts w:hint="eastAsia" w:ascii="宋体" w:hAnsi="宋体" w:cs="宋体"/>
                <w:color w:val="000000" w:themeColor="text1"/>
                <w:kern w:val="0"/>
                <w:sz w:val="22"/>
                <w14:textFill>
                  <w14:solidFill>
                    <w14:schemeClr w14:val="tx1"/>
                  </w14:solidFill>
                </w14:textFill>
              </w:rPr>
            </w:pPr>
            <w:bookmarkStart w:id="563" w:name="OLE_LINK470"/>
            <w:r>
              <w:rPr>
                <w:rFonts w:hint="eastAsia" w:ascii="宋体" w:hAnsi="宋体" w:cs="宋体"/>
                <w:color w:val="000000" w:themeColor="text1"/>
                <w:kern w:val="0"/>
                <w:sz w:val="22"/>
                <w14:textFill>
                  <w14:solidFill>
                    <w14:schemeClr w14:val="tx1"/>
                  </w14:solidFill>
                </w14:textFill>
              </w:rPr>
              <w:t>＜</w:t>
            </w:r>
            <w:bookmarkEnd w:id="563"/>
            <w:r>
              <w:rPr>
                <w:rFonts w:hint="eastAsia" w:ascii="宋体" w:hAnsi="宋体" w:cs="宋体"/>
                <w:color w:val="000000" w:themeColor="text1"/>
                <w:kern w:val="0"/>
                <w:sz w:val="22"/>
                <w14:textFill>
                  <w14:solidFill>
                    <w14:schemeClr w14:val="tx1"/>
                  </w14:solidFill>
                </w14:textFill>
              </w:rPr>
              <w:t>2.0</w:t>
            </w:r>
          </w:p>
        </w:tc>
        <w:tc>
          <w:tcPr>
            <w:tcW w:w="588" w:type="pct"/>
            <w:tcBorders>
              <w:top w:val="single" w:color="auto" w:sz="6" w:space="0"/>
              <w:left w:val="single" w:color="auto" w:sz="6" w:space="0"/>
              <w:bottom w:val="single" w:color="auto" w:sz="6" w:space="0"/>
              <w:right w:val="single" w:color="auto" w:sz="6" w:space="0"/>
            </w:tcBorders>
            <w:vAlign w:val="center"/>
          </w:tcPr>
          <w:p w14:paraId="63EA0FE4">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9.40</w:t>
            </w:r>
          </w:p>
        </w:tc>
        <w:tc>
          <w:tcPr>
            <w:tcW w:w="909" w:type="pct"/>
            <w:tcBorders>
              <w:top w:val="single" w:color="auto" w:sz="6" w:space="0"/>
              <w:left w:val="single" w:color="auto" w:sz="6" w:space="0"/>
              <w:bottom w:val="single" w:color="auto" w:sz="6" w:space="0"/>
              <w:right w:val="single" w:color="auto" w:sz="6" w:space="0"/>
            </w:tcBorders>
            <w:vAlign w:val="center"/>
          </w:tcPr>
          <w:p w14:paraId="25708262">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13</w:t>
            </w:r>
          </w:p>
        </w:tc>
        <w:tc>
          <w:tcPr>
            <w:tcW w:w="789" w:type="pct"/>
            <w:tcBorders>
              <w:top w:val="single" w:color="auto" w:sz="6" w:space="0"/>
              <w:left w:val="single" w:color="auto" w:sz="6" w:space="0"/>
              <w:bottom w:val="single" w:color="auto" w:sz="6" w:space="0"/>
              <w:right w:val="nil"/>
            </w:tcBorders>
            <w:vAlign w:val="center"/>
          </w:tcPr>
          <w:p w14:paraId="6846BA4C">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0EC9ED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6C6EF6EF">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铜</w:t>
            </w:r>
          </w:p>
        </w:tc>
        <w:tc>
          <w:tcPr>
            <w:tcW w:w="897" w:type="pct"/>
            <w:tcBorders>
              <w:top w:val="single" w:color="auto" w:sz="6" w:space="0"/>
              <w:left w:val="single" w:color="auto" w:sz="6" w:space="0"/>
              <w:bottom w:val="single" w:color="auto" w:sz="6" w:space="0"/>
              <w:right w:val="single" w:color="auto" w:sz="6" w:space="0"/>
            </w:tcBorders>
            <w:vAlign w:val="center"/>
          </w:tcPr>
          <w:p w14:paraId="78041C24">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mg/kg</w:t>
            </w:r>
          </w:p>
        </w:tc>
        <w:tc>
          <w:tcPr>
            <w:tcW w:w="783" w:type="pct"/>
            <w:tcBorders>
              <w:top w:val="single" w:color="auto" w:sz="6" w:space="0"/>
              <w:left w:val="single" w:color="auto" w:sz="6" w:space="0"/>
              <w:bottom w:val="single" w:color="auto" w:sz="6" w:space="0"/>
              <w:right w:val="single" w:color="auto" w:sz="6" w:space="0"/>
            </w:tcBorders>
            <w:vAlign w:val="center"/>
          </w:tcPr>
          <w:p w14:paraId="50B891E1">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51.9</w:t>
            </w:r>
          </w:p>
        </w:tc>
        <w:tc>
          <w:tcPr>
            <w:tcW w:w="588" w:type="pct"/>
            <w:tcBorders>
              <w:top w:val="single" w:color="auto" w:sz="6" w:space="0"/>
              <w:left w:val="single" w:color="auto" w:sz="6" w:space="0"/>
              <w:bottom w:val="single" w:color="auto" w:sz="6" w:space="0"/>
              <w:right w:val="single" w:color="auto" w:sz="6" w:space="0"/>
            </w:tcBorders>
            <w:vAlign w:val="center"/>
          </w:tcPr>
          <w:p w14:paraId="53C147DE">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89.2</w:t>
            </w:r>
          </w:p>
        </w:tc>
        <w:tc>
          <w:tcPr>
            <w:tcW w:w="909" w:type="pct"/>
            <w:tcBorders>
              <w:top w:val="single" w:color="auto" w:sz="6" w:space="0"/>
              <w:left w:val="single" w:color="auto" w:sz="6" w:space="0"/>
              <w:bottom w:val="single" w:color="auto" w:sz="6" w:space="0"/>
              <w:right w:val="single" w:color="auto" w:sz="6" w:space="0"/>
            </w:tcBorders>
            <w:vAlign w:val="center"/>
          </w:tcPr>
          <w:p w14:paraId="38EEF567">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600</w:t>
            </w:r>
          </w:p>
        </w:tc>
        <w:tc>
          <w:tcPr>
            <w:tcW w:w="789" w:type="pct"/>
            <w:tcBorders>
              <w:top w:val="single" w:color="auto" w:sz="6" w:space="0"/>
              <w:left w:val="single" w:color="auto" w:sz="6" w:space="0"/>
              <w:bottom w:val="single" w:color="auto" w:sz="6" w:space="0"/>
              <w:right w:val="nil"/>
            </w:tcBorders>
            <w:vAlign w:val="center"/>
          </w:tcPr>
          <w:p w14:paraId="42493D85">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14DFF7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73AE4347">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锌</w:t>
            </w:r>
          </w:p>
        </w:tc>
        <w:tc>
          <w:tcPr>
            <w:tcW w:w="897" w:type="pct"/>
            <w:tcBorders>
              <w:top w:val="single" w:color="auto" w:sz="6" w:space="0"/>
              <w:left w:val="single" w:color="auto" w:sz="6" w:space="0"/>
              <w:bottom w:val="single" w:color="auto" w:sz="6" w:space="0"/>
              <w:right w:val="single" w:color="auto" w:sz="6" w:space="0"/>
            </w:tcBorders>
            <w:vAlign w:val="center"/>
          </w:tcPr>
          <w:p w14:paraId="7F57FC6A">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mg/kg</w:t>
            </w:r>
          </w:p>
        </w:tc>
        <w:tc>
          <w:tcPr>
            <w:tcW w:w="783" w:type="pct"/>
            <w:tcBorders>
              <w:top w:val="single" w:color="auto" w:sz="6" w:space="0"/>
              <w:left w:val="single" w:color="auto" w:sz="6" w:space="0"/>
              <w:bottom w:val="single" w:color="auto" w:sz="6" w:space="0"/>
              <w:right w:val="single" w:color="auto" w:sz="6" w:space="0"/>
            </w:tcBorders>
            <w:vAlign w:val="center"/>
          </w:tcPr>
          <w:p w14:paraId="6D7B7800">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15.9</w:t>
            </w:r>
          </w:p>
        </w:tc>
        <w:tc>
          <w:tcPr>
            <w:tcW w:w="588" w:type="pct"/>
            <w:tcBorders>
              <w:top w:val="single" w:color="auto" w:sz="6" w:space="0"/>
              <w:left w:val="single" w:color="auto" w:sz="6" w:space="0"/>
              <w:bottom w:val="single" w:color="auto" w:sz="6" w:space="0"/>
              <w:right w:val="single" w:color="auto" w:sz="6" w:space="0"/>
            </w:tcBorders>
            <w:vAlign w:val="center"/>
          </w:tcPr>
          <w:p w14:paraId="34B77DD4">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26.0</w:t>
            </w:r>
          </w:p>
        </w:tc>
        <w:tc>
          <w:tcPr>
            <w:tcW w:w="909" w:type="pct"/>
            <w:tcBorders>
              <w:top w:val="single" w:color="auto" w:sz="6" w:space="0"/>
              <w:left w:val="single" w:color="auto" w:sz="6" w:space="0"/>
              <w:bottom w:val="single" w:color="auto" w:sz="6" w:space="0"/>
              <w:right w:val="single" w:color="auto" w:sz="6" w:space="0"/>
            </w:tcBorders>
            <w:vAlign w:val="center"/>
          </w:tcPr>
          <w:p w14:paraId="7E630228">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1500</w:t>
            </w:r>
          </w:p>
        </w:tc>
        <w:tc>
          <w:tcPr>
            <w:tcW w:w="789" w:type="pct"/>
            <w:tcBorders>
              <w:top w:val="single" w:color="auto" w:sz="6" w:space="0"/>
              <w:left w:val="single" w:color="auto" w:sz="6" w:space="0"/>
              <w:bottom w:val="single" w:color="auto" w:sz="6" w:space="0"/>
              <w:right w:val="nil"/>
            </w:tcBorders>
            <w:vAlign w:val="center"/>
          </w:tcPr>
          <w:p w14:paraId="3756B80F">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2997FF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6F1E6B35">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镍</w:t>
            </w:r>
          </w:p>
        </w:tc>
        <w:tc>
          <w:tcPr>
            <w:tcW w:w="897" w:type="pct"/>
            <w:tcBorders>
              <w:top w:val="single" w:color="auto" w:sz="6" w:space="0"/>
              <w:left w:val="single" w:color="auto" w:sz="6" w:space="0"/>
              <w:bottom w:val="single" w:color="auto" w:sz="6" w:space="0"/>
              <w:right w:val="single" w:color="auto" w:sz="6" w:space="0"/>
            </w:tcBorders>
            <w:vAlign w:val="center"/>
          </w:tcPr>
          <w:p w14:paraId="7D03B93A">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mg/kg</w:t>
            </w:r>
          </w:p>
        </w:tc>
        <w:tc>
          <w:tcPr>
            <w:tcW w:w="783" w:type="pct"/>
            <w:tcBorders>
              <w:top w:val="single" w:color="auto" w:sz="6" w:space="0"/>
              <w:left w:val="single" w:color="auto" w:sz="6" w:space="0"/>
              <w:bottom w:val="single" w:color="auto" w:sz="6" w:space="0"/>
              <w:right w:val="single" w:color="auto" w:sz="6" w:space="0"/>
            </w:tcBorders>
            <w:vAlign w:val="center"/>
          </w:tcPr>
          <w:p w14:paraId="12E5D258">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41.3</w:t>
            </w:r>
          </w:p>
        </w:tc>
        <w:tc>
          <w:tcPr>
            <w:tcW w:w="588" w:type="pct"/>
            <w:tcBorders>
              <w:top w:val="single" w:color="auto" w:sz="6" w:space="0"/>
              <w:left w:val="single" w:color="auto" w:sz="6" w:space="0"/>
              <w:bottom w:val="single" w:color="auto" w:sz="6" w:space="0"/>
              <w:right w:val="single" w:color="auto" w:sz="6" w:space="0"/>
            </w:tcBorders>
            <w:vAlign w:val="center"/>
          </w:tcPr>
          <w:p w14:paraId="15C33F94">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27.5</w:t>
            </w:r>
          </w:p>
        </w:tc>
        <w:tc>
          <w:tcPr>
            <w:tcW w:w="909" w:type="pct"/>
            <w:tcBorders>
              <w:top w:val="single" w:color="auto" w:sz="6" w:space="0"/>
              <w:left w:val="single" w:color="auto" w:sz="6" w:space="0"/>
              <w:bottom w:val="single" w:color="auto" w:sz="6" w:space="0"/>
              <w:right w:val="single" w:color="auto" w:sz="6" w:space="0"/>
            </w:tcBorders>
            <w:vAlign w:val="center"/>
          </w:tcPr>
          <w:p w14:paraId="7E6AE0C9">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150</w:t>
            </w:r>
          </w:p>
        </w:tc>
        <w:tc>
          <w:tcPr>
            <w:tcW w:w="789" w:type="pct"/>
            <w:tcBorders>
              <w:top w:val="single" w:color="auto" w:sz="6" w:space="0"/>
              <w:left w:val="single" w:color="auto" w:sz="6" w:space="0"/>
              <w:bottom w:val="single" w:color="auto" w:sz="6" w:space="0"/>
              <w:right w:val="nil"/>
            </w:tcBorders>
            <w:vAlign w:val="center"/>
          </w:tcPr>
          <w:p w14:paraId="653E7EEC">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611DF5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4743BDF0">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铅</w:t>
            </w:r>
          </w:p>
        </w:tc>
        <w:tc>
          <w:tcPr>
            <w:tcW w:w="897" w:type="pct"/>
            <w:tcBorders>
              <w:top w:val="single" w:color="auto" w:sz="6" w:space="0"/>
              <w:left w:val="single" w:color="auto" w:sz="6" w:space="0"/>
              <w:bottom w:val="single" w:color="auto" w:sz="6" w:space="0"/>
              <w:right w:val="single" w:color="auto" w:sz="6" w:space="0"/>
            </w:tcBorders>
            <w:vAlign w:val="center"/>
          </w:tcPr>
          <w:p w14:paraId="0CDA68CC">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mg/kg</w:t>
            </w:r>
          </w:p>
        </w:tc>
        <w:tc>
          <w:tcPr>
            <w:tcW w:w="783" w:type="pct"/>
            <w:tcBorders>
              <w:top w:val="single" w:color="auto" w:sz="6" w:space="0"/>
              <w:left w:val="single" w:color="auto" w:sz="6" w:space="0"/>
              <w:bottom w:val="single" w:color="auto" w:sz="6" w:space="0"/>
              <w:right w:val="single" w:color="auto" w:sz="6" w:space="0"/>
            </w:tcBorders>
            <w:vAlign w:val="center"/>
          </w:tcPr>
          <w:p w14:paraId="31F30DF6">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1.8</w:t>
            </w:r>
          </w:p>
        </w:tc>
        <w:tc>
          <w:tcPr>
            <w:tcW w:w="588" w:type="pct"/>
            <w:tcBorders>
              <w:top w:val="single" w:color="auto" w:sz="6" w:space="0"/>
              <w:left w:val="single" w:color="auto" w:sz="6" w:space="0"/>
              <w:bottom w:val="single" w:color="auto" w:sz="6" w:space="0"/>
              <w:right w:val="single" w:color="auto" w:sz="6" w:space="0"/>
            </w:tcBorders>
            <w:vAlign w:val="center"/>
          </w:tcPr>
          <w:p w14:paraId="546B6484">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1.5</w:t>
            </w:r>
          </w:p>
        </w:tc>
        <w:tc>
          <w:tcPr>
            <w:tcW w:w="909" w:type="pct"/>
            <w:tcBorders>
              <w:top w:val="single" w:color="auto" w:sz="6" w:space="0"/>
              <w:left w:val="single" w:color="auto" w:sz="6" w:space="0"/>
              <w:bottom w:val="single" w:color="auto" w:sz="6" w:space="0"/>
              <w:right w:val="single" w:color="auto" w:sz="6" w:space="0"/>
            </w:tcBorders>
            <w:vAlign w:val="center"/>
          </w:tcPr>
          <w:p w14:paraId="36FC071A">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600</w:t>
            </w:r>
          </w:p>
        </w:tc>
        <w:tc>
          <w:tcPr>
            <w:tcW w:w="789" w:type="pct"/>
            <w:tcBorders>
              <w:top w:val="single" w:color="auto" w:sz="6" w:space="0"/>
              <w:left w:val="single" w:color="auto" w:sz="6" w:space="0"/>
              <w:bottom w:val="single" w:color="auto" w:sz="6" w:space="0"/>
              <w:right w:val="nil"/>
            </w:tcBorders>
            <w:vAlign w:val="center"/>
          </w:tcPr>
          <w:p w14:paraId="7DA9408A">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176462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554CFF67">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镉</w:t>
            </w:r>
          </w:p>
        </w:tc>
        <w:tc>
          <w:tcPr>
            <w:tcW w:w="897" w:type="pct"/>
            <w:tcBorders>
              <w:top w:val="single" w:color="auto" w:sz="6" w:space="0"/>
              <w:left w:val="single" w:color="auto" w:sz="6" w:space="0"/>
              <w:bottom w:val="single" w:color="auto" w:sz="6" w:space="0"/>
              <w:right w:val="single" w:color="auto" w:sz="6" w:space="0"/>
            </w:tcBorders>
            <w:vAlign w:val="center"/>
          </w:tcPr>
          <w:p w14:paraId="05EEFCAC">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mg/kg</w:t>
            </w:r>
          </w:p>
        </w:tc>
        <w:tc>
          <w:tcPr>
            <w:tcW w:w="783" w:type="pct"/>
            <w:tcBorders>
              <w:top w:val="single" w:color="auto" w:sz="6" w:space="0"/>
              <w:left w:val="single" w:color="auto" w:sz="6" w:space="0"/>
              <w:bottom w:val="single" w:color="auto" w:sz="6" w:space="0"/>
              <w:right w:val="single" w:color="auto" w:sz="6" w:space="0"/>
            </w:tcBorders>
            <w:vAlign w:val="center"/>
          </w:tcPr>
          <w:p w14:paraId="3C5FF554">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0.1</w:t>
            </w:r>
          </w:p>
        </w:tc>
        <w:tc>
          <w:tcPr>
            <w:tcW w:w="588" w:type="pct"/>
            <w:tcBorders>
              <w:top w:val="single" w:color="auto" w:sz="6" w:space="0"/>
              <w:left w:val="single" w:color="auto" w:sz="6" w:space="0"/>
              <w:bottom w:val="single" w:color="auto" w:sz="6" w:space="0"/>
              <w:right w:val="single" w:color="auto" w:sz="6" w:space="0"/>
            </w:tcBorders>
            <w:vAlign w:val="center"/>
          </w:tcPr>
          <w:p w14:paraId="48535CC0">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＜0.1</w:t>
            </w:r>
          </w:p>
        </w:tc>
        <w:tc>
          <w:tcPr>
            <w:tcW w:w="909" w:type="pct"/>
            <w:tcBorders>
              <w:top w:val="single" w:color="auto" w:sz="6" w:space="0"/>
              <w:left w:val="single" w:color="auto" w:sz="6" w:space="0"/>
              <w:bottom w:val="single" w:color="auto" w:sz="6" w:space="0"/>
              <w:right w:val="single" w:color="auto" w:sz="6" w:space="0"/>
            </w:tcBorders>
            <w:vAlign w:val="center"/>
          </w:tcPr>
          <w:p w14:paraId="411A054C">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20</w:t>
            </w:r>
          </w:p>
        </w:tc>
        <w:tc>
          <w:tcPr>
            <w:tcW w:w="789" w:type="pct"/>
            <w:tcBorders>
              <w:top w:val="single" w:color="auto" w:sz="6" w:space="0"/>
              <w:left w:val="single" w:color="auto" w:sz="6" w:space="0"/>
              <w:bottom w:val="single" w:color="auto" w:sz="6" w:space="0"/>
              <w:right w:val="nil"/>
            </w:tcBorders>
            <w:vAlign w:val="center"/>
          </w:tcPr>
          <w:p w14:paraId="1E49FC65">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763DCC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01281C85">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砷</w:t>
            </w:r>
          </w:p>
        </w:tc>
        <w:tc>
          <w:tcPr>
            <w:tcW w:w="897" w:type="pct"/>
            <w:tcBorders>
              <w:top w:val="single" w:color="auto" w:sz="6" w:space="0"/>
              <w:left w:val="single" w:color="auto" w:sz="6" w:space="0"/>
              <w:bottom w:val="single" w:color="auto" w:sz="6" w:space="0"/>
              <w:right w:val="single" w:color="auto" w:sz="6" w:space="0"/>
            </w:tcBorders>
            <w:vAlign w:val="center"/>
          </w:tcPr>
          <w:p w14:paraId="7ADADAFA">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mg/kg</w:t>
            </w:r>
          </w:p>
        </w:tc>
        <w:tc>
          <w:tcPr>
            <w:tcW w:w="783" w:type="pct"/>
            <w:tcBorders>
              <w:top w:val="single" w:color="auto" w:sz="6" w:space="0"/>
              <w:left w:val="single" w:color="auto" w:sz="6" w:space="0"/>
              <w:bottom w:val="single" w:color="auto" w:sz="6" w:space="0"/>
              <w:right w:val="single" w:color="auto" w:sz="6" w:space="0"/>
            </w:tcBorders>
            <w:vAlign w:val="center"/>
          </w:tcPr>
          <w:p w14:paraId="390F9FA9">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0.00687</w:t>
            </w:r>
          </w:p>
        </w:tc>
        <w:tc>
          <w:tcPr>
            <w:tcW w:w="588" w:type="pct"/>
            <w:tcBorders>
              <w:top w:val="single" w:color="auto" w:sz="6" w:space="0"/>
              <w:left w:val="single" w:color="auto" w:sz="6" w:space="0"/>
              <w:bottom w:val="single" w:color="auto" w:sz="6" w:space="0"/>
              <w:right w:val="single" w:color="auto" w:sz="6" w:space="0"/>
            </w:tcBorders>
            <w:vAlign w:val="center"/>
          </w:tcPr>
          <w:p w14:paraId="276CD88F">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0.00783</w:t>
            </w:r>
          </w:p>
        </w:tc>
        <w:tc>
          <w:tcPr>
            <w:tcW w:w="909" w:type="pct"/>
            <w:tcBorders>
              <w:top w:val="single" w:color="auto" w:sz="6" w:space="0"/>
              <w:left w:val="single" w:color="auto" w:sz="6" w:space="0"/>
              <w:bottom w:val="single" w:color="auto" w:sz="6" w:space="0"/>
              <w:right w:val="single" w:color="auto" w:sz="6" w:space="0"/>
            </w:tcBorders>
            <w:vAlign w:val="center"/>
          </w:tcPr>
          <w:p w14:paraId="15BCA857">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80</w:t>
            </w:r>
          </w:p>
        </w:tc>
        <w:tc>
          <w:tcPr>
            <w:tcW w:w="789" w:type="pct"/>
            <w:tcBorders>
              <w:top w:val="single" w:color="auto" w:sz="6" w:space="0"/>
              <w:left w:val="single" w:color="auto" w:sz="6" w:space="0"/>
              <w:bottom w:val="single" w:color="auto" w:sz="6" w:space="0"/>
              <w:right w:val="nil"/>
            </w:tcBorders>
            <w:vAlign w:val="center"/>
          </w:tcPr>
          <w:p w14:paraId="0192C28A">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6A836C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3BE2BB15">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苯并[a]芘</w:t>
            </w:r>
          </w:p>
        </w:tc>
        <w:tc>
          <w:tcPr>
            <w:tcW w:w="897" w:type="pct"/>
            <w:tcBorders>
              <w:top w:val="single" w:color="auto" w:sz="6" w:space="0"/>
              <w:left w:val="single" w:color="auto" w:sz="6" w:space="0"/>
              <w:bottom w:val="single" w:color="auto" w:sz="6" w:space="0"/>
              <w:right w:val="single" w:color="auto" w:sz="6" w:space="0"/>
            </w:tcBorders>
            <w:vAlign w:val="center"/>
          </w:tcPr>
          <w:p w14:paraId="042FE1BC">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mg/kg</w:t>
            </w:r>
          </w:p>
        </w:tc>
        <w:tc>
          <w:tcPr>
            <w:tcW w:w="783" w:type="pct"/>
            <w:tcBorders>
              <w:top w:val="single" w:color="auto" w:sz="6" w:space="0"/>
              <w:left w:val="single" w:color="auto" w:sz="6" w:space="0"/>
              <w:bottom w:val="single" w:color="auto" w:sz="6" w:space="0"/>
              <w:right w:val="single" w:color="auto" w:sz="6" w:space="0"/>
            </w:tcBorders>
            <w:vAlign w:val="center"/>
          </w:tcPr>
          <w:p w14:paraId="3BF39940">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0.318</w:t>
            </w:r>
          </w:p>
        </w:tc>
        <w:tc>
          <w:tcPr>
            <w:tcW w:w="588" w:type="pct"/>
            <w:tcBorders>
              <w:top w:val="single" w:color="auto" w:sz="6" w:space="0"/>
              <w:left w:val="single" w:color="auto" w:sz="6" w:space="0"/>
              <w:bottom w:val="single" w:color="auto" w:sz="6" w:space="0"/>
              <w:right w:val="single" w:color="auto" w:sz="6" w:space="0"/>
            </w:tcBorders>
            <w:vAlign w:val="center"/>
          </w:tcPr>
          <w:p w14:paraId="0B4B0FAF">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0.293</w:t>
            </w:r>
          </w:p>
        </w:tc>
        <w:tc>
          <w:tcPr>
            <w:tcW w:w="909" w:type="pct"/>
            <w:tcBorders>
              <w:top w:val="single" w:color="auto" w:sz="6" w:space="0"/>
              <w:left w:val="single" w:color="auto" w:sz="6" w:space="0"/>
              <w:bottom w:val="single" w:color="auto" w:sz="6" w:space="0"/>
              <w:right w:val="single" w:color="auto" w:sz="6" w:space="0"/>
            </w:tcBorders>
            <w:vAlign w:val="center"/>
          </w:tcPr>
          <w:p w14:paraId="59A56179">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0.7</w:t>
            </w:r>
          </w:p>
        </w:tc>
        <w:tc>
          <w:tcPr>
            <w:tcW w:w="789" w:type="pct"/>
            <w:tcBorders>
              <w:top w:val="single" w:color="auto" w:sz="6" w:space="0"/>
              <w:left w:val="single" w:color="auto" w:sz="6" w:space="0"/>
              <w:bottom w:val="single" w:color="auto" w:sz="6" w:space="0"/>
              <w:right w:val="nil"/>
            </w:tcBorders>
            <w:vAlign w:val="center"/>
          </w:tcPr>
          <w:p w14:paraId="389941F0">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5D8520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4ED337B5">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含油率</w:t>
            </w:r>
          </w:p>
        </w:tc>
        <w:tc>
          <w:tcPr>
            <w:tcW w:w="897" w:type="pct"/>
            <w:tcBorders>
              <w:top w:val="single" w:color="auto" w:sz="6" w:space="0"/>
              <w:left w:val="single" w:color="auto" w:sz="6" w:space="0"/>
              <w:bottom w:val="single" w:color="auto" w:sz="6" w:space="0"/>
              <w:right w:val="single" w:color="auto" w:sz="6" w:space="0"/>
            </w:tcBorders>
            <w:vAlign w:val="center"/>
          </w:tcPr>
          <w:p w14:paraId="180CF053">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w:t>
            </w:r>
          </w:p>
        </w:tc>
        <w:tc>
          <w:tcPr>
            <w:tcW w:w="783" w:type="pct"/>
            <w:tcBorders>
              <w:top w:val="single" w:color="auto" w:sz="6" w:space="0"/>
              <w:left w:val="single" w:color="auto" w:sz="6" w:space="0"/>
              <w:bottom w:val="single" w:color="auto" w:sz="6" w:space="0"/>
              <w:right w:val="single" w:color="auto" w:sz="6" w:space="0"/>
            </w:tcBorders>
            <w:vAlign w:val="center"/>
          </w:tcPr>
          <w:p w14:paraId="436C6443">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0.003</w:t>
            </w:r>
          </w:p>
        </w:tc>
        <w:tc>
          <w:tcPr>
            <w:tcW w:w="588" w:type="pct"/>
            <w:tcBorders>
              <w:top w:val="single" w:color="auto" w:sz="6" w:space="0"/>
              <w:left w:val="single" w:color="auto" w:sz="6" w:space="0"/>
              <w:bottom w:val="single" w:color="auto" w:sz="6" w:space="0"/>
              <w:right w:val="single" w:color="auto" w:sz="6" w:space="0"/>
            </w:tcBorders>
            <w:vAlign w:val="center"/>
          </w:tcPr>
          <w:p w14:paraId="304F3C73">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0.003</w:t>
            </w:r>
          </w:p>
        </w:tc>
        <w:tc>
          <w:tcPr>
            <w:tcW w:w="909" w:type="pct"/>
            <w:tcBorders>
              <w:top w:val="single" w:color="auto" w:sz="6" w:space="0"/>
              <w:left w:val="single" w:color="auto" w:sz="6" w:space="0"/>
              <w:bottom w:val="single" w:color="auto" w:sz="6" w:space="0"/>
              <w:right w:val="single" w:color="auto" w:sz="6" w:space="0"/>
            </w:tcBorders>
            <w:vAlign w:val="center"/>
          </w:tcPr>
          <w:p w14:paraId="6ACEE702">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2</w:t>
            </w:r>
          </w:p>
        </w:tc>
        <w:tc>
          <w:tcPr>
            <w:tcW w:w="789" w:type="pct"/>
            <w:tcBorders>
              <w:top w:val="single" w:color="auto" w:sz="6" w:space="0"/>
              <w:left w:val="single" w:color="auto" w:sz="6" w:space="0"/>
              <w:bottom w:val="single" w:color="auto" w:sz="6" w:space="0"/>
              <w:right w:val="nil"/>
            </w:tcBorders>
            <w:vAlign w:val="center"/>
          </w:tcPr>
          <w:p w14:paraId="1E8132C3">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6D58EA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6" w:space="0"/>
              <w:right w:val="single" w:color="auto" w:sz="6" w:space="0"/>
            </w:tcBorders>
            <w:vAlign w:val="center"/>
          </w:tcPr>
          <w:p w14:paraId="57316207">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含水率</w:t>
            </w:r>
          </w:p>
        </w:tc>
        <w:tc>
          <w:tcPr>
            <w:tcW w:w="897" w:type="pct"/>
            <w:tcBorders>
              <w:top w:val="single" w:color="auto" w:sz="6" w:space="0"/>
              <w:left w:val="single" w:color="auto" w:sz="6" w:space="0"/>
              <w:bottom w:val="single" w:color="auto" w:sz="6" w:space="0"/>
              <w:right w:val="single" w:color="auto" w:sz="6" w:space="0"/>
            </w:tcBorders>
            <w:vAlign w:val="center"/>
          </w:tcPr>
          <w:p w14:paraId="1C8A790B">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w:t>
            </w:r>
          </w:p>
        </w:tc>
        <w:tc>
          <w:tcPr>
            <w:tcW w:w="783" w:type="pct"/>
            <w:tcBorders>
              <w:top w:val="single" w:color="auto" w:sz="6" w:space="0"/>
              <w:left w:val="single" w:color="auto" w:sz="6" w:space="0"/>
              <w:bottom w:val="single" w:color="auto" w:sz="6" w:space="0"/>
              <w:right w:val="single" w:color="auto" w:sz="6" w:space="0"/>
            </w:tcBorders>
            <w:vAlign w:val="center"/>
          </w:tcPr>
          <w:p w14:paraId="07524DF3">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2</w:t>
            </w:r>
          </w:p>
        </w:tc>
        <w:tc>
          <w:tcPr>
            <w:tcW w:w="588" w:type="pct"/>
            <w:tcBorders>
              <w:top w:val="single" w:color="auto" w:sz="6" w:space="0"/>
              <w:left w:val="single" w:color="auto" w:sz="6" w:space="0"/>
              <w:bottom w:val="single" w:color="auto" w:sz="6" w:space="0"/>
              <w:right w:val="single" w:color="auto" w:sz="6" w:space="0"/>
            </w:tcBorders>
            <w:vAlign w:val="center"/>
          </w:tcPr>
          <w:p w14:paraId="7B852A88">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3</w:t>
            </w:r>
          </w:p>
        </w:tc>
        <w:tc>
          <w:tcPr>
            <w:tcW w:w="909" w:type="pct"/>
            <w:tcBorders>
              <w:top w:val="single" w:color="auto" w:sz="6" w:space="0"/>
              <w:left w:val="single" w:color="auto" w:sz="6" w:space="0"/>
              <w:bottom w:val="single" w:color="auto" w:sz="6" w:space="0"/>
              <w:right w:val="single" w:color="auto" w:sz="6" w:space="0"/>
            </w:tcBorders>
            <w:vAlign w:val="center"/>
          </w:tcPr>
          <w:p w14:paraId="3EBD99A5">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60</w:t>
            </w:r>
          </w:p>
        </w:tc>
        <w:tc>
          <w:tcPr>
            <w:tcW w:w="789" w:type="pct"/>
            <w:tcBorders>
              <w:top w:val="single" w:color="auto" w:sz="6" w:space="0"/>
              <w:left w:val="single" w:color="auto" w:sz="6" w:space="0"/>
              <w:bottom w:val="single" w:color="auto" w:sz="6" w:space="0"/>
              <w:right w:val="nil"/>
            </w:tcBorders>
            <w:vAlign w:val="center"/>
          </w:tcPr>
          <w:p w14:paraId="0ABC1AB3">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r w14:paraId="28C515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2" w:type="pct"/>
            <w:tcBorders>
              <w:top w:val="single" w:color="auto" w:sz="6" w:space="0"/>
              <w:left w:val="nil"/>
              <w:bottom w:val="single" w:color="auto" w:sz="12" w:space="0"/>
              <w:right w:val="single" w:color="auto" w:sz="6" w:space="0"/>
            </w:tcBorders>
            <w:vAlign w:val="center"/>
          </w:tcPr>
          <w:p w14:paraId="072E7677">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化学需氧量</w:t>
            </w:r>
          </w:p>
        </w:tc>
        <w:tc>
          <w:tcPr>
            <w:tcW w:w="897" w:type="pct"/>
            <w:tcBorders>
              <w:top w:val="single" w:color="auto" w:sz="6" w:space="0"/>
              <w:left w:val="single" w:color="auto" w:sz="6" w:space="0"/>
              <w:bottom w:val="single" w:color="auto" w:sz="12" w:space="0"/>
              <w:right w:val="single" w:color="auto" w:sz="6" w:space="0"/>
            </w:tcBorders>
            <w:vAlign w:val="center"/>
          </w:tcPr>
          <w:p w14:paraId="1C836177">
            <w:pPr>
              <w:autoSpaceDE w:val="0"/>
              <w:autoSpaceDN w:val="0"/>
              <w:jc w:val="center"/>
              <w:textAlignment w:val="center"/>
              <w:rPr>
                <w:rFonts w:ascii="宋体" w:cs="宋体"/>
                <w:color w:val="000000" w:themeColor="text1"/>
                <w:kern w:val="0"/>
                <w:sz w:val="22"/>
                <w:szCs w:val="28"/>
                <w14:textFill>
                  <w14:solidFill>
                    <w14:schemeClr w14:val="tx1"/>
                  </w14:solidFill>
                </w14:textFill>
              </w:rPr>
            </w:pPr>
            <w:r>
              <w:rPr>
                <w:rFonts w:hint="eastAsia" w:ascii="宋体" w:cs="宋体"/>
                <w:color w:val="000000" w:themeColor="text1"/>
                <w:kern w:val="0"/>
                <w:sz w:val="22"/>
                <w:szCs w:val="28"/>
                <w14:textFill>
                  <w14:solidFill>
                    <w14:schemeClr w14:val="tx1"/>
                  </w14:solidFill>
                </w14:textFill>
              </w:rPr>
              <w:t>mg/L</w:t>
            </w:r>
          </w:p>
        </w:tc>
        <w:tc>
          <w:tcPr>
            <w:tcW w:w="783" w:type="pct"/>
            <w:tcBorders>
              <w:top w:val="single" w:color="auto" w:sz="6" w:space="0"/>
              <w:left w:val="single" w:color="auto" w:sz="6" w:space="0"/>
              <w:bottom w:val="single" w:color="auto" w:sz="12" w:space="0"/>
              <w:right w:val="single" w:color="auto" w:sz="6" w:space="0"/>
            </w:tcBorders>
            <w:vAlign w:val="center"/>
          </w:tcPr>
          <w:p w14:paraId="773EC87A">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131</w:t>
            </w:r>
          </w:p>
        </w:tc>
        <w:tc>
          <w:tcPr>
            <w:tcW w:w="588" w:type="pct"/>
            <w:tcBorders>
              <w:top w:val="single" w:color="auto" w:sz="6" w:space="0"/>
              <w:left w:val="single" w:color="auto" w:sz="6" w:space="0"/>
              <w:bottom w:val="single" w:color="auto" w:sz="12" w:space="0"/>
              <w:right w:val="single" w:color="auto" w:sz="6" w:space="0"/>
            </w:tcBorders>
            <w:vAlign w:val="center"/>
          </w:tcPr>
          <w:p w14:paraId="3E9DDDA4">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132</w:t>
            </w:r>
          </w:p>
        </w:tc>
        <w:tc>
          <w:tcPr>
            <w:tcW w:w="909" w:type="pct"/>
            <w:tcBorders>
              <w:top w:val="single" w:color="auto" w:sz="6" w:space="0"/>
              <w:left w:val="single" w:color="auto" w:sz="6" w:space="0"/>
              <w:bottom w:val="single" w:color="auto" w:sz="12" w:space="0"/>
              <w:right w:val="single" w:color="auto" w:sz="6" w:space="0"/>
            </w:tcBorders>
            <w:vAlign w:val="center"/>
          </w:tcPr>
          <w:p w14:paraId="494CB704">
            <w:pPr>
              <w:autoSpaceDE w:val="0"/>
              <w:autoSpaceDN w:val="0"/>
              <w:jc w:val="center"/>
              <w:textAlignment w:val="center"/>
              <w:rPr>
                <w:rFonts w:hint="eastAsia" w:ascii="宋体" w:hAnsi="宋体" w:cs="宋体"/>
                <w:color w:val="000000" w:themeColor="text1"/>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150</w:t>
            </w:r>
          </w:p>
        </w:tc>
        <w:tc>
          <w:tcPr>
            <w:tcW w:w="789" w:type="pct"/>
            <w:tcBorders>
              <w:top w:val="single" w:color="auto" w:sz="6" w:space="0"/>
              <w:left w:val="single" w:color="auto" w:sz="6" w:space="0"/>
              <w:bottom w:val="single" w:color="auto" w:sz="12" w:space="0"/>
              <w:right w:val="nil"/>
            </w:tcBorders>
            <w:vAlign w:val="center"/>
          </w:tcPr>
          <w:p w14:paraId="1F15F783">
            <w:pPr>
              <w:adjustRightInd w:val="0"/>
              <w:snapToGrid w:val="0"/>
              <w:jc w:val="center"/>
              <w:rPr>
                <w:rFonts w:hint="eastAsia" w:ascii="宋体" w:hAnsi="宋体" w:cs="宋体"/>
                <w:color w:val="000000" w:themeColor="text1"/>
                <w:kern w:val="0"/>
                <w:sz w:val="22"/>
                <w14:textFill>
                  <w14:solidFill>
                    <w14:schemeClr w14:val="tx1"/>
                  </w14:solidFill>
                </w14:textFill>
              </w:rPr>
            </w:pPr>
            <w:r>
              <w:rPr>
                <w:rFonts w:hint="eastAsia" w:ascii="宋体" w:hAnsi="宋体" w:cs="宋体"/>
                <w:color w:val="000000" w:themeColor="text1"/>
                <w:kern w:val="0"/>
                <w:sz w:val="22"/>
                <w14:textFill>
                  <w14:solidFill>
                    <w14:schemeClr w14:val="tx1"/>
                  </w14:solidFill>
                </w14:textFill>
              </w:rPr>
              <w:t>达标</w:t>
            </w:r>
          </w:p>
        </w:tc>
      </w:tr>
    </w:tbl>
    <w:p w14:paraId="2BC3E55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由表6.1-2可知，水基钻井岩屑中的各项检测项目均满足《油气田钻井固体废弃物综合利用污染物控制要求》（DB65/T3997-2017）限值要求。</w:t>
      </w:r>
    </w:p>
    <w:bookmarkEnd w:id="562"/>
    <w:p w14:paraId="1541040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（2）废润滑油、废润滑油桶和沾油废防渗材料</w:t>
      </w:r>
    </w:p>
    <w:p w14:paraId="7A43815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施工期产生的废润滑油、废润滑油桶和沾油废防渗材料属于《国家危险废物名录（2025年版）》</w:t>
      </w:r>
      <w:r>
        <w:rPr>
          <w:color w:val="000000" w:themeColor="text1"/>
          <w14:textFill>
            <w14:solidFill>
              <w14:schemeClr w14:val="tx1"/>
            </w14:solidFill>
          </w14:textFill>
        </w:rPr>
        <w:t>HW08废矿物油与含矿物油类危险废物</w:t>
      </w:r>
      <w:r>
        <w:rPr>
          <w:rFonts w:hint="eastAsia"/>
          <w:color w:val="000000" w:themeColor="text1"/>
          <w14:textFill>
            <w14:solidFill>
              <w14:schemeClr w14:val="tx1"/>
            </w14:solidFill>
          </w14:textFill>
        </w:rPr>
        <w:t>，集中收集后交由有相应危险废物处置资质的单位进行回收处置。</w:t>
      </w:r>
    </w:p>
    <w:p w14:paraId="0AC4C9E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（3）废危化品包装材料</w:t>
      </w:r>
    </w:p>
    <w:p w14:paraId="3A8390A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施工期产生的废危化品包装材料，属于《国家危险废物名录》（2025年版）危险废物（HW49其他废物 900-041-49 含有或沾染毒性、感染性危险废物的废弃包装物、容器、过滤吸附介质），最终委托危险废物处置资质的单位处置。</w:t>
      </w:r>
    </w:p>
    <w:p w14:paraId="47B0C5F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）建筑垃圾</w:t>
      </w:r>
    </w:p>
    <w:p w14:paraId="63A7D3B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建筑垃圾集中收集后交由环卫部门统一处置。施工单位应严格按照《中华人民共和国固体废物污染环境防治法》的要求对建筑垃圾进行妥善处置，具体措施如下：</w:t>
      </w:r>
    </w:p>
    <w:p w14:paraId="38723A1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①编制建筑垃圾处理方案，采取污染防治措施，并报相关人民政府环境卫生主管部门备案。</w:t>
      </w:r>
    </w:p>
    <w:p w14:paraId="112C8FE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及时清运工程施工过程中产生的建筑垃圾等固体废物，并按照当地环境卫生主管部门的规定进行利用或者处置。施工建筑垃圾中的一部分如建筑废模块、建筑材料下脚料、废管材、断残钢筋头等可以回收利用的优先回收利用；另一部分无法回收利用的</w:t>
      </w:r>
      <w:r>
        <w:rPr>
          <w:rFonts w:hint="eastAsia"/>
          <w:color w:val="000000" w:themeColor="text1"/>
          <w:lang w:eastAsia="zh-CN"/>
          <w14:textFill>
            <w14:solidFill>
              <w14:schemeClr w14:val="tx1"/>
            </w14:solidFill>
          </w14:textFill>
        </w:rPr>
        <w:t>，由</w:t>
      </w:r>
      <w:r>
        <w:rPr>
          <w:rFonts w:hint="eastAsia"/>
          <w:color w:val="000000" w:themeColor="text1"/>
          <w14:textFill>
            <w14:solidFill>
              <w14:schemeClr w14:val="tx1"/>
            </w14:solidFill>
          </w14:textFill>
        </w:rPr>
        <w:t>施工单位集中收集后交由环卫部门统一处置。</w:t>
      </w:r>
    </w:p>
    <w:p w14:paraId="7599662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w:t>
      </w:r>
      <w:bookmarkStart w:id="564" w:name="_Hlk148007974"/>
      <w:r>
        <w:rPr>
          <w:rFonts w:hint="eastAsia"/>
          <w:color w:val="000000" w:themeColor="text1"/>
          <w14:textFill>
            <w14:solidFill>
              <w14:schemeClr w14:val="tx1"/>
            </w14:solidFill>
          </w14:textFill>
        </w:rPr>
        <w:t>不得擅自倾倒、抛撒或者堆放工程施工过程中产生的建筑垃圾，</w:t>
      </w:r>
      <w:bookmarkEnd w:id="564"/>
      <w:r>
        <w:rPr>
          <w:rFonts w:hint="eastAsia"/>
          <w:color w:val="000000" w:themeColor="text1"/>
          <w14:textFill>
            <w14:solidFill>
              <w14:schemeClr w14:val="tx1"/>
            </w14:solidFill>
          </w14:textFill>
        </w:rPr>
        <w:t>做到及时处置，避免占用土地对城市景观造成不良影响。</w:t>
      </w:r>
    </w:p>
    <w:p w14:paraId="18F20E0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）各种物料尤其是逸散性物料运输过程中，</w:t>
      </w:r>
      <w:bookmarkStart w:id="565" w:name="_Hlk148007984"/>
      <w:r>
        <w:rPr>
          <w:rFonts w:hint="eastAsia"/>
          <w:color w:val="000000" w:themeColor="text1"/>
          <w14:textFill>
            <w14:solidFill>
              <w14:schemeClr w14:val="tx1"/>
            </w14:solidFill>
          </w14:textFill>
        </w:rPr>
        <w:t>运输车辆均加盖篷布，以防止行驶过程中固体废物的散落。</w:t>
      </w:r>
      <w:bookmarkEnd w:id="565"/>
    </w:p>
    <w:p w14:paraId="19115DF1">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）施工结束后，站场废物全部进行清理，对可回收物优先回收处理，做到“工完、料尽、场地清”。</w:t>
      </w:r>
    </w:p>
    <w:p w14:paraId="4A4DA4E4">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）新建管线施工产生的土方在管线施工结束后回填在管堤上，并实施压实平整水土保持措施，不产生集中弃土。</w:t>
      </w:r>
    </w:p>
    <w:p w14:paraId="1A9AD36A">
      <w:pPr>
        <w:pStyle w:val="120"/>
        <w:ind w:firstLine="48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）危险废物贮存点</w:t>
      </w:r>
      <w:r>
        <w:rPr>
          <w:rFonts w:hint="eastAsia"/>
          <w:color w:val="000000" w:themeColor="text1"/>
          <w:lang w:val="en-US" w:eastAsia="zh-CN"/>
          <w14:textFill>
            <w14:solidFill>
              <w14:schemeClr w14:val="tx1"/>
            </w14:solidFill>
          </w14:textFill>
        </w:rPr>
        <w:t>管理要求</w:t>
      </w:r>
    </w:p>
    <w:p w14:paraId="40AD460D">
      <w:pPr>
        <w:pStyle w:val="120"/>
        <w:ind w:firstLine="48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施工期</w:t>
      </w:r>
      <w:r>
        <w:rPr>
          <w:rFonts w:hint="eastAsia"/>
          <w:color w:val="000000" w:themeColor="text1"/>
          <w14:textFill>
            <w14:solidFill>
              <w14:schemeClr w14:val="tx1"/>
            </w14:solidFill>
          </w14:textFill>
        </w:rPr>
        <w:t>在</w:t>
      </w:r>
      <w:r>
        <w:rPr>
          <w:rFonts w:hint="eastAsia"/>
          <w:color w:val="000000" w:themeColor="text1"/>
          <w:lang w:val="en-US" w:eastAsia="zh-CN"/>
          <w14:textFill>
            <w14:solidFill>
              <w14:schemeClr w14:val="tx1"/>
            </w14:solidFill>
          </w14:textFill>
        </w:rPr>
        <w:t>每座</w:t>
      </w:r>
      <w:r>
        <w:rPr>
          <w:rFonts w:hint="eastAsia"/>
          <w:color w:val="000000" w:themeColor="text1"/>
          <w14:textFill>
            <w14:solidFill>
              <w14:schemeClr w14:val="tx1"/>
            </w14:solidFill>
          </w14:textFill>
        </w:rPr>
        <w:t>钻井井场内设置1座临时危险废物</w:t>
      </w:r>
      <w:r>
        <w:rPr>
          <w:color w:val="000000" w:themeColor="text1"/>
          <w14:textFill>
            <w14:solidFill>
              <w14:schemeClr w14:val="tx1"/>
            </w14:solidFill>
          </w14:textFill>
        </w:rPr>
        <w:t>贮存点，</w:t>
      </w:r>
      <w:r>
        <w:rPr>
          <w:rFonts w:hint="eastAsia"/>
          <w:color w:val="000000" w:themeColor="text1"/>
          <w14:textFill>
            <w14:solidFill>
              <w14:schemeClr w14:val="tx1"/>
            </w14:solidFill>
          </w14:textFill>
        </w:rPr>
        <w:t>约15m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，分区暂存各类危险废物；选址区域</w:t>
      </w:r>
      <w:r>
        <w:rPr>
          <w:color w:val="000000" w:themeColor="text1"/>
          <w14:textFill>
            <w14:solidFill>
              <w14:schemeClr w14:val="tx1"/>
            </w14:solidFill>
          </w14:textFill>
        </w:rPr>
        <w:t>不属于滑坡、泥石流等不良地段。周围无地下矿产采掘坑道、矿井通道，</w:t>
      </w:r>
      <w:r>
        <w:rPr>
          <w:rFonts w:hint="eastAsia"/>
          <w:color w:val="000000" w:themeColor="text1"/>
          <w14:textFill>
            <w14:solidFill>
              <w14:schemeClr w14:val="tx1"/>
            </w14:solidFill>
          </w14:textFill>
        </w:rPr>
        <w:t>其选址符合《危险废物贮存污染控制标准》（GB18597-2023）的选址要求，建设过程中应严格按照《危险废物贮存污染控制标准》（GB18597-2023）中的相关要求建设，具体要求如下：</w:t>
      </w:r>
    </w:p>
    <w:p w14:paraId="52653192">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①贮存设施应根据危险废物的形态、物理化学性质、包装形式和污染物迁移途径，采取必要的防风、防晒、防雨、防漏、防渗、防腐以及其他环境污染防治措施，不应露天堆放危险废物。</w:t>
      </w:r>
    </w:p>
    <w:p w14:paraId="0F2B8782">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②贮存设施应根据危险废物的类别、数量、形态、物理化学性质和污染防治等要求设置必要的贮存分区，避免不相容的危险废物接触、混合。</w:t>
      </w:r>
    </w:p>
    <w:p w14:paraId="13FA350F">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③贮存设施地面与裙脚应采取表面防渗措施；表面防渗材料应与所接触的物料或污染物相容，可采用抗渗混凝土、高密度聚乙烯膜、钠基膨润土防水毯或其他防渗性能等效的材料。</w:t>
      </w:r>
    </w:p>
    <w:p w14:paraId="00D24816">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④同一贮存设施采用相同的防渗、防腐工艺（包括防渗、防腐结构或材料），防渗、防腐材料应覆盖所有可能与废物及其渗滤液、渗漏液等接触的构筑物表面；贮存设施应采取技术和管理措施防止无关人员进入。</w:t>
      </w:r>
    </w:p>
    <w:p w14:paraId="1E2419FC">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⑤容器和包装物污染控制要求</w:t>
      </w:r>
    </w:p>
    <w:p w14:paraId="6A058F8B">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采用桶装，容器材质、内衬应与盛装的危险废物相容；容器满足相应的防渗、防漏、防腐和强度等要求；容器内部应留有适当的空间，以适应因温度变化等可能引发的收缩和膨胀，防止其导致容器渗漏或永久变形；容器外表面应保持清洁。</w:t>
      </w:r>
    </w:p>
    <w:p w14:paraId="7260B946">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⑥贮存过程污染控制要求</w:t>
      </w:r>
    </w:p>
    <w:p w14:paraId="03B098A3">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废润滑油、废润滑油桶、废弃含油抹布及劳保用品和沾油废防渗材料分类堆放贮存，废润滑油装入桶内贮存，桶顶部带盖。</w:t>
      </w:r>
    </w:p>
    <w:p w14:paraId="28DC4F67">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⑦环境管理要求</w:t>
      </w:r>
    </w:p>
    <w:p w14:paraId="588312FB">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废物存入贮存设施前应对危险废物类别和特性与危险废物标签等危险废物识别标志的一致性进行核验，不一致的或类别、特性不明的不应存入；应定期检查危险废物的贮存状况，及时清理贮存设施地面，更换破损泄漏的危险废物贮存容器，保证堆存危险废物的防雨、防风、防扬尘等设施功能完好；贮存设施所有者或运营者应建立贮存设施环境管理制度、管理人员岗位职责制度、设施运行操作制度、人员岗位培训制度等。</w:t>
      </w:r>
    </w:p>
    <w:p w14:paraId="40DE707E">
      <w:pPr>
        <w:pStyle w:val="120"/>
        <w:ind w:firstLine="4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⑧钻井工程结束后，井场临时危险废物贮存点拆除，拆除过程中产生的各种固体废物按照其属性，分类妥善处置。</w:t>
      </w:r>
    </w:p>
    <w:p w14:paraId="1FBB9D7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）危险废物环境管理要求</w:t>
      </w:r>
    </w:p>
    <w:p w14:paraId="7B94A18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废润滑油、废润滑油桶、沾油的废防渗材料和废危化品包装材料按照</w:t>
      </w:r>
      <w:bookmarkStart w:id="566" w:name="_Hlk176354272"/>
      <w:r>
        <w:rPr>
          <w:rFonts w:hint="eastAsia"/>
          <w:color w:val="000000" w:themeColor="text1"/>
          <w14:textFill>
            <w14:solidFill>
              <w14:schemeClr w14:val="tx1"/>
            </w14:solidFill>
          </w14:textFill>
        </w:rPr>
        <w:t>《危险废物环境管理指南  陆上石油天然气开采》中的危险废物环境管理要求</w:t>
      </w:r>
      <w:bookmarkEnd w:id="566"/>
      <w:r>
        <w:rPr>
          <w:rFonts w:hint="eastAsia"/>
          <w:color w:val="000000" w:themeColor="text1"/>
          <w14:textFill>
            <w14:solidFill>
              <w14:schemeClr w14:val="tx1"/>
            </w14:solidFill>
          </w14:textFill>
        </w:rPr>
        <w:t>进行管理，具体如下：</w:t>
      </w:r>
    </w:p>
    <w:p w14:paraId="1005232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①落实污染环境防治责任制度，建立健全工业危险废物产生、收集、贮存、运输、利用、处置全过程的污染环境防治责任制度。</w:t>
      </w:r>
    </w:p>
    <w:p w14:paraId="3021DBF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②落实危险废物识别标志制度，按照《环境保护图形标志 固体废物贮存（处置）场》（GB15562.2）和《危险废物识别标志设置技术规范》（HJ1276-2022）等有关规定，对危险废物的容器和收集、贮存、危险废物的场所设置危险废物识别标志。</w:t>
      </w:r>
    </w:p>
    <w:p w14:paraId="1E0176C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③落实危险废物管理计划制度，按照《</w:t>
      </w:r>
      <w:r>
        <w:rPr>
          <w:color w:val="000000" w:themeColor="text1"/>
          <w:u w:val="none"/>
          <w14:textFill>
            <w14:solidFill>
              <w14:schemeClr w14:val="tx1"/>
            </w14:solidFill>
          </w14:textFill>
        </w:rPr>
        <w:fldChar w:fldCharType="begin"/>
      </w:r>
      <w:r>
        <w:rPr>
          <w:color w:val="000000" w:themeColor="text1"/>
          <w:u w:val="none"/>
          <w14:textFill>
            <w14:solidFill>
              <w14:schemeClr w14:val="tx1"/>
            </w14:solidFill>
          </w14:textFill>
        </w:rPr>
        <w:instrText xml:space="preserve"> HYPERLINK "https://www.mee.gov.cn/gkml/hbb/bgg/201601/W020160128385366835993.pdf" </w:instrText>
      </w:r>
      <w:r>
        <w:rPr>
          <w:color w:val="000000" w:themeColor="text1"/>
          <w:u w:val="none"/>
          <w14:textFill>
            <w14:solidFill>
              <w14:schemeClr w14:val="tx1"/>
            </w14:solidFill>
          </w14:textFill>
        </w:rPr>
        <w:fldChar w:fldCharType="separate"/>
      </w:r>
      <w:r>
        <w:rPr>
          <w:rStyle w:val="59"/>
          <w:rFonts w:hint="eastAsia"/>
          <w:color w:val="000000" w:themeColor="text1"/>
          <w:u w:val="none"/>
          <w14:textFill>
            <w14:solidFill>
              <w14:schemeClr w14:val="tx1"/>
            </w14:solidFill>
          </w14:textFill>
        </w:rPr>
        <w:t>危险废物管理计划和</w:t>
      </w:r>
      <w:r>
        <w:rPr>
          <w:rStyle w:val="59"/>
          <w:rFonts w:hint="eastAsia"/>
          <w:color w:val="000000" w:themeColor="text1"/>
          <w:u w:val="none"/>
          <w14:textFill>
            <w14:solidFill>
              <w14:schemeClr w14:val="tx1"/>
            </w14:solidFill>
          </w14:textFill>
        </w:rPr>
        <w:fldChar w:fldCharType="end"/>
      </w:r>
      <w:r>
        <w:rPr>
          <w:rFonts w:hint="eastAsia"/>
          <w:color w:val="000000" w:themeColor="text1"/>
          <w14:textFill>
            <w14:solidFill>
              <w14:schemeClr w14:val="tx1"/>
            </w14:solidFill>
          </w14:textFill>
        </w:rPr>
        <w:t>管理台账制定技术导则》（HJ1259-2022）等有关要求制定危险废物管理计划，并报所在地生态环境主管部门备案。</w:t>
      </w:r>
    </w:p>
    <w:p w14:paraId="3937033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④落实危险废物管理台账及申报制度，建立危险废物管理台账，如实记录有关信息，并通过国家危险废物信息管理系统向所在地生态环境主管部门申报危险废物的种类、产生量、流向、贮存、处置等有关资料。</w:t>
      </w:r>
    </w:p>
    <w:p w14:paraId="0E833B0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⑤落实危险废物转移联单制度，转移危险废物的，应当按照《危险废物转移管理办法》的有关规定填写、运行危险废物转移联单。</w:t>
      </w:r>
    </w:p>
    <w:p w14:paraId="26713B85">
      <w:pPr>
        <w:pStyle w:val="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⑥施工期非磺化水基钻井岩屑收集、运输和处置须同时满足</w:t>
      </w:r>
      <w:r>
        <w:rPr>
          <w:color w:val="000000" w:themeColor="text1"/>
          <w14:textFill>
            <w14:solidFill>
              <w14:schemeClr w14:val="tx1"/>
            </w14:solidFill>
          </w14:textFill>
        </w:rPr>
        <w:t>《石油天然气开采业固体废物污染控制技术规范（试行）》（HJ 1461-2026）</w:t>
      </w:r>
      <w:r>
        <w:rPr>
          <w:rFonts w:hint="eastAsia"/>
          <w:color w:val="000000" w:themeColor="text1"/>
          <w14:textFill>
            <w14:solidFill>
              <w14:schemeClr w14:val="tx1"/>
            </w14:solidFill>
          </w14:textFill>
        </w:rPr>
        <w:t>的相关</w:t>
      </w:r>
      <w:r>
        <w:rPr>
          <w:color w:val="000000" w:themeColor="text1"/>
          <w14:textFill>
            <w14:solidFill>
              <w14:schemeClr w14:val="tx1"/>
            </w14:solidFill>
          </w14:textFill>
        </w:rPr>
        <w:t>要求</w:t>
      </w:r>
      <w:r>
        <w:rPr>
          <w:rFonts w:hint="eastAsia"/>
          <w:color w:val="000000" w:themeColor="text1"/>
          <w14:textFill>
            <w14:solidFill>
              <w14:schemeClr w14:val="tx1"/>
            </w14:solidFill>
          </w14:textFill>
        </w:rPr>
        <w:t>。</w:t>
      </w:r>
    </w:p>
    <w:p w14:paraId="065032F9">
      <w:pPr>
        <w:pStyle w:val="120"/>
        <w:ind w:firstLine="480"/>
        <w:rPr>
          <w:rFonts w:hint="eastAsia"/>
          <w:color w:val="000000" w:themeColor="text1"/>
          <w14:textFill>
            <w14:solidFill>
              <w14:schemeClr w14:val="tx1"/>
            </w14:solidFill>
          </w14:textFill>
        </w:rPr>
      </w:pPr>
      <w:r>
        <w:rPr>
          <w:color w:val="000000" w:themeColor="text1"/>
          <w14:textFill>
            <w14:solidFill>
              <w14:schemeClr w14:val="tx1"/>
            </w14:solidFill>
          </w14:textFill>
        </w:rPr>
        <w:t>钻井采用不落地设备，钻井期分离出的钻井液循环利用，不外排。废弃水基钻井液</w:t>
      </w:r>
      <w:r>
        <w:rPr>
          <w:rFonts w:hint="eastAsia"/>
          <w:color w:val="000000" w:themeColor="text1"/>
          <w:lang w:val="en-US" w:eastAsia="zh-CN"/>
          <w14:textFill>
            <w14:solidFill>
              <w14:schemeClr w14:val="tx1"/>
            </w14:solidFill>
          </w14:textFill>
        </w:rPr>
        <w:t>和</w:t>
      </w:r>
      <w:r>
        <w:rPr>
          <w:color w:val="000000" w:themeColor="text1"/>
          <w14:textFill>
            <w14:solidFill>
              <w14:schemeClr w14:val="tx1"/>
            </w14:solidFill>
          </w14:textFill>
        </w:rPr>
        <w:t>非磺化水基钻井岩屑暂存于罐中，及时转运</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最终</w:t>
      </w:r>
      <w:r>
        <w:rPr>
          <w:color w:val="000000" w:themeColor="text1"/>
          <w14:textFill>
            <w14:solidFill>
              <w14:schemeClr w14:val="tx1"/>
            </w14:solidFill>
          </w14:textFill>
        </w:rPr>
        <w:t>交由岩屑处置单位处理。</w:t>
      </w:r>
      <w:r>
        <w:rPr>
          <w:rFonts w:hint="eastAsia"/>
          <w:color w:val="000000" w:themeColor="text1"/>
          <w14:textFill>
            <w14:solidFill>
              <w14:schemeClr w14:val="tx1"/>
            </w14:solidFill>
          </w14:textFill>
        </w:rPr>
        <w:t>非磺化水基钻井岩屑</w:t>
      </w:r>
      <w:r>
        <w:rPr>
          <w:rFonts w:hint="eastAsia"/>
          <w:color w:val="000000" w:themeColor="text1"/>
          <w:lang w:val="en-US" w:eastAsia="zh-CN"/>
          <w14:textFill>
            <w14:solidFill>
              <w14:schemeClr w14:val="tx1"/>
            </w14:solidFill>
          </w14:textFill>
        </w:rPr>
        <w:t>和废弃钻井液</w:t>
      </w:r>
      <w:r>
        <w:rPr>
          <w:color w:val="000000" w:themeColor="text1"/>
          <w14:textFill>
            <w14:solidFill>
              <w14:schemeClr w14:val="tx1"/>
            </w14:solidFill>
          </w14:textFill>
        </w:rPr>
        <w:t>收集、贮存、转移过程中应遵循国家和地方安全生产、职业健康、交通运输、消防等方面相关法律法规及标准的要求</w:t>
      </w:r>
      <w:r>
        <w:rPr>
          <w:rFonts w:hint="eastAsia"/>
          <w:color w:val="000000" w:themeColor="text1"/>
          <w14:textFill>
            <w14:solidFill>
              <w14:schemeClr w14:val="tx1"/>
            </w14:solidFill>
          </w14:textFill>
        </w:rPr>
        <w:t>。</w:t>
      </w:r>
    </w:p>
    <w:p w14:paraId="5B7C8AE1">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）管线施工过程中会产生少量的焊接废渣，在每个焊接作业点配备铁桶或纸箱，焊接废渣直接放入容器中，施工结束后由施工队集中回收处置。</w:t>
      </w:r>
    </w:p>
    <w:bookmarkEnd w:id="560"/>
    <w:p w14:paraId="53E8C5EF">
      <w:pPr>
        <w:pStyle w:val="8"/>
        <w:rPr>
          <w:rFonts w:hint="eastAsia"/>
          <w:color w:val="000000" w:themeColor="text1"/>
          <w14:textFill>
            <w14:solidFill>
              <w14:schemeClr w14:val="tx1"/>
            </w14:solidFill>
          </w14:textFill>
        </w:rPr>
      </w:pPr>
      <w:r>
        <w:rPr>
          <w:rFonts w:hint="eastAsia"/>
          <w:color w:val="000000" w:themeColor="text1"/>
          <w:lang w:val="zh-CN"/>
          <w14:textFill>
            <w14:solidFill>
              <w14:schemeClr w14:val="tx1"/>
            </w14:solidFill>
          </w14:textFill>
        </w:rPr>
        <w:t>施工期土壤污染防治措施</w:t>
      </w:r>
    </w:p>
    <w:bookmarkEnd w:id="561"/>
    <w:p w14:paraId="23FE46C1">
      <w:pPr>
        <w:spacing w:line="480" w:lineRule="exact"/>
        <w:ind w:firstLine="480" w:firstLineChars="200"/>
        <w:rPr>
          <w:rFonts w:hint="eastAsia" w:ascii="宋体" w:hAnsi="宋体"/>
          <w:color w:val="000000" w:themeColor="text1"/>
          <w:kern w:val="0"/>
          <w:sz w:val="24"/>
          <w:szCs w:val="24"/>
          <w14:textFill>
            <w14:solidFill>
              <w14:schemeClr w14:val="tx1"/>
            </w14:solidFill>
          </w14:textFill>
        </w:rPr>
      </w:pPr>
      <w:bookmarkStart w:id="567" w:name="_Hlk40721133"/>
      <w:r>
        <w:rPr>
          <w:rFonts w:hint="eastAsia" w:ascii="宋体" w:hAnsi="宋体"/>
          <w:color w:val="000000" w:themeColor="text1"/>
          <w:kern w:val="0"/>
          <w:sz w:val="24"/>
          <w:szCs w:val="24"/>
          <w14:textFill>
            <w14:solidFill>
              <w14:schemeClr w14:val="tx1"/>
            </w14:solidFill>
          </w14:textFill>
        </w:rPr>
        <w:t>（1）严格控制施工期占地面积，按设计及规划的施工范围进行施工作业，减少土壤扰动。</w:t>
      </w:r>
    </w:p>
    <w:p w14:paraId="6CED2749">
      <w:pPr>
        <w:spacing w:line="48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（2）施工机械及运输车辆应按规定的道路行驶，减少对土壤的碾压，减少碾压造成的土壤紧实度增加及养分流失。</w:t>
      </w:r>
    </w:p>
    <w:p w14:paraId="61091F2B">
      <w:pPr>
        <w:spacing w:line="48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（3）施工产生的建筑垃圾不得随意抛洒，应集中收集并及时清运，防止污染物进入土壤环境造成污染。</w:t>
      </w:r>
    </w:p>
    <w:p w14:paraId="35FD9401">
      <w:pPr>
        <w:spacing w:line="48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（4）表层土壤单独堆放，妥善保存，用于临时占地复垦；管沟开挖，做到土壤的分层堆放，分类回填，在施工完毕后回铺于地表，减轻对土壤的破坏，以利于植被的恢复和生长。</w:t>
      </w:r>
    </w:p>
    <w:p w14:paraId="5C23CCF8">
      <w:pPr>
        <w:spacing w:line="48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（5）对井场和巡检道路永久占地地表进行砾石压盖，防止由于地表扰动造成的水土流失。</w:t>
      </w:r>
    </w:p>
    <w:p w14:paraId="647B216E">
      <w:pPr>
        <w:pStyle w:val="8"/>
        <w:rPr>
          <w:rFonts w:hint="eastAsia"/>
          <w:color w:val="000000" w:themeColor="text1"/>
          <w:lang w:val="zh-CN"/>
          <w14:textFill>
            <w14:solidFill>
              <w14:schemeClr w14:val="tx1"/>
            </w14:solidFill>
          </w14:textFill>
        </w:rPr>
      </w:pPr>
      <w:bookmarkStart w:id="568" w:name="_Hlk175252147"/>
      <w:bookmarkStart w:id="569" w:name="_Hlk175252290"/>
      <w:r>
        <w:rPr>
          <w:rFonts w:hint="eastAsia"/>
          <w:color w:val="000000" w:themeColor="text1"/>
          <w:lang w:val="zh-CN"/>
          <w14:textFill>
            <w14:solidFill>
              <w14:schemeClr w14:val="tx1"/>
            </w14:solidFill>
          </w14:textFill>
        </w:rPr>
        <w:t>施工期生态环境保护措施</w:t>
      </w:r>
    </w:p>
    <w:bookmarkEnd w:id="567"/>
    <w:bookmarkEnd w:id="568"/>
    <w:p w14:paraId="62BE62E8">
      <w:pPr>
        <w:pStyle w:val="462"/>
        <w:rPr>
          <w:rFonts w:hint="eastAsia" w:ascii="等线" w:hAnsi="等线"/>
          <w:color w:val="000000" w:themeColor="text1"/>
          <w14:textFill>
            <w14:solidFill>
              <w14:schemeClr w14:val="tx1"/>
            </w14:solidFill>
          </w14:textFill>
        </w:rPr>
      </w:pPr>
      <w:bookmarkStart w:id="570" w:name="_Hlk40721680"/>
      <w:bookmarkStart w:id="571" w:name="_Hlk147587129"/>
      <w:bookmarkStart w:id="572" w:name="_Hlk173405318"/>
      <w:bookmarkStart w:id="573" w:name="_Hlk80648419"/>
      <w:r>
        <w:rPr>
          <w:rFonts w:hint="eastAsia"/>
          <w:color w:val="000000" w:themeColor="text1"/>
          <w14:textFill>
            <w14:solidFill>
              <w14:schemeClr w14:val="tx1"/>
            </w14:solidFill>
          </w14:textFill>
        </w:rPr>
        <w:t>（1）避让措施：合理规划永久占地和临时占地</w:t>
      </w:r>
      <w:bookmarkStart w:id="574" w:name="_Hlk148007318"/>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单井采油井场、</w:t>
      </w:r>
      <w:r>
        <w:rPr>
          <w:rFonts w:hint="eastAsia"/>
          <w:color w:val="000000" w:themeColor="text1"/>
          <w14:textFill>
            <w14:solidFill>
              <w14:schemeClr w14:val="tx1"/>
            </w14:solidFill>
          </w14:textFill>
        </w:rPr>
        <w:t>2井式平台井场</w:t>
      </w:r>
      <w:r>
        <w:rPr>
          <w:rFonts w:hint="eastAsia"/>
          <w:color w:val="000000" w:themeColor="text1"/>
          <w:lang w:val="en-US"/>
          <w14:textFill>
            <w14:solidFill>
              <w14:schemeClr w14:val="tx1"/>
            </w14:solidFill>
          </w14:textFill>
        </w:rPr>
        <w:t>和</w:t>
      </w:r>
      <w:r>
        <w:rPr>
          <w:rFonts w:hint="eastAsia"/>
          <w:color w:val="000000" w:themeColor="text1"/>
          <w14:textFill>
            <w14:solidFill>
              <w14:schemeClr w14:val="tx1"/>
            </w14:solidFill>
          </w14:textFill>
        </w:rPr>
        <w:t>注水井场选址、单井采油井场</w:t>
      </w:r>
      <w:r>
        <w:rPr>
          <w:rFonts w:hint="eastAsia"/>
          <w:color w:val="000000" w:themeColor="text1"/>
          <w:lang w:val="en-US" w:eastAsia="zh-CN"/>
          <w14:textFill>
            <w14:solidFill>
              <w14:schemeClr w14:val="tx1"/>
            </w14:solidFill>
          </w14:textFill>
        </w:rPr>
        <w:t>/单井掺热水管线</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单井注水管线</w:t>
      </w:r>
      <w:r>
        <w:rPr>
          <w:rFonts w:hint="eastAsia"/>
          <w:color w:val="000000" w:themeColor="text1"/>
          <w14:textFill>
            <w14:solidFill>
              <w14:schemeClr w14:val="tx1"/>
            </w14:solidFill>
          </w14:textFill>
        </w:rPr>
        <w:t>、输电线路和巡检道路选线过程中在满足设计需求的前提下，尽量避开植被密集区域，</w:t>
      </w:r>
      <w:r>
        <w:rPr>
          <w:rFonts w:hint="eastAsia"/>
          <w:color w:val="000000" w:themeColor="text1"/>
          <w:lang w:val="en-US" w:eastAsia="zh-CN"/>
          <w14:textFill>
            <w14:solidFill>
              <w14:schemeClr w14:val="tx1"/>
            </w14:solidFill>
          </w14:textFill>
        </w:rPr>
        <w:t>平台井</w:t>
      </w:r>
      <w:r>
        <w:rPr>
          <w:rFonts w:hint="eastAsia"/>
          <w:color w:val="000000" w:themeColor="text1"/>
          <w14:textFill>
            <w14:solidFill>
              <w14:schemeClr w14:val="tx1"/>
            </w14:solidFill>
          </w14:textFill>
        </w:rPr>
        <w:t>尽可能距各井口距离较短。评价范围内无国家和地方保护植物，选线过程中尽量避开梭梭、白梭梭等固沙植物，根据管径大小确定施工作业带宽度。合理布置施工场地内的设备和设施；在保证正常施工和安全的前提下，严格控制临时占地面积。施工过程中尽量</w:t>
      </w:r>
      <w:r>
        <w:rPr>
          <w:rFonts w:hint="eastAsia" w:ascii="等线" w:hAnsi="等线"/>
          <w:color w:val="000000" w:themeColor="text1"/>
          <w14:textFill>
            <w14:solidFill>
              <w14:schemeClr w14:val="tx1"/>
            </w14:solidFill>
          </w14:textFill>
        </w:rPr>
        <w:t>避免破坏野生植物，最大限度避免破坏野生动物的活动场所和生存环境</w:t>
      </w:r>
      <w:bookmarkEnd w:id="574"/>
      <w:r>
        <w:rPr>
          <w:rFonts w:hint="eastAsia" w:ascii="等线" w:hAnsi="等线"/>
          <w:color w:val="000000" w:themeColor="text1"/>
          <w14:textFill>
            <w14:solidFill>
              <w14:schemeClr w14:val="tx1"/>
            </w14:solidFill>
          </w14:textFill>
        </w:rPr>
        <w:t>。</w:t>
      </w:r>
    </w:p>
    <w:p w14:paraId="5590E584">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（2）减缓措施：</w:t>
      </w:r>
      <w:bookmarkStart w:id="575" w:name="_Hlk212974908"/>
    </w:p>
    <w:p w14:paraId="0C5AF419">
      <w:pPr>
        <w:pStyle w:val="462"/>
        <w:rPr>
          <w:rFonts w:hint="eastAsia"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①</w:t>
      </w:r>
      <w:r>
        <w:rPr>
          <w:rFonts w:hint="eastAsia"/>
          <w:color w:val="000000" w:themeColor="text1"/>
          <w14:textFill>
            <w14:solidFill>
              <w14:schemeClr w14:val="tx1"/>
            </w14:solidFill>
          </w14:textFill>
        </w:rPr>
        <w:t>施工过程中严格规定车辆和各类工作人员的活动范围，使之限于在施工区范围内活动，不随意</w:t>
      </w:r>
      <w:r>
        <w:rPr>
          <w:color w:val="000000" w:themeColor="text1"/>
          <w14:textFill>
            <w14:solidFill>
              <w14:schemeClr w14:val="tx1"/>
            </w14:solidFill>
          </w14:textFill>
        </w:rPr>
        <w:t>踩踏砍伐野生植被</w:t>
      </w:r>
      <w:r>
        <w:rPr>
          <w:rFonts w:hint="eastAsia"/>
          <w:color w:val="000000" w:themeColor="text1"/>
          <w14:textFill>
            <w14:solidFill>
              <w14:schemeClr w14:val="tx1"/>
            </w14:solidFill>
          </w14:textFill>
        </w:rPr>
        <w:t>，尽量不侵扰野生动物的栖息地；</w:t>
      </w:r>
      <w:r>
        <w:rPr>
          <w:rFonts w:hint="eastAsia" w:cs="宋体"/>
          <w:color w:val="000000" w:themeColor="text1"/>
          <w14:textFill>
            <w14:solidFill>
              <w14:schemeClr w14:val="tx1"/>
            </w14:solidFill>
          </w14:textFill>
        </w:rPr>
        <w:t>严格控制施工范围，严禁施工机械及车辆进入、占用占地范围外区域。</w:t>
      </w:r>
    </w:p>
    <w:p w14:paraId="78294B12">
      <w:pPr>
        <w:pStyle w:val="462"/>
        <w:rPr>
          <w:color w:val="000000" w:themeColor="text1"/>
          <w:lang w:val="en-US" w:bidi="ar"/>
          <w14:textFill>
            <w14:solidFill>
              <w14:schemeClr w14:val="tx1"/>
            </w14:solidFill>
          </w14:textFill>
        </w:rPr>
      </w:pPr>
      <w:r>
        <w:rPr>
          <w:rFonts w:hint="eastAsia"/>
          <w:color w:val="000000" w:themeColor="text1"/>
          <w:lang w:val="en-US" w:eastAsia="zh-CN"/>
          <w14:textFill>
            <w14:solidFill>
              <w14:schemeClr w14:val="tx1"/>
            </w14:solidFill>
          </w14:textFill>
        </w:rPr>
        <w:t>②</w:t>
      </w:r>
      <w:bookmarkEnd w:id="575"/>
      <w:r>
        <w:rPr>
          <w:color w:val="000000" w:themeColor="text1"/>
          <w:lang w:val="en-US" w:bidi="ar"/>
          <w14:textFill>
            <w14:solidFill>
              <w14:schemeClr w14:val="tx1"/>
            </w14:solidFill>
          </w14:textFill>
        </w:rPr>
        <w:t>合理安排施工布局，临时占地尽可能位于永久占地范围内。</w:t>
      </w:r>
    </w:p>
    <w:p w14:paraId="50BF9557">
      <w:pPr>
        <w:pStyle w:val="462"/>
        <w:rPr>
          <w:rFonts w:hint="eastAsia"/>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③</w:t>
      </w:r>
      <w:r>
        <w:rPr>
          <w:rFonts w:hint="eastAsia"/>
          <w:color w:val="000000" w:themeColor="text1"/>
          <w:lang w:bidi="ar"/>
          <w14:textFill>
            <w14:solidFill>
              <w14:schemeClr w14:val="tx1"/>
            </w14:solidFill>
          </w14:textFill>
        </w:rPr>
        <w:t>施工单位应根据确定的施工用地范围，将施工便道、材料堆场、机械堆场、施工作业带等施工用地用彩条旗方式进行圈定，施工过程中严格按照圈定范围进行作业，不得超出圈定范围。施工过程中采取绿色施工工艺，各设备均为撬装设备，可减少地表开挖。</w:t>
      </w:r>
    </w:p>
    <w:p w14:paraId="3CE55857">
      <w:pPr>
        <w:pStyle w:val="462"/>
        <w:rPr>
          <w:rFonts w:hint="eastAsia"/>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④</w:t>
      </w:r>
      <w:r>
        <w:rPr>
          <w:rFonts w:hint="eastAsia"/>
          <w:color w:val="000000" w:themeColor="text1"/>
          <w:lang w:bidi="ar"/>
          <w14:textFill>
            <w14:solidFill>
              <w14:schemeClr w14:val="tx1"/>
            </w14:solidFill>
          </w14:textFill>
        </w:rPr>
        <w:t>合理规划永久占地，井场尽量采用平台井方式布置，在保证正常施工和安全的前提下，严格控制</w:t>
      </w:r>
      <w:r>
        <w:rPr>
          <w:rFonts w:hint="eastAsia"/>
          <w:color w:val="000000" w:themeColor="text1"/>
          <w14:textFill>
            <w14:solidFill>
              <w14:schemeClr w14:val="tx1"/>
            </w14:solidFill>
          </w14:textFill>
        </w:rPr>
        <w:t>2井式平台井场、单井采油井场、注水井场</w:t>
      </w:r>
      <w:r>
        <w:rPr>
          <w:rFonts w:hint="eastAsia"/>
          <w:color w:val="000000" w:themeColor="text1"/>
          <w:lang w:bidi="ar"/>
          <w14:textFill>
            <w14:solidFill>
              <w14:schemeClr w14:val="tx1"/>
            </w14:solidFill>
          </w14:textFill>
        </w:rPr>
        <w:t>占地面积，减少工程占地面积。严禁超范围施工。</w:t>
      </w:r>
    </w:p>
    <w:p w14:paraId="0BA76ABC">
      <w:pPr>
        <w:pStyle w:val="462"/>
        <w:rPr>
          <w:rFonts w:hint="default" w:eastAsia="宋体"/>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⑤尽可能缩小</w:t>
      </w:r>
      <w:r>
        <w:rPr>
          <w:rFonts w:hint="eastAsia"/>
          <w:color w:val="000000" w:themeColor="text1"/>
          <w14:textFill>
            <w14:solidFill>
              <w14:schemeClr w14:val="tx1"/>
            </w14:solidFill>
          </w14:textFill>
        </w:rPr>
        <w:t>一般耕地和永久基本农田</w:t>
      </w:r>
      <w:r>
        <w:rPr>
          <w:rFonts w:hint="eastAsia"/>
          <w:color w:val="000000" w:themeColor="text1"/>
          <w:lang w:val="en-US" w:eastAsia="zh-CN"/>
          <w14:textFill>
            <w14:solidFill>
              <w14:schemeClr w14:val="tx1"/>
            </w14:solidFill>
          </w14:textFill>
        </w:rPr>
        <w:t>附近的管线施工</w:t>
      </w:r>
      <w:r>
        <w:rPr>
          <w:rFonts w:hint="eastAsia"/>
          <w:color w:val="000000" w:themeColor="text1"/>
          <w:lang w:val="en-US" w:eastAsia="zh-CN" w:bidi="ar"/>
          <w14:textFill>
            <w14:solidFill>
              <w14:schemeClr w14:val="tx1"/>
            </w14:solidFill>
          </w14:textFill>
        </w:rPr>
        <w:t>作业带宽度，采用人工施工方式避免大型机械设备施工对</w:t>
      </w:r>
      <w:r>
        <w:rPr>
          <w:rFonts w:hint="eastAsia"/>
          <w:color w:val="000000" w:themeColor="text1"/>
          <w14:textFill>
            <w14:solidFill>
              <w14:schemeClr w14:val="tx1"/>
            </w14:solidFill>
          </w14:textFill>
        </w:rPr>
        <w:t>一般耕地和永久基本农田</w:t>
      </w:r>
      <w:r>
        <w:rPr>
          <w:rFonts w:hint="eastAsia"/>
          <w:color w:val="000000" w:themeColor="text1"/>
          <w:lang w:val="en-US" w:eastAsia="zh-CN"/>
          <w14:textFill>
            <w14:solidFill>
              <w14:schemeClr w14:val="tx1"/>
            </w14:solidFill>
          </w14:textFill>
        </w:rPr>
        <w:t>农作物和土壤</w:t>
      </w:r>
      <w:r>
        <w:rPr>
          <w:rFonts w:hint="eastAsia"/>
          <w:color w:val="000000" w:themeColor="text1"/>
          <w:lang w:val="en-US" w:eastAsia="zh-CN" w:bidi="ar"/>
          <w14:textFill>
            <w14:solidFill>
              <w14:schemeClr w14:val="tx1"/>
            </w14:solidFill>
          </w14:textFill>
        </w:rPr>
        <w:t>的影响。</w:t>
      </w:r>
    </w:p>
    <w:p w14:paraId="457AD75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bookmarkStart w:id="576" w:name="_Hlk148007330"/>
      <w:r>
        <w:rPr>
          <w:rFonts w:hint="eastAsia"/>
          <w:color w:val="000000" w:themeColor="text1"/>
          <w14:textFill>
            <w14:solidFill>
              <w14:schemeClr w14:val="tx1"/>
            </w14:solidFill>
          </w14:textFill>
        </w:rPr>
        <w:t>井场</w:t>
      </w:r>
      <w:r>
        <w:rPr>
          <w:rFonts w:hint="eastAsia"/>
          <w:color w:val="000000" w:themeColor="text1"/>
          <w:lang w:val="en-US"/>
          <w14:textFill>
            <w14:solidFill>
              <w14:schemeClr w14:val="tx1"/>
            </w14:solidFill>
          </w14:textFill>
        </w:rPr>
        <w:t>永久占地</w:t>
      </w:r>
      <w:r>
        <w:rPr>
          <w:rFonts w:hint="eastAsia"/>
          <w:color w:val="000000" w:themeColor="text1"/>
          <w14:textFill>
            <w14:solidFill>
              <w14:schemeClr w14:val="tx1"/>
            </w14:solidFill>
          </w14:textFill>
        </w:rPr>
        <w:t>采用砾石铺垫或地面硬化处理。</w:t>
      </w:r>
    </w:p>
    <w:p w14:paraId="7AB24CD5">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w:t>
      </w:r>
      <w:r>
        <w:rPr>
          <w:rFonts w:hint="eastAsia" w:cs="宋体"/>
          <w:color w:val="000000" w:themeColor="text1"/>
          <w:spacing w:val="-2"/>
          <w:lang w:bidi="ar"/>
          <w14:textFill>
            <w14:solidFill>
              <w14:schemeClr w14:val="tx1"/>
            </w14:solidFill>
          </w14:textFill>
        </w:rPr>
        <w:t>优化施工组织，缩短施工时间，避免在大风天气进行土方作业。</w:t>
      </w:r>
      <w:r>
        <w:rPr>
          <w:color w:val="000000" w:themeColor="text1"/>
          <w:lang w:bidi="ar"/>
          <w14:textFill>
            <w14:solidFill>
              <w14:schemeClr w14:val="tx1"/>
            </w14:solidFill>
          </w14:textFill>
        </w:rPr>
        <w:t>管沟应分层开挖、分层堆放、分层回填，特别是表层土壤分层堆放，以保护植被生长层，</w:t>
      </w:r>
      <w:bookmarkEnd w:id="576"/>
      <w:r>
        <w:rPr>
          <w:color w:val="000000" w:themeColor="text1"/>
          <w:lang w:bidi="ar"/>
          <w14:textFill>
            <w14:solidFill>
              <w14:schemeClr w14:val="tx1"/>
            </w14:solidFill>
          </w14:textFill>
        </w:rPr>
        <w:t>降低对土壤养分的影响，尽快使土壤恢复生产力，同时减少水土流失；土石方不得随意堆放，应集中堆</w:t>
      </w:r>
      <w:r>
        <w:rPr>
          <w:rFonts w:hint="eastAsia"/>
          <w:color w:val="000000" w:themeColor="text1"/>
          <w:lang w:bidi="ar"/>
          <w14:textFill>
            <w14:solidFill>
              <w14:schemeClr w14:val="tx1"/>
            </w14:solidFill>
          </w14:textFill>
        </w:rPr>
        <w:t>置于</w:t>
      </w:r>
      <w:r>
        <w:rPr>
          <w:color w:val="000000" w:themeColor="text1"/>
          <w:lang w:bidi="ar"/>
          <w14:textFill>
            <w14:solidFill>
              <w14:schemeClr w14:val="tx1"/>
            </w14:solidFill>
          </w14:textFill>
        </w:rPr>
        <w:t>管沟一侧，且不影响施工安全的距离内，施工完毕后</w:t>
      </w:r>
      <w:r>
        <w:rPr>
          <w:rFonts w:hint="eastAsia"/>
          <w:color w:val="000000" w:themeColor="text1"/>
          <w:lang w:bidi="ar"/>
          <w14:textFill>
            <w14:solidFill>
              <w14:schemeClr w14:val="tx1"/>
            </w14:solidFill>
          </w14:textFill>
        </w:rPr>
        <w:t>全部用于回填并分层压实。严格控制施工作业带宽度，管线施工作业带宽度应在</w:t>
      </w:r>
      <w:r>
        <w:rPr>
          <w:rFonts w:hint="eastAsia"/>
          <w:color w:val="000000" w:themeColor="text1"/>
          <w:lang w:val="en-US" w:bidi="ar"/>
          <w14:textFill>
            <w14:solidFill>
              <w14:schemeClr w14:val="tx1"/>
            </w14:solidFill>
          </w14:textFill>
        </w:rPr>
        <w:t>12</w:t>
      </w:r>
      <w:r>
        <w:rPr>
          <w:rFonts w:hint="eastAsia"/>
          <w:color w:val="000000" w:themeColor="text1"/>
          <w:lang w:bidi="ar"/>
          <w14:textFill>
            <w14:solidFill>
              <w14:schemeClr w14:val="tx1"/>
            </w14:solidFill>
          </w14:textFill>
        </w:rPr>
        <w:t>m范围内；</w:t>
      </w: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巡检</w:t>
      </w:r>
      <w:r>
        <w:rPr>
          <w:rFonts w:hint="eastAsia"/>
          <w:color w:val="000000" w:themeColor="text1"/>
          <w14:textFill>
            <w14:solidFill>
              <w14:schemeClr w14:val="tx1"/>
            </w14:solidFill>
          </w14:textFill>
        </w:rPr>
        <w:t>道路临时占地位于永久占地范围内，以减少占地</w:t>
      </w:r>
      <w:r>
        <w:rPr>
          <w:rFonts w:hint="eastAsia"/>
          <w:color w:val="000000" w:themeColor="text1"/>
          <w:lang w:eastAsia="zh-CN"/>
          <w14:textFill>
            <w14:solidFill>
              <w14:schemeClr w14:val="tx1"/>
            </w14:solidFill>
          </w14:textFill>
        </w:rPr>
        <w:t>，</w:t>
      </w:r>
      <w:r>
        <w:rPr>
          <w:rFonts w:hint="eastAsia"/>
          <w:color w:val="000000" w:themeColor="text1"/>
          <w:lang w:bidi="ar"/>
          <w14:textFill>
            <w14:solidFill>
              <w14:schemeClr w14:val="tx1"/>
            </w14:solidFill>
          </w14:textFill>
        </w:rPr>
        <w:t>道路施工作业带宽度不得超过4.5m。</w:t>
      </w:r>
    </w:p>
    <w:p w14:paraId="5C46AFA6">
      <w:pPr>
        <w:pStyle w:val="120"/>
        <w:rPr>
          <w:rFonts w:hint="eastAsia"/>
          <w:color w:val="000000" w:themeColor="text1"/>
          <w:lang w:bidi="ar"/>
          <w14:textFill>
            <w14:solidFill>
              <w14:schemeClr w14:val="tx1"/>
            </w14:solidFill>
          </w14:textFill>
        </w:rPr>
      </w:pPr>
      <w:r>
        <w:rPr>
          <w:rFonts w:hint="eastAsia"/>
          <w:color w:val="000000" w:themeColor="text1"/>
          <w:lang w:val="en-US" w:eastAsia="zh-CN" w:bidi="ar"/>
          <w14:textFill>
            <w14:solidFill>
              <w14:schemeClr w14:val="tx1"/>
            </w14:solidFill>
          </w14:textFill>
        </w:rPr>
        <w:t>由于</w:t>
      </w:r>
      <w:r>
        <w:rPr>
          <w:rFonts w:hint="eastAsia"/>
          <w:color w:val="000000" w:themeColor="text1"/>
          <w:lang w:bidi="ar"/>
          <w14:textFill>
            <w14:solidFill>
              <w14:schemeClr w14:val="tx1"/>
            </w14:solidFill>
          </w14:textFill>
        </w:rPr>
        <w:t>各类管线施工过程中，不设置临时材料堆放场地和废料场，管线施工材料</w:t>
      </w:r>
      <w:r>
        <w:rPr>
          <w:rFonts w:hint="eastAsia"/>
          <w:color w:val="000000" w:themeColor="text1"/>
          <w:lang w:val="en-US" w:eastAsia="zh-CN" w:bidi="ar"/>
          <w14:textFill>
            <w14:solidFill>
              <w14:schemeClr w14:val="tx1"/>
            </w14:solidFill>
          </w14:textFill>
        </w:rPr>
        <w:t>和废料</w:t>
      </w:r>
      <w:r>
        <w:rPr>
          <w:rFonts w:hint="eastAsia"/>
          <w:color w:val="000000" w:themeColor="text1"/>
          <w:lang w:bidi="ar"/>
          <w14:textFill>
            <w14:solidFill>
              <w14:schemeClr w14:val="tx1"/>
            </w14:solidFill>
          </w14:textFill>
        </w:rPr>
        <w:t>放置在管沟一侧，另一侧堆放管沟开挖产生的土方</w:t>
      </w:r>
      <w:r>
        <w:rPr>
          <w:rFonts w:hint="eastAsia"/>
          <w:color w:val="000000" w:themeColor="text1"/>
          <w:lang w:eastAsia="zh-CN" w:bidi="ar"/>
          <w14:textFill>
            <w14:solidFill>
              <w14:schemeClr w14:val="tx1"/>
            </w14:solidFill>
          </w14:textFill>
        </w:rPr>
        <w:t>，</w:t>
      </w:r>
      <w:r>
        <w:rPr>
          <w:rFonts w:hint="eastAsia"/>
          <w:color w:val="000000" w:themeColor="text1"/>
          <w:lang w:val="en-US" w:eastAsia="zh-CN" w:bidi="ar"/>
          <w14:textFill>
            <w14:solidFill>
              <w14:schemeClr w14:val="tx1"/>
            </w14:solidFill>
          </w14:textFill>
        </w:rPr>
        <w:t>为</w:t>
      </w:r>
      <w:r>
        <w:rPr>
          <w:color w:val="000000" w:themeColor="text1"/>
          <w:lang w:bidi="ar"/>
          <w14:textFill>
            <w14:solidFill>
              <w14:schemeClr w14:val="tx1"/>
            </w14:solidFill>
          </w14:textFill>
        </w:rPr>
        <w:t>不影响施工安全</w:t>
      </w:r>
      <w:r>
        <w:rPr>
          <w:rFonts w:hint="eastAsia"/>
          <w:color w:val="000000" w:themeColor="text1"/>
          <w:lang w:eastAsia="zh-CN" w:bidi="ar"/>
          <w14:textFill>
            <w14:solidFill>
              <w14:schemeClr w14:val="tx1"/>
            </w14:solidFill>
          </w14:textFill>
        </w:rPr>
        <w:t>，</w:t>
      </w:r>
      <w:r>
        <w:rPr>
          <w:rFonts w:hint="eastAsia"/>
          <w:color w:val="000000" w:themeColor="text1"/>
          <w:lang w:val="en-US" w:eastAsia="zh-CN" w:bidi="ar"/>
          <w14:textFill>
            <w14:solidFill>
              <w14:schemeClr w14:val="tx1"/>
            </w14:solidFill>
          </w14:textFill>
        </w:rPr>
        <w:t>本项目</w:t>
      </w:r>
      <w:r>
        <w:rPr>
          <w:rFonts w:hint="eastAsia"/>
          <w:color w:val="000000" w:themeColor="text1"/>
          <w:lang w:bidi="ar"/>
          <w14:textFill>
            <w14:solidFill>
              <w14:schemeClr w14:val="tx1"/>
            </w14:solidFill>
          </w14:textFill>
        </w:rPr>
        <w:t>管线施工作业带宽度应</w:t>
      </w:r>
      <w:r>
        <w:rPr>
          <w:rFonts w:hint="eastAsia"/>
          <w:color w:val="000000" w:themeColor="text1"/>
          <w:lang w:val="en-US" w:eastAsia="zh-CN" w:bidi="ar"/>
          <w14:textFill>
            <w14:solidFill>
              <w14:schemeClr w14:val="tx1"/>
            </w14:solidFill>
          </w14:textFill>
        </w:rPr>
        <w:t>为</w:t>
      </w:r>
      <w:r>
        <w:rPr>
          <w:rFonts w:hint="eastAsia"/>
          <w:color w:val="000000" w:themeColor="text1"/>
          <w:lang w:val="en-US" w:bidi="ar"/>
          <w14:textFill>
            <w14:solidFill>
              <w14:schemeClr w14:val="tx1"/>
            </w14:solidFill>
          </w14:textFill>
        </w:rPr>
        <w:t>12</w:t>
      </w:r>
      <w:r>
        <w:rPr>
          <w:rFonts w:hint="eastAsia"/>
          <w:color w:val="000000" w:themeColor="text1"/>
          <w:lang w:bidi="ar"/>
          <w14:textFill>
            <w14:solidFill>
              <w14:schemeClr w14:val="tx1"/>
            </w14:solidFill>
          </w14:textFill>
        </w:rPr>
        <w:t>m。管线开挖过程中采取边开挖边回填措施，开挖土方堆放于管沟一侧的临时堆土区并用防尘网苫盖，不得随意堆放。</w:t>
      </w:r>
    </w:p>
    <w:p w14:paraId="5A3B4365">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施工中要做到分段施工，随挖、随运、随铺、随压，不留疏松地面，提高施工效率，尽可能缩短施工工期。</w:t>
      </w:r>
    </w:p>
    <w:p w14:paraId="2E9559AD">
      <w:pPr>
        <w:pStyle w:val="12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（5）恢复措</w:t>
      </w:r>
      <w:r>
        <w:rPr>
          <w:rFonts w:hint="eastAsia"/>
          <w:color w:val="000000" w:themeColor="text1"/>
          <w14:textFill>
            <w14:solidFill>
              <w14:schemeClr w14:val="tx1"/>
            </w14:solidFill>
          </w14:textFill>
        </w:rPr>
        <w:t>施：</w:t>
      </w:r>
      <w:bookmarkStart w:id="577" w:name="_Hlk148007344"/>
      <w:r>
        <w:rPr>
          <w:rFonts w:hint="eastAsia"/>
          <w:color w:val="000000" w:themeColor="text1"/>
          <w14:textFill>
            <w14:solidFill>
              <w14:schemeClr w14:val="tx1"/>
            </w14:solidFill>
          </w14:textFill>
        </w:rPr>
        <w:t>施工结束后，及时对施工场地进行平整，做到“工完、料净、场地清”，以便后期植被自然恢复；</w:t>
      </w:r>
      <w:bookmarkEnd w:id="577"/>
      <w:r>
        <w:rPr>
          <w:rFonts w:hint="eastAsia"/>
          <w:color w:val="000000" w:themeColor="text1"/>
          <w14:textFill>
            <w14:solidFill>
              <w14:schemeClr w14:val="tx1"/>
            </w14:solidFill>
          </w14:textFill>
        </w:rPr>
        <w:t>尽量利用施工时产生的表层土对临时占地进行覆盖，覆盖厚度根据植被恢复类型和场地用途决定；采用自然恢复的方式对区域植被进行恢复</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为分段施工，建议“边施工、边修复”。恢复后的野生植被覆盖率不应低于区域范围内同类型土地野生植被覆盖率，植被类型应与原有类型相似，并与周边自然景观协调，不得使用外来有害物种进行占地范围内的植被恢复。</w:t>
      </w:r>
    </w:p>
    <w:p w14:paraId="329E0F7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补偿措施：建设单位应按照《中华人民共和国土地管理法》和《新疆维吾尔自治区实施〈中华人民共和国土地管理法〉办法》中的有关规定，依法办理占地手续，足额缴纳生态补偿费。因项目占地造成的植被损失应按规定进行经济补偿，专款用于植被恢复</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本工程经济补偿费用由建设单位按规定向林业和草原主管部门负责实施缴纳，具体补种及植被恢复由林业和草原主管部门负责实施。</w:t>
      </w:r>
    </w:p>
    <w:p w14:paraId="2FE3CDE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（7）环境管理措施</w:t>
      </w:r>
    </w:p>
    <w:p w14:paraId="515E3523">
      <w:pPr>
        <w:pStyle w:val="12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①</w:t>
      </w:r>
      <w:r>
        <w:rPr>
          <w:rFonts w:hint="eastAsia"/>
          <w:color w:val="000000" w:themeColor="text1"/>
          <w14:textFill>
            <w14:solidFill>
              <w14:schemeClr w14:val="tx1"/>
            </w14:solidFill>
          </w14:textFill>
        </w:rPr>
        <w:t>确保各环保设施正常运行，避免各种污染物对土壤环境的影响，并进一步影响其上部生长的荒漠植被；避免强噪声环境的出现，避免对野生动物的惊扰。</w:t>
      </w:r>
    </w:p>
    <w:p w14:paraId="262957F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加强野生动物尤其是国家二级保护动物</w:t>
      </w:r>
      <w:r>
        <w:rPr>
          <w:rFonts w:hint="eastAsia"/>
          <w:color w:val="000000" w:themeColor="text1"/>
          <w14:textFill>
            <w14:solidFill>
              <w14:schemeClr w14:val="tx1"/>
            </w14:solidFill>
          </w14:textFill>
        </w:rPr>
        <w:t>鹅喉羚的保护</w:t>
      </w:r>
      <w:r>
        <w:rPr>
          <w:color w:val="000000" w:themeColor="text1"/>
          <w14:textFill>
            <w14:solidFill>
              <w14:schemeClr w14:val="tx1"/>
            </w14:solidFill>
          </w14:textFill>
        </w:rPr>
        <w:t>，对施工人员和职工的教育，强化保护野生动植物的观念，严禁捕杀任何野生动物</w:t>
      </w:r>
      <w:r>
        <w:rPr>
          <w:rFonts w:hint="eastAsia"/>
          <w:color w:val="000000" w:themeColor="text1"/>
          <w14:textFill>
            <w14:solidFill>
              <w14:schemeClr w14:val="tx1"/>
            </w14:solidFill>
          </w14:textFill>
        </w:rPr>
        <w:t>。</w:t>
      </w:r>
    </w:p>
    <w:p w14:paraId="1B2110F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③加强施工期环境监理，监理的重点内容：2井式平台井场、采油井场、注水井场、管线等工程施工情况、施工结束后的植被恢复，野生动物保护，以及材料堆放、施工方式等环境保护内容。</w:t>
      </w:r>
    </w:p>
    <w:p w14:paraId="0DCCC970">
      <w:pPr>
        <w:pStyle w:val="120"/>
        <w:ind w:firstLine="48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④按照相关要求，制定并严格落实生态环境保护和恢复治理方案，按照“边开发边治理”原则实施各项生态恢复措施。</w:t>
      </w:r>
    </w:p>
    <w:p w14:paraId="5E9503A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rFonts w:hint="eastAsia"/>
          <w:color w:val="000000" w:themeColor="text1"/>
          <w:lang w:val="en-US" w:eastAsia="zh-CN"/>
          <w14:textFill>
            <w14:solidFill>
              <w14:schemeClr w14:val="tx1"/>
            </w14:solidFill>
          </w14:textFill>
        </w:rPr>
        <w:t>天然牧草地、园地</w:t>
      </w:r>
      <w:r>
        <w:rPr>
          <w:rFonts w:hint="eastAsia"/>
          <w:color w:val="000000" w:themeColor="text1"/>
          <w14:textFill>
            <w14:solidFill>
              <w14:schemeClr w14:val="tx1"/>
            </w14:solidFill>
          </w14:textFill>
        </w:rPr>
        <w:t>保护措施</w:t>
      </w:r>
    </w:p>
    <w:p w14:paraId="15BA571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①管线选线过程中尽量避开植被茂密区，减少破坏</w:t>
      </w:r>
      <w:r>
        <w:rPr>
          <w:rFonts w:hint="eastAsia"/>
          <w:color w:val="000000" w:themeColor="text1"/>
          <w:lang w:val="en-US" w:eastAsia="zh-CN"/>
          <w14:textFill>
            <w14:solidFill>
              <w14:schemeClr w14:val="tx1"/>
            </w14:solidFill>
          </w14:textFill>
        </w:rPr>
        <w:t>天然牧草地和园地</w:t>
      </w:r>
      <w:r>
        <w:rPr>
          <w:rFonts w:hint="eastAsia"/>
          <w:color w:val="000000" w:themeColor="text1"/>
          <w14:textFill>
            <w14:solidFill>
              <w14:schemeClr w14:val="tx1"/>
            </w14:solidFill>
          </w14:textFill>
        </w:rPr>
        <w:t>中的植被。</w:t>
      </w:r>
    </w:p>
    <w:p w14:paraId="28ACE2E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②项目建设过程中，应当不占或者少占草</w:t>
      </w:r>
      <w:r>
        <w:rPr>
          <w:rFonts w:hint="eastAsia"/>
          <w:color w:val="000000" w:themeColor="text1"/>
          <w:lang w:val="en-US" w:eastAsia="zh-CN"/>
          <w14:textFill>
            <w14:solidFill>
              <w14:schemeClr w14:val="tx1"/>
            </w14:solidFill>
          </w14:textFill>
        </w:rPr>
        <w:t>地和园地</w:t>
      </w:r>
      <w:r>
        <w:rPr>
          <w:rFonts w:hint="eastAsia"/>
          <w:color w:val="000000" w:themeColor="text1"/>
          <w14:textFill>
            <w14:solidFill>
              <w14:schemeClr w14:val="tx1"/>
            </w14:solidFill>
          </w14:textFill>
        </w:rPr>
        <w:t>；依照有关土地管理的法律、行政法规办理建设用地审批手续。</w:t>
      </w:r>
    </w:p>
    <w:p w14:paraId="0B88A86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③施工过程中严格规定各类工作人员活动范围，最大限度减少对地表植被生存环境的踩踏破坏。</w:t>
      </w:r>
    </w:p>
    <w:p w14:paraId="14B263D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④管线设计时应尽量避免植被密集区域，减少</w:t>
      </w:r>
      <w:r>
        <w:rPr>
          <w:rFonts w:hint="eastAsia"/>
          <w:color w:val="000000" w:themeColor="text1"/>
          <w:lang w:val="en-US" w:eastAsia="zh-CN"/>
          <w14:textFill>
            <w14:solidFill>
              <w14:schemeClr w14:val="tx1"/>
            </w14:solidFill>
          </w14:textFill>
        </w:rPr>
        <w:t>天然牧草地和园地</w:t>
      </w:r>
      <w:r>
        <w:rPr>
          <w:rFonts w:hint="eastAsia"/>
          <w:color w:val="000000" w:themeColor="text1"/>
          <w14:textFill>
            <w14:solidFill>
              <w14:schemeClr w14:val="tx1"/>
            </w14:solidFill>
          </w14:textFill>
        </w:rPr>
        <w:t>的占用。管线敷设施工宽度应控制在设计标准范围内，并尽量沿已有道路纵向平行布设。在满足有关安全规范的基础上，减少占用土地。</w:t>
      </w:r>
    </w:p>
    <w:p w14:paraId="1AAE28A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划定施工活动范围，严格控制和管理车辆及重型机械的运行范围。施工过程中，加强施工人员的管理，禁止施工人员对草地植被进行乱砍滥伐，严格限制人员的活动范围，使之限于在各施工区域范围内活动，最大限度减少对地表植被生境的破坏。</w:t>
      </w:r>
    </w:p>
    <w:p w14:paraId="265B0CF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（9）对周围农田（一般耕地和永久基本农田）的保护措施</w:t>
      </w:r>
    </w:p>
    <w:p w14:paraId="3AB482F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①本项目</w:t>
      </w:r>
      <w:r>
        <w:rPr>
          <w:rFonts w:hint="eastAsia"/>
          <w:color w:val="000000" w:themeColor="text1"/>
          <w:lang w:val="en-US" w:eastAsia="zh-CN"/>
          <w14:textFill>
            <w14:solidFill>
              <w14:schemeClr w14:val="tx1"/>
            </w14:solidFill>
          </w14:textFill>
        </w:rPr>
        <w:t>不占用</w:t>
      </w:r>
      <w:r>
        <w:rPr>
          <w:rFonts w:hint="eastAsia"/>
          <w:color w:val="000000" w:themeColor="text1"/>
          <w14:textFill>
            <w14:solidFill>
              <w14:schemeClr w14:val="tx1"/>
            </w14:solidFill>
          </w14:textFill>
        </w:rPr>
        <w:t>一般耕地和永久基本农田</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JD8664A</w:t>
      </w:r>
      <w:r>
        <w:rPr>
          <w:rFonts w:hint="eastAsia"/>
          <w:color w:val="000000" w:themeColor="text1"/>
          <w:lang w:val="en-US"/>
          <w14:textFill>
            <w14:solidFill>
              <w14:schemeClr w14:val="tx1"/>
            </w14:solidFill>
          </w14:textFill>
        </w:rPr>
        <w:t>井占用其他园地，项目区周边分布有</w:t>
      </w:r>
      <w:r>
        <w:rPr>
          <w:rFonts w:hint="eastAsia"/>
          <w:color w:val="000000" w:themeColor="text1"/>
          <w14:textFill>
            <w14:solidFill>
              <w14:schemeClr w14:val="tx1"/>
            </w14:solidFill>
          </w14:textFill>
        </w:rPr>
        <w:t>一般耕地</w:t>
      </w:r>
      <w:r>
        <w:rPr>
          <w:rFonts w:hint="eastAsia"/>
          <w:color w:val="000000" w:themeColor="text1"/>
          <w:lang w:val="en-US"/>
          <w14:textFill>
            <w14:solidFill>
              <w14:schemeClr w14:val="tx1"/>
            </w14:solidFill>
          </w14:textFill>
        </w:rPr>
        <w:t>和永久基本农田</w:t>
      </w:r>
      <w:r>
        <w:rPr>
          <w:rFonts w:hint="eastAsia" w:cs="宋体"/>
          <w:color w:val="000000" w:themeColor="text1"/>
          <w:spacing w:val="-10"/>
          <w:szCs w:val="21"/>
          <w14:textFill>
            <w14:solidFill>
              <w14:schemeClr w14:val="tx1"/>
            </w14:solidFill>
          </w14:textFill>
        </w:rPr>
        <w:t>。</w:t>
      </w:r>
      <w:r>
        <w:rPr>
          <w:rFonts w:hint="eastAsia"/>
          <w:color w:val="000000" w:themeColor="text1"/>
          <w14:textFill>
            <w14:solidFill>
              <w14:schemeClr w14:val="tx1"/>
            </w14:solidFill>
          </w14:textFill>
        </w:rPr>
        <w:t>施工过程中严格规定各类工作人员和车辆及重型机械活动范围，最大限度减少对地表植被生存环境的</w:t>
      </w:r>
      <w:r>
        <w:rPr>
          <w:rFonts w:hint="eastAsia"/>
          <w:color w:val="000000" w:themeColor="text1"/>
          <w:lang w:val="en-US" w:eastAsia="zh-CN"/>
          <w14:textFill>
            <w14:solidFill>
              <w14:schemeClr w14:val="tx1"/>
            </w14:solidFill>
          </w14:textFill>
        </w:rPr>
        <w:t>踩踏</w:t>
      </w:r>
      <w:r>
        <w:rPr>
          <w:rFonts w:hint="eastAsia"/>
          <w:color w:val="000000" w:themeColor="text1"/>
          <w14:textFill>
            <w14:solidFill>
              <w14:schemeClr w14:val="tx1"/>
            </w14:solidFill>
          </w14:textFill>
        </w:rPr>
        <w:t>破坏。施工期间不得在一般耕地及永久基本农田范围内堆放固体废弃物或者进行其他破坏活动。因地制宜地选择施工时段，避免大风天气施工，减少因施工产生的扬尘对农田土壤影响，从而造成当季农作物减产。</w:t>
      </w:r>
    </w:p>
    <w:p w14:paraId="3A10833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②因发生事故或者其他突然性事件，造成或者可能造成基本农田环境污染事故的，当事人必须立即采取措施处理，并向当地生态环境主管部门和农业主管部门报告。</w:t>
      </w:r>
    </w:p>
    <w:p w14:paraId="26868DC7">
      <w:pPr>
        <w:pStyle w:val="462"/>
        <w:rPr>
          <w:rFonts w:hint="eastAsia"/>
          <w:color w:val="000000" w:themeColor="text1"/>
          <w:lang w:bidi="ar"/>
          <w14:textFill>
            <w14:solidFill>
              <w14:schemeClr w14:val="tx1"/>
            </w14:solidFill>
          </w14:textFill>
        </w:rPr>
      </w:pPr>
      <w:bookmarkStart w:id="578" w:name="_Hlk212974983"/>
      <w:r>
        <w:rPr>
          <w:rFonts w:hint="eastAsia"/>
          <w:color w:val="000000" w:themeColor="text1"/>
          <w14:textFill>
            <w14:solidFill>
              <w14:schemeClr w14:val="tx1"/>
            </w14:solidFill>
          </w14:textFill>
        </w:rPr>
        <w:t>③</w:t>
      </w:r>
      <w:r>
        <w:rPr>
          <w:rFonts w:hint="eastAsia"/>
          <w:color w:val="000000" w:themeColor="text1"/>
          <w:lang w:bidi="ar"/>
          <w14:textFill>
            <w14:solidFill>
              <w14:schemeClr w14:val="tx1"/>
            </w14:solidFill>
          </w14:textFill>
        </w:rPr>
        <w:t>施工期间施工车辆及人员不得进入周边的永久基本农田和一般耕地，禁止将废水和固体废物排至一般耕地和永久基本农田里</w:t>
      </w:r>
      <w:bookmarkEnd w:id="578"/>
      <w:r>
        <w:rPr>
          <w:rFonts w:hint="eastAsia"/>
          <w:color w:val="000000" w:themeColor="text1"/>
          <w:lang w:bidi="ar"/>
          <w14:textFill>
            <w14:solidFill>
              <w14:schemeClr w14:val="tx1"/>
            </w14:solidFill>
          </w14:textFill>
        </w:rPr>
        <w:t>。因地制宜地选择施工时段，避免大风天气施工，减少因施工产生的扬尘对农田土壤影响，从而造成当季农作物减产。</w:t>
      </w:r>
    </w:p>
    <w:p w14:paraId="12F9D8FF">
      <w:pPr>
        <w:pStyle w:val="462"/>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④</w:t>
      </w:r>
      <w:r>
        <w:rPr>
          <w:rFonts w:hint="eastAsia"/>
          <w:color w:val="000000" w:themeColor="text1"/>
          <w:lang w:val="en-US" w:eastAsia="zh-CN" w:bidi="ar"/>
          <w14:textFill>
            <w14:solidFill>
              <w14:schemeClr w14:val="tx1"/>
            </w14:solidFill>
          </w14:textFill>
        </w:rPr>
        <w:t>施工机械及车辆停放须位于</w:t>
      </w:r>
      <w:r>
        <w:rPr>
          <w:rFonts w:hint="eastAsia"/>
          <w:color w:val="000000" w:themeColor="text1"/>
          <w:lang w:bidi="ar"/>
          <w14:textFill>
            <w14:solidFill>
              <w14:schemeClr w14:val="tx1"/>
            </w14:solidFill>
          </w14:textFill>
        </w:rPr>
        <w:t>用彩条旗方式圈定</w:t>
      </w:r>
      <w:r>
        <w:rPr>
          <w:rFonts w:hint="eastAsia"/>
          <w:color w:val="000000" w:themeColor="text1"/>
          <w:lang w:val="en-US" w:eastAsia="zh-CN" w:bidi="ar"/>
          <w14:textFill>
            <w14:solidFill>
              <w14:schemeClr w14:val="tx1"/>
            </w14:solidFill>
          </w14:textFill>
        </w:rPr>
        <w:t>的</w:t>
      </w:r>
      <w:r>
        <w:rPr>
          <w:rFonts w:hint="eastAsia"/>
          <w:color w:val="000000" w:themeColor="text1"/>
          <w:lang w:bidi="ar"/>
          <w14:textFill>
            <w14:solidFill>
              <w14:schemeClr w14:val="tx1"/>
            </w14:solidFill>
          </w14:textFill>
        </w:rPr>
        <w:t>施工用地</w:t>
      </w:r>
      <w:r>
        <w:rPr>
          <w:rFonts w:hint="eastAsia"/>
          <w:color w:val="000000" w:themeColor="text1"/>
          <w:lang w:val="en-US" w:eastAsia="zh-CN" w:bidi="ar"/>
          <w14:textFill>
            <w14:solidFill>
              <w14:schemeClr w14:val="tx1"/>
            </w14:solidFill>
          </w14:textFill>
        </w:rPr>
        <w:t>内，且尽可能远离</w:t>
      </w:r>
      <w:r>
        <w:rPr>
          <w:rFonts w:hint="eastAsia"/>
          <w:color w:val="000000" w:themeColor="text1"/>
          <w14:textFill>
            <w14:solidFill>
              <w14:schemeClr w14:val="tx1"/>
            </w14:solidFill>
          </w14:textFill>
        </w:rPr>
        <w:t>一般耕地和永久基本农田</w:t>
      </w:r>
      <w:r>
        <w:rPr>
          <w:rFonts w:hint="eastAsia"/>
          <w:color w:val="000000" w:themeColor="text1"/>
          <w:lang w:bidi="ar"/>
          <w14:textFill>
            <w14:solidFill>
              <w14:schemeClr w14:val="tx1"/>
            </w14:solidFill>
          </w14:textFill>
        </w:rPr>
        <w:t>停放，并对施工材料进行必要的围挡、加盖篷布等，防止运输车辆或者施工材料滑落破坏</w:t>
      </w:r>
      <w:r>
        <w:rPr>
          <w:rFonts w:hint="eastAsia"/>
          <w:color w:val="000000" w:themeColor="text1"/>
          <w:lang w:val="en-US" w:eastAsia="zh-CN" w:bidi="ar"/>
          <w14:textFill>
            <w14:solidFill>
              <w14:schemeClr w14:val="tx1"/>
            </w14:solidFill>
          </w14:textFill>
        </w:rPr>
        <w:t>永久基本农田</w:t>
      </w:r>
      <w:r>
        <w:rPr>
          <w:rFonts w:hint="eastAsia"/>
          <w:color w:val="000000" w:themeColor="text1"/>
          <w:lang w:bidi="ar"/>
          <w14:textFill>
            <w14:solidFill>
              <w14:schemeClr w14:val="tx1"/>
            </w14:solidFill>
          </w14:textFill>
        </w:rPr>
        <w:t>的</w:t>
      </w:r>
      <w:r>
        <w:rPr>
          <w:rFonts w:hint="eastAsia"/>
          <w:color w:val="000000" w:themeColor="text1"/>
          <w:lang w:val="en-US" w:eastAsia="zh-CN" w:bidi="ar"/>
          <w14:textFill>
            <w14:solidFill>
              <w14:schemeClr w14:val="tx1"/>
            </w14:solidFill>
          </w14:textFill>
        </w:rPr>
        <w:t>农作物和土壤</w:t>
      </w:r>
      <w:r>
        <w:rPr>
          <w:rFonts w:hint="eastAsia"/>
          <w:color w:val="000000" w:themeColor="text1"/>
          <w:lang w:bidi="ar"/>
          <w14:textFill>
            <w14:solidFill>
              <w14:schemeClr w14:val="tx1"/>
            </w14:solidFill>
          </w14:textFill>
        </w:rPr>
        <w:t>。</w:t>
      </w:r>
    </w:p>
    <w:bookmarkEnd w:id="569"/>
    <w:bookmarkEnd w:id="570"/>
    <w:bookmarkEnd w:id="571"/>
    <w:bookmarkEnd w:id="572"/>
    <w:p w14:paraId="16066FFA">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水土流失防治措施</w:t>
      </w:r>
    </w:p>
    <w:p w14:paraId="10028C49">
      <w:pPr>
        <w:pStyle w:val="193"/>
        <w:rPr>
          <w:rFonts w:hint="eastAsia"/>
          <w:color w:val="000000" w:themeColor="text1"/>
          <w14:textFill>
            <w14:solidFill>
              <w14:schemeClr w14:val="tx1"/>
            </w14:solidFill>
          </w14:textFill>
        </w:rPr>
      </w:pPr>
      <w:bookmarkStart w:id="579" w:name="_Hlk147587195"/>
      <w:bookmarkStart w:id="580" w:name="_Hlk80202941"/>
      <w:r>
        <w:rPr>
          <w:rFonts w:hint="eastAsia"/>
          <w:color w:val="000000" w:themeColor="text1"/>
          <w14:textFill>
            <w14:solidFill>
              <w14:schemeClr w14:val="tx1"/>
            </w14:solidFill>
          </w14:textFill>
        </w:rPr>
        <w:t>（1）严格控制各项工程作业面积，井场范围采取彩条旗限界措施，控制施工边界减少扰动地表面积；严禁毁坏占地范围外的自然植被</w:t>
      </w:r>
      <w:r>
        <w:rPr>
          <w:rFonts w:hint="eastAsia"/>
          <w:color w:val="000000" w:themeColor="text1"/>
          <w:lang w:val="en-US" w:eastAsia="zh-CN"/>
          <w14:textFill>
            <w14:solidFill>
              <w14:schemeClr w14:val="tx1"/>
            </w14:solidFill>
          </w14:textFill>
        </w:rPr>
        <w:t>和农作物</w:t>
      </w:r>
      <w:r>
        <w:rPr>
          <w:rFonts w:hint="eastAsia"/>
          <w:color w:val="000000" w:themeColor="text1"/>
          <w14:textFill>
            <w14:solidFill>
              <w14:schemeClr w14:val="tx1"/>
            </w14:solidFill>
          </w14:textFill>
        </w:rPr>
        <w:t>。</w:t>
      </w:r>
    </w:p>
    <w:p w14:paraId="4CCC846A">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（2）井场永久占地范围内采用砾石铺垫，管线管沟开挖时</w:t>
      </w:r>
      <w:r>
        <w:rPr>
          <w:rFonts w:hint="eastAsia"/>
          <w:color w:val="000000" w:themeColor="text1"/>
          <w:spacing w:val="-6"/>
          <w14:textFill>
            <w14:solidFill>
              <w14:schemeClr w14:val="tx1"/>
            </w14:solidFill>
          </w14:textFill>
        </w:rPr>
        <w:t>产生的临时土方</w:t>
      </w:r>
      <w:r>
        <w:rPr>
          <w:color w:val="000000" w:themeColor="text1"/>
          <w14:textFill>
            <w14:solidFill>
              <w14:schemeClr w14:val="tx1"/>
            </w14:solidFill>
          </w14:textFill>
        </w:rPr>
        <w:t>临时堆放</w:t>
      </w:r>
      <w:r>
        <w:rPr>
          <w:rFonts w:hint="eastAsia"/>
          <w:color w:val="000000" w:themeColor="text1"/>
          <w14:textFill>
            <w14:solidFill>
              <w14:schemeClr w14:val="tx1"/>
            </w14:solidFill>
          </w14:textFill>
        </w:rPr>
        <w:t>管沟旁</w:t>
      </w:r>
      <w:r>
        <w:rPr>
          <w:color w:val="000000" w:themeColor="text1"/>
          <w14:textFill>
            <w14:solidFill>
              <w14:schemeClr w14:val="tx1"/>
            </w14:solidFill>
          </w14:textFill>
        </w:rPr>
        <w:t>，</w:t>
      </w:r>
      <w:r>
        <w:rPr>
          <w:rFonts w:hint="eastAsia"/>
          <w:color w:val="000000" w:themeColor="text1"/>
          <w:spacing w:val="-6"/>
          <w14:textFill>
            <w14:solidFill>
              <w14:schemeClr w14:val="tx1"/>
            </w14:solidFill>
          </w14:textFill>
        </w:rPr>
        <w:t>采用</w:t>
      </w:r>
      <w:r>
        <w:rPr>
          <w:rFonts w:hint="eastAsia"/>
          <w:color w:val="000000" w:themeColor="text1"/>
          <w14:textFill>
            <w14:solidFill>
              <w14:schemeClr w14:val="tx1"/>
            </w14:solidFill>
          </w14:textFill>
        </w:rPr>
        <w:t>防尘布（或网）进行苫盖。</w:t>
      </w:r>
    </w:p>
    <w:bookmarkEnd w:id="579"/>
    <w:p w14:paraId="5D00C3AD">
      <w:pPr>
        <w:pStyle w:val="193"/>
        <w:rPr>
          <w:rFonts w:hint="eastAsia"/>
          <w:color w:val="000000" w:themeColor="text1"/>
          <w14:textFill>
            <w14:solidFill>
              <w14:schemeClr w14:val="tx1"/>
            </w14:solidFill>
          </w14:textFill>
        </w:rPr>
      </w:pPr>
      <w:bookmarkStart w:id="581" w:name="_Hlk147587209"/>
      <w:r>
        <w:rPr>
          <w:rFonts w:hint="eastAsia"/>
          <w:color w:val="000000" w:themeColor="text1"/>
          <w14:textFill>
            <w14:solidFill>
              <w14:schemeClr w14:val="tx1"/>
            </w14:solidFill>
          </w14:textFill>
        </w:rPr>
        <w:t>（3）严格控制和管理运输车辆的运行范围，不得离开运输道路及随意驾驶。由专人监督负责，以防破坏土壤和植被。</w:t>
      </w:r>
    </w:p>
    <w:p w14:paraId="015FB6A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）建设单位自行或委托有资质的单位编制水土保持方案，并报相关部门审批；并根据相关技术规范进行水土保持监测，并将监测情况定期上报当地水行政主管部门。</w:t>
      </w:r>
    </w:p>
    <w:p w14:paraId="4FEE6F8B">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（5）管沟开挖土方全部回填，管沟回填应分层回填，以利施工带土壤和植被的尽早恢复。回填后应予以平整、压实，以免发生水土流失。</w:t>
      </w:r>
    </w:p>
    <w:bookmarkEnd w:id="581"/>
    <w:p w14:paraId="093A09A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）工程主管部门积极主动，加强水土保护管理，对工作人员进行培训和教育，自觉保持水土，保护植被，不随意乱采乱挖沿线植被。</w:t>
      </w:r>
    </w:p>
    <w:p w14:paraId="12912F0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）施工区域设置水土保持宣传警示牌，切实增强保护生态环境的意识。</w:t>
      </w:r>
    </w:p>
    <w:p w14:paraId="66C5CD79">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优化施工组织，避免大风、雨天气下施工，特别是管线管沟开挖和回填作业；合理安排施工进度与时序，缩小裸露面积和减少裸露时间，减少施工过程中因降水和风等水土流失影响因素可能产生的水土流失。</w:t>
      </w:r>
    </w:p>
    <w:p w14:paraId="4D68820F">
      <w:pPr>
        <w:pStyle w:val="12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（9）</w:t>
      </w:r>
      <w:r>
        <w:rPr>
          <w:rFonts w:hint="eastAsia"/>
          <w:color w:val="000000" w:themeColor="text1"/>
          <w:lang w:bidi="ar"/>
          <w14:textFill>
            <w14:solidFill>
              <w14:schemeClr w14:val="tx1"/>
            </w14:solidFill>
          </w14:textFill>
        </w:rPr>
        <w:t>管线施工作业结束后，对现场进行回填平整，并尽可能覆土压实，以防水土流失。</w:t>
      </w:r>
    </w:p>
    <w:p w14:paraId="3D5250E4">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防沙治沙措施</w:t>
      </w:r>
    </w:p>
    <w:p w14:paraId="19F613B2">
      <w:pPr>
        <w:pStyle w:val="193"/>
        <w:rPr>
          <w:rFonts w:hint="eastAsia"/>
          <w:color w:val="000000" w:themeColor="text1"/>
          <w:lang w:bidi="ar"/>
          <w14:textFill>
            <w14:solidFill>
              <w14:schemeClr w14:val="tx1"/>
            </w14:solidFill>
          </w14:textFill>
        </w:rPr>
      </w:pPr>
      <w:bookmarkStart w:id="582" w:name="_Hlk147587221"/>
      <w:r>
        <w:rPr>
          <w:rFonts w:hint="eastAsia"/>
          <w:color w:val="000000" w:themeColor="text1"/>
          <w:lang w:bidi="ar"/>
          <w14:textFill>
            <w14:solidFill>
              <w14:schemeClr w14:val="tx1"/>
            </w14:solidFill>
          </w14:textFill>
        </w:rPr>
        <w:t>在防沙、治沙方面，要坚持“因地制宜、因害设防、保护优先、综合治理”的原则，坚持宜乔则乔、宜灌则灌、宜草则草，采取以林草植被建设为主的综合措施，加强地表覆盖，减少尘源。建设单位</w:t>
      </w:r>
      <w:bookmarkStart w:id="583" w:name="_Hlk33712889"/>
      <w:r>
        <w:rPr>
          <w:rFonts w:hint="eastAsia"/>
          <w:color w:val="000000" w:themeColor="text1"/>
          <w:lang w:bidi="ar"/>
          <w14:textFill>
            <w14:solidFill>
              <w14:schemeClr w14:val="tx1"/>
            </w14:solidFill>
          </w14:textFill>
        </w:rPr>
        <w:t>应严格按照</w:t>
      </w:r>
      <w:bookmarkStart w:id="584" w:name="_Hlk93499015"/>
      <w:r>
        <w:rPr>
          <w:rFonts w:hint="eastAsia"/>
          <w:color w:val="000000" w:themeColor="text1"/>
          <w:lang w:bidi="ar"/>
          <w14:textFill>
            <w14:solidFill>
              <w14:schemeClr w14:val="tx1"/>
            </w14:solidFill>
          </w14:textFill>
        </w:rPr>
        <w:t>《中华人民共和国防沙治沙法》</w:t>
      </w:r>
      <w:bookmarkEnd w:id="584"/>
      <w:r>
        <w:rPr>
          <w:rFonts w:hint="eastAsia"/>
          <w:color w:val="000000" w:themeColor="text1"/>
          <w:lang w:bidi="ar"/>
          <w14:textFill>
            <w14:solidFill>
              <w14:schemeClr w14:val="tx1"/>
            </w14:solidFill>
          </w14:textFill>
        </w:rPr>
        <w:t>《关于加强沙区建设项目环境影响评价工作的通知》（新环环评发〔2</w:t>
      </w:r>
      <w:r>
        <w:rPr>
          <w:color w:val="000000" w:themeColor="text1"/>
          <w:lang w:bidi="ar"/>
          <w14:textFill>
            <w14:solidFill>
              <w14:schemeClr w14:val="tx1"/>
            </w14:solidFill>
          </w14:textFill>
        </w:rPr>
        <w:t>020</w:t>
      </w:r>
      <w:r>
        <w:rPr>
          <w:rFonts w:hint="eastAsia"/>
          <w:color w:val="000000" w:themeColor="text1"/>
          <w:lang w:bidi="ar"/>
          <w14:textFill>
            <w14:solidFill>
              <w14:schemeClr w14:val="tx1"/>
            </w14:solidFill>
          </w14:textFill>
        </w:rPr>
        <w:t>〕1</w:t>
      </w:r>
      <w:r>
        <w:rPr>
          <w:color w:val="000000" w:themeColor="text1"/>
          <w:lang w:bidi="ar"/>
          <w14:textFill>
            <w14:solidFill>
              <w14:schemeClr w14:val="tx1"/>
            </w14:solidFill>
          </w14:textFill>
        </w:rPr>
        <w:t>38</w:t>
      </w:r>
      <w:r>
        <w:rPr>
          <w:rFonts w:hint="eastAsia"/>
          <w:color w:val="000000" w:themeColor="text1"/>
          <w:lang w:bidi="ar"/>
          <w14:textFill>
            <w14:solidFill>
              <w14:schemeClr w14:val="tx1"/>
            </w14:solidFill>
          </w14:textFill>
        </w:rPr>
        <w:t>号）中有关规定，执行以下防沙治沙防治</w:t>
      </w:r>
      <w:bookmarkEnd w:id="583"/>
      <w:r>
        <w:rPr>
          <w:rFonts w:hint="eastAsia"/>
          <w:color w:val="000000" w:themeColor="text1"/>
          <w:lang w:bidi="ar"/>
          <w14:textFill>
            <w14:solidFill>
              <w14:schemeClr w14:val="tx1"/>
            </w14:solidFill>
          </w14:textFill>
        </w:rPr>
        <w:t>措施：</w:t>
      </w:r>
    </w:p>
    <w:p w14:paraId="105E577A">
      <w:pPr>
        <w:pStyle w:val="120"/>
        <w:rPr>
          <w:rFonts w:hint="eastAsia"/>
          <w:color w:val="000000" w:themeColor="text1"/>
          <w:lang w:bidi="ar"/>
          <w14:textFill>
            <w14:solidFill>
              <w14:schemeClr w14:val="tx1"/>
            </w14:solidFill>
          </w14:textFill>
        </w:rPr>
      </w:pPr>
      <w:bookmarkStart w:id="585" w:name="_Hlk93499052"/>
      <w:r>
        <w:rPr>
          <w:rFonts w:hint="eastAsia"/>
          <w:color w:val="000000" w:themeColor="text1"/>
          <w:lang w:bidi="ar"/>
          <w14:textFill>
            <w14:solidFill>
              <w14:schemeClr w14:val="tx1"/>
            </w14:solidFill>
          </w14:textFill>
        </w:rPr>
        <w:t>（1）大力宣传《中华人民共和国防沙治沙法》，使施工人员知法、懂法、守法，自觉保护林草植被，自觉履行防治义务。禁止随意砍挖灌木、药材及其他固沙植物。</w:t>
      </w:r>
    </w:p>
    <w:p w14:paraId="0E4EA58F">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2</w:t>
      </w:r>
      <w:r>
        <w:rPr>
          <w:rFonts w:hint="eastAsia"/>
          <w:color w:val="000000" w:themeColor="text1"/>
          <w:lang w:bidi="ar"/>
          <w14:textFill>
            <w14:solidFill>
              <w14:schemeClr w14:val="tx1"/>
            </w14:solidFill>
          </w14:textFill>
        </w:rPr>
        <w:t>）施工结束后对占地进行平整，清运现场遗留的污染物，按照正式征地文件的规定对占地进行经济补偿。</w:t>
      </w:r>
    </w:p>
    <w:p w14:paraId="7A32284D">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3</w:t>
      </w:r>
      <w:r>
        <w:rPr>
          <w:rFonts w:hint="eastAsia"/>
          <w:color w:val="000000" w:themeColor="text1"/>
          <w:lang w:bidi="ar"/>
          <w14:textFill>
            <w14:solidFill>
              <w14:schemeClr w14:val="tx1"/>
            </w14:solidFill>
          </w14:textFill>
        </w:rPr>
        <w:t>）严格控制各项工程作业面积，井场永久占地范围内用砾石铺垫，道路采用砂石路面结构，所有车辆尽量走统一车辙，避免开辟新路，以减少风沙活动。</w:t>
      </w:r>
    </w:p>
    <w:p w14:paraId="71410B81">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r>
        <w:rPr>
          <w:color w:val="000000" w:themeColor="text1"/>
          <w:lang w:bidi="ar"/>
          <w14:textFill>
            <w14:solidFill>
              <w14:schemeClr w14:val="tx1"/>
            </w14:solidFill>
          </w14:textFill>
        </w:rPr>
        <w:t>4</w:t>
      </w:r>
      <w:r>
        <w:rPr>
          <w:rFonts w:hint="eastAsia"/>
          <w:color w:val="000000" w:themeColor="text1"/>
          <w:lang w:bidi="ar"/>
          <w14:textFill>
            <w14:solidFill>
              <w14:schemeClr w14:val="tx1"/>
            </w14:solidFill>
          </w14:textFill>
        </w:rPr>
        <w:t>）加强对野生植物的保护，严禁破坏梭梭、柽柳等优良固沙植被；加强运营期管理，严禁随意开设巡检道路，防止因人为扰动而加剧项目区沙化程度。</w:t>
      </w:r>
      <w:bookmarkEnd w:id="585"/>
    </w:p>
    <w:p w14:paraId="0CE53457">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r>
        <w:rPr>
          <w:rFonts w:hint="eastAsia"/>
          <w:color w:val="000000" w:themeColor="text1"/>
          <w:lang w:val="en-US" w:eastAsia="zh-CN" w:bidi="ar"/>
          <w14:textFill>
            <w14:solidFill>
              <w14:schemeClr w14:val="tx1"/>
            </w14:solidFill>
          </w14:textFill>
        </w:rPr>
        <w:t>5</w:t>
      </w:r>
      <w:r>
        <w:rPr>
          <w:rFonts w:hint="eastAsia"/>
          <w:color w:val="000000" w:themeColor="text1"/>
          <w:lang w:bidi="ar"/>
          <w14:textFill>
            <w14:solidFill>
              <w14:schemeClr w14:val="tx1"/>
            </w14:solidFill>
          </w14:textFill>
        </w:rPr>
        <w:t>）优化施工组织，避免在大风天气进行土方作业。缩短施工时间，管线施工作业时应分段作业，开挖的土方应分层开挖、分层堆放、分层回填，挖方全部回填，管廊上方土方平整压实；管线施工产生的临时堆土采用防尘网苫盖。</w:t>
      </w:r>
    </w:p>
    <w:p w14:paraId="6674FAC0">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r>
        <w:rPr>
          <w:rFonts w:hint="eastAsia"/>
          <w:color w:val="000000" w:themeColor="text1"/>
          <w:lang w:val="en-US" w:eastAsia="zh-CN" w:bidi="ar"/>
          <w14:textFill>
            <w14:solidFill>
              <w14:schemeClr w14:val="tx1"/>
            </w14:solidFill>
          </w14:textFill>
        </w:rPr>
        <w:t>6</w:t>
      </w:r>
      <w:r>
        <w:rPr>
          <w:rFonts w:hint="eastAsia"/>
          <w:color w:val="000000" w:themeColor="text1"/>
          <w:lang w:bidi="ar"/>
          <w14:textFill>
            <w14:solidFill>
              <w14:schemeClr w14:val="tx1"/>
            </w14:solidFill>
          </w14:textFill>
        </w:rPr>
        <w:t>）</w:t>
      </w:r>
      <w:r>
        <w:rPr>
          <w:rFonts w:hint="eastAsia"/>
          <w:color w:val="000000" w:themeColor="text1"/>
          <w14:textFill>
            <w14:solidFill>
              <w14:schemeClr w14:val="tx1"/>
            </w14:solidFill>
          </w14:textFill>
        </w:rPr>
        <w:t>新建2井式平台井场、单井采油井场、注水井场、各类集输管线、架空线路</w:t>
      </w:r>
      <w:r>
        <w:rPr>
          <w:rFonts w:hint="eastAsia"/>
          <w:color w:val="000000" w:themeColor="text1"/>
          <w:lang w:bidi="ar"/>
          <w14:textFill>
            <w14:solidFill>
              <w14:schemeClr w14:val="tx1"/>
            </w14:solidFill>
          </w14:textFill>
        </w:rPr>
        <w:t>及道路在选址选线阶段尽量选择在植被稀少或荒漠的区域布点，尽可能避开植物分布密集区域，不占用、不破坏。采取少占地、少破坏植被的原则，缩小施工范围；工程施工结束后采取自然恢复的方式对区域植被进行恢复。</w:t>
      </w:r>
    </w:p>
    <w:p w14:paraId="767F7FF8">
      <w:pPr>
        <w:pStyle w:val="193"/>
        <w:ind w:firstLine="480"/>
        <w:rPr>
          <w:rFonts w:hint="eastAsia"/>
          <w:color w:val="000000" w:themeColor="text1"/>
          <w:lang w:bidi="ar"/>
          <w14:textFill>
            <w14:solidFill>
              <w14:schemeClr w14:val="tx1"/>
            </w14:solidFill>
          </w14:textFill>
        </w:rPr>
      </w:pPr>
      <w:r>
        <w:rPr>
          <w:rFonts w:hint="eastAsia"/>
          <w:color w:val="000000" w:themeColor="text1"/>
          <w:lang w:eastAsia="zh-CN" w:bidi="ar"/>
          <w14:textFill>
            <w14:solidFill>
              <w14:schemeClr w14:val="tx1"/>
            </w14:solidFill>
          </w14:textFill>
        </w:rPr>
        <w:t>（</w:t>
      </w:r>
      <w:r>
        <w:rPr>
          <w:rFonts w:hint="eastAsia"/>
          <w:color w:val="000000" w:themeColor="text1"/>
          <w:lang w:val="en-US" w:eastAsia="zh-CN" w:bidi="ar"/>
          <w14:textFill>
            <w14:solidFill>
              <w14:schemeClr w14:val="tx1"/>
            </w14:solidFill>
          </w14:textFill>
        </w:rPr>
        <w:t>7</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严格控制和管理运输车辆及重型机械的运行线路和范围，不得离开运输</w:t>
      </w:r>
      <w:r>
        <w:rPr>
          <w:rFonts w:hint="eastAsia"/>
          <w:color w:val="000000" w:themeColor="text1"/>
          <w:lang w:eastAsia="zh-CN" w:bidi="ar"/>
          <w14:textFill>
            <w14:solidFill>
              <w14:schemeClr w14:val="tx1"/>
            </w14:solidFill>
          </w14:textFill>
        </w:rPr>
        <w:t>道路</w:t>
      </w:r>
      <w:r>
        <w:rPr>
          <w:rFonts w:hint="eastAsia"/>
          <w:color w:val="000000" w:themeColor="text1"/>
          <w:lang w:bidi="ar"/>
          <w14:textFill>
            <w14:solidFill>
              <w14:schemeClr w14:val="tx1"/>
            </w14:solidFill>
          </w14:textFill>
        </w:rPr>
        <w:t>随意行驶，由专人负责，以防破坏土壤和植被，</w:t>
      </w:r>
      <w:r>
        <w:rPr>
          <w:rFonts w:hint="eastAsia"/>
          <w:color w:val="000000" w:themeColor="text1"/>
          <w:lang w:val="en-US" w:eastAsia="zh-CN" w:bidi="ar"/>
          <w14:textFill>
            <w14:solidFill>
              <w14:schemeClr w14:val="tx1"/>
            </w14:solidFill>
          </w14:textFill>
        </w:rPr>
        <w:t>造成</w:t>
      </w:r>
      <w:r>
        <w:rPr>
          <w:rFonts w:hint="eastAsia"/>
          <w:color w:val="000000" w:themeColor="text1"/>
          <w:lang w:bidi="ar"/>
          <w14:textFill>
            <w14:solidFill>
              <w14:schemeClr w14:val="tx1"/>
            </w14:solidFill>
          </w14:textFill>
        </w:rPr>
        <w:t>土地</w:t>
      </w:r>
      <w:r>
        <w:rPr>
          <w:rFonts w:hint="eastAsia"/>
          <w:color w:val="000000" w:themeColor="text1"/>
          <w:lang w:val="en-US" w:eastAsia="zh-CN" w:bidi="ar"/>
          <w14:textFill>
            <w14:solidFill>
              <w14:schemeClr w14:val="tx1"/>
            </w14:solidFill>
          </w14:textFill>
        </w:rPr>
        <w:t>沙</w:t>
      </w:r>
      <w:r>
        <w:rPr>
          <w:rFonts w:hint="eastAsia"/>
          <w:color w:val="000000" w:themeColor="text1"/>
          <w:lang w:bidi="ar"/>
          <w14:textFill>
            <w14:solidFill>
              <w14:schemeClr w14:val="tx1"/>
            </w14:solidFill>
          </w14:textFill>
        </w:rPr>
        <w:t>化。</w:t>
      </w:r>
    </w:p>
    <w:p w14:paraId="0B690F3D">
      <w:pPr>
        <w:pStyle w:val="120"/>
        <w:rPr>
          <w:rFonts w:hint="eastAsia"/>
          <w:color w:val="000000" w:themeColor="text1"/>
          <w:lang w:bidi="ar"/>
          <w14:textFill>
            <w14:solidFill>
              <w14:schemeClr w14:val="tx1"/>
            </w14:solidFill>
          </w14:textFill>
        </w:rPr>
      </w:pPr>
      <w:r>
        <w:rPr>
          <w:rFonts w:hint="eastAsia"/>
          <w:color w:val="000000" w:themeColor="text1"/>
          <w:lang w:eastAsia="zh-CN" w:bidi="ar"/>
          <w14:textFill>
            <w14:solidFill>
              <w14:schemeClr w14:val="tx1"/>
            </w14:solidFill>
          </w14:textFill>
        </w:rPr>
        <w:t>（</w:t>
      </w:r>
      <w:r>
        <w:rPr>
          <w:rFonts w:hint="eastAsia"/>
          <w:color w:val="000000" w:themeColor="text1"/>
          <w:lang w:val="en-US" w:eastAsia="zh-CN" w:bidi="ar"/>
          <w14:textFill>
            <w14:solidFill>
              <w14:schemeClr w14:val="tx1"/>
            </w14:solidFill>
          </w14:textFill>
        </w:rPr>
        <w:t>8</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粉状材料及临时土方等在堆场应采取覆盖防尘布，逸散性材料运输采用篷布遮盖，减少施工扬尘产生量和起沙量。</w:t>
      </w:r>
    </w:p>
    <w:p w14:paraId="2617322A">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r>
        <w:rPr>
          <w:rFonts w:hint="eastAsia"/>
          <w:color w:val="000000" w:themeColor="text1"/>
          <w:lang w:val="en-US" w:eastAsia="zh-CN" w:bidi="ar"/>
          <w14:textFill>
            <w14:solidFill>
              <w14:schemeClr w14:val="tx1"/>
            </w14:solidFill>
          </w14:textFill>
        </w:rPr>
        <w:t>9</w:t>
      </w:r>
      <w:r>
        <w:rPr>
          <w:rFonts w:hint="eastAsia"/>
          <w:color w:val="000000" w:themeColor="text1"/>
          <w:lang w:bidi="ar"/>
          <w14:textFill>
            <w14:solidFill>
              <w14:schemeClr w14:val="tx1"/>
            </w14:solidFill>
          </w14:textFill>
        </w:rPr>
        <w:t>）加强工作人员的培训和教育，不随意采挖沿线植被；施工结束后对井场等临时占地进行清理、平整。</w:t>
      </w:r>
    </w:p>
    <w:bookmarkEnd w:id="551"/>
    <w:bookmarkEnd w:id="552"/>
    <w:bookmarkEnd w:id="553"/>
    <w:bookmarkEnd w:id="573"/>
    <w:bookmarkEnd w:id="580"/>
    <w:bookmarkEnd w:id="582"/>
    <w:p w14:paraId="7FD86AE3">
      <w:pPr>
        <w:pStyle w:val="7"/>
        <w:rPr>
          <w:rFonts w:hint="eastAsia"/>
          <w:color w:val="000000" w:themeColor="text1"/>
          <w:lang w:val="zh-CN"/>
          <w14:textFill>
            <w14:solidFill>
              <w14:schemeClr w14:val="tx1"/>
            </w14:solidFill>
          </w14:textFill>
        </w:rPr>
      </w:pPr>
      <w:bookmarkStart w:id="586" w:name="_Toc445840421"/>
      <w:bookmarkStart w:id="587" w:name="_Toc448413620"/>
      <w:bookmarkStart w:id="588" w:name="_Toc12323"/>
      <w:bookmarkStart w:id="589" w:name="_Toc459026595"/>
      <w:bookmarkStart w:id="590" w:name="_Toc475624489"/>
      <w:bookmarkStart w:id="591" w:name="_Toc445842144"/>
      <w:bookmarkStart w:id="592" w:name="_Toc4185"/>
      <w:bookmarkStart w:id="593" w:name="_Toc445996464"/>
      <w:bookmarkStart w:id="594" w:name="_Toc22137"/>
      <w:bookmarkStart w:id="595" w:name="_Toc12277"/>
      <w:r>
        <w:rPr>
          <w:rFonts w:hint="eastAsia"/>
          <w:color w:val="000000" w:themeColor="text1"/>
          <w:lang w:val="zh-CN"/>
          <w14:textFill>
            <w14:solidFill>
              <w14:schemeClr w14:val="tx1"/>
            </w14:solidFill>
          </w14:textFill>
        </w:rPr>
        <w:t>运营期环境</w:t>
      </w:r>
      <w:r>
        <w:rPr>
          <w:color w:val="000000" w:themeColor="text1"/>
          <w:lang w:val="zh-CN"/>
          <w14:textFill>
            <w14:solidFill>
              <w14:schemeClr w14:val="tx1"/>
            </w14:solidFill>
          </w14:textFill>
        </w:rPr>
        <w:t>保护措施</w:t>
      </w:r>
      <w:bookmarkEnd w:id="586"/>
      <w:bookmarkEnd w:id="587"/>
      <w:bookmarkEnd w:id="588"/>
      <w:bookmarkEnd w:id="589"/>
      <w:bookmarkEnd w:id="590"/>
      <w:bookmarkEnd w:id="591"/>
      <w:bookmarkEnd w:id="592"/>
      <w:bookmarkEnd w:id="593"/>
      <w:bookmarkEnd w:id="594"/>
      <w:bookmarkEnd w:id="595"/>
      <w:bookmarkStart w:id="596" w:name="_Toc7470"/>
      <w:bookmarkStart w:id="597" w:name="_Toc445996465"/>
      <w:bookmarkStart w:id="598" w:name="_Toc445842145"/>
    </w:p>
    <w:p w14:paraId="2C8990EF">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运营期大气污染防治措施</w:t>
      </w:r>
    </w:p>
    <w:p w14:paraId="3489EE14">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根据《陆上石油天然气开采工业大气污染物排放标准》（GB39728—2020）中相关要求中的相关要求，针对废气提出如下防治措施：</w:t>
      </w:r>
    </w:p>
    <w:p w14:paraId="2A7F3328">
      <w:pPr>
        <w:spacing w:line="520" w:lineRule="exact"/>
        <w:ind w:firstLine="480" w:firstLineChars="200"/>
        <w:rPr>
          <w:rFonts w:hint="eastAsia" w:ascii="宋体" w:hAnsi="宋体"/>
          <w:color w:val="000000" w:themeColor="text1"/>
          <w:sz w:val="24"/>
          <w:szCs w:val="24"/>
          <w14:textFill>
            <w14:solidFill>
              <w14:schemeClr w14:val="tx1"/>
            </w14:solidFill>
          </w14:textFill>
        </w:rPr>
      </w:pPr>
      <w:bookmarkStart w:id="599" w:name="_Hlk175094893"/>
      <w:r>
        <w:rPr>
          <w:rFonts w:hint="eastAsia" w:ascii="宋体" w:hAnsi="宋体"/>
          <w:color w:val="000000" w:themeColor="text1"/>
          <w:sz w:val="24"/>
          <w:szCs w:val="24"/>
          <w14:textFill>
            <w14:solidFill>
              <w14:schemeClr w14:val="tx1"/>
            </w14:solidFill>
          </w14:textFill>
        </w:rPr>
        <w:t>（1）油气集输采用密闭集输工艺，井口密封并设有紧急截断阀，可有效减少无组织挥发性有机物的产生。</w:t>
      </w:r>
    </w:p>
    <w:p w14:paraId="6CDA60B7">
      <w:pPr>
        <w:spacing w:line="52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（2）选用质量可靠的设备、仪表、阀门等；</w:t>
      </w:r>
      <w:bookmarkStart w:id="600" w:name="_Hlk92466549"/>
      <w:r>
        <w:rPr>
          <w:rFonts w:hint="eastAsia" w:ascii="宋体" w:hAnsi="宋体"/>
          <w:color w:val="000000" w:themeColor="text1"/>
          <w:sz w:val="24"/>
          <w:szCs w:val="24"/>
          <w14:textFill>
            <w14:solidFill>
              <w14:schemeClr w14:val="tx1"/>
            </w14:solidFill>
          </w14:textFill>
        </w:rPr>
        <w:t>定期对井场内各设备、阀门等检查、检修</w:t>
      </w:r>
      <w:bookmarkEnd w:id="600"/>
      <w:r>
        <w:rPr>
          <w:rFonts w:hint="eastAsia" w:ascii="宋体" w:hAnsi="宋体"/>
          <w:color w:val="000000" w:themeColor="text1"/>
          <w:sz w:val="24"/>
          <w:szCs w:val="24"/>
          <w14:textFill>
            <w14:solidFill>
              <w14:schemeClr w14:val="tx1"/>
            </w14:solidFill>
          </w14:textFill>
        </w:rPr>
        <w:t>，以防止跑、冒、漏、漏现象的发生。</w:t>
      </w:r>
    </w:p>
    <w:p w14:paraId="10BD4EDC">
      <w:pPr>
        <w:pStyle w:val="193"/>
        <w:rPr>
          <w:rFonts w:hint="eastAsia"/>
          <w:color w:val="000000" w:themeColor="text1"/>
          <w14:textFill>
            <w14:solidFill>
              <w14:schemeClr w14:val="tx1"/>
            </w14:solidFill>
          </w14:textFill>
        </w:rPr>
      </w:pPr>
      <w:bookmarkStart w:id="601" w:name="_Hlk160376789"/>
      <w:r>
        <w:rPr>
          <w:rFonts w:hint="eastAsia"/>
          <w:color w:val="000000" w:themeColor="text1"/>
          <w14:textFill>
            <w14:solidFill>
              <w14:schemeClr w14:val="tx1"/>
            </w14:solidFill>
          </w14:textFill>
        </w:rPr>
        <w:t>（3）建设单位应建立台账，记录V</w:t>
      </w:r>
      <w:r>
        <w:rPr>
          <w:color w:val="000000" w:themeColor="text1"/>
          <w14:textFill>
            <w14:solidFill>
              <w14:schemeClr w14:val="tx1"/>
            </w14:solidFill>
          </w14:textFill>
        </w:rPr>
        <w:t>OCs</w:t>
      </w:r>
      <w:r>
        <w:rPr>
          <w:rFonts w:hint="eastAsia"/>
          <w:color w:val="000000" w:themeColor="text1"/>
          <w14:textFill>
            <w14:solidFill>
              <w14:schemeClr w14:val="tx1"/>
            </w14:solidFill>
          </w14:textFill>
        </w:rPr>
        <w:t>原辅材料及含V</w:t>
      </w:r>
      <w:r>
        <w:rPr>
          <w:color w:val="000000" w:themeColor="text1"/>
          <w14:textFill>
            <w14:solidFill>
              <w14:schemeClr w14:val="tx1"/>
            </w14:solidFill>
          </w14:textFill>
        </w:rPr>
        <w:t>OCs</w:t>
      </w:r>
      <w:r>
        <w:rPr>
          <w:rFonts w:hint="eastAsia"/>
          <w:color w:val="000000" w:themeColor="text1"/>
          <w14:textFill>
            <w14:solidFill>
              <w14:schemeClr w14:val="tx1"/>
            </w14:solidFill>
          </w14:textFill>
        </w:rPr>
        <w:t>产品的名称、使用量、回收量、去向及</w:t>
      </w:r>
      <w:r>
        <w:rPr>
          <w:color w:val="000000" w:themeColor="text1"/>
          <w14:textFill>
            <w14:solidFill>
              <w14:schemeClr w14:val="tx1"/>
            </w14:solidFill>
          </w14:textFill>
        </w:rPr>
        <w:t>VOCs</w:t>
      </w:r>
      <w:r>
        <w:rPr>
          <w:rFonts w:hint="eastAsia"/>
          <w:color w:val="000000" w:themeColor="text1"/>
          <w14:textFill>
            <w14:solidFill>
              <w14:schemeClr w14:val="tx1"/>
            </w14:solidFill>
          </w14:textFill>
        </w:rPr>
        <w:t>含量等信息，台账保存期限不少于3年；载有V</w:t>
      </w:r>
      <w:r>
        <w:rPr>
          <w:color w:val="000000" w:themeColor="text1"/>
          <w14:textFill>
            <w14:solidFill>
              <w14:schemeClr w14:val="tx1"/>
            </w14:solidFill>
          </w14:textFill>
        </w:rPr>
        <w:t>OC</w:t>
      </w:r>
      <w:r>
        <w:rPr>
          <w:rFonts w:hint="eastAsia"/>
          <w:color w:val="000000" w:themeColor="text1"/>
          <w14:textFill>
            <w14:solidFill>
              <w14:schemeClr w14:val="tx1"/>
            </w14:solidFill>
          </w14:textFill>
        </w:rPr>
        <w:t>s物料的设备及其管道在开停工、检维修和清洗时，应在退料阶段将残存物料退净，并用密闭容器盛装。</w:t>
      </w:r>
    </w:p>
    <w:p w14:paraId="4987037F">
      <w:pPr>
        <w:pStyle w:val="193"/>
        <w:rPr>
          <w:rFonts w:hint="eastAsia"/>
          <w:color w:val="000000" w:themeColor="text1"/>
          <w14:textFill>
            <w14:solidFill>
              <w14:schemeClr w14:val="tx1"/>
            </w14:solidFill>
          </w14:textFill>
        </w:rPr>
      </w:pPr>
      <w:r>
        <w:rPr>
          <w:color w:val="000000" w:themeColor="text1"/>
          <w14:textFill>
            <w14:solidFill>
              <w14:schemeClr w14:val="tx1"/>
            </w14:solidFill>
          </w14:textFill>
        </w:rPr>
        <w:t>在采取上述措施后，除单井注水井场外的其他各井场厂界无组织非甲烷总烃排放浓度满足《陆上石油天然气开采工业大气污染物排放标准》（GB39728-2020）的场界标准限值（4mg/m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）要求，硫化氢排放浓度满足《恶臭污染物排放标准》（GB14554-93）表1二级新改扩建浓度</w:t>
      </w:r>
      <w:r>
        <w:rPr>
          <w:rFonts w:hint="eastAsia"/>
          <w:color w:val="000000" w:themeColor="text1"/>
          <w14:textFill>
            <w14:solidFill>
              <w14:schemeClr w14:val="tx1"/>
            </w14:solidFill>
          </w14:textFill>
        </w:rPr>
        <w:t>。</w:t>
      </w:r>
    </w:p>
    <w:bookmarkEnd w:id="599"/>
    <w:bookmarkEnd w:id="601"/>
    <w:p w14:paraId="5B9DF41B">
      <w:pPr>
        <w:pStyle w:val="8"/>
        <w:rPr>
          <w:rFonts w:hint="eastAsia"/>
          <w:color w:val="000000" w:themeColor="text1"/>
          <w:lang w:val="zh-CN"/>
          <w14:textFill>
            <w14:solidFill>
              <w14:schemeClr w14:val="tx1"/>
            </w14:solidFill>
          </w14:textFill>
        </w:rPr>
      </w:pPr>
      <w:bookmarkStart w:id="602" w:name="_Hlk175252740"/>
      <w:r>
        <w:rPr>
          <w:rFonts w:hint="eastAsia"/>
          <w:color w:val="000000" w:themeColor="text1"/>
          <w:lang w:val="zh-CN"/>
          <w14:textFill>
            <w14:solidFill>
              <w14:schemeClr w14:val="tx1"/>
            </w14:solidFill>
          </w14:textFill>
        </w:rPr>
        <w:t>运营期废水污染防治措施</w:t>
      </w:r>
    </w:p>
    <w:bookmarkEnd w:id="602"/>
    <w:p w14:paraId="55AA88E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（1）废水处理方案</w:t>
      </w:r>
    </w:p>
    <w:p w14:paraId="0A52B846">
      <w:pPr>
        <w:pStyle w:val="12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①洗井废水、井下作业废液（压裂返排液和废洗井液）由罐车拉运至吉祥联合站采出水处理系统处理后回注油藏</w:t>
      </w:r>
      <w:r>
        <w:rPr>
          <w:rFonts w:hint="eastAsia"/>
          <w:color w:val="000000" w:themeColor="text1"/>
          <w14:textFill>
            <w14:solidFill>
              <w14:schemeClr w14:val="tx1"/>
            </w14:solidFill>
          </w14:textFill>
        </w:rPr>
        <w:t>，不外排</w:t>
      </w:r>
      <w:r>
        <w:rPr>
          <w:rFonts w:hint="eastAsia"/>
          <w:color w:val="000000" w:themeColor="text1"/>
          <w:lang w:bidi="ar"/>
          <w14:textFill>
            <w14:solidFill>
              <w14:schemeClr w14:val="tx1"/>
            </w14:solidFill>
          </w14:textFill>
        </w:rPr>
        <w:t>。</w:t>
      </w:r>
    </w:p>
    <w:p w14:paraId="22740B4E">
      <w:pPr>
        <w:pStyle w:val="120"/>
        <w:rPr>
          <w:rFonts w:hint="eastAsia"/>
          <w:color w:val="000000" w:themeColor="text1"/>
          <w14:textFill>
            <w14:solidFill>
              <w14:schemeClr w14:val="tx1"/>
            </w14:solidFill>
          </w14:textFill>
        </w:rPr>
      </w:pPr>
      <w:bookmarkStart w:id="603" w:name="_Hlk37933724"/>
      <w:bookmarkStart w:id="604" w:name="_Hlk40626837"/>
      <w:r>
        <w:rPr>
          <w:rFonts w:hint="eastAsia"/>
          <w:color w:val="000000" w:themeColor="text1"/>
          <w14:textFill>
            <w14:solidFill>
              <w14:schemeClr w14:val="tx1"/>
            </w14:solidFill>
          </w14:textFill>
        </w:rPr>
        <w:t>②对</w:t>
      </w:r>
      <w:r>
        <w:rPr>
          <w:rFonts w:hint="eastAsia" w:cs="宋体"/>
          <w:color w:val="000000" w:themeColor="text1"/>
          <w:kern w:val="0"/>
          <w:lang w:bidi="ar"/>
          <w14:textFill>
            <w14:solidFill>
              <w14:schemeClr w14:val="tx1"/>
            </w14:solidFill>
          </w14:textFill>
        </w:rPr>
        <w:t>洗井废水、井下作业废液</w:t>
      </w:r>
      <w:r>
        <w:rPr>
          <w:rFonts w:hint="eastAsia"/>
          <w:color w:val="000000" w:themeColor="text1"/>
          <w14:textFill>
            <w14:solidFill>
              <w14:schemeClr w14:val="tx1"/>
            </w14:solidFill>
          </w14:textFill>
        </w:rPr>
        <w:t>转移车辆全程</w:t>
      </w:r>
      <w:r>
        <w:rPr>
          <w:color w:val="000000" w:themeColor="text1"/>
          <w14:textFill>
            <w14:solidFill>
              <w14:schemeClr w14:val="tx1"/>
            </w14:solidFill>
          </w14:textFill>
        </w:rPr>
        <w:t>GPS</w:t>
      </w:r>
      <w:r>
        <w:rPr>
          <w:rFonts w:hint="eastAsia"/>
          <w:color w:val="000000" w:themeColor="text1"/>
          <w14:textFill>
            <w14:solidFill>
              <w14:schemeClr w14:val="tx1"/>
            </w14:solidFill>
          </w14:textFill>
        </w:rPr>
        <w:t>定位，并保存相关影像资料。井下作业过程需建立完善的运行台账，严禁废水随意倾倒。</w:t>
      </w:r>
    </w:p>
    <w:p w14:paraId="58E279D0">
      <w:pPr>
        <w:spacing w:line="520" w:lineRule="exact"/>
        <w:ind w:firstLine="480"/>
        <w:rPr>
          <w:rFonts w:hint="eastAsia" w:ascii="宋体" w:hAnsi="宋体" w:cs="宋体"/>
          <w:color w:val="000000" w:themeColor="text1"/>
          <w:sz w:val="24"/>
          <w:szCs w:val="24"/>
          <w14:textFill>
            <w14:solidFill>
              <w14:schemeClr w14:val="tx1"/>
            </w14:solidFill>
          </w14:textFill>
        </w:rPr>
      </w:pPr>
      <w:bookmarkStart w:id="605" w:name="_Hlk175252780"/>
      <w:r>
        <w:rPr>
          <w:rFonts w:hint="eastAsia" w:ascii="宋体" w:hAnsi="宋体" w:cs="宋体"/>
          <w:color w:val="000000" w:themeColor="text1"/>
          <w:sz w:val="24"/>
          <w:szCs w:val="24"/>
          <w14:textFill>
            <w14:solidFill>
              <w14:schemeClr w14:val="tx1"/>
            </w14:solidFill>
          </w14:textFill>
        </w:rPr>
        <w:t>（2）地下水污染防治措施</w:t>
      </w:r>
    </w:p>
    <w:p w14:paraId="03680F89">
      <w:pPr>
        <w:spacing w:line="520" w:lineRule="exact"/>
        <w:ind w:firstLine="48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①采取源头控制措施，使用先进、成熟、可靠的工艺技术，良好合格的防渗材料，尽可能从源头上减少污染物泄漏风险；同时，严格按照施工规范施工，保证施工质量。</w:t>
      </w:r>
    </w:p>
    <w:p w14:paraId="4A28AE9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②定期做好井场内设备、阀门、管线等巡检，定期对采油井固井质量进行检查，一旦发现异常，及时采取措施，防止“跑、冒、滴、漏”的发生。</w:t>
      </w:r>
    </w:p>
    <w:p w14:paraId="15BFD7EA">
      <w:pPr>
        <w:pStyle w:val="302"/>
        <w:numPr>
          <w:ilvl w:val="0"/>
          <w:numId w:val="3"/>
        </w:numPr>
        <w:spacing w:line="520" w:lineRule="exact"/>
        <w:ind w:firstLineChars="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分区防渗</w:t>
      </w:r>
    </w:p>
    <w:p w14:paraId="7BCAF0CA">
      <w:pPr>
        <w:pStyle w:val="165"/>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项目主要污染物为石油类，根据《环境影响评价技术导则－地下水环境》（HJ610-2016）中表5污染控制难易程度分级参照表、表6天然包气带防污性能分级参照表、表7地下水污染防渗分区参照表，</w:t>
      </w:r>
      <w:bookmarkStart w:id="606" w:name="_Hlk148007898"/>
      <w:r>
        <w:rPr>
          <w:rFonts w:hint="eastAsia"/>
          <w:color w:val="000000" w:themeColor="text1"/>
          <w14:textFill>
            <w14:solidFill>
              <w14:schemeClr w14:val="tx1"/>
            </w14:solidFill>
          </w14:textFill>
        </w:rPr>
        <w:t>将</w:t>
      </w:r>
      <w:r>
        <w:rPr>
          <w:rFonts w:hint="eastAsia"/>
          <w:color w:val="000000" w:themeColor="text1"/>
          <w:lang w:val="en-US"/>
          <w14:textFill>
            <w14:solidFill>
              <w14:schemeClr w14:val="tx1"/>
            </w14:solidFill>
          </w14:textFill>
        </w:rPr>
        <w:t>单井</w:t>
      </w:r>
      <w:r>
        <w:rPr>
          <w:rFonts w:hint="eastAsia"/>
          <w:color w:val="000000" w:themeColor="text1"/>
          <w14:textFill>
            <w14:solidFill>
              <w14:schemeClr w14:val="tx1"/>
            </w14:solidFill>
          </w14:textFill>
        </w:rPr>
        <w:t>采油井场、</w:t>
      </w:r>
      <w:r>
        <w:rPr>
          <w:rFonts w:hint="eastAsia"/>
          <w:color w:val="000000" w:themeColor="text1"/>
          <w:lang w:val="en-US"/>
          <w14:textFill>
            <w14:solidFill>
              <w14:schemeClr w14:val="tx1"/>
            </w14:solidFill>
          </w14:textFill>
        </w:rPr>
        <w:t>2井式</w:t>
      </w:r>
      <w:r>
        <w:rPr>
          <w:rFonts w:hint="eastAsia"/>
          <w:color w:val="000000" w:themeColor="text1"/>
          <w14:textFill>
            <w14:solidFill>
              <w14:schemeClr w14:val="tx1"/>
            </w14:solidFill>
          </w14:textFill>
        </w:rPr>
        <w:t>平台</w:t>
      </w:r>
      <w:r>
        <w:rPr>
          <w:rFonts w:hint="eastAsia"/>
          <w:color w:val="000000" w:themeColor="text1"/>
          <w:lang w:val="en-US"/>
          <w14:textFill>
            <w14:solidFill>
              <w14:schemeClr w14:val="tx1"/>
            </w14:solidFill>
          </w14:textFill>
        </w:rPr>
        <w:t>井场井口装置区</w:t>
      </w:r>
      <w:r>
        <w:rPr>
          <w:rFonts w:hint="eastAsia"/>
          <w:color w:val="000000" w:themeColor="text1"/>
          <w14:textFill>
            <w14:solidFill>
              <w14:schemeClr w14:val="tx1"/>
            </w14:solidFill>
          </w14:textFill>
        </w:rPr>
        <w:t>划为重点防渗区，</w:t>
      </w:r>
      <w:r>
        <w:rPr>
          <w:rFonts w:hint="eastAsia"/>
          <w:color w:val="000000" w:themeColor="text1"/>
          <w:lang w:val="en-US"/>
          <w14:textFill>
            <w14:solidFill>
              <w14:schemeClr w14:val="tx1"/>
            </w14:solidFill>
          </w14:textFill>
        </w:rPr>
        <w:t>单井</w:t>
      </w:r>
      <w:r>
        <w:rPr>
          <w:rFonts w:hint="eastAsia"/>
          <w:color w:val="000000" w:themeColor="text1"/>
          <w14:textFill>
            <w14:solidFill>
              <w14:schemeClr w14:val="tx1"/>
            </w14:solidFill>
          </w14:textFill>
        </w:rPr>
        <w:t>采油井场、</w:t>
      </w:r>
      <w:r>
        <w:rPr>
          <w:rFonts w:hint="eastAsia"/>
          <w:color w:val="000000" w:themeColor="text1"/>
          <w:lang w:val="en-US"/>
          <w14:textFill>
            <w14:solidFill>
              <w14:schemeClr w14:val="tx1"/>
            </w14:solidFill>
          </w14:textFill>
        </w:rPr>
        <w:t>2井式</w:t>
      </w:r>
      <w:r>
        <w:rPr>
          <w:rFonts w:hint="eastAsia"/>
          <w:color w:val="000000" w:themeColor="text1"/>
          <w14:textFill>
            <w14:solidFill>
              <w14:schemeClr w14:val="tx1"/>
            </w14:solidFill>
          </w14:textFill>
        </w:rPr>
        <w:t>平台</w:t>
      </w:r>
      <w:r>
        <w:rPr>
          <w:rFonts w:hint="eastAsia"/>
          <w:color w:val="000000" w:themeColor="text1"/>
          <w:lang w:val="en-US"/>
          <w14:textFill>
            <w14:solidFill>
              <w14:schemeClr w14:val="tx1"/>
            </w14:solidFill>
          </w14:textFill>
        </w:rPr>
        <w:t>井场</w:t>
      </w:r>
      <w:r>
        <w:rPr>
          <w:rFonts w:hint="eastAsia"/>
          <w:color w:val="000000" w:themeColor="text1"/>
          <w14:textFill>
            <w14:solidFill>
              <w14:schemeClr w14:val="tx1"/>
            </w14:solidFill>
          </w14:textFill>
        </w:rPr>
        <w:t>其余区域和注水井井场划为一般防渗区，重点防渗区防渗性能不应低于</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m厚渗透系数为1.0×10</w:t>
      </w:r>
      <w:r>
        <w:rPr>
          <w:rFonts w:hint="eastAsia"/>
          <w:color w:val="000000" w:themeColor="text1"/>
          <w:vertAlign w:val="superscript"/>
          <w:lang w:val="en-US"/>
          <w14:textFill>
            <w14:solidFill>
              <w14:schemeClr w14:val="tx1"/>
            </w14:solidFill>
          </w14:textFill>
        </w:rPr>
        <w:t>-7</w:t>
      </w:r>
      <w:r>
        <w:rPr>
          <w:rFonts w:hint="eastAsia"/>
          <w:color w:val="000000" w:themeColor="text1"/>
          <w14:textFill>
            <w14:solidFill>
              <w14:schemeClr w14:val="tx1"/>
            </w14:solidFill>
          </w14:textFill>
        </w:rPr>
        <w:t>cm/s的黏土层的防渗性能，一般防渗区防渗性能不应低于</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m厚渗透系数为1.0×10</w:t>
      </w:r>
      <w:r>
        <w:rPr>
          <w:rFonts w:hint="eastAsia"/>
          <w:color w:val="000000" w:themeColor="text1"/>
          <w:vertAlign w:val="superscript"/>
          <w:lang w:val="en-US"/>
          <w14:textFill>
            <w14:solidFill>
              <w14:schemeClr w14:val="tx1"/>
            </w14:solidFill>
          </w14:textFill>
        </w:rPr>
        <w:t>-7</w:t>
      </w:r>
      <w:r>
        <w:rPr>
          <w:rFonts w:hint="eastAsia"/>
          <w:color w:val="000000" w:themeColor="text1"/>
          <w14:textFill>
            <w14:solidFill>
              <w14:schemeClr w14:val="tx1"/>
            </w14:solidFill>
          </w14:textFill>
        </w:rPr>
        <w:t>cm/s的黏土层的防渗性能</w:t>
      </w:r>
      <w:bookmarkEnd w:id="606"/>
      <w:r>
        <w:rPr>
          <w:rFonts w:hint="eastAsia"/>
          <w:color w:val="000000" w:themeColor="text1"/>
          <w14:textFill>
            <w14:solidFill>
              <w14:schemeClr w14:val="tx1"/>
            </w14:solidFill>
          </w14:textFill>
        </w:rPr>
        <w:t>。井场采用砾石铺垫，井下作业时铺设防渗膜，管线采用无缝钢管，管道设计壁厚的腐蚀余量不应小于2mm，管道的连接方式采用焊接，详见图6.2-1至图6.2-3。</w:t>
      </w:r>
    </w:p>
    <w:p w14:paraId="33846BD8">
      <w:pPr>
        <w:pStyle w:val="165"/>
        <w:spacing w:line="240" w:lineRule="auto"/>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539740" cy="5158105"/>
            <wp:effectExtent l="0" t="0" r="3810" b="4445"/>
            <wp:docPr id="123" name="图片 123" descr="单井井场平面布置示意图防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单井井场平面布置示意图防渗"/>
                    <pic:cNvPicPr>
                      <a:picLocks noChangeAspect="1"/>
                    </pic:cNvPicPr>
                  </pic:nvPicPr>
                  <pic:blipFill>
                    <a:blip r:embed="rId98"/>
                    <a:stretch>
                      <a:fillRect/>
                    </a:stretch>
                  </pic:blipFill>
                  <pic:spPr>
                    <a:xfrm>
                      <a:off x="0" y="0"/>
                      <a:ext cx="5539740" cy="5158105"/>
                    </a:xfrm>
                    <a:prstGeom prst="rect">
                      <a:avLst/>
                    </a:prstGeom>
                  </pic:spPr>
                </pic:pic>
              </a:graphicData>
            </a:graphic>
          </wp:inline>
        </w:drawing>
      </w:r>
    </w:p>
    <w:p w14:paraId="7A2A1E0C">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图6.2-1  单井采油井场分区防渗示意图</w:t>
      </w:r>
    </w:p>
    <w:p w14:paraId="3CCFB7BB">
      <w:pPr>
        <w:pStyle w:val="165"/>
        <w:spacing w:line="240" w:lineRule="auto"/>
        <w:ind w:firstLine="0" w:firstLineChars="0"/>
        <w:rPr>
          <w:rFonts w:hint="eastAsia"/>
          <w:color w:val="000000" w:themeColor="text1"/>
          <w14:textFill>
            <w14:solidFill>
              <w14:schemeClr w14:val="tx1"/>
            </w14:solidFill>
          </w14:textFill>
        </w:rPr>
      </w:pPr>
    </w:p>
    <w:p w14:paraId="07C86711">
      <w:pPr>
        <w:pStyle w:val="165"/>
        <w:spacing w:line="240" w:lineRule="auto"/>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536565" cy="6867525"/>
            <wp:effectExtent l="0" t="0" r="6985" b="9525"/>
            <wp:docPr id="122" name="图片 122" descr="2井式单井计量（加药）采油平台平面布置及管网图防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井式单井计量（加药）采油平台平面布置及管网图防渗"/>
                    <pic:cNvPicPr>
                      <a:picLocks noChangeAspect="1"/>
                    </pic:cNvPicPr>
                  </pic:nvPicPr>
                  <pic:blipFill>
                    <a:blip r:embed="rId99"/>
                    <a:stretch>
                      <a:fillRect/>
                    </a:stretch>
                  </pic:blipFill>
                  <pic:spPr>
                    <a:xfrm>
                      <a:off x="0" y="0"/>
                      <a:ext cx="5536565" cy="6867525"/>
                    </a:xfrm>
                    <a:prstGeom prst="rect">
                      <a:avLst/>
                    </a:prstGeom>
                  </pic:spPr>
                </pic:pic>
              </a:graphicData>
            </a:graphic>
          </wp:inline>
        </w:drawing>
      </w:r>
    </w:p>
    <w:p w14:paraId="2E269A65">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图6.2-2  2井式平台井场（采油井+采油井）分区防渗示意图</w:t>
      </w:r>
    </w:p>
    <w:p w14:paraId="19FDD668">
      <w:pPr>
        <w:pStyle w:val="165"/>
        <w:spacing w:line="240" w:lineRule="auto"/>
        <w:ind w:firstLine="0" w:firstLineChars="0"/>
        <w:rPr>
          <w:rFonts w:hint="eastAsia"/>
          <w:color w:val="000000" w:themeColor="text1"/>
          <w14:textFill>
            <w14:solidFill>
              <w14:schemeClr w14:val="tx1"/>
            </w14:solidFill>
          </w14:textFill>
        </w:rPr>
      </w:pPr>
    </w:p>
    <w:p w14:paraId="3A1712B9">
      <w:pPr>
        <w:pStyle w:val="165"/>
        <w:spacing w:line="240" w:lineRule="auto"/>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536565" cy="6867525"/>
            <wp:effectExtent l="0" t="0" r="6985" b="9525"/>
            <wp:docPr id="121" name="图片 121" descr="2井式单井计量（加药）采油平台平面布置及管网图(分区防渗图)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井式单井计量（加药）采油平台平面布置及管网图(分区防渗图)0"/>
                    <pic:cNvPicPr>
                      <a:picLocks noChangeAspect="1"/>
                    </pic:cNvPicPr>
                  </pic:nvPicPr>
                  <pic:blipFill>
                    <a:blip r:embed="rId100"/>
                    <a:stretch>
                      <a:fillRect/>
                    </a:stretch>
                  </pic:blipFill>
                  <pic:spPr>
                    <a:xfrm>
                      <a:off x="0" y="0"/>
                      <a:ext cx="5536565" cy="6867525"/>
                    </a:xfrm>
                    <a:prstGeom prst="rect">
                      <a:avLst/>
                    </a:prstGeom>
                  </pic:spPr>
                </pic:pic>
              </a:graphicData>
            </a:graphic>
          </wp:inline>
        </w:drawing>
      </w:r>
    </w:p>
    <w:p w14:paraId="22360CDD">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图6.2-3  2井式平台井场（采油井+注水井）分区防渗示意图</w:t>
      </w:r>
    </w:p>
    <w:p w14:paraId="0E9842F8">
      <w:pPr>
        <w:pStyle w:val="53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④污染监控</w:t>
      </w:r>
    </w:p>
    <w:p w14:paraId="024DDEEB">
      <w:pPr>
        <w:pStyle w:val="53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按照《环境影响评价技术导则  地下水》（HJ610-2016）中的相关规定</w:t>
      </w:r>
      <w:bookmarkStart w:id="607" w:name="_Hlk92219686"/>
      <w:r>
        <w:rPr>
          <w:rFonts w:hint="eastAsia"/>
          <w:color w:val="000000" w:themeColor="text1"/>
          <w14:textFill>
            <w14:solidFill>
              <w14:schemeClr w14:val="tx1"/>
            </w14:solidFill>
          </w14:textFill>
        </w:rPr>
        <w:t>并结合工程实际情况，建设单位可利用吉庆油田作业区已有水源井作为地下水监测井，地下水监测点数量应不少于</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个，监测因子主要为pH、石油类、砷、六价铬，石油类参照执行《地表水环境质量标准》（GB3838-2002）中Ⅲ类标准。</w:t>
      </w:r>
    </w:p>
    <w:p w14:paraId="006D810B">
      <w:pPr>
        <w:pStyle w:val="53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对跟踪监测点监测结果应按有关规定及时建立档案，并定期向安全环保部门汇报，对于常规监测数据应该进行公开。如发现异常或发生事故，加密监测频次，并分析污染原因，确定泄漏污染源，及时采取应急措施。</w:t>
      </w:r>
    </w:p>
    <w:bookmarkEnd w:id="607"/>
    <w:p w14:paraId="03FC21CC">
      <w:pPr>
        <w:pStyle w:val="53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⑤应急响应</w:t>
      </w:r>
    </w:p>
    <w:p w14:paraId="7AA94C51">
      <w:pPr>
        <w:pStyle w:val="53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制定地下水污染应急响应预案，与其他类型事故的应急预案相协调，并纳入作业区应急预案中，组建应急队伍，组织实施演习，协调各级、各专业应急力量支援行动。地下水污染应急响应预案的内容主要包括应急预案的日常协调和指挥机构；各部门在应急预案中的职责和分工；确定地下水环境保护目标和对目标采取的紧急处置措施，评估潜在污染可能性；特大事故应急救援组织状况、人员和装备情况，平常的训练和演习。</w:t>
      </w:r>
    </w:p>
    <w:p w14:paraId="4BE1BBDD">
      <w:pPr>
        <w:pStyle w:val="53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发现异常或者事故状态下，建议采取如下污染治理措施：如发现异常或发生事故，加密监测频次，并分析污染原因，确定泄漏污染源，及时采取应急措施；一旦发生地下水污染事故，应立即启动应急预案；查明并切断污染源；探明地下水污染深度、范围和污染程度。</w:t>
      </w:r>
      <w:bookmarkEnd w:id="603"/>
      <w:bookmarkEnd w:id="604"/>
      <w:bookmarkEnd w:id="605"/>
    </w:p>
    <w:p w14:paraId="57869841">
      <w:pPr>
        <w:spacing w:line="520" w:lineRule="exact"/>
        <w:ind w:firstLine="48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（3）井筒完整性管理应参照《石油天然气工业套管和油管的维护与使用标准》（GB/T17745-2011）相关要求进行井筒完整性管理，定期开展井筒完整性检查。</w:t>
      </w:r>
    </w:p>
    <w:p w14:paraId="2DF0E3AE">
      <w:pPr>
        <w:spacing w:line="520" w:lineRule="exact"/>
        <w:ind w:firstLine="48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为双层套管结构，固井质量合格、井筒材质能够承受设计回注压力和防腐等</w:t>
      </w:r>
    </w:p>
    <w:p w14:paraId="0D5B4E40">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回注井运行过程中，应持续对回注井口压力、套管压力、环空压力、回注流体的流量、水质等指标进行监测，注水水质满足《碎屑岩油藏注水水质指标技术要求及分析方法》（SY/T5329-2022）相关标准要求；定期开展套管腐蚀和水泥环状况检测，检测周期不超过3年。新启用或检维修后初次启用的回注井运行前，应进行井筒完整性测试；本项目</w:t>
      </w:r>
      <w:r>
        <w:rPr>
          <w:rFonts w:hint="eastAsia"/>
          <w:color w:val="000000" w:themeColor="text1"/>
          <w:lang w:val="en-US"/>
          <w14:textFill>
            <w14:solidFill>
              <w14:schemeClr w14:val="tx1"/>
            </w14:solidFill>
          </w14:textFill>
        </w:rPr>
        <w:t>2口注水井</w:t>
      </w:r>
      <w:r>
        <w:rPr>
          <w:rFonts w:hint="eastAsia"/>
          <w:color w:val="000000" w:themeColor="text1"/>
          <w14:textFill>
            <w14:solidFill>
              <w14:schemeClr w14:val="tx1"/>
            </w14:solidFill>
          </w14:textFill>
        </w:rPr>
        <w:t>平均注水量约为</w:t>
      </w:r>
      <w:r>
        <w:rPr>
          <w:rFonts w:hint="eastAsia"/>
          <w:color w:val="000000" w:themeColor="text1"/>
          <w:lang w:val="en-US"/>
          <w14:textFill>
            <w14:solidFill>
              <w14:schemeClr w14:val="tx1"/>
            </w14:solidFill>
          </w14:textFill>
        </w:rPr>
        <w:t>30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/d，小于300m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/d，回注井应至少每2年进行1次井筒完整性检测，检测发现井筒完整性失效，应立即停止回注。</w:t>
      </w:r>
    </w:p>
    <w:bookmarkEnd w:id="596"/>
    <w:bookmarkEnd w:id="597"/>
    <w:bookmarkEnd w:id="598"/>
    <w:p w14:paraId="02D59E08">
      <w:pPr>
        <w:pStyle w:val="8"/>
        <w:rPr>
          <w:rFonts w:hint="eastAsia"/>
          <w:color w:val="000000" w:themeColor="text1"/>
          <w:lang w:val="zh-CN"/>
          <w14:textFill>
            <w14:solidFill>
              <w14:schemeClr w14:val="tx1"/>
            </w14:solidFill>
          </w14:textFill>
        </w:rPr>
      </w:pPr>
      <w:bookmarkStart w:id="608" w:name="_Toc32189"/>
      <w:bookmarkStart w:id="609" w:name="_Toc445996467"/>
      <w:bookmarkStart w:id="610" w:name="_Toc445842147"/>
      <w:r>
        <w:rPr>
          <w:rFonts w:hint="eastAsia"/>
          <w:color w:val="000000" w:themeColor="text1"/>
          <w:lang w:val="zh-CN"/>
          <w14:textFill>
            <w14:solidFill>
              <w14:schemeClr w14:val="tx1"/>
            </w14:solidFill>
          </w14:textFill>
        </w:rPr>
        <w:t>运营期</w:t>
      </w:r>
      <w:r>
        <w:rPr>
          <w:color w:val="000000" w:themeColor="text1"/>
          <w:lang w:val="zh-CN"/>
          <w14:textFill>
            <w14:solidFill>
              <w14:schemeClr w14:val="tx1"/>
            </w14:solidFill>
          </w14:textFill>
        </w:rPr>
        <w:t>噪声污染防治措施</w:t>
      </w:r>
    </w:p>
    <w:p w14:paraId="581C55E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（1）尽量选用低噪声设备，对噪声强度较大的设备进行基础减振等减噪处理。</w:t>
      </w:r>
    </w:p>
    <w:p w14:paraId="52182CD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（2）定期给机泵等设备加润滑油和减振垫，对各种机械设备定期保养。</w:t>
      </w:r>
    </w:p>
    <w:p w14:paraId="047D7EF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（3）合理布局使各产噪设备尽可能位于站场中心。</w:t>
      </w:r>
    </w:p>
    <w:p w14:paraId="5D7B8B9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（4）加强噪声防范，做好个人防护工作。</w:t>
      </w:r>
    </w:p>
    <w:p w14:paraId="67A5ED0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经以上措施，单井采油井场、平台井场、注水井场厂界能够满足《工业企业厂界环境噪声排放标准》（GB12348-2008）</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类声功能区环境噪声限值要求。</w:t>
      </w:r>
    </w:p>
    <w:p w14:paraId="63820319">
      <w:pPr>
        <w:pStyle w:val="8"/>
        <w:rPr>
          <w:rFonts w:hint="eastAsia"/>
          <w:color w:val="000000" w:themeColor="text1"/>
          <w:lang w:val="zh-CN"/>
          <w14:textFill>
            <w14:solidFill>
              <w14:schemeClr w14:val="tx1"/>
            </w14:solidFill>
          </w14:textFill>
        </w:rPr>
      </w:pPr>
      <w:bookmarkStart w:id="611" w:name="_Hlk40434589"/>
      <w:bookmarkStart w:id="612" w:name="_Hlk40733113"/>
      <w:bookmarkStart w:id="613" w:name="_Hlk175258073"/>
      <w:r>
        <w:rPr>
          <w:rFonts w:hint="eastAsia"/>
          <w:color w:val="000000" w:themeColor="text1"/>
          <w:lang w:val="zh-CN"/>
          <w14:textFill>
            <w14:solidFill>
              <w14:schemeClr w14:val="tx1"/>
            </w14:solidFill>
          </w14:textFill>
        </w:rPr>
        <w:t>运营期</w:t>
      </w:r>
      <w:r>
        <w:rPr>
          <w:color w:val="000000" w:themeColor="text1"/>
          <w:lang w:val="zh-CN"/>
          <w14:textFill>
            <w14:solidFill>
              <w14:schemeClr w14:val="tx1"/>
            </w14:solidFill>
          </w14:textFill>
        </w:rPr>
        <w:t>固体废物污染防治</w:t>
      </w:r>
      <w:bookmarkEnd w:id="611"/>
      <w:r>
        <w:rPr>
          <w:color w:val="000000" w:themeColor="text1"/>
          <w:lang w:val="zh-CN"/>
          <w14:textFill>
            <w14:solidFill>
              <w14:schemeClr w14:val="tx1"/>
            </w14:solidFill>
          </w14:textFill>
        </w:rPr>
        <w:t>措施</w:t>
      </w:r>
    </w:p>
    <w:bookmarkEnd w:id="612"/>
    <w:p w14:paraId="0DBDB7B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bookmarkStart w:id="614" w:name="_Hlk147589724"/>
      <w:r>
        <w:rPr>
          <w:rFonts w:hint="eastAsia"/>
          <w:color w:val="000000" w:themeColor="text1"/>
          <w14:textFill>
            <w14:solidFill>
              <w14:schemeClr w14:val="tx1"/>
            </w14:solidFill>
          </w14:textFill>
        </w:rPr>
        <w:t>固体废物主要为废润滑油、废润滑油桶、沾油废防渗材料、废含油抹布和劳保用品。废润滑油、废润滑油桶、沾油废防渗膜属于《国家危险废物名录（2025年版）》</w:t>
      </w:r>
      <w:r>
        <w:rPr>
          <w:color w:val="000000" w:themeColor="text1"/>
          <w14:textFill>
            <w14:solidFill>
              <w14:schemeClr w14:val="tx1"/>
            </w14:solidFill>
          </w14:textFill>
        </w:rPr>
        <w:t>HW08</w:t>
      </w:r>
      <w:r>
        <w:rPr>
          <w:rFonts w:hint="eastAsia"/>
          <w:color w:val="000000" w:themeColor="text1"/>
          <w14:textFill>
            <w14:solidFill>
              <w14:schemeClr w14:val="tx1"/>
            </w14:solidFill>
          </w14:textFill>
        </w:rPr>
        <w:t>废矿物油与含矿物油废物，废含油抹布和劳保用品属于《国家危险废物名录（2025年版）》HW49其他废物，危险废物均临时贮存在吉祥联合站危险废物临时贮存点，最终交由有相应危险废物处置资质的单位处置。吉庆油田作业区应根据《危险废物识别标志设置技术规范》（HJ1267-2022）中的相关规定设置吉祥联合站危险废物临时暂存场危险废物贮存分区标志、危险废物标签等；吉庆油田作业区已与克拉玛依市博达生态环保科技有限责任公司签订了危险废物处置协议，产生的危险废物可得到妥善处置。</w:t>
      </w:r>
    </w:p>
    <w:bookmarkEnd w:id="613"/>
    <w:bookmarkEnd w:id="614"/>
    <w:p w14:paraId="423DB4F5">
      <w:pPr>
        <w:pStyle w:val="462"/>
        <w:rPr>
          <w:rFonts w:hint="eastAsia"/>
          <w:color w:val="000000" w:themeColor="text1"/>
          <w14:textFill>
            <w14:solidFill>
              <w14:schemeClr w14:val="tx1"/>
            </w14:solidFill>
          </w14:textFill>
        </w:rPr>
      </w:pPr>
      <w:bookmarkStart w:id="615" w:name="_Hlk175258110"/>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）废润滑油、废润滑油桶、沾油废防渗膜和废含油抹布和劳保用品的收集、贮存、运输须符合</w:t>
      </w:r>
      <w:r>
        <w:rPr>
          <w:rFonts w:hint="eastAsia" w:cs="宋体"/>
          <w:color w:val="000000" w:themeColor="text1"/>
          <w14:textFill>
            <w14:solidFill>
              <w14:schemeClr w14:val="tx1"/>
            </w14:solidFill>
          </w14:textFill>
        </w:rPr>
        <w:t>《中华人民共和国固体废物污染环境防治法》</w:t>
      </w:r>
      <w:r>
        <w:rPr>
          <w:rFonts w:hint="eastAsia"/>
          <w:color w:val="000000" w:themeColor="text1"/>
          <w14:textFill>
            <w14:solidFill>
              <w14:schemeClr w14:val="tx1"/>
            </w14:solidFill>
          </w14:textFill>
        </w:rPr>
        <w:t>《危险废物收集 贮存 运输 技术规范》（HJ2025-2012）</w:t>
      </w:r>
      <w:r>
        <w:rPr>
          <w:color w:val="000000" w:themeColor="text1"/>
          <w14:textFill>
            <w14:solidFill>
              <w14:schemeClr w14:val="tx1"/>
            </w14:solidFill>
          </w14:textFill>
        </w:rPr>
        <w:t>和《危险废物转移管理办法》（生态环境部、公安部、交通运输部令第23号）要求，相关资料存档备查。</w:t>
      </w:r>
      <w:r>
        <w:rPr>
          <w:rFonts w:hint="eastAsia"/>
          <w:color w:val="000000" w:themeColor="text1"/>
          <w14:textFill>
            <w14:solidFill>
              <w14:schemeClr w14:val="tx1"/>
            </w14:solidFill>
          </w14:textFill>
        </w:rPr>
        <w:t>具体如下：</w:t>
      </w:r>
    </w:p>
    <w:bookmarkEnd w:id="615"/>
    <w:p w14:paraId="5453EDCC">
      <w:pPr>
        <w:pStyle w:val="462"/>
        <w:rPr>
          <w:rFonts w:hint="eastAsia"/>
          <w:color w:val="000000" w:themeColor="text1"/>
          <w14:textFill>
            <w14:solidFill>
              <w14:schemeClr w14:val="tx1"/>
            </w14:solidFill>
          </w14:textFill>
        </w:rPr>
      </w:pPr>
      <w:bookmarkStart w:id="616" w:name="_Hlk110526123"/>
      <w:bookmarkStart w:id="617" w:name="_Hlk175136095"/>
      <w:r>
        <w:rPr>
          <w:rFonts w:hint="eastAsia" w:cs="宋体"/>
          <w:color w:val="000000" w:themeColor="text1"/>
          <w14:textFill>
            <w14:solidFill>
              <w14:schemeClr w14:val="tx1"/>
            </w14:solidFill>
          </w14:textFill>
        </w:rPr>
        <w:t>①</w:t>
      </w:r>
      <w:r>
        <w:rPr>
          <w:color w:val="000000" w:themeColor="text1"/>
          <w14:textFill>
            <w14:solidFill>
              <w14:schemeClr w14:val="tx1"/>
            </w14:solidFill>
          </w14:textFill>
        </w:rPr>
        <w:t>危废收集过程污染防治措施</w:t>
      </w:r>
    </w:p>
    <w:p w14:paraId="32D6A04C">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在危险废物收集过程中应采取以下防治措施：</w:t>
      </w:r>
    </w:p>
    <w:p w14:paraId="6ED060B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危险废物的收集应根据危险废物产生的工艺特征、排放周期、危险废物特性、废物管理计划等因素制定收集计划。收集计划应包括收集任务概述、收集目标及原则、危险废物特性评估、危险废物收集量估算、收集作业范围和方法、收集设备与包装容器、安全生产与个人防护、工程防护与事故应急、进度安排与组织管理等。</w:t>
      </w:r>
    </w:p>
    <w:p w14:paraId="4B1C50C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危险废物的收集应制定详细的操作规程，内容至少应包括适用范围、操作程序和方法、专用设备和工具、转移和交接、安全保障和应急防护等。</w:t>
      </w:r>
    </w:p>
    <w:p w14:paraId="18530682">
      <w:pPr>
        <w:pStyle w:val="12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3）</w:t>
      </w:r>
      <w:r>
        <w:rPr>
          <w:color w:val="000000" w:themeColor="text1"/>
          <w14:textFill>
            <w14:solidFill>
              <w14:schemeClr w14:val="tx1"/>
            </w14:solidFill>
          </w14:textFill>
        </w:rPr>
        <w:t>危险废物收集和转运作业人员应根据工作需要配备必要的个人防护装备，如手套、防护镜、防护服、防毒面具或口罩等。</w:t>
      </w:r>
    </w:p>
    <w:p w14:paraId="442D6F82">
      <w:pPr>
        <w:pStyle w:val="12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4）</w:t>
      </w:r>
      <w:r>
        <w:rPr>
          <w:color w:val="000000" w:themeColor="text1"/>
          <w14:textFill>
            <w14:solidFill>
              <w14:schemeClr w14:val="tx1"/>
            </w14:solidFill>
          </w14:textFill>
        </w:rPr>
        <w:t>在危险废物的收集和转运过程中，应采取相应的安全防护和污染防治措施，包括防爆、防火、防中毒、防感染、防</w:t>
      </w:r>
      <w:r>
        <w:rPr>
          <w:rFonts w:hint="eastAsia"/>
          <w:color w:val="000000" w:themeColor="text1"/>
          <w14:textFill>
            <w14:solidFill>
              <w14:schemeClr w14:val="tx1"/>
            </w14:solidFill>
          </w14:textFill>
        </w:rPr>
        <w:t>泄漏</w:t>
      </w:r>
      <w:r>
        <w:rPr>
          <w:color w:val="000000" w:themeColor="text1"/>
          <w14:textFill>
            <w14:solidFill>
              <w14:schemeClr w14:val="tx1"/>
            </w14:solidFill>
          </w14:textFill>
        </w:rPr>
        <w:t>、防飞扬、防雨或</w:t>
      </w:r>
      <w:r>
        <w:rPr>
          <w:rFonts w:hint="eastAsia"/>
          <w:color w:val="000000" w:themeColor="text1"/>
          <w14:textFill>
            <w14:solidFill>
              <w14:schemeClr w14:val="tx1"/>
            </w14:solidFill>
          </w14:textFill>
        </w:rPr>
        <w:t>其他</w:t>
      </w:r>
      <w:r>
        <w:rPr>
          <w:color w:val="000000" w:themeColor="text1"/>
          <w14:textFill>
            <w14:solidFill>
              <w14:schemeClr w14:val="tx1"/>
            </w14:solidFill>
          </w14:textFill>
        </w:rPr>
        <w:t>防止污染环境的措施。</w:t>
      </w:r>
    </w:p>
    <w:p w14:paraId="1E1BB69B">
      <w:pPr>
        <w:pStyle w:val="12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5）</w:t>
      </w:r>
      <w:r>
        <w:rPr>
          <w:color w:val="000000" w:themeColor="text1"/>
          <w14:textFill>
            <w14:solidFill>
              <w14:schemeClr w14:val="tx1"/>
            </w14:solidFill>
          </w14:textFill>
        </w:rPr>
        <w:t>危险废物收集时应根据危险废物的种类、数量、危险特性、物理形态、运输要求等因素确定包装形式，具体包装应符合如下要求</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各类危险废物使用符合标准的容器盛装，装载危险废物的容器及材质要满足相应的强度要求，容器必须完好无损，材质和衬里要与危险废物相容（不相互反应）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性质类似的废物可收集到同一容器中，性质不相容的危险废物不应混合包装；危险废物包装应能有效隔断危险废物迁移扩散途径，并达到防渗、防漏要求；容器上必须粘贴符合标准的标签，标签信息填写完整翔实；盛装危废后的废包装桶及时转运至处置场所进行处置；盛装过危险废物的包装袋或包装容器破损后应按危险废物进行管理和处置</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在危险废物的收集和转运过程中，应采取相应的安全防护和污染防治措施，包括防爆、防火、防中毒、防感染、防泄漏、防飞扬、防雨等其他防治污染环境的措施。</w:t>
      </w:r>
    </w:p>
    <w:p w14:paraId="28390CC3">
      <w:pPr>
        <w:pStyle w:val="12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②</w:t>
      </w:r>
      <w:r>
        <w:rPr>
          <w:color w:val="000000" w:themeColor="text1"/>
          <w14:textFill>
            <w14:solidFill>
              <w14:schemeClr w14:val="tx1"/>
            </w14:solidFill>
          </w14:textFill>
        </w:rPr>
        <w:t>危险废物的收集作业应满足如下要求：设置作业界限标志和警示牌；收集时应配备必要的收集工具和包装物，以及必要的应急监测设备及应急装备；收集时应填写记录表，并将记录表作为危险废物管理的重要档案妥善保存；收集结束后应清理和恢复收集作业</w:t>
      </w:r>
      <w:r>
        <w:rPr>
          <w:rFonts w:hint="eastAsia"/>
          <w:color w:val="000000" w:themeColor="text1"/>
          <w14:textFill>
            <w14:solidFill>
              <w14:schemeClr w14:val="tx1"/>
            </w14:solidFill>
          </w14:textFill>
        </w:rPr>
        <w:t>区域</w:t>
      </w:r>
      <w:r>
        <w:rPr>
          <w:color w:val="000000" w:themeColor="text1"/>
          <w14:textFill>
            <w14:solidFill>
              <w14:schemeClr w14:val="tx1"/>
            </w14:solidFill>
          </w14:textFill>
        </w:rPr>
        <w:t>，确保作业区域环境整洁安全；收集过危险废物的容器、设备、场所及其他物品转作</w:t>
      </w:r>
      <w:r>
        <w:rPr>
          <w:rFonts w:hint="eastAsia"/>
          <w:color w:val="000000" w:themeColor="text1"/>
          <w14:textFill>
            <w14:solidFill>
              <w14:schemeClr w14:val="tx1"/>
            </w14:solidFill>
          </w14:textFill>
        </w:rPr>
        <w:t>他</w:t>
      </w:r>
      <w:r>
        <w:rPr>
          <w:color w:val="000000" w:themeColor="text1"/>
          <w14:textFill>
            <w14:solidFill>
              <w14:schemeClr w14:val="tx1"/>
            </w14:solidFill>
          </w14:textFill>
        </w:rPr>
        <w:t>用时，应消除污染，确保使用安全。</w:t>
      </w:r>
    </w:p>
    <w:bookmarkEnd w:id="616"/>
    <w:p w14:paraId="2FAB4E03">
      <w:pPr>
        <w:pStyle w:val="120"/>
        <w:rPr>
          <w:rFonts w:hint="eastAsia"/>
          <w:color w:val="000000" w:themeColor="text1"/>
          <w14:textFill>
            <w14:solidFill>
              <w14:schemeClr w14:val="tx1"/>
            </w14:solidFill>
          </w14:textFill>
        </w:rPr>
      </w:pPr>
      <w:bookmarkStart w:id="618" w:name="_Hlk175258120"/>
      <w:r>
        <w:rPr>
          <w:rFonts w:hint="eastAsia"/>
          <w:color w:val="000000" w:themeColor="text1"/>
          <w14:textFill>
            <w14:solidFill>
              <w14:schemeClr w14:val="tx1"/>
            </w14:solidFill>
          </w14:textFill>
        </w:rPr>
        <w:t>③危险废物贮存污染防治措施</w:t>
      </w:r>
    </w:p>
    <w:p w14:paraId="59DC9345">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本项目产生的危险</w:t>
      </w:r>
      <w:r>
        <w:rPr>
          <w:rFonts w:hint="eastAsia"/>
          <w:color w:val="000000" w:themeColor="text1"/>
          <w:lang w:val="en-US" w:eastAsia="zh-CN"/>
          <w14:textFill>
            <w14:solidFill>
              <w14:schemeClr w14:val="tx1"/>
            </w14:solidFill>
          </w14:textFill>
        </w:rPr>
        <w:t>废物</w:t>
      </w:r>
      <w:r>
        <w:rPr>
          <w:rFonts w:hint="eastAsia"/>
          <w:color w:val="000000" w:themeColor="text1"/>
          <w14:textFill>
            <w14:solidFill>
              <w14:schemeClr w14:val="tx1"/>
            </w14:solidFill>
          </w14:textFill>
        </w:rPr>
        <w:t>集中收集后临时贮存在</w:t>
      </w:r>
      <w:r>
        <w:rPr>
          <w:rFonts w:hint="eastAsia" w:cs="宋体"/>
          <w:color w:val="000000" w:themeColor="text1"/>
          <w14:textFill>
            <w14:solidFill>
              <w14:schemeClr w14:val="tx1"/>
            </w14:solidFill>
          </w14:textFill>
        </w:rPr>
        <w:t>吉祥联合站</w:t>
      </w:r>
      <w:r>
        <w:rPr>
          <w:rFonts w:hint="eastAsia" w:cs="宋体"/>
          <w:color w:val="000000" w:themeColor="text1"/>
          <w:lang w:val="en-US" w:eastAsia="zh-CN"/>
          <w14:textFill>
            <w14:solidFill>
              <w14:schemeClr w14:val="tx1"/>
            </w14:solidFill>
          </w14:textFill>
        </w:rPr>
        <w:t>现有</w:t>
      </w:r>
      <w:r>
        <w:rPr>
          <w:rFonts w:hint="eastAsia" w:cs="宋体"/>
          <w:color w:val="000000" w:themeColor="text1"/>
          <w14:textFill>
            <w14:solidFill>
              <w14:schemeClr w14:val="tx1"/>
            </w14:solidFill>
          </w14:textFill>
        </w:rPr>
        <w:t>危险废物临时贮存点</w:t>
      </w:r>
      <w:r>
        <w:rPr>
          <w:rFonts w:hint="eastAsia"/>
          <w:color w:val="000000" w:themeColor="text1"/>
          <w14:textFill>
            <w14:solidFill>
              <w14:schemeClr w14:val="tx1"/>
            </w14:solidFill>
          </w14:textFill>
        </w:rPr>
        <w:t>，该</w:t>
      </w:r>
      <w:r>
        <w:rPr>
          <w:rFonts w:hint="eastAsia"/>
          <w:color w:val="000000" w:themeColor="text1"/>
          <w:lang w:val="en-US" w:eastAsia="zh-CN"/>
          <w14:textFill>
            <w14:solidFill>
              <w14:schemeClr w14:val="tx1"/>
            </w14:solidFill>
          </w14:textFill>
        </w:rPr>
        <w:t>危险废物</w:t>
      </w:r>
      <w:r>
        <w:rPr>
          <w:rFonts w:hint="eastAsia"/>
          <w:color w:val="000000" w:themeColor="text1"/>
          <w14:textFill>
            <w14:solidFill>
              <w14:schemeClr w14:val="tx1"/>
            </w14:solidFill>
          </w14:textFill>
        </w:rPr>
        <w:t>临时贮存点满足</w:t>
      </w:r>
      <w:r>
        <w:rPr>
          <w:color w:val="000000" w:themeColor="text1"/>
          <w14:textFill>
            <w14:solidFill>
              <w14:schemeClr w14:val="tx1"/>
            </w14:solidFill>
          </w14:textFill>
        </w:rPr>
        <w:t>《危险废物贮存污染控制标准》（GB18597-2023）</w:t>
      </w:r>
      <w:r>
        <w:rPr>
          <w:rFonts w:hint="eastAsia"/>
          <w:color w:val="000000" w:themeColor="text1"/>
          <w14:textFill>
            <w14:solidFill>
              <w14:schemeClr w14:val="tx1"/>
            </w14:solidFill>
          </w14:textFill>
        </w:rPr>
        <w:t>中的相关要求</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该</w:t>
      </w:r>
      <w:r>
        <w:rPr>
          <w:rFonts w:hint="eastAsia"/>
          <w:color w:val="000000" w:themeColor="text1"/>
          <w:lang w:val="en-US" w:eastAsia="zh-CN"/>
          <w14:textFill>
            <w14:solidFill>
              <w14:schemeClr w14:val="tx1"/>
            </w14:solidFill>
          </w14:textFill>
        </w:rPr>
        <w:t>危险废物</w:t>
      </w:r>
      <w:r>
        <w:rPr>
          <w:rFonts w:hint="eastAsia"/>
          <w:color w:val="000000" w:themeColor="text1"/>
          <w14:textFill>
            <w14:solidFill>
              <w14:schemeClr w14:val="tx1"/>
            </w14:solidFill>
          </w14:textFill>
        </w:rPr>
        <w:t>临时贮存点运营管理要求：危险废物存入危险废物</w:t>
      </w:r>
      <w:r>
        <w:rPr>
          <w:rFonts w:hint="eastAsia"/>
          <w:color w:val="000000" w:themeColor="text1"/>
          <w:lang w:val="en-US" w:eastAsia="zh-CN"/>
          <w14:textFill>
            <w14:solidFill>
              <w14:schemeClr w14:val="tx1"/>
            </w14:solidFill>
          </w14:textFill>
        </w:rPr>
        <w:t>临时</w:t>
      </w:r>
      <w:r>
        <w:rPr>
          <w:rFonts w:hint="eastAsia"/>
          <w:color w:val="000000" w:themeColor="text1"/>
          <w14:textFill>
            <w14:solidFill>
              <w14:schemeClr w14:val="tx1"/>
            </w14:solidFill>
          </w14:textFill>
        </w:rPr>
        <w:t>贮存点前应对危险废物类别和特性与危险废物标签等危险废物识别标志的一致性进行核验，不一致的或类别、特性不明的不应存入；应定期检查危险废物</w:t>
      </w:r>
      <w:r>
        <w:rPr>
          <w:rFonts w:hint="eastAsia"/>
          <w:color w:val="000000" w:themeColor="text1"/>
          <w:lang w:val="en-US" w:eastAsia="zh-CN"/>
          <w14:textFill>
            <w14:solidFill>
              <w14:schemeClr w14:val="tx1"/>
            </w14:solidFill>
          </w14:textFill>
        </w:rPr>
        <w:t>临时</w:t>
      </w:r>
      <w:r>
        <w:rPr>
          <w:rFonts w:hint="eastAsia"/>
          <w:color w:val="000000" w:themeColor="text1"/>
          <w14:textFill>
            <w14:solidFill>
              <w14:schemeClr w14:val="tx1"/>
            </w14:solidFill>
          </w14:textFill>
        </w:rPr>
        <w:t>贮存点状况，及时清理暂存场地面，更换破损泄漏的危险废物贮存容器和包装物，保证堆存危险废物的防雨、防风、防扬尘等设施功能完好；作业设备及车辆等结束作业离开危险废物暂存场时，应对其残留的危险废物进行清理，清理的废物或清洗废水应收集处理；贮存设施运行期间，应按国家有关标准和规定建立危险废物管理台账并保存。</w:t>
      </w:r>
    </w:p>
    <w:p w14:paraId="7E0A9129">
      <w:pPr>
        <w:pStyle w:val="120"/>
        <w:rPr>
          <w:rFonts w:hint="eastAsia"/>
          <w:color w:val="000000" w:themeColor="text1"/>
          <w14:textFill>
            <w14:solidFill>
              <w14:schemeClr w14:val="tx1"/>
            </w14:solidFill>
          </w14:textFill>
        </w:rPr>
      </w:pPr>
      <w:bookmarkStart w:id="619" w:name="_Hlk147589850"/>
      <w:r>
        <w:rPr>
          <w:rFonts w:hint="eastAsia"/>
          <w:color w:val="000000" w:themeColor="text1"/>
          <w14:textFill>
            <w14:solidFill>
              <w14:schemeClr w14:val="tx1"/>
            </w14:solidFill>
          </w14:textFill>
        </w:rPr>
        <w:t>④危险废物的运输</w:t>
      </w:r>
    </w:p>
    <w:p w14:paraId="766FBC9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废物运输应由持有危险废物经营许可证的单位按照其许可证的经营范围组织实施，承担危险废物运输的单位应获得交通运输部门颁发的危险货物运输资质；危险废物公路运输应按照《道路危险货物运输管理规定》（交通运输部令〔2023年〕第13号）、JT617以及JT618执行；运输单位承运危险废物时，应在危险废物包装上按照GB18597附录A设置标志；危险废物公路运输时，运输车辆应按GB13392设置车辆标志；危险废物运输时的中转、装卸过程应遵守如下技术要求：卸载区的工作人员应熟悉废物的危险特性，并配备适当的个人防护装备，装卸剧毒废物应配备特殊的防护装备；卸载区应配备必要的消防设备和设施，并设置明显的指示标志；危险废物装卸区应设置隔离设施，液态废物卸载区应设置收集槽和缓冲罐。</w:t>
      </w:r>
    </w:p>
    <w:bookmarkEnd w:id="618"/>
    <w:bookmarkEnd w:id="619"/>
    <w:p w14:paraId="37A2DFD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）按照《环境保护图形标志固体废物贮存（处置）场》（</w:t>
      </w:r>
      <w:r>
        <w:rPr>
          <w:color w:val="000000" w:themeColor="text1"/>
          <w14:textFill>
            <w14:solidFill>
              <w14:schemeClr w14:val="tx1"/>
            </w14:solidFill>
          </w14:textFill>
        </w:rPr>
        <w:t>GB15562.2</w:t>
      </w:r>
      <w:r>
        <w:rPr>
          <w:rFonts w:hint="eastAsia"/>
          <w:color w:val="000000" w:themeColor="text1"/>
          <w14:textFill>
            <w14:solidFill>
              <w14:schemeClr w14:val="tx1"/>
            </w14:solidFill>
          </w14:textFill>
        </w:rPr>
        <w:t>）等有关规定，对危险废物的容器和包装物设置危险废物识别标志。</w:t>
      </w:r>
    </w:p>
    <w:p w14:paraId="7E7340F4">
      <w:pPr>
        <w:pStyle w:val="462"/>
        <w:rPr>
          <w:rFonts w:hint="eastAsia"/>
          <w:color w:val="000000" w:themeColor="text1"/>
          <w14:textFill>
            <w14:solidFill>
              <w14:schemeClr w14:val="tx1"/>
            </w14:solidFill>
          </w14:textFill>
        </w:rPr>
      </w:pPr>
      <w:r>
        <w:rPr>
          <w:rFonts w:hint="eastAsia" w:cs="宋体"/>
          <w:color w:val="000000" w:themeColor="text1"/>
          <w:szCs w:val="21"/>
          <w14:textFill>
            <w14:solidFill>
              <w14:schemeClr w14:val="tx1"/>
            </w14:solidFill>
          </w14:textFill>
        </w:rPr>
        <w:t>（</w:t>
      </w:r>
      <w:r>
        <w:rPr>
          <w:rFonts w:cs="宋体"/>
          <w:color w:val="000000" w:themeColor="text1"/>
          <w:szCs w:val="21"/>
          <w14:textFill>
            <w14:solidFill>
              <w14:schemeClr w14:val="tx1"/>
            </w14:solidFill>
          </w14:textFill>
        </w:rPr>
        <w:t>4</w:t>
      </w:r>
      <w:r>
        <w:rPr>
          <w:rFonts w:hint="eastAsia" w:cs="宋体"/>
          <w:color w:val="000000" w:themeColor="text1"/>
          <w:szCs w:val="21"/>
          <w14:textFill>
            <w14:solidFill>
              <w14:schemeClr w14:val="tx1"/>
            </w14:solidFill>
          </w14:textFill>
        </w:rPr>
        <w:t>）</w:t>
      </w:r>
      <w:r>
        <w:rPr>
          <w:rFonts w:hint="eastAsia"/>
          <w:color w:val="000000" w:themeColor="text1"/>
          <w14:textFill>
            <w14:solidFill>
              <w14:schemeClr w14:val="tx1"/>
            </w14:solidFill>
          </w14:textFill>
        </w:rPr>
        <w:t>吉庆油田作业区已按照年度建立了完善的危险废物管理计划，并定期向生态环境主管部门上报备案，项目建成后总体按照既定计划进行危险废物管理。</w:t>
      </w:r>
    </w:p>
    <w:p w14:paraId="268FD3C4">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（5）吉庆油田作业区已建立了污染环境防治责任制度，建立了危险废物产生、收集、贮存、处置等全过程的污染环境防治责任制度；</w:t>
      </w:r>
    </w:p>
    <w:p w14:paraId="76BBDB3E">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（6）吉庆油田</w:t>
      </w:r>
      <w:bookmarkStart w:id="620" w:name="_Hlk162376067"/>
      <w:r>
        <w:rPr>
          <w:rFonts w:hint="eastAsia"/>
          <w:color w:val="000000" w:themeColor="text1"/>
          <w14:textFill>
            <w14:solidFill>
              <w14:schemeClr w14:val="tx1"/>
            </w14:solidFill>
          </w14:textFill>
        </w:rPr>
        <w:t>作业区已按照《危险废物产生单位管理计划制定指南》有关要求制定，按年度建立了完善的危险废物管理计划，并定期向生态环境主管部门上报备案，项目建成后总体按照既定计划进行危险废物管理。</w:t>
      </w:r>
      <w:bookmarkEnd w:id="620"/>
    </w:p>
    <w:p w14:paraId="600F1068">
      <w:pPr>
        <w:pStyle w:val="120"/>
        <w:ind w:firstLine="480"/>
        <w:rPr>
          <w:rFonts w:hint="eastAsia"/>
          <w:color w:val="000000" w:themeColor="text1"/>
          <w14:textFill>
            <w14:solidFill>
              <w14:schemeClr w14:val="tx1"/>
            </w14:solidFill>
          </w14:textFill>
        </w:rPr>
      </w:pPr>
      <w:bookmarkStart w:id="621" w:name="_Hlk175258131"/>
      <w:r>
        <w:rPr>
          <w:rFonts w:hint="eastAsia"/>
          <w:color w:val="000000" w:themeColor="text1"/>
          <w14:textFill>
            <w14:solidFill>
              <w14:schemeClr w14:val="tx1"/>
            </w14:solidFill>
          </w14:textFill>
        </w:rPr>
        <w:t>（7）危险废物环境管理要求</w:t>
      </w:r>
    </w:p>
    <w:p w14:paraId="3CF543F7">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废润滑油、废润滑油桶、沾油废防渗材料、</w:t>
      </w:r>
      <w:r>
        <w:rPr>
          <w:rFonts w:hint="eastAsia"/>
          <w:color w:val="000000" w:themeColor="text1"/>
          <w:lang w:val="en-US" w:eastAsia="zh-CN"/>
          <w14:textFill>
            <w14:solidFill>
              <w14:schemeClr w14:val="tx1"/>
            </w14:solidFill>
          </w14:textFill>
        </w:rPr>
        <w:t>废弃</w:t>
      </w:r>
      <w:r>
        <w:rPr>
          <w:rFonts w:hint="eastAsia"/>
          <w:color w:val="000000" w:themeColor="text1"/>
          <w14:textFill>
            <w14:solidFill>
              <w14:schemeClr w14:val="tx1"/>
            </w14:solidFill>
          </w14:textFill>
        </w:rPr>
        <w:t>含油抹布及劳保用品按照《危险废物环境管理指南  陆上石油天然气开采》《排污许可证申请与核发技术规范 工业固体废物和危险废物治理》（HJ1033-2019）中的危险废物环境管理要求进行管理，具体如下：</w:t>
      </w:r>
    </w:p>
    <w:p w14:paraId="283D40EF">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①落实污染环境防治责任制度，建立健全工业危险废物产生、收集、贮存、运输、利用、处置全过程的污染环境防治责任制度。</w:t>
      </w:r>
    </w:p>
    <w:p w14:paraId="50F0E15F">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②落实危险废物识别标志制度，按照《环境保护图形标志 固体废物贮存（处置）场》（GB15562.2）和《危险废物识别标志设置技术规范》（HJ1276-2022）等有关规定，对危险废物的容器和收集、贮存、危险废物的场所设置危险废物识别标志。</w:t>
      </w:r>
    </w:p>
    <w:p w14:paraId="4402DD77">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③落实危险废物管理计划制度，按照《</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"https://www.mee.gov.cn/gkml/hbb/bgg/201601/W020160128385366835993.pdf"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危险废物管理计划和</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管理台账制定技术导则》（HJ1259-2022）等有关要求制定危险废物管理计划，并报所在地生态环境主管部门备案。</w:t>
      </w:r>
    </w:p>
    <w:p w14:paraId="3CF703E9">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④落实危险废物管理台账及申报制度，建立危险废物管理台账，如实记录有关信息，并通过国家危险废物信息管理系统向所在地生态环境主管部门申报危险废物的种类、产生量、流向、贮存、处置等有关资料。</w:t>
      </w:r>
    </w:p>
    <w:p w14:paraId="4CE17F20">
      <w:pPr>
        <w:pStyle w:val="462"/>
        <w:rPr>
          <w:rFonts w:hint="eastAsia"/>
          <w:color w:val="000000" w:themeColor="text1"/>
          <w:lang w:val="zh-CN"/>
          <w14:textFill>
            <w14:solidFill>
              <w14:schemeClr w14:val="tx1"/>
            </w14:solidFill>
          </w14:textFill>
        </w:rPr>
      </w:pPr>
      <w:r>
        <w:rPr>
          <w:rFonts w:hint="eastAsia"/>
          <w:color w:val="000000" w:themeColor="text1"/>
          <w:lang w:val="en-US" w:eastAsia="zh-CN"/>
          <w14:textFill>
            <w14:solidFill>
              <w14:schemeClr w14:val="tx1"/>
            </w14:solidFill>
          </w14:textFill>
        </w:rPr>
        <w:t>在运营过程中吉庆油田作业区应</w:t>
      </w:r>
      <w:r>
        <w:rPr>
          <w:rFonts w:hint="eastAsia"/>
          <w:color w:val="000000" w:themeColor="text1"/>
          <w:lang w:val="zh-CN"/>
          <w14:textFill>
            <w14:solidFill>
              <w14:schemeClr w14:val="tx1"/>
            </w14:solidFill>
          </w14:textFill>
        </w:rPr>
        <w:t>根据《危险废物管理计划和管理台账制定技术导则》（HJ1259-2022）建立危险废物管理台账。危险废物产生环节</w:t>
      </w:r>
      <w:r>
        <w:rPr>
          <w:rFonts w:hint="eastAsia"/>
          <w:color w:val="000000" w:themeColor="text1"/>
          <w:lang w:val="en-US" w:eastAsia="zh-CN"/>
          <w14:textFill>
            <w14:solidFill>
              <w14:schemeClr w14:val="tx1"/>
            </w14:solidFill>
          </w14:textFill>
        </w:rPr>
        <w:t>应</w:t>
      </w:r>
      <w:r>
        <w:rPr>
          <w:rFonts w:hint="eastAsia"/>
          <w:color w:val="000000" w:themeColor="text1"/>
          <w:lang w:val="zh-CN"/>
          <w14:textFill>
            <w14:solidFill>
              <w14:schemeClr w14:val="tx1"/>
            </w14:solidFill>
          </w14:textFill>
        </w:rPr>
        <w:t>按照每个容器、包装物如实记录产生批次编码、产生时间、危险废物名称、危险废物类别、危险废物代码、产生量、计量单位、容器/包装编码、容器/包装类型、容器/包装数量、产生危险服务设施编码等；危险废物入库环节，应记录入库批次编码、入库时间、容器/包装编码、容器/包装类型、容器/包装数量、危险废物名称、危险废物类别、危险废物代码、入库量、计量单位、贮存设施编码、贮存设施类型、运送部门经办人、贮存部门经办人、产生批次编码等。危险废物出库环节，应记录出库批次编码、出库时间、容器/包装编码、容器/包装类型、容器/包装数量、危险废物名称、危险废物类别、危险废物代码、出库量、计量单位、贮存设施编码、贮存设施类型、出库部门经办人、运送部门经办人、入库批次编码、去向等。危险废物委外处置环节，应记录委外处置批次编码、出</w:t>
      </w:r>
      <w:r>
        <w:rPr>
          <w:rFonts w:hint="eastAsia"/>
          <w:color w:val="000000" w:themeColor="text1"/>
          <w:lang w:val="en-US" w:eastAsia="zh-CN"/>
          <w14:textFill>
            <w14:solidFill>
              <w14:schemeClr w14:val="tx1"/>
            </w14:solidFill>
          </w14:textFill>
        </w:rPr>
        <w:t>库</w:t>
      </w:r>
      <w:r>
        <w:rPr>
          <w:rFonts w:hint="eastAsia"/>
          <w:color w:val="000000" w:themeColor="text1"/>
          <w:lang w:val="zh-CN"/>
          <w14:textFill>
            <w14:solidFill>
              <w14:schemeClr w14:val="tx1"/>
            </w14:solidFill>
          </w14:textFill>
        </w:rPr>
        <w:t>时间、容器/包装编码、容器/包装类型、容器/包装数量、危险废物名称、危险废物类别、危险废物代码、委外利用/处置量、计量单位、处置方式、接收单位类型、利用/处置单位名称、许可证编码/出口核准通知单编号、产生批次编码/出库批次编码等。记录保存时间原则上应存档5年以上。并通过国家危险废物信息管理系统向所在地生态环境主管部门申报危险废物的种类、产生量、流向、贮存、处置等有关资料。</w:t>
      </w:r>
    </w:p>
    <w:p w14:paraId="6B5DC7C6">
      <w:pPr>
        <w:pStyle w:val="12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⑤落实危险废物转移联单制度，转移危险废物的，应当按照《危险废物转移管理办法》的有关规定填写、运行危险废物转移联单。</w:t>
      </w:r>
    </w:p>
    <w:p w14:paraId="4F932D4A">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⑥落实环境管理台账记录的责任部门和责任人，明确工作职责，包括台账的记录、整理、维护和管理等。台账应当按照电子化储存和纸质储存两种形式同步管理。</w:t>
      </w:r>
    </w:p>
    <w:p w14:paraId="1FD6DFF2">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）运营单位应建立危险废物转移联单制度，转移危险废物的，应当按照《危险废物转移管理办法》</w:t>
      </w:r>
      <w:r>
        <w:rPr>
          <w:color w:val="000000" w:themeColor="text1"/>
          <w14:textFill>
            <w14:solidFill>
              <w14:schemeClr w14:val="tx1"/>
            </w14:solidFill>
          </w14:textFill>
        </w:rPr>
        <w:t>（生态环境部、公安部、交通运输部令第23号）</w:t>
      </w:r>
      <w:r>
        <w:rPr>
          <w:rFonts w:hint="eastAsia"/>
          <w:color w:val="000000" w:themeColor="text1"/>
          <w14:textFill>
            <w14:solidFill>
              <w14:schemeClr w14:val="tx1"/>
            </w14:solidFill>
          </w14:textFill>
        </w:rPr>
        <w:t>的有关规定填写、运行危险废物转移联单。</w:t>
      </w:r>
    </w:p>
    <w:p w14:paraId="115A1BA9">
      <w:pPr>
        <w:pStyle w:val="46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运营单位应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w:t>
      </w:r>
    </w:p>
    <w:p w14:paraId="48E3E694">
      <w:pPr>
        <w:pStyle w:val="462"/>
        <w:rPr>
          <w:rFonts w:hint="eastAsia"/>
          <w:color w:val="000000" w:themeColor="text1"/>
          <w14:textFill>
            <w14:solidFill>
              <w14:schemeClr w14:val="tx1"/>
            </w14:solidFill>
          </w14:textFill>
        </w:rPr>
      </w:pPr>
      <w:bookmarkStart w:id="622" w:name="OLE_LINK283"/>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）建设单位应与有相应危险废物处置资质的单位签订处置协议，协议中要明确双方的义务和责任，约定处置方应依法合规处置危险废物，处置完毕后报告委托方。</w:t>
      </w:r>
    </w:p>
    <w:bookmarkEnd w:id="617"/>
    <w:bookmarkEnd w:id="621"/>
    <w:bookmarkEnd w:id="622"/>
    <w:p w14:paraId="4154599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以上措施符合固体废物处置“减量化、资源化、无害化”原则。</w:t>
      </w:r>
    </w:p>
    <w:p w14:paraId="5BFD7E2C">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运营期土壤污染防治措施</w:t>
      </w:r>
    </w:p>
    <w:p w14:paraId="26DE3E0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（1）源头控制</w:t>
      </w:r>
    </w:p>
    <w:p w14:paraId="36FF0097">
      <w:pPr>
        <w:pStyle w:val="120"/>
        <w:rPr>
          <w:rFonts w:hint="eastAsia"/>
          <w:color w:val="000000" w:themeColor="text1"/>
          <w14:textFill>
            <w14:solidFill>
              <w14:schemeClr w14:val="tx1"/>
            </w14:solidFill>
          </w14:textFill>
        </w:rPr>
      </w:pPr>
      <w:bookmarkStart w:id="623" w:name="_Hlk148012561"/>
      <w:r>
        <w:rPr>
          <w:rFonts w:hint="eastAsia" w:cs="宋体"/>
          <w:color w:val="000000" w:themeColor="text1"/>
          <w:kern w:val="0"/>
          <w:lang w:bidi="ar"/>
          <w14:textFill>
            <w14:solidFill>
              <w14:schemeClr w14:val="tx1"/>
            </w14:solidFill>
          </w14:textFill>
        </w:rPr>
        <w:t>洗井废水、井下作业废液（压裂返排液和废洗井液）由罐车拉运至吉祥联合站采出水处理系统处理后回注油藏</w:t>
      </w:r>
      <w:r>
        <w:rPr>
          <w:rFonts w:hint="eastAsia" w:cs="宋体"/>
          <w:color w:val="000000" w:themeColor="text1"/>
          <w:lang w:bidi="ar"/>
          <w14:textFill>
            <w14:solidFill>
              <w14:schemeClr w14:val="tx1"/>
            </w14:solidFill>
          </w14:textFill>
        </w:rPr>
        <w:t>；</w:t>
      </w:r>
      <w:r>
        <w:rPr>
          <w:rFonts w:hint="eastAsia"/>
          <w:color w:val="000000" w:themeColor="text1"/>
          <w14:textFill>
            <w14:solidFill>
              <w14:schemeClr w14:val="tx1"/>
            </w14:solidFill>
          </w14:textFill>
        </w:rPr>
        <w:t>各类危险废物集中收集后交由有相应危险废物处置资质的单位回收处置；建设单位应参照《石油天然气工业套管和油管的维护与使用》（GB/T17745-2011）要求进行井筒完整性管理，定期开展井筒完整性检查；产生的各类废物均可得到妥善处置，从源头减少了污染物的产生。</w:t>
      </w:r>
    </w:p>
    <w:bookmarkEnd w:id="623"/>
    <w:p w14:paraId="6FC67D7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（2）防渗措施</w:t>
      </w:r>
    </w:p>
    <w:p w14:paraId="2CC82B8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防渗措施见“</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运营期废水污染防治措施”章节。</w:t>
      </w:r>
    </w:p>
    <w:p w14:paraId="163B9AAA">
      <w:pPr>
        <w:pStyle w:val="526"/>
        <w:numPr>
          <w:ilvl w:val="0"/>
          <w:numId w:val="4"/>
        </w:numPr>
        <w:spacing w:line="500" w:lineRule="exact"/>
        <w:ind w:firstLine="480" w:firstLineChars="200"/>
        <w:jc w:val="left"/>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选择耐腐蚀性能好、抗老化性能、耐热性能好、抗冻性能好的管材。</w:t>
      </w:r>
    </w:p>
    <w:p w14:paraId="07A92874">
      <w:pPr>
        <w:pStyle w:val="526"/>
        <w:numPr>
          <w:ilvl w:val="0"/>
          <w:numId w:val="4"/>
        </w:numPr>
        <w:spacing w:line="500" w:lineRule="exact"/>
        <w:ind w:firstLine="480" w:firstLineChars="200"/>
        <w:jc w:val="left"/>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加强井场及管线巡检，避免因“跑、冒、滴、漏”或泄漏事故发生造成油品进入土壤，发生泄漏事故时应及时清理落地油，受污染的土壤应交由具有相应危险废物处置资质的单位负责接收、转运和处置，降低对土壤环境质量的影响程度。</w:t>
      </w:r>
    </w:p>
    <w:p w14:paraId="7F81A28F">
      <w:pPr>
        <w:pStyle w:val="526"/>
        <w:numPr>
          <w:ilvl w:val="0"/>
          <w:numId w:val="4"/>
        </w:numPr>
        <w:spacing w:line="500" w:lineRule="exact"/>
        <w:ind w:firstLine="480" w:firstLineChars="200"/>
        <w:jc w:val="left"/>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定期开展土壤跟踪监测。</w:t>
      </w:r>
    </w:p>
    <w:p w14:paraId="2B463F89">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运营期生态环境保护措施</w:t>
      </w:r>
    </w:p>
    <w:p w14:paraId="410040B6">
      <w:pPr>
        <w:pStyle w:val="120"/>
        <w:rPr>
          <w:rFonts w:hint="eastAsia"/>
          <w:color w:val="000000" w:themeColor="text1"/>
          <w14:textFill>
            <w14:solidFill>
              <w14:schemeClr w14:val="tx1"/>
            </w14:solidFill>
          </w14:textFill>
        </w:rPr>
      </w:pPr>
      <w:bookmarkStart w:id="624" w:name="_Hlk80529873"/>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bookmarkStart w:id="625" w:name="_Hlk148007417"/>
      <w:r>
        <w:rPr>
          <w:rFonts w:hint="eastAsia"/>
          <w:color w:val="000000" w:themeColor="text1"/>
          <w14:textFill>
            <w14:solidFill>
              <w14:schemeClr w14:val="tx1"/>
            </w14:solidFill>
          </w14:textFill>
        </w:rPr>
        <w:t>定期检查管线，如发现管线刺漏，需采取补救措施，并对受污染土壤回收处理。</w:t>
      </w:r>
    </w:p>
    <w:p w14:paraId="41BF6D1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）定时巡查井场和管线，日常巡检时应控制车速，减少对野生动物的惊扰。</w:t>
      </w:r>
    </w:p>
    <w:p w14:paraId="67C8150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）加强作业人员宣传教育工作，严禁捕杀野生动物，在道路边和井区内，设置“保护生态环境、保护野生动植物”等环境保护警示牌。</w:t>
      </w:r>
    </w:p>
    <w:p w14:paraId="01DC281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）永久占地采取砾石覆盖，减少风蚀量。</w:t>
      </w:r>
    </w:p>
    <w:p w14:paraId="75FB56D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）提高车辆拉运驾驶人员技术素质、加强责任心，贯彻安全驾驶机动车辆的行为规定，严格遵守交通法规。</w:t>
      </w:r>
    </w:p>
    <w:bookmarkEnd w:id="625"/>
    <w:p w14:paraId="4640724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（7）地表要及时进行植被恢复工作，防止水土流失。管道维修二次开挖回填时，尽量按原有土壤层次进行回填。</w:t>
      </w:r>
    </w:p>
    <w:p w14:paraId="316D8A8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（8）巡检车辆严格按照现有道路行驶，不得驶入农田中。</w:t>
      </w:r>
    </w:p>
    <w:p w14:paraId="52682A5E">
      <w:pPr>
        <w:pStyle w:val="7"/>
        <w:rPr>
          <w:rFonts w:hint="eastAsia"/>
          <w:color w:val="000000" w:themeColor="text1"/>
          <w:lang w:val="zh-CN"/>
          <w14:textFill>
            <w14:solidFill>
              <w14:schemeClr w14:val="tx1"/>
            </w14:solidFill>
          </w14:textFill>
        </w:rPr>
      </w:pPr>
      <w:bookmarkStart w:id="626" w:name="_Toc3354"/>
      <w:r>
        <w:rPr>
          <w:rFonts w:hint="eastAsia"/>
          <w:color w:val="000000" w:themeColor="text1"/>
          <w14:textFill>
            <w14:solidFill>
              <w14:schemeClr w14:val="tx1"/>
            </w14:solidFill>
          </w14:textFill>
        </w:rPr>
        <w:t>温室气体管控措施</w:t>
      </w:r>
      <w:bookmarkEnd w:id="626"/>
    </w:p>
    <w:p w14:paraId="012E436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（1）原油采用密闭集输工艺，减少温室气体甲烷的产生。</w:t>
      </w:r>
    </w:p>
    <w:p w14:paraId="66DB6A94">
      <w:pPr>
        <w:pStyle w:val="12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（2）根据项目用电性质、用电容量等选择合理的供电电压和供电方式，有效减少电能损耗。配电网设置无功补偿装置，线路功率因数不低于0</w:t>
      </w:r>
      <w:r>
        <w:rPr>
          <w:color w:val="000000" w:themeColor="text1"/>
          <w14:textFill>
            <w14:solidFill>
              <w14:schemeClr w14:val="tx1"/>
            </w14:solidFill>
          </w14:textFill>
        </w:rPr>
        <w:t>.85</w:t>
      </w:r>
      <w:r>
        <w:rPr>
          <w:rFonts w:hint="eastAsia"/>
          <w:color w:val="000000" w:themeColor="text1"/>
          <w14:textFill>
            <w14:solidFill>
              <w14:schemeClr w14:val="tx1"/>
            </w14:solidFill>
          </w14:textFill>
        </w:rPr>
        <w:t>，功率因数不低于0</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。选用节能型干式变压器</w:t>
      </w:r>
      <w:r>
        <w:rPr>
          <w:rFonts w:hint="eastAsia"/>
          <w:color w:val="000000" w:themeColor="text1"/>
          <w:lang w:eastAsia="zh-CN"/>
          <w14:textFill>
            <w14:solidFill>
              <w14:schemeClr w14:val="tx1"/>
            </w14:solidFill>
          </w14:textFill>
        </w:rPr>
        <w:t>，</w:t>
      </w:r>
      <w:r>
        <w:rPr>
          <w:rFonts w:hint="eastAsia" w:ascii="宋体" w:hAnsi="宋体" w:eastAsia="宋体"/>
          <w:color w:val="000000" w:themeColor="text1"/>
          <w:sz w:val="24"/>
          <w:szCs w:val="24"/>
          <w14:textFill>
            <w14:solidFill>
              <w14:schemeClr w14:val="tx1"/>
            </w14:solidFill>
          </w14:textFill>
        </w:rPr>
        <w:t>能效等级为</w:t>
      </w:r>
      <w:r>
        <w:rPr>
          <w:rFonts w:hint="eastAsia" w:ascii="TimesNewRomanPSMT" w:hAnsi="TimesNewRomanPSMT" w:eastAsia="TimesNewRomanPSMT"/>
          <w:color w:val="000000" w:themeColor="text1"/>
          <w:sz w:val="24"/>
          <w:szCs w:val="24"/>
          <w14:textFill>
            <w14:solidFill>
              <w14:schemeClr w14:val="tx1"/>
            </w14:solidFill>
          </w14:textFill>
        </w:rPr>
        <w:t>1</w:t>
      </w:r>
      <w:r>
        <w:rPr>
          <w:rFonts w:hint="eastAsia" w:ascii="宋体" w:hAnsi="宋体" w:eastAsia="宋体"/>
          <w:color w:val="000000" w:themeColor="text1"/>
          <w:sz w:val="24"/>
          <w:szCs w:val="24"/>
          <w14:textFill>
            <w14:solidFill>
              <w14:schemeClr w14:val="tx1"/>
            </w14:solidFill>
          </w14:textFill>
        </w:rPr>
        <w:t>级</w:t>
      </w:r>
      <w:r>
        <w:rPr>
          <w:rFonts w:hint="eastAsia" w:ascii="宋体" w:hAnsi="宋体" w:eastAsia="宋体"/>
          <w:color w:val="000000" w:themeColor="text1"/>
          <w:sz w:val="24"/>
          <w:szCs w:val="24"/>
          <w:lang w:eastAsia="zh-CN"/>
          <w14:textFill>
            <w14:solidFill>
              <w14:schemeClr w14:val="tx1"/>
            </w14:solidFill>
          </w14:textFill>
        </w:rPr>
        <w:t>。</w:t>
      </w:r>
      <w:r>
        <w:rPr>
          <w:rFonts w:hint="eastAsia"/>
          <w:color w:val="000000" w:themeColor="text1"/>
          <w14:textFill>
            <w14:solidFill>
              <w14:schemeClr w14:val="tx1"/>
            </w14:solidFill>
          </w14:textFill>
        </w:rPr>
        <w:t>选用节能</w:t>
      </w:r>
      <w:r>
        <w:rPr>
          <w:rFonts w:hint="eastAsia"/>
          <w:color w:val="000000" w:themeColor="text1"/>
          <w:lang w:val="en-US" w:eastAsia="zh-CN"/>
          <w14:textFill>
            <w14:solidFill>
              <w14:schemeClr w14:val="tx1"/>
            </w14:solidFill>
          </w14:textFill>
        </w:rPr>
        <w:t>型</w:t>
      </w:r>
      <w:r>
        <w:rPr>
          <w:rFonts w:hint="eastAsia"/>
          <w:color w:val="000000" w:themeColor="text1"/>
          <w14:textFill>
            <w14:solidFill>
              <w14:schemeClr w14:val="tx1"/>
            </w14:solidFill>
          </w14:textFill>
        </w:rPr>
        <w:t>电力设备，能效等级为1级</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实际功率和负荷相适应</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减少电能消耗。</w:t>
      </w:r>
    </w:p>
    <w:p w14:paraId="0A948C2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新建</w:t>
      </w:r>
      <w:r>
        <w:rPr>
          <w:rFonts w:hint="eastAsia"/>
          <w:color w:val="000000" w:themeColor="text1"/>
          <w:lang w:eastAsia="zh-CN"/>
          <w14:textFill>
            <w14:solidFill>
              <w14:schemeClr w14:val="tx1"/>
            </w14:solidFill>
          </w14:textFill>
        </w:rPr>
        <w:t>井场采用无人值守井场，实现全自动过程。</w:t>
      </w:r>
      <w:r>
        <w:rPr>
          <w:rFonts w:hint="eastAsia"/>
          <w:color w:val="000000" w:themeColor="text1"/>
          <w14:textFill>
            <w14:solidFill>
              <w14:schemeClr w14:val="tx1"/>
            </w14:solidFill>
          </w14:textFill>
        </w:rPr>
        <w:t>加强各设备、阀门、法兰、管线等巡检、维护</w:t>
      </w:r>
      <w:r>
        <w:rPr>
          <w:rFonts w:hint="eastAsia"/>
          <w:color w:val="000000" w:themeColor="text1"/>
          <w:lang w:eastAsia="zh-CN"/>
          <w14:textFill>
            <w14:solidFill>
              <w14:schemeClr w14:val="tx1"/>
            </w14:solidFill>
          </w14:textFill>
        </w:rPr>
        <w:t>，及时更换存在故障的阀门、法兰等部件，减少无组织泄漏量。</w:t>
      </w:r>
    </w:p>
    <w:p w14:paraId="20A36D42">
      <w:pPr>
        <w:pStyle w:val="12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吉庆油田作业区应</w:t>
      </w:r>
      <w:r>
        <w:rPr>
          <w:rFonts w:hint="eastAsia"/>
          <w:color w:val="000000" w:themeColor="text1"/>
          <w:lang w:eastAsia="zh-CN"/>
          <w14:textFill>
            <w14:solidFill>
              <w14:schemeClr w14:val="tx1"/>
            </w14:solidFill>
          </w14:textFill>
        </w:rPr>
        <w:t>将碳排放管理工作作为重要事项纳入日常管理，</w:t>
      </w:r>
      <w:r>
        <w:rPr>
          <w:rFonts w:hint="eastAsia"/>
          <w:color w:val="000000" w:themeColor="text1"/>
          <w:lang w:val="en-US" w:eastAsia="zh-CN"/>
          <w14:textFill>
            <w14:solidFill>
              <w14:schemeClr w14:val="tx1"/>
            </w14:solidFill>
          </w14:textFill>
        </w:rPr>
        <w:t>制定</w:t>
      </w:r>
      <w:r>
        <w:rPr>
          <w:rFonts w:hint="eastAsia"/>
          <w:color w:val="000000" w:themeColor="text1"/>
          <w:lang w:eastAsia="zh-CN"/>
          <w14:textFill>
            <w14:solidFill>
              <w14:schemeClr w14:val="tx1"/>
            </w14:solidFill>
          </w14:textFill>
        </w:rPr>
        <w:t>能源及碳排放管理制度，对各类能源的购入、贮存、使用、加工转换、输送分配以及最终使用等环节进行详细的规定，尽可能从管理上做到对各类能源高效使用，同时对碳排放情况进行有效管理，定期开展能源及碳排放管理培训。</w:t>
      </w:r>
    </w:p>
    <w:p w14:paraId="7FD1980B">
      <w:pPr>
        <w:pStyle w:val="7"/>
        <w:rPr>
          <w:rFonts w:hint="eastAsia"/>
          <w:color w:val="000000" w:themeColor="text1"/>
          <w:lang w:val="zh-CN"/>
          <w14:textFill>
            <w14:solidFill>
              <w14:schemeClr w14:val="tx1"/>
            </w14:solidFill>
          </w14:textFill>
        </w:rPr>
      </w:pPr>
      <w:bookmarkStart w:id="627" w:name="_Toc4840"/>
      <w:bookmarkStart w:id="628" w:name="_Hlk175252903"/>
      <w:r>
        <w:rPr>
          <w:rFonts w:hint="eastAsia"/>
          <w:color w:val="000000" w:themeColor="text1"/>
          <w:lang w:val="zh-CN"/>
          <w14:textFill>
            <w14:solidFill>
              <w14:schemeClr w14:val="tx1"/>
            </w14:solidFill>
          </w14:textFill>
        </w:rPr>
        <w:t>环境</w:t>
      </w:r>
      <w:r>
        <w:rPr>
          <w:color w:val="000000" w:themeColor="text1"/>
          <w:lang w:val="zh-CN"/>
          <w14:textFill>
            <w14:solidFill>
              <w14:schemeClr w14:val="tx1"/>
            </w14:solidFill>
          </w14:textFill>
        </w:rPr>
        <w:t>风险</w:t>
      </w:r>
      <w:r>
        <w:rPr>
          <w:rFonts w:hint="eastAsia"/>
          <w:color w:val="000000" w:themeColor="text1"/>
          <w:lang w:val="zh-CN"/>
          <w14:textFill>
            <w14:solidFill>
              <w14:schemeClr w14:val="tx1"/>
            </w14:solidFill>
          </w14:textFill>
        </w:rPr>
        <w:t>事故防范</w:t>
      </w:r>
      <w:r>
        <w:rPr>
          <w:color w:val="000000" w:themeColor="text1"/>
          <w:lang w:val="zh-CN"/>
          <w14:textFill>
            <w14:solidFill>
              <w14:schemeClr w14:val="tx1"/>
            </w14:solidFill>
          </w14:textFill>
        </w:rPr>
        <w:t>措施</w:t>
      </w:r>
      <w:bookmarkEnd w:id="627"/>
    </w:p>
    <w:bookmarkEnd w:id="628"/>
    <w:p w14:paraId="26C2E312">
      <w:pPr>
        <w:pStyle w:val="8"/>
        <w:rPr>
          <w:rFonts w:hint="eastAsia"/>
          <w:color w:val="000000" w:themeColor="text1"/>
          <w14:textFill>
            <w14:solidFill>
              <w14:schemeClr w14:val="tx1"/>
            </w14:solidFill>
          </w14:textFill>
        </w:rPr>
      </w:pPr>
      <w:bookmarkStart w:id="629" w:name="_Hlk175252929"/>
      <w:r>
        <w:rPr>
          <w:rFonts w:hint="eastAsia"/>
          <w:color w:val="000000" w:themeColor="text1"/>
          <w14:textFill>
            <w14:solidFill>
              <w14:schemeClr w14:val="tx1"/>
            </w14:solidFill>
          </w14:textFill>
        </w:rPr>
        <w:t>施工期环境风险防范措施</w:t>
      </w:r>
    </w:p>
    <w:bookmarkEnd w:id="629"/>
    <w:p w14:paraId="1D8DF3CC">
      <w:pPr>
        <w:pStyle w:val="120"/>
        <w:rPr>
          <w:rFonts w:hint="eastAsia"/>
          <w:color w:val="000000" w:themeColor="text1"/>
          <w14:textFill>
            <w14:solidFill>
              <w14:schemeClr w14:val="tx1"/>
            </w14:solidFill>
          </w14:textFill>
        </w:rPr>
      </w:pPr>
      <w:bookmarkStart w:id="630" w:name="_Hlk175252940"/>
      <w:r>
        <w:rPr>
          <w:rFonts w:hint="eastAsia"/>
          <w:color w:val="000000" w:themeColor="text1"/>
          <w14:textFill>
            <w14:solidFill>
              <w14:schemeClr w14:val="tx1"/>
            </w14:solidFill>
          </w14:textFill>
        </w:rPr>
        <w:t>（1）</w:t>
      </w:r>
      <w:r>
        <w:rPr>
          <w:color w:val="000000" w:themeColor="text1"/>
          <w14:textFill>
            <w14:solidFill>
              <w14:schemeClr w14:val="tx1"/>
            </w14:solidFill>
          </w14:textFill>
        </w:rPr>
        <w:t>管理措施</w:t>
      </w:r>
    </w:p>
    <w:bookmarkEnd w:id="630"/>
    <w:p w14:paraId="69CE8CCF">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建设单位以及施工钻井队结合行业作业规范，设置有专职安全环保管理人员，把安全、环境管理纳入生产管理的各个环节，为防止事故的发生起到非常积极的作用。现场作业严格按照</w:t>
      </w:r>
      <w:r>
        <w:rPr>
          <w:rFonts w:hint="eastAsia"/>
          <w:color w:val="000000" w:themeColor="text1"/>
          <w14:textFill>
            <w14:solidFill>
              <w14:schemeClr w14:val="tx1"/>
            </w14:solidFill>
          </w14:textFill>
        </w:rPr>
        <w:t>《健康、安全与环境管理体系 第1部分：规范》（</w:t>
      </w:r>
      <w:r>
        <w:rPr>
          <w:color w:val="000000" w:themeColor="text1"/>
          <w14:textFill>
            <w14:solidFill>
              <w14:schemeClr w14:val="tx1"/>
            </w14:solidFill>
          </w14:textFill>
        </w:rPr>
        <w:t>Q/SY 1002.1-2013</w:t>
      </w:r>
      <w:r>
        <w:rPr>
          <w:rFonts w:hint="eastAsia"/>
          <w:color w:val="000000" w:themeColor="text1"/>
          <w14:textFill>
            <w14:solidFill>
              <w14:schemeClr w14:val="tx1"/>
            </w14:solidFill>
          </w14:textFill>
        </w:rPr>
        <w:t>）；《健康、安全与环境管理体系 第2部分：实施指南》（</w:t>
      </w:r>
      <w:r>
        <w:rPr>
          <w:color w:val="000000" w:themeColor="text1"/>
          <w14:textFill>
            <w14:solidFill>
              <w14:schemeClr w14:val="tx1"/>
            </w14:solidFill>
          </w14:textFill>
        </w:rPr>
        <w:t>Q/SY 1002.2-2014</w:t>
      </w:r>
      <w:r>
        <w:rPr>
          <w:rFonts w:hint="eastAsia"/>
          <w:color w:val="000000" w:themeColor="text1"/>
          <w14:textFill>
            <w14:solidFill>
              <w14:schemeClr w14:val="tx1"/>
            </w14:solidFill>
          </w14:textFill>
        </w:rPr>
        <w:t>）；《健康、安全与环境管理体系 第3部分：审核指南》（</w:t>
      </w:r>
      <w:r>
        <w:rPr>
          <w:color w:val="000000" w:themeColor="text1"/>
          <w14:textFill>
            <w14:solidFill>
              <w14:schemeClr w14:val="tx1"/>
            </w14:solidFill>
          </w14:textFill>
        </w:rPr>
        <w:t>Q/SY 1002.3-2015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《石油天然气钻井作业健康、安全与环境管理导则》（Q</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SY 08053-2017）的要求执行。</w:t>
      </w:r>
    </w:p>
    <w:p w14:paraId="33FCC7C7">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建设单位依托项目管理部门负责指导本项目的环境保护和安全工作，建立事故应急领导小组，设置抢险组、消防组、救护组、警戒组和环境保护组，负责整个工程的环境风险管理，建立与地方政府的环境风险应急联动机制。本项目按照</w:t>
      </w:r>
      <w:r>
        <w:rPr>
          <w:rFonts w:hint="eastAsia"/>
          <w:color w:val="000000" w:themeColor="text1"/>
          <w14:textFill>
            <w14:solidFill>
              <w14:schemeClr w14:val="tx1"/>
            </w14:solidFill>
          </w14:textFill>
        </w:rPr>
        <w:t>二</w:t>
      </w:r>
      <w:r>
        <w:rPr>
          <w:color w:val="000000" w:themeColor="text1"/>
          <w14:textFill>
            <w14:solidFill>
              <w14:schemeClr w14:val="tx1"/>
            </w14:solidFill>
          </w14:textFill>
        </w:rPr>
        <w:t>级井控要求落实好环境风险防范、应急措施以及管理措施。</w:t>
      </w:r>
    </w:p>
    <w:p w14:paraId="0388EA53">
      <w:pPr>
        <w:spacing w:line="500" w:lineRule="exact"/>
        <w:ind w:firstLine="48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（2）</w:t>
      </w:r>
      <w:r>
        <w:rPr>
          <w:rFonts w:ascii="宋体" w:hAnsi="宋体"/>
          <w:color w:val="000000" w:themeColor="text1"/>
          <w:sz w:val="24"/>
          <w14:textFill>
            <w14:solidFill>
              <w14:schemeClr w14:val="tx1"/>
            </w14:solidFill>
          </w14:textFill>
        </w:rPr>
        <w:t>井喷失控风险防范措施</w:t>
      </w:r>
    </w:p>
    <w:p w14:paraId="47BFD7CB">
      <w:pPr>
        <w:pStyle w:val="193"/>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①设有井控装置，钻井工程中各岗位必须严格分工，定期对井控装置进行维护、保养、检查，保证井控装置及工具灵活可用、始终处于待命状态；落实溢流监测岗位、关井操作岗位和钻井队干部值班制度。</w:t>
      </w:r>
    </w:p>
    <w:p w14:paraId="36921B24">
      <w:pPr>
        <w:spacing w:line="500" w:lineRule="exact"/>
        <w:ind w:firstLine="48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lang w:val="en-US" w:eastAsia="zh-CN"/>
          <w14:textFill>
            <w14:solidFill>
              <w14:schemeClr w14:val="tx1"/>
            </w14:solidFill>
          </w14:textFill>
        </w:rPr>
        <w:t>②</w:t>
      </w:r>
      <w:r>
        <w:rPr>
          <w:rFonts w:ascii="宋体" w:hAnsi="宋体"/>
          <w:color w:val="000000" w:themeColor="text1"/>
          <w:sz w:val="24"/>
          <w14:textFill>
            <w14:solidFill>
              <w14:schemeClr w14:val="tx1"/>
            </w14:solidFill>
          </w14:textFill>
        </w:rPr>
        <w:t>钻井工程中确保钻井液密度及其它性能符合设计要求，并按设计要求储备压井液、加重剂、堵漏材料和</w:t>
      </w:r>
      <w:r>
        <w:rPr>
          <w:rFonts w:hint="eastAsia" w:ascii="宋体" w:hAnsi="宋体"/>
          <w:color w:val="000000" w:themeColor="text1"/>
          <w:sz w:val="24"/>
          <w14:textFill>
            <w14:solidFill>
              <w14:schemeClr w14:val="tx1"/>
            </w14:solidFill>
          </w14:textFill>
        </w:rPr>
        <w:t>其他</w:t>
      </w:r>
      <w:r>
        <w:rPr>
          <w:rFonts w:ascii="宋体" w:hAnsi="宋体"/>
          <w:color w:val="000000" w:themeColor="text1"/>
          <w:sz w:val="24"/>
          <w14:textFill>
            <w14:solidFill>
              <w14:schemeClr w14:val="tx1"/>
            </w14:solidFill>
          </w14:textFill>
        </w:rPr>
        <w:t>处理剂，储备加重钻井液定期循环处理，防止沉淀；准备一根防喷单根或防喷立柱（上端接旋塞），防喷单根</w:t>
      </w:r>
      <w:r>
        <w:rPr>
          <w:rFonts w:hint="eastAsia" w:ascii="宋体" w:hAnsi="宋体"/>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防喷立柱</w:t>
      </w:r>
      <w:r>
        <w:rPr>
          <w:rFonts w:hint="eastAsia" w:ascii="宋体" w:hAnsi="宋体"/>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在提下钻铤前，应置于坡道或便于快速取用的位置；各岗位必须按分工规定，对井控装置进行维护、保养、检查，保证井控装置及工具灵活好用，始终处于待命状态；落实溢流监测岗位、关井操作岗和钻井队干部24h值班制度；严格执行钻开油气层前的申报、审批制度以及程序。</w:t>
      </w:r>
    </w:p>
    <w:p w14:paraId="1E27F545">
      <w:pPr>
        <w:spacing w:line="500" w:lineRule="exact"/>
        <w:ind w:firstLine="480"/>
        <w:rPr>
          <w:rFonts w:hint="eastAsia" w:ascii="宋体" w:hAnsi="宋体"/>
          <w:color w:val="000000" w:themeColor="text1"/>
          <w:sz w:val="24"/>
          <w14:textFill>
            <w14:solidFill>
              <w14:schemeClr w14:val="tx1"/>
            </w14:solidFill>
          </w14:textFill>
        </w:rPr>
      </w:pPr>
      <w:r>
        <w:rPr>
          <w:rFonts w:hint="eastAsia"/>
          <w:color w:val="000000" w:themeColor="text1"/>
          <w:lang w:val="en-US" w:eastAsia="zh-CN"/>
          <w14:textFill>
            <w14:solidFill>
              <w14:schemeClr w14:val="tx1"/>
            </w14:solidFill>
          </w14:textFill>
        </w:rPr>
        <w:t>③</w:t>
      </w:r>
      <w:r>
        <w:rPr>
          <w:rFonts w:ascii="宋体" w:hAnsi="宋体"/>
          <w:color w:val="000000" w:themeColor="text1"/>
          <w:sz w:val="24"/>
          <w14:textFill>
            <w14:solidFill>
              <w14:schemeClr w14:val="tx1"/>
            </w14:solidFill>
          </w14:textFill>
        </w:rPr>
        <w:t>钻进</w:t>
      </w:r>
      <w:r>
        <w:rPr>
          <w:rFonts w:hint="eastAsia" w:ascii="宋体" w:hAnsi="宋体"/>
          <w:color w:val="000000" w:themeColor="text1"/>
          <w:sz w:val="24"/>
          <w14:textFill>
            <w14:solidFill>
              <w14:schemeClr w14:val="tx1"/>
            </w14:solidFill>
          </w14:textFill>
        </w:rPr>
        <w:t>油藏</w:t>
      </w:r>
      <w:r>
        <w:rPr>
          <w:rFonts w:ascii="宋体" w:hAnsi="宋体"/>
          <w:color w:val="000000" w:themeColor="text1"/>
          <w:sz w:val="24"/>
          <w14:textFill>
            <w14:solidFill>
              <w14:schemeClr w14:val="tx1"/>
            </w14:solidFill>
          </w14:textFill>
        </w:rPr>
        <w:t>后：落实专人坐岗观察井口和循环池液面变化，发现溢流立即关井，加强溢流预兆显示的观察，及时发现溢流。坐岗人员发现溢流、井漏及气</w:t>
      </w:r>
      <w:r>
        <w:rPr>
          <w:rFonts w:hint="eastAsia" w:ascii="宋体" w:hAnsi="宋体"/>
          <w:color w:val="000000" w:themeColor="text1"/>
          <w:sz w:val="24"/>
          <w14:textFill>
            <w14:solidFill>
              <w14:schemeClr w14:val="tx1"/>
            </w14:solidFill>
          </w14:textFill>
        </w:rPr>
        <w:t>体</w:t>
      </w:r>
      <w:r>
        <w:rPr>
          <w:rFonts w:ascii="宋体" w:hAnsi="宋体"/>
          <w:color w:val="000000" w:themeColor="text1"/>
          <w:sz w:val="24"/>
          <w14:textFill>
            <w14:solidFill>
              <w14:schemeClr w14:val="tx1"/>
            </w14:solidFill>
          </w14:textFill>
        </w:rPr>
        <w:t>显示等异常情况，应立即报告司钻；钻开气层后，每次起下钻（活动时间间隔超过5d）对闸板防喷器及手动锁紧装置开关活动一次，定期对井控装置进行试压；起钻杆时每3～5柱向环空灌满钻井液，起钻铤要连续灌浆，</w:t>
      </w:r>
      <w:r>
        <w:rPr>
          <w:rFonts w:hint="eastAsia" w:ascii="宋体" w:hAnsi="宋体"/>
          <w:color w:val="000000" w:themeColor="text1"/>
          <w:sz w:val="24"/>
          <w14:textFill>
            <w14:solidFill>
              <w14:schemeClr w14:val="tx1"/>
            </w14:solidFill>
          </w14:textFill>
        </w:rPr>
        <w:t>做好</w:t>
      </w:r>
      <w:r>
        <w:rPr>
          <w:rFonts w:ascii="宋体" w:hAnsi="宋体"/>
          <w:color w:val="000000" w:themeColor="text1"/>
          <w:sz w:val="24"/>
          <w14:textFill>
            <w14:solidFill>
              <w14:schemeClr w14:val="tx1"/>
            </w14:solidFill>
          </w14:textFill>
        </w:rPr>
        <w:t>记录、校对，若灌入钻井液量大于或小于灌入量，均应停止起钻作业，进行观察。如有溢流，应及时关井。如有井漏，应及时采取相应措施。起完钻要及时下钻，检修设备时应保持井内有一定数量的钻具，并安排专人观察出口罐钻井液返出情况。严禁在空井情况下检修设备；钻开油气层后，所有车辆应停放在距井口30m以外，必须进入距井口30m以内的车辆，应安装阻火器，车头朝外停放。</w:t>
      </w:r>
    </w:p>
    <w:p w14:paraId="7DF90C96">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④</w:t>
      </w:r>
      <w:r>
        <w:rPr>
          <w:rFonts w:hint="eastAsia"/>
          <w:color w:val="000000" w:themeColor="text1"/>
          <w14:textFill>
            <w14:solidFill>
              <w14:schemeClr w14:val="tx1"/>
            </w14:solidFill>
          </w14:textFill>
        </w:rPr>
        <w:t>井喷事件发生时，通过放喷管线将井喷液体排放至应急放喷池内，待事故结束后，对应急放喷池内物体进行清理，污染的土壤由有相应处置资质单位转运、处理。</w:t>
      </w:r>
    </w:p>
    <w:p w14:paraId="5664E35B">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⑤</w:t>
      </w:r>
      <w:r>
        <w:rPr>
          <w:color w:val="000000" w:themeColor="text1"/>
          <w14:textFill>
            <w14:solidFill>
              <w14:schemeClr w14:val="tx1"/>
            </w14:solidFill>
          </w14:textFill>
        </w:rPr>
        <w:t>溢流处理和压井措施：最大允许关井套压不得超过井口装置额定工作压力、套管抗内压强度的80%和薄弱地层破裂压力所允许关井套压三者中的最小值。在允许关井套压内严禁放喷。在等候加重材料或加重过程中，视情况间隔一段时间向井内灌注加重钻井液，同时用节流管汇控制回压，保持井底压力要略大于地层压力，排放井口附近含气钻井液。若等候时间长，应及时实施司钻法第一时间排除溢流，防止井口压力过高。空井溢流关井后，根据溢流的严重程度，可采用强行下钻分段压井法、置换法、压回法等方法进行处置。</w:t>
      </w:r>
    </w:p>
    <w:p w14:paraId="7773067A">
      <w:pPr>
        <w:pStyle w:val="1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⑥</w:t>
      </w:r>
      <w:r>
        <w:rPr>
          <w:color w:val="000000" w:themeColor="text1"/>
          <w14:textFill>
            <w14:solidFill>
              <w14:schemeClr w14:val="tx1"/>
            </w14:solidFill>
          </w14:textFill>
        </w:rPr>
        <w:t>测井、固井、完井等作业时，要严格执行安全操作规程和井控措施，避免发生井下复杂情况和井喷失控事故。</w:t>
      </w:r>
    </w:p>
    <w:p w14:paraId="12CC7028">
      <w:pPr>
        <w:pStyle w:val="120"/>
        <w:rPr>
          <w:rFonts w:hint="eastAsia"/>
          <w:color w:val="000000" w:themeColor="text1"/>
          <w14:textFill>
            <w14:solidFill>
              <w14:schemeClr w14:val="tx1"/>
            </w14:solidFill>
          </w14:textFill>
        </w:rPr>
      </w:pPr>
      <w:bookmarkStart w:id="631" w:name="_Hlk175252952"/>
      <w:r>
        <w:rPr>
          <w:rFonts w:hint="eastAsia"/>
          <w:color w:val="000000" w:themeColor="text1"/>
          <w:lang w:val="en-US" w:eastAsia="zh-CN"/>
          <w14:textFill>
            <w14:solidFill>
              <w14:schemeClr w14:val="tx1"/>
            </w14:solidFill>
          </w14:textFill>
        </w:rPr>
        <w:t>⑦</w:t>
      </w:r>
      <w:r>
        <w:rPr>
          <w:rFonts w:hint="eastAsia"/>
          <w:color w:val="000000" w:themeColor="text1"/>
          <w14:textFill>
            <w14:solidFill>
              <w14:schemeClr w14:val="tx1"/>
            </w14:solidFill>
          </w14:textFill>
        </w:rPr>
        <w:t>一旦发生井喷突发事件，应立即启动相应的环境突发事件专项应急预案，立即关闭井口切断污染源，根据需要建设应急放喷池（20m×10m），控制原油污染面积，对放喷液进行集中收集处理。同时及时通知可能受影响的人员进行疏散；切断一切可能扩大污染范围的环节，严防污染区域的扩大。采取围、堵等措施限制固体废弃物和溢油扩散范围；将溢油最大限度地回收，对少量确实无法回收的油，采用铲除油泥层等有效方法，以降低残油对生态环境的污染程度；迅速布点监测，在第一时间确定污染物种类和浓度，出具监测数据，评估污染物转移、扩散速率；对污染状况进行跟踪调查，根据监测数据分析，预测污染迁移强度、速度和影响范围，及时调整对策。</w:t>
      </w:r>
    </w:p>
    <w:bookmarkEnd w:id="631"/>
    <w:p w14:paraId="47F76F7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柴油</w:t>
      </w:r>
      <w:r>
        <w:rPr>
          <w:rFonts w:hint="eastAsia"/>
          <w:color w:val="000000" w:themeColor="text1"/>
          <w14:textFill>
            <w14:solidFill>
              <w14:schemeClr w14:val="tx1"/>
            </w14:solidFill>
          </w14:textFill>
        </w:rPr>
        <w:t>储罐</w:t>
      </w:r>
      <w:r>
        <w:rPr>
          <w:color w:val="000000" w:themeColor="text1"/>
          <w14:textFill>
            <w14:solidFill>
              <w14:schemeClr w14:val="tx1"/>
            </w14:solidFill>
          </w14:textFill>
        </w:rPr>
        <w:t>环境风险防范措施</w:t>
      </w:r>
    </w:p>
    <w:p w14:paraId="25D54285">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①选用质量、防腐措施合格的储罐。安装过程中焊接要经过100%的探伤，安装时应选择刚性不燃的坚固基础作为罐体基础。储罐在投用前，必须严格按照《压力容器安全技术监察规程》进行强度和气密性试验。</w:t>
      </w:r>
    </w:p>
    <w:p w14:paraId="0165B2A6">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②储罐区应严格用火管理，采用有效的避雷装置和接地装置等防止雷电的措施。</w:t>
      </w:r>
    </w:p>
    <w:p w14:paraId="358344F9">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③加强储罐和管线接口的检查工作，防止腐蚀穿孔。定期进行壁厚检测，腐蚀余量低于规定的允许值时，要及时进行检修和更换。</w:t>
      </w:r>
    </w:p>
    <w:p w14:paraId="07F9E6EB">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bookmarkStart w:id="632" w:name="_Hlk183350612"/>
      <w:r>
        <w:rPr>
          <w:rFonts w:hint="eastAsia" w:ascii="宋体" w:hAnsi="宋体" w:cs="宋体"/>
          <w:color w:val="000000" w:themeColor="text1"/>
          <w:sz w:val="24"/>
          <w:szCs w:val="24"/>
          <w:lang w:bidi="ar"/>
          <w14:textFill>
            <w14:solidFill>
              <w14:schemeClr w14:val="tx1"/>
            </w14:solidFill>
          </w14:textFill>
        </w:rPr>
        <w:t>④</w:t>
      </w:r>
      <w:bookmarkStart w:id="633" w:name="_Hlk183364061"/>
      <w:r>
        <w:rPr>
          <w:rFonts w:hint="eastAsia" w:ascii="宋体" w:hAnsi="宋体" w:cs="宋体"/>
          <w:color w:val="000000" w:themeColor="text1"/>
          <w:sz w:val="24"/>
          <w:szCs w:val="24"/>
          <w:lang w:bidi="ar"/>
          <w14:textFill>
            <w14:solidFill>
              <w14:schemeClr w14:val="tx1"/>
            </w14:solidFill>
          </w14:textFill>
        </w:rPr>
        <w:t>井场各类储罐，特别是</w:t>
      </w:r>
      <w:r>
        <w:rPr>
          <w:rFonts w:hint="eastAsia" w:ascii="宋体" w:hAnsi="宋体" w:cs="宋体"/>
          <w:color w:val="000000" w:themeColor="text1"/>
          <w:sz w:val="24"/>
          <w:szCs w:val="24"/>
          <w:lang w:val="en-US" w:eastAsia="zh-CN" w:bidi="ar"/>
          <w14:textFill>
            <w14:solidFill>
              <w14:schemeClr w14:val="tx1"/>
            </w14:solidFill>
          </w14:textFill>
        </w:rPr>
        <w:t>柴油</w:t>
      </w:r>
      <w:r>
        <w:rPr>
          <w:rFonts w:hint="eastAsia" w:ascii="宋体" w:hAnsi="宋体" w:cs="宋体"/>
          <w:color w:val="000000" w:themeColor="text1"/>
          <w:sz w:val="24"/>
          <w:szCs w:val="24"/>
          <w:lang w:bidi="ar"/>
          <w14:textFill>
            <w14:solidFill>
              <w14:schemeClr w14:val="tx1"/>
            </w14:solidFill>
          </w14:textFill>
        </w:rPr>
        <w:t>储罐底部均应铺设符合要求的防渗材料，一旦发生泄漏须及时发现并采取有效的堵漏措施，同时对产生的落地油集中收集，不在井场贮存，直接交由具有相应危险废物处置资质的单位进行接收、转运和处置；加强储罐运输环节的管理，避免出现储罐泄漏风险事故发生。</w:t>
      </w:r>
      <w:bookmarkEnd w:id="632"/>
      <w:bookmarkEnd w:id="633"/>
    </w:p>
    <w:p w14:paraId="191C77E0">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⑤加强消防安全管理</w:t>
      </w:r>
    </w:p>
    <w:p w14:paraId="742F902F">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定期进行消防培训与实战演练，要求岗位工作人员具有较强的消防安全意识，加强巡检，确保无异常情况出现。</w:t>
      </w:r>
    </w:p>
    <w:p w14:paraId="07CBCC53">
      <w:pPr>
        <w:pStyle w:val="193"/>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w:t>
      </w:r>
      <w:r>
        <w:rPr>
          <w:rFonts w:hint="eastAsia"/>
          <w:color w:val="000000" w:themeColor="text1"/>
          <w:lang w:val="en-US" w:eastAsia="zh-CN"/>
          <w14:textFill>
            <w14:solidFill>
              <w14:schemeClr w14:val="tx1"/>
            </w14:solidFill>
          </w14:textFill>
        </w:rPr>
        <w:t>储罐</w:t>
      </w:r>
      <w:r>
        <w:rPr>
          <w:rFonts w:hint="eastAsia"/>
          <w:color w:val="000000" w:themeColor="text1"/>
          <w14:textFill>
            <w14:solidFill>
              <w14:schemeClr w14:val="tx1"/>
            </w14:solidFill>
          </w14:textFill>
        </w:rPr>
        <w:t>泄漏事故应急处置措施</w:t>
      </w:r>
    </w:p>
    <w:p w14:paraId="306A37B0">
      <w:pPr>
        <w:pStyle w:val="193"/>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发生柴油泄漏事故时，根据泄漏情形采取应急处置措施，如关闭阀门、封堵泄漏点等措施；若罐体破裂，无法封堵，则利用围堰拦截泄漏油品，及时采取油品回收措施；发生火灾、爆炸事故时，应及时疏散人员，根据现场指挥确定紧急集合点（一般选择事故发生时的上风向）。</w:t>
      </w:r>
    </w:p>
    <w:p w14:paraId="5FBB43AC">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（4）井漏防范措施</w:t>
      </w:r>
    </w:p>
    <w:p w14:paraId="2E200D34">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①建立、健全各项安全管理制度以及配套的工艺、设备安全操作规程并严格执行，确保施工质量，防漏、防窜，做好防腐工作。</w:t>
      </w:r>
    </w:p>
    <w:p w14:paraId="1EA75710">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②操作人员应密切注意设备运行状况，发现管件破裂刺漏等问题及时处理；作业现场应配备消防设备以备应急救援。</w:t>
      </w:r>
    </w:p>
    <w:p w14:paraId="14C3CC1E">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③严格要求套管下入深度、确保固井质量。</w:t>
      </w:r>
    </w:p>
    <w:p w14:paraId="367A636E">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④工程施工单位</w:t>
      </w:r>
      <w:r>
        <w:rPr>
          <w:rFonts w:hint="eastAsia" w:ascii="宋体" w:hAnsi="宋体" w:cs="宋体"/>
          <w:color w:val="000000" w:themeColor="text1"/>
          <w:sz w:val="24"/>
          <w:szCs w:val="24"/>
          <w:lang w:eastAsia="zh-CN"/>
          <w14:textFill>
            <w14:solidFill>
              <w14:schemeClr w14:val="tx1"/>
            </w14:solidFill>
          </w14:textFill>
        </w:rPr>
        <w:t>须具备</w:t>
      </w:r>
      <w:r>
        <w:rPr>
          <w:rFonts w:hint="eastAsia" w:ascii="宋体" w:hAnsi="宋体" w:cs="宋体"/>
          <w:color w:val="000000" w:themeColor="text1"/>
          <w:sz w:val="24"/>
          <w:szCs w:val="24"/>
          <w14:textFill>
            <w14:solidFill>
              <w14:schemeClr w14:val="tx1"/>
            </w14:solidFill>
          </w14:textFill>
        </w:rPr>
        <w:t>相应资质，加强对施工现场的安全组织管理和监督。</w:t>
      </w:r>
    </w:p>
    <w:p w14:paraId="10454636">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（5）硫化氢防范措施</w:t>
      </w:r>
    </w:p>
    <w:p w14:paraId="4CA33186">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①在钻井和储层改造过程中配备便携式硫化氢监测仪，做好硫化氢监测预警工作，并制定防硫化氢应急预案。当监测到硫化氢浓度大于75mg/m</w:t>
      </w:r>
      <w:r>
        <w:rPr>
          <w:rFonts w:hint="eastAsia" w:ascii="宋体" w:hAnsi="宋体" w:cs="宋体"/>
          <w:color w:val="000000" w:themeColor="text1"/>
          <w:sz w:val="24"/>
          <w:szCs w:val="24"/>
          <w:vertAlign w:val="superscript"/>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（50ppm）时，按照含硫油气井作业规程执行。</w:t>
      </w:r>
    </w:p>
    <w:p w14:paraId="2BAFCC74">
      <w:pPr>
        <w:snapToGrid w:val="0"/>
        <w:spacing w:line="480" w:lineRule="exact"/>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②钻井期在作业现场显著位置设置5处风向标；试油期设置2处风向标，并在不同方向上划定2个紧急集合点，并规划撤离路线，发生紧急情况时向上风向撤离。</w:t>
      </w:r>
    </w:p>
    <w:p w14:paraId="124351C4">
      <w:pPr>
        <w:pStyle w:val="193"/>
        <w:ind w:firstLine="480"/>
        <w:rPr>
          <w:rFonts w:hint="eastAsia"/>
          <w:color w:val="000000" w:themeColor="text1"/>
          <w14:textFill>
            <w14:solidFill>
              <w14:schemeClr w14:val="tx1"/>
            </w14:solidFill>
          </w14:textFill>
        </w:rPr>
      </w:pPr>
      <w:bookmarkStart w:id="634" w:name="OLE_LINK81"/>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柴油贮存和</w:t>
      </w:r>
      <w:r>
        <w:rPr>
          <w:rFonts w:hint="eastAsia"/>
          <w:color w:val="000000" w:themeColor="text1"/>
          <w14:textFill>
            <w14:solidFill>
              <w14:schemeClr w14:val="tx1"/>
            </w14:solidFill>
          </w14:textFill>
        </w:rPr>
        <w:t>运输环境风险防范措施</w:t>
      </w:r>
    </w:p>
    <w:p w14:paraId="3BA47497">
      <w:pPr>
        <w:pStyle w:val="193"/>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加强柴油等物料运输过程中的管理，各类物料运输过程中应尽量避免出现泄漏风险事故发生。危险废物</w:t>
      </w:r>
      <w:r>
        <w:rPr>
          <w:rFonts w:hint="eastAsia"/>
          <w:color w:val="000000" w:themeColor="text1"/>
          <w:lang w:val="en-US" w:eastAsia="zh-CN"/>
          <w14:textFill>
            <w14:solidFill>
              <w14:schemeClr w14:val="tx1"/>
            </w14:solidFill>
          </w14:textFill>
        </w:rPr>
        <w:t>运输过程</w:t>
      </w:r>
      <w:r>
        <w:rPr>
          <w:rFonts w:hint="eastAsia"/>
          <w:color w:val="000000" w:themeColor="text1"/>
          <w14:textFill>
            <w14:solidFill>
              <w14:schemeClr w14:val="tx1"/>
            </w14:solidFill>
          </w14:textFill>
        </w:rPr>
        <w:t>中应严格执行《危险废物转移管理办法》（部令第23号）并制定内部转移、转运制度。确保危险废物的运输安全可靠，减少或避免运输过程中的二次污染和可能造成的环境风险。</w:t>
      </w:r>
    </w:p>
    <w:p w14:paraId="045D0AAD">
      <w:pPr>
        <w:pStyle w:val="193"/>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柴油储存区下部铺防渗膜，四周设置围堰，顶部应满足防风、防晒、防雨的要求。施工期柴油在存放或者运输过程中发生泄漏后，应将泄漏的物料和受污染土壤全部进行清理，最终交由具有相应危险废物处置资质的单位进行接收、转运和处置。</w:t>
      </w:r>
    </w:p>
    <w:bookmarkEnd w:id="634"/>
    <w:p w14:paraId="2D6C6EC4">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）环境风险应急预案</w:t>
      </w:r>
    </w:p>
    <w:p w14:paraId="33E21A3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钻井施工队应</w:t>
      </w:r>
      <w:r>
        <w:rPr>
          <w:color w:val="000000" w:themeColor="text1"/>
          <w14:textFill>
            <w14:solidFill>
              <w14:schemeClr w14:val="tx1"/>
            </w14:solidFill>
          </w14:textFill>
        </w:rPr>
        <w:t>制定《井喷及井喷失控应急预案》</w:t>
      </w:r>
      <w:r>
        <w:rPr>
          <w:rFonts w:hint="eastAsia"/>
          <w:color w:val="000000" w:themeColor="text1"/>
          <w14:textFill>
            <w14:solidFill>
              <w14:schemeClr w14:val="tx1"/>
            </w14:solidFill>
          </w14:textFill>
        </w:rPr>
        <w:t>，主要</w:t>
      </w:r>
      <w:r>
        <w:rPr>
          <w:color w:val="000000" w:themeColor="text1"/>
          <w14:textFill>
            <w14:solidFill>
              <w14:schemeClr w14:val="tx1"/>
            </w14:solidFill>
          </w14:textFill>
        </w:rPr>
        <w:t>包括针对井喷失控的应急监测、抢险、救援、疏散及消除、减缓、控制技术方法和设施等相关内容。应急演练应定期开展，通过演练掌握应急人员在应急抢险中对预案的熟悉程度和能力，同时加强抢险应急设备的维护保养，检查是否备足所需应急材料。</w:t>
      </w:r>
    </w:p>
    <w:p w14:paraId="04146EA0">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钻井、井下作业及井喷事故防范措施</w:t>
      </w:r>
    </w:p>
    <w:p w14:paraId="1EE49DE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（1）井场井控严格执行《新疆油田钻井井控实施细则》，防止井喷、井喷失控和井喷着火，设计、施工和生产各单位严格遵守《石油天然气工程设计防火规范》（</w:t>
      </w:r>
      <w:r>
        <w:rPr>
          <w:color w:val="000000" w:themeColor="text1"/>
          <w14:textFill>
            <w14:solidFill>
              <w14:schemeClr w14:val="tx1"/>
            </w14:solidFill>
          </w14:textFill>
        </w:rPr>
        <w:t>GB50183-2015</w:t>
      </w:r>
      <w:r>
        <w:rPr>
          <w:rFonts w:hint="eastAsia"/>
          <w:color w:val="000000" w:themeColor="text1"/>
          <w14:textFill>
            <w14:solidFill>
              <w14:schemeClr w14:val="tx1"/>
            </w14:solidFill>
          </w14:textFill>
        </w:rPr>
        <w:t>）、《石油化工企业设计防火规范》（</w:t>
      </w:r>
      <w:r>
        <w:rPr>
          <w:color w:val="000000" w:themeColor="text1"/>
          <w14:textFill>
            <w14:solidFill>
              <w14:schemeClr w14:val="tx1"/>
            </w14:solidFill>
          </w14:textFill>
        </w:rPr>
        <w:t>GB 50160-2008</w:t>
      </w:r>
      <w:r>
        <w:rPr>
          <w:rFonts w:hint="eastAsia"/>
          <w:color w:val="000000" w:themeColor="text1"/>
          <w14:textFill>
            <w14:solidFill>
              <w14:schemeClr w14:val="tx1"/>
            </w14:solidFill>
          </w14:textFill>
        </w:rPr>
        <w:t>）、《石油和天然气钻井、开发、储运防火防爆安全生产管理规定》（</w:t>
      </w:r>
      <w:r>
        <w:rPr>
          <w:color w:val="000000" w:themeColor="text1"/>
          <w14:textFill>
            <w14:solidFill>
              <w14:schemeClr w14:val="tx1"/>
            </w14:solidFill>
          </w14:textFill>
        </w:rPr>
        <w:t>SY/T5225-2019</w:t>
      </w:r>
      <w:r>
        <w:rPr>
          <w:rFonts w:hint="eastAsia"/>
          <w:color w:val="000000" w:themeColor="text1"/>
          <w14:textFill>
            <w14:solidFill>
              <w14:schemeClr w14:val="tx1"/>
            </w14:solidFill>
          </w14:textFill>
        </w:rPr>
        <w:t>）。</w:t>
      </w:r>
    </w:p>
    <w:p w14:paraId="438AA67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（2）设置专职安全环保管理人员，在设计、生产中采取有效的预防措施，在生产中采取有效预防措施，严格遵守钻井的安全规定，在井口安装防喷器和控制装置，杜绝井喷的发生。</w:t>
      </w:r>
    </w:p>
    <w:p w14:paraId="3920431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（3）井控操作实行持证上岗，各岗位的钻井人员有明确的分工，并且应经过井控专业培训。</w:t>
      </w:r>
    </w:p>
    <w:p w14:paraId="25BAEE3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（4）井场设置明显的禁止烟火标志；井场钻井设备及电气设备、照明灯具符合防火防爆的安全要求，井场安装探照灯，以备井喷时钻台照明。</w:t>
      </w:r>
    </w:p>
    <w:p w14:paraId="0F50E56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（5）在井架、井场路口等处设风向标，发生事故时人员迅速向上风向疏散。</w:t>
      </w:r>
    </w:p>
    <w:p w14:paraId="2D7CA5B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（6）按消防规定配备灭火器、消防铁锹和其他消防器材。井场设置明显的禁止烟火标志。</w:t>
      </w:r>
    </w:p>
    <w:p w14:paraId="21ED168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井下作业时要求带罐操作，最大限度避免落地油产生，而泄漏物料和落地油应及时回收、妥善处置。</w:t>
      </w:r>
    </w:p>
    <w:p w14:paraId="1F86C8E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一旦发生井喷，绝大多数井都通过防喷器关闭，再采取压井措施控制井喷；最后还可采用向事故井打定位斜井等方法尽快采取措施回收原油；事故处理中要有专人负责，管好电源、火源，以免火灾发生。井喷时，泄漏的落地油</w:t>
      </w:r>
      <w:r>
        <w:rPr>
          <w:color w:val="000000" w:themeColor="text1"/>
          <w14:textFill>
            <w14:solidFill>
              <w14:schemeClr w14:val="tx1"/>
            </w14:solidFill>
          </w14:textFill>
        </w:rPr>
        <w:t>100%</w:t>
      </w:r>
      <w:r>
        <w:rPr>
          <w:rFonts w:hint="eastAsia"/>
          <w:color w:val="000000" w:themeColor="text1"/>
          <w14:textFill>
            <w14:solidFill>
              <w14:schemeClr w14:val="tx1"/>
            </w14:solidFill>
          </w14:textFill>
        </w:rPr>
        <w:t>进行回收，可收集的原油运至吉祥联合站处理。不可回收的落地油交由具有相应危险废物处置资质单位收集、转运、处置。</w:t>
      </w:r>
    </w:p>
    <w:p w14:paraId="10D55FA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硫化氢防范措施：钻井和井下作业时应至少配备1套便携式硫化氢监测仪做好硫化氢检测工作，制定防硫化氢应急预案；在井场大门口、坐岗房、防喷器液控房等处设立风向标（风袋、风飘带、风旗或其他适用的装置），并在不同方向上划定两个紧急集合点，一旦发生紧急情况，作业人员可向上风方向疏散。</w:t>
      </w:r>
    </w:p>
    <w:p w14:paraId="64C2F2BD">
      <w:pPr>
        <w:pStyle w:val="8"/>
        <w:rPr>
          <w:rFonts w:hint="eastAsia"/>
          <w:color w:val="000000" w:themeColor="text1"/>
          <w14:textFill>
            <w14:solidFill>
              <w14:schemeClr w14:val="tx1"/>
            </w14:solidFill>
          </w14:textFill>
        </w:rPr>
      </w:pPr>
      <w:bookmarkStart w:id="635" w:name="_Hlk92205364"/>
      <w:bookmarkStart w:id="636" w:name="_Toc445996449"/>
      <w:bookmarkStart w:id="637" w:name="_Toc445829801"/>
      <w:bookmarkStart w:id="638" w:name="_Toc445842130"/>
      <w:bookmarkStart w:id="639" w:name="_Toc445996589"/>
      <w:bookmarkStart w:id="640" w:name="_Toc453929541"/>
      <w:bookmarkStart w:id="641" w:name="_Toc16038"/>
      <w:bookmarkStart w:id="642" w:name="_Toc459026591"/>
      <w:bookmarkStart w:id="643" w:name="_Toc445840417"/>
      <w:bookmarkStart w:id="644" w:name="_Toc445996451"/>
      <w:r>
        <w:rPr>
          <w:rFonts w:hint="eastAsia"/>
          <w:color w:val="000000" w:themeColor="text1"/>
          <w14:textFill>
            <w14:solidFill>
              <w14:schemeClr w14:val="tx1"/>
            </w14:solidFill>
          </w14:textFill>
        </w:rPr>
        <w:t>井场环境风险事故防范措施</w:t>
      </w:r>
    </w:p>
    <w:p w14:paraId="25E7268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（1）平面布置中尽量将火灾危险性相近的设施集中布置，并保持规定的防火距离；将全场内的明火点控制到最小，并布置在油气生产区场地边缘部位。</w:t>
      </w:r>
    </w:p>
    <w:p w14:paraId="2FBE227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（2）按规定配置齐全各类消防设施，并定期进行检查，保持有效性及完好可用。</w:t>
      </w:r>
    </w:p>
    <w:p w14:paraId="2C3E3BF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（3）加强设计单位相互间的配合，做好衔接，减少设计失误；站场内的装置区等均为爆炸火灾危险区域，区域内的配电设备均应采用防爆型；根据各建筑物的不同防爆等级采取相应的防爆措施。</w:t>
      </w:r>
    </w:p>
    <w:p w14:paraId="6A8FB77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（4）加强对职工的教育培训，实行上岗证制度，增强职工风险意识，提高事故自救能力，制定和强化各种安全管理、安全生产的规程，减少人为风险事故（如误操作）的发生。</w:t>
      </w:r>
    </w:p>
    <w:p w14:paraId="267F362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（5）井场设置风向标，以便发生事故时人员能迅速向上风向疏散。</w:t>
      </w:r>
    </w:p>
    <w:p w14:paraId="794DB77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（6）在油气可能泄漏和积聚的区域设置可燃气体浓度检测报警装置。</w:t>
      </w:r>
    </w:p>
    <w:p w14:paraId="3584DBC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（7）井下作业时采用防渗膜铺垫井场，严禁产生落地油。</w:t>
      </w:r>
    </w:p>
    <w:p w14:paraId="44F11386">
      <w:pPr>
        <w:pStyle w:val="8"/>
        <w:rPr>
          <w:rFonts w:hint="eastAsia"/>
          <w:color w:val="000000" w:themeColor="text1"/>
          <w14:textFill>
            <w14:solidFill>
              <w14:schemeClr w14:val="tx1"/>
            </w14:solidFill>
          </w14:textFill>
        </w:rPr>
      </w:pPr>
      <w:bookmarkStart w:id="645" w:name="_Hlk173407586"/>
      <w:r>
        <w:rPr>
          <w:rFonts w:hint="eastAsia"/>
          <w:color w:val="000000" w:themeColor="text1"/>
          <w14:textFill>
            <w14:solidFill>
              <w14:schemeClr w14:val="tx1"/>
            </w14:solidFill>
          </w14:textFill>
        </w:rPr>
        <w:t>居民</w:t>
      </w:r>
      <w:r>
        <w:rPr>
          <w:rFonts w:hint="eastAsia"/>
          <w:color w:val="000000" w:themeColor="text1"/>
          <w:lang w:val="en-US" w:eastAsia="zh-CN"/>
          <w14:textFill>
            <w14:solidFill>
              <w14:schemeClr w14:val="tx1"/>
            </w14:solidFill>
          </w14:textFill>
        </w:rPr>
        <w:t>点</w:t>
      </w:r>
      <w:r>
        <w:rPr>
          <w:rFonts w:hint="eastAsia"/>
          <w:color w:val="000000" w:themeColor="text1"/>
          <w14:textFill>
            <w14:solidFill>
              <w14:schemeClr w14:val="tx1"/>
            </w14:solidFill>
          </w14:textFill>
        </w:rPr>
        <w:t>风险防范措施</w:t>
      </w:r>
    </w:p>
    <w:p w14:paraId="6F86E38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（1）加强井场内的设备、阀门、法兰和管线等巡检、检维修，防止跑冒滴漏。</w:t>
      </w:r>
    </w:p>
    <w:p w14:paraId="24D3A8C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（2）井场设硫化氢检测仪。</w:t>
      </w:r>
    </w:p>
    <w:p w14:paraId="66FFBCE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14:textFill>
            <w14:solidFill>
              <w14:schemeClr w14:val="tx1"/>
            </w14:solidFill>
          </w14:textFill>
        </w:rPr>
        <w:t>3</w:t>
      </w:r>
      <w:r>
        <w:rPr>
          <w:rFonts w:hint="eastAsia"/>
          <w:color w:val="000000" w:themeColor="text1"/>
          <w14:textFill>
            <w14:solidFill>
              <w14:schemeClr w14:val="tx1"/>
            </w14:solidFill>
          </w14:textFill>
        </w:rPr>
        <w:t>）发生泄漏事故后，及时疏散</w:t>
      </w:r>
      <w:r>
        <w:rPr>
          <w:rFonts w:hint="eastAsia"/>
          <w:color w:val="000000" w:themeColor="text1"/>
          <w:lang w:val="en-US"/>
          <w14:textFill>
            <w14:solidFill>
              <w14:schemeClr w14:val="tx1"/>
            </w14:solidFill>
          </w14:textFill>
        </w:rPr>
        <w:t>张家庄子村、张家庄子中村、张家庄子上村的居民</w:t>
      </w:r>
      <w:r>
        <w:rPr>
          <w:rFonts w:hint="eastAsia"/>
          <w:color w:val="000000" w:themeColor="text1"/>
          <w14:textFill>
            <w14:solidFill>
              <w14:schemeClr w14:val="tx1"/>
            </w14:solidFill>
          </w14:textFill>
        </w:rPr>
        <w:t>。</w:t>
      </w:r>
    </w:p>
    <w:p w14:paraId="38036E90">
      <w:pPr>
        <w:pStyle w:val="120"/>
        <w:rPr>
          <w:rFonts w:hint="default"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危险废物运输车辆运输路线尽可能避让</w:t>
      </w:r>
      <w:r>
        <w:rPr>
          <w:rFonts w:hint="eastAsia"/>
          <w:color w:val="000000" w:themeColor="text1"/>
          <w:lang w:val="en-US"/>
          <w14:textFill>
            <w14:solidFill>
              <w14:schemeClr w14:val="tx1"/>
            </w14:solidFill>
          </w14:textFill>
        </w:rPr>
        <w:t>张家庄子村、张家庄子中村、张家庄子上村</w:t>
      </w:r>
      <w:r>
        <w:rPr>
          <w:rFonts w:hint="eastAsia"/>
          <w:color w:val="000000" w:themeColor="text1"/>
          <w:lang w:val="en-US" w:eastAsia="zh-CN"/>
          <w14:textFill>
            <w14:solidFill>
              <w14:schemeClr w14:val="tx1"/>
            </w14:solidFill>
          </w14:textFill>
        </w:rPr>
        <w:t>等居民点。</w:t>
      </w:r>
    </w:p>
    <w:bookmarkEnd w:id="635"/>
    <w:bookmarkEnd w:id="645"/>
    <w:p w14:paraId="7BFFC4FC">
      <w:pPr>
        <w:pStyle w:val="8"/>
        <w:rPr>
          <w:rFonts w:hint="eastAsia"/>
          <w:color w:val="000000" w:themeColor="text1"/>
          <w14:textFill>
            <w14:solidFill>
              <w14:schemeClr w14:val="tx1"/>
            </w14:solidFill>
          </w14:textFill>
        </w:rPr>
      </w:pPr>
      <w:bookmarkStart w:id="646" w:name="_Hlk40632300"/>
      <w:bookmarkStart w:id="647" w:name="_Hlk175257397"/>
      <w:r>
        <w:rPr>
          <w:color w:val="000000" w:themeColor="text1"/>
          <w14:textFill>
            <w14:solidFill>
              <w14:schemeClr w14:val="tx1"/>
            </w14:solidFill>
          </w14:textFill>
        </w:rPr>
        <w:t>油气集输事故风险</w:t>
      </w:r>
      <w:r>
        <w:rPr>
          <w:rFonts w:hint="eastAsia"/>
          <w:color w:val="000000" w:themeColor="text1"/>
          <w14:textFill>
            <w14:solidFill>
              <w14:schemeClr w14:val="tx1"/>
            </w14:solidFill>
          </w14:textFill>
        </w:rPr>
        <w:t>防范</w:t>
      </w:r>
      <w:r>
        <w:rPr>
          <w:color w:val="000000" w:themeColor="text1"/>
          <w14:textFill>
            <w14:solidFill>
              <w14:schemeClr w14:val="tx1"/>
            </w14:solidFill>
          </w14:textFill>
        </w:rPr>
        <w:t>措施</w:t>
      </w:r>
      <w:bookmarkEnd w:id="636"/>
    </w:p>
    <w:bookmarkEnd w:id="646"/>
    <w:p w14:paraId="1E34DF2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（1）定期对管线进行巡检，</w:t>
      </w:r>
      <w:r>
        <w:rPr>
          <w:color w:val="000000" w:themeColor="text1"/>
          <w14:textFill>
            <w14:solidFill>
              <w14:schemeClr w14:val="tx1"/>
            </w14:solidFill>
          </w14:textFill>
        </w:rPr>
        <w:t>严格按照管道施工、验收等规范进行设计、施工和验收。管线敷设前，应加强对管材和焊接质量的检查，严禁使用不合格产品。对焊接质量严格检验，防止焊接缺陷造成泄漏事故的发生。</w:t>
      </w:r>
    </w:p>
    <w:bookmarkEnd w:id="647"/>
    <w:p w14:paraId="6D627CEA">
      <w:pPr>
        <w:pStyle w:val="120"/>
        <w:rPr>
          <w:rFonts w:hint="eastAsia"/>
          <w:color w:val="000000" w:themeColor="text1"/>
          <w14:textFill>
            <w14:solidFill>
              <w14:schemeClr w14:val="tx1"/>
            </w14:solidFill>
          </w14:textFill>
        </w:rPr>
      </w:pPr>
      <w:bookmarkStart w:id="648" w:name="_Hlk40722285"/>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）建立施工质量保证体系，提高施工检验人员水平，加强检验手段。选择有丰富经验的单位进行施工，并对其施工质量进行监理。</w:t>
      </w:r>
    </w:p>
    <w:p w14:paraId="765F065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）加强自动控制系统的管理和控制，严格控制压力平衡</w:t>
      </w:r>
      <w:bookmarkEnd w:id="648"/>
      <w:r>
        <w:rPr>
          <w:color w:val="000000" w:themeColor="text1"/>
          <w14:textFill>
            <w14:solidFill>
              <w14:schemeClr w14:val="tx1"/>
            </w14:solidFill>
          </w14:textFill>
        </w:rPr>
        <w:t>；定期对管线进行超声波检查，对壁厚低于规定要求的管段应及时更换，消除爆管的隐患；</w:t>
      </w:r>
      <w:r>
        <w:rPr>
          <w:rFonts w:hint="eastAsia"/>
          <w:color w:val="000000" w:themeColor="text1"/>
          <w14:textFill>
            <w14:solidFill>
              <w14:schemeClr w14:val="tx1"/>
            </w14:solidFill>
          </w14:textFill>
        </w:rPr>
        <w:t>定期对单井采油管线、</w:t>
      </w:r>
      <w:r>
        <w:rPr>
          <w:rFonts w:hint="eastAsia"/>
          <w:color w:val="000000" w:themeColor="text1"/>
          <w:lang w:val="en-US"/>
          <w14:textFill>
            <w14:solidFill>
              <w14:schemeClr w14:val="tx1"/>
            </w14:solidFill>
          </w14:textFill>
        </w:rPr>
        <w:t>单井注水管线、单井掺热水</w:t>
      </w:r>
      <w:r>
        <w:rPr>
          <w:rFonts w:hint="eastAsia"/>
          <w:color w:val="000000" w:themeColor="text1"/>
          <w14:textFill>
            <w14:solidFill>
              <w14:schemeClr w14:val="tx1"/>
            </w14:solidFill>
          </w14:textFill>
        </w:rPr>
        <w:t>管线</w:t>
      </w:r>
      <w:r>
        <w:rPr>
          <w:color w:val="000000" w:themeColor="text1"/>
          <w14:textFill>
            <w14:solidFill>
              <w14:schemeClr w14:val="tx1"/>
            </w14:solidFill>
          </w14:textFill>
        </w:rPr>
        <w:t>上的安全保护设施，如截断阀、安全阀、放空系统等进行检查，使管道在超压时能够得到安全处理，在管道破裂时能够及时截断上下游管段，以减少事故时油气的释放量，使危害影响范围减小到最低程度</w:t>
      </w:r>
      <w:r>
        <w:rPr>
          <w:rFonts w:hint="eastAsia"/>
          <w:color w:val="000000" w:themeColor="text1"/>
          <w14:textFill>
            <w14:solidFill>
              <w14:schemeClr w14:val="tx1"/>
            </w14:solidFill>
          </w14:textFill>
        </w:rPr>
        <w:t>。</w:t>
      </w:r>
    </w:p>
    <w:p w14:paraId="3683B9E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）严禁在管线两侧各5m范围内修筑工程，在管线上方及近旁严禁动土开挖和修建超过管道负荷的建筑物。</w:t>
      </w:r>
    </w:p>
    <w:p w14:paraId="767EF16F">
      <w:pPr>
        <w:pStyle w:val="120"/>
        <w:rPr>
          <w:rFonts w:hint="eastAsia"/>
          <w:color w:val="000000" w:themeColor="text1"/>
          <w14:textFill>
            <w14:solidFill>
              <w14:schemeClr w14:val="tx1"/>
            </w14:solidFill>
          </w14:textFill>
        </w:rPr>
      </w:pPr>
      <w:bookmarkStart w:id="649" w:name="_Hlk160377214"/>
      <w:r>
        <w:rPr>
          <w:rFonts w:hint="eastAsia"/>
          <w:color w:val="000000" w:themeColor="text1"/>
          <w14:textFill>
            <w14:solidFill>
              <w14:schemeClr w14:val="tx1"/>
            </w14:solidFill>
          </w14:textFill>
        </w:rPr>
        <w:t>（5）泄漏环境应急处置</w:t>
      </w:r>
    </w:p>
    <w:p w14:paraId="7F01237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泄漏发生后，迅速关闭截断阀，并及时封堵泄漏源；泄漏的原油尽可能回收至吉祥联合站，产生的落地油集中收集后交由有相应危险废物处置资质的单位回收处置；泄漏油品环境应急处置过程需要注意安全防爆，防止次生爆炸等安全事故发生。</w:t>
      </w:r>
    </w:p>
    <w:p w14:paraId="69BA54AF">
      <w:pPr>
        <w:pStyle w:val="120"/>
        <w:rPr>
          <w:rFonts w:hint="eastAsia"/>
          <w:color w:val="000000" w:themeColor="text1"/>
          <w14:textFill>
            <w14:solidFill>
              <w14:schemeClr w14:val="tx1"/>
            </w14:solidFill>
          </w14:textFill>
        </w:rPr>
      </w:pPr>
      <w:bookmarkStart w:id="650" w:name="_Hlk175257426"/>
      <w:r>
        <w:rPr>
          <w:rFonts w:hint="eastAsia"/>
          <w:color w:val="000000" w:themeColor="text1"/>
          <w14:textFill>
            <w14:solidFill>
              <w14:schemeClr w14:val="tx1"/>
            </w14:solidFill>
          </w14:textFill>
        </w:rPr>
        <w:t>（6）泄漏预防</w:t>
      </w:r>
    </w:p>
    <w:p w14:paraId="2C4FB04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原油管道的工艺、设备运行规程参照《原油管道运行规范》（S</w:t>
      </w:r>
      <w:r>
        <w:rPr>
          <w:color w:val="000000" w:themeColor="text1"/>
          <w14:textFill>
            <w14:solidFill>
              <w14:schemeClr w14:val="tx1"/>
            </w14:solidFill>
          </w14:textFill>
        </w:rPr>
        <w:t>Y/T5536-2016</w:t>
      </w:r>
      <w:r>
        <w:rPr>
          <w:rFonts w:hint="eastAsia"/>
          <w:color w:val="000000" w:themeColor="text1"/>
          <w14:textFill>
            <w14:solidFill>
              <w14:schemeClr w14:val="tx1"/>
            </w14:solidFill>
          </w14:textFill>
        </w:rPr>
        <w:t>）中的相关要求执行；建议对外腐蚀控制，定期检测管地电位，识别、测试杂散电流对管道的影响，并采取措施减缓杂散电流对管道的影响；建议对内腐蚀进行控制，对输送采出液的腐蚀性进行分析；建议定期对监控与数据采集系统进行维护，定期对管道的腐蚀情况和防腐保护系统进行检验、监测；管道在停运工况下，阴极保护系统不宜停止运行；当管道出现局部管壁减薄，建议对局部管道进行更换或降压运行，降压运行宜经管道压力评定。</w:t>
      </w:r>
    </w:p>
    <w:bookmarkEnd w:id="650"/>
    <w:p w14:paraId="082AE43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建议开展突发环境事件隐患排查，明确排查频次、排查规模、排查项目等，对排查出的隐患根据可能造成的危害程度、治理难度等实施分级管理，并建立隐患排查治理档案。突发环境事件隐患排查内容宜包括环境应急管理、环境风险防控措施、管段与环境风险受体之间的通道等；建立管道环境风险信息管理系统。</w:t>
      </w:r>
    </w:p>
    <w:p w14:paraId="708304CC">
      <w:pPr>
        <w:pStyle w:val="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一般</w:t>
      </w:r>
      <w:r>
        <w:rPr>
          <w:rFonts w:hint="eastAsia"/>
          <w:color w:val="000000" w:themeColor="text1"/>
          <w14:textFill>
            <w14:solidFill>
              <w14:schemeClr w14:val="tx1"/>
            </w14:solidFill>
          </w14:textFill>
        </w:rPr>
        <w:t>耕地</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永久基本农田</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园地及天然牧草地</w:t>
      </w:r>
      <w:r>
        <w:rPr>
          <w:rFonts w:hint="eastAsia"/>
          <w:color w:val="000000" w:themeColor="text1"/>
          <w14:textFill>
            <w14:solidFill>
              <w14:schemeClr w14:val="tx1"/>
            </w14:solidFill>
          </w14:textFill>
        </w:rPr>
        <w:t>环境风险防范措施</w:t>
      </w:r>
    </w:p>
    <w:p w14:paraId="6D5C03FD">
      <w:pPr>
        <w:adjustRightInd w:val="0"/>
        <w:snapToGrid w:val="0"/>
        <w:spacing w:line="46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（1）选用质量合格的管线、设备，</w:t>
      </w:r>
      <w:r>
        <w:rPr>
          <w:rFonts w:ascii="宋体" w:hAnsi="宋体"/>
          <w:color w:val="000000" w:themeColor="text1"/>
          <w:sz w:val="24"/>
          <w:szCs w:val="24"/>
          <w14:textFill>
            <w14:solidFill>
              <w14:schemeClr w14:val="tx1"/>
            </w14:solidFill>
          </w14:textFill>
        </w:rPr>
        <w:t>管线敷设前，应加强对管材和焊接质量的检查</w:t>
      </w:r>
      <w:r>
        <w:rPr>
          <w:rFonts w:hint="eastAsia" w:ascii="宋体" w:hAnsi="宋体"/>
          <w:color w:val="000000" w:themeColor="text1"/>
          <w:sz w:val="24"/>
          <w:szCs w:val="24"/>
          <w14:textFill>
            <w14:solidFill>
              <w14:schemeClr w14:val="tx1"/>
            </w14:solidFill>
          </w14:textFill>
        </w:rPr>
        <w:t>。</w:t>
      </w:r>
    </w:p>
    <w:p w14:paraId="7E11E0BD">
      <w:pPr>
        <w:adjustRightInd w:val="0"/>
        <w:snapToGrid w:val="0"/>
        <w:spacing w:line="46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bookmarkStart w:id="651" w:name="_Hlk185776663"/>
      <w:r>
        <w:rPr>
          <w:rFonts w:hint="eastAsia" w:ascii="宋体" w:hAnsi="宋体"/>
          <w:color w:val="000000" w:themeColor="text1"/>
          <w:sz w:val="24"/>
          <w:szCs w:val="24"/>
          <w14:textFill>
            <w14:solidFill>
              <w14:schemeClr w14:val="tx1"/>
            </w14:solidFill>
          </w14:textFill>
        </w:rPr>
        <w:t>加强对单井采油管线</w:t>
      </w:r>
      <w:r>
        <w:rPr>
          <w:rFonts w:hint="eastAsia" w:ascii="宋体" w:hAnsi="宋体"/>
          <w:color w:val="000000" w:themeColor="text1"/>
          <w:sz w:val="24"/>
          <w:szCs w:val="24"/>
          <w:lang w:eastAsia="zh-CN"/>
          <w14:textFill>
            <w14:solidFill>
              <w14:schemeClr w14:val="tx1"/>
            </w14:solidFill>
          </w14:textFill>
        </w:rPr>
        <w:t>、</w:t>
      </w:r>
      <w:r>
        <w:rPr>
          <w:rFonts w:hint="eastAsia" w:ascii="宋体" w:hAnsi="宋体"/>
          <w:color w:val="000000" w:themeColor="text1"/>
          <w:sz w:val="24"/>
          <w:szCs w:val="24"/>
          <w:lang w:val="en-US" w:eastAsia="zh-CN"/>
          <w14:textFill>
            <w14:solidFill>
              <w14:schemeClr w14:val="tx1"/>
            </w14:solidFill>
          </w14:textFill>
        </w:rPr>
        <w:t>单井掺热水管线</w:t>
      </w:r>
      <w:r>
        <w:rPr>
          <w:rFonts w:hint="eastAsia" w:ascii="宋体" w:hAnsi="宋体"/>
          <w:color w:val="000000" w:themeColor="text1"/>
          <w:sz w:val="24"/>
          <w:szCs w:val="24"/>
          <w14:textFill>
            <w14:solidFill>
              <w14:schemeClr w14:val="tx1"/>
            </w14:solidFill>
          </w14:textFill>
        </w:rPr>
        <w:t>和</w:t>
      </w:r>
      <w:r>
        <w:rPr>
          <w:rFonts w:hint="eastAsia" w:ascii="宋体" w:hAnsi="宋体"/>
          <w:color w:val="000000" w:themeColor="text1"/>
          <w:sz w:val="24"/>
          <w:szCs w:val="24"/>
          <w:lang w:val="en-US" w:eastAsia="zh-CN"/>
          <w14:textFill>
            <w14:solidFill>
              <w14:schemeClr w14:val="tx1"/>
            </w14:solidFill>
          </w14:textFill>
        </w:rPr>
        <w:t>单井注水管线</w:t>
      </w:r>
      <w:r>
        <w:rPr>
          <w:rFonts w:hint="eastAsia" w:ascii="宋体" w:hAnsi="宋体"/>
          <w:color w:val="000000" w:themeColor="text1"/>
          <w:sz w:val="24"/>
          <w:szCs w:val="24"/>
          <w14:textFill>
            <w14:solidFill>
              <w14:schemeClr w14:val="tx1"/>
            </w14:solidFill>
          </w14:textFill>
        </w:rPr>
        <w:t>的巡检</w:t>
      </w:r>
      <w:bookmarkEnd w:id="651"/>
      <w:r>
        <w:rPr>
          <w:rFonts w:hint="eastAsia" w:ascii="宋体" w:hAnsi="宋体"/>
          <w:color w:val="000000" w:themeColor="text1"/>
          <w:sz w:val="24"/>
          <w:szCs w:val="24"/>
          <w14:textFill>
            <w14:solidFill>
              <w14:schemeClr w14:val="tx1"/>
            </w14:solidFill>
          </w14:textFill>
        </w:rPr>
        <w:t>，</w:t>
      </w:r>
      <w:r>
        <w:rPr>
          <w:rFonts w:ascii="宋体" w:hAnsi="宋体"/>
          <w:color w:val="000000" w:themeColor="text1"/>
          <w:sz w:val="24"/>
          <w:szCs w:val="24"/>
          <w14:textFill>
            <w14:solidFill>
              <w14:schemeClr w14:val="tx1"/>
            </w14:solidFill>
          </w14:textFill>
        </w:rPr>
        <w:t>定期对管线进行超声波检查，对壁厚低于规定要求的管段应及时更换，消除爆管的隐患</w:t>
      </w:r>
      <w:r>
        <w:rPr>
          <w:rFonts w:hint="eastAsia" w:ascii="宋体" w:hAnsi="宋体"/>
          <w:color w:val="000000" w:themeColor="text1"/>
          <w:sz w:val="24"/>
          <w:szCs w:val="24"/>
          <w14:textFill>
            <w14:solidFill>
              <w14:schemeClr w14:val="tx1"/>
            </w14:solidFill>
          </w14:textFill>
        </w:rPr>
        <w:t>。</w:t>
      </w:r>
    </w:p>
    <w:p w14:paraId="0EE7BF27">
      <w:pPr>
        <w:spacing w:line="50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3）井场设备设施、管线泄漏发生后，迅速关闭截断阀，并及时封堵泄漏源；将泄漏的原油尽可能回收至吉祥联合站原油处理系统处理，无法收集的泄漏原油及被污染的土壤集中收集后交由有相应危险废物处置资质的单位回收处置。</w:t>
      </w:r>
    </w:p>
    <w:p w14:paraId="3C8773C8">
      <w:pPr>
        <w:pStyle w:val="193"/>
        <w:ind w:firstLine="480"/>
        <w:rPr>
          <w:rFonts w:hint="eastAsia"/>
          <w:color w:val="000000" w:themeColor="text1"/>
          <w14:textFill>
            <w14:solidFill>
              <w14:schemeClr w14:val="tx1"/>
            </w14:solidFill>
          </w14:textFill>
        </w:rPr>
      </w:pPr>
      <w:r>
        <w:rPr>
          <w:rFonts w:hint="eastAsia" w:ascii="宋体" w:hAnsi="宋体" w:cs="Arial"/>
          <w:color w:val="000000" w:themeColor="text1"/>
          <w:kern w:val="0"/>
          <w:sz w:val="24"/>
          <w:szCs w:val="24"/>
          <w14:textFill>
            <w14:solidFill>
              <w14:schemeClr w14:val="tx1"/>
            </w14:solidFill>
          </w14:textFill>
        </w:rPr>
        <w:t>（4）洗井废水</w:t>
      </w:r>
      <w:r>
        <w:rPr>
          <w:rFonts w:hint="eastAsia" w:ascii="宋体" w:hAnsi="宋体" w:cs="Arial"/>
          <w:color w:val="000000" w:themeColor="text1"/>
          <w:kern w:val="0"/>
          <w:sz w:val="24"/>
          <w:szCs w:val="24"/>
          <w:lang w:eastAsia="zh-CN"/>
          <w14:textFill>
            <w14:solidFill>
              <w14:schemeClr w14:val="tx1"/>
            </w14:solidFill>
          </w14:textFill>
        </w:rPr>
        <w:t>、</w:t>
      </w:r>
      <w:r>
        <w:rPr>
          <w:rFonts w:hint="eastAsia" w:ascii="宋体" w:hAnsi="宋体" w:cs="Arial"/>
          <w:color w:val="000000" w:themeColor="text1"/>
          <w:kern w:val="0"/>
          <w:sz w:val="24"/>
          <w:szCs w:val="24"/>
          <w14:textFill>
            <w14:solidFill>
              <w14:schemeClr w14:val="tx1"/>
            </w14:solidFill>
          </w14:textFill>
        </w:rPr>
        <w:t>井下作业废液</w:t>
      </w:r>
      <w:r>
        <w:rPr>
          <w:rFonts w:hint="eastAsia" w:ascii="宋体" w:hAnsi="宋体" w:cs="Arial"/>
          <w:color w:val="000000" w:themeColor="text1"/>
          <w:kern w:val="0"/>
          <w:sz w:val="24"/>
          <w:szCs w:val="24"/>
          <w:lang w:val="en-US" w:eastAsia="zh-CN"/>
          <w14:textFill>
            <w14:solidFill>
              <w14:schemeClr w14:val="tx1"/>
            </w14:solidFill>
          </w14:textFill>
        </w:rPr>
        <w:t>和危险废物</w:t>
      </w:r>
      <w:r>
        <w:rPr>
          <w:rFonts w:hint="eastAsia" w:ascii="宋体" w:hAnsi="宋体" w:cs="Arial"/>
          <w:color w:val="000000" w:themeColor="text1"/>
          <w:kern w:val="0"/>
          <w:sz w:val="24"/>
          <w:szCs w:val="24"/>
          <w14:textFill>
            <w14:solidFill>
              <w14:schemeClr w14:val="tx1"/>
            </w14:solidFill>
          </w14:textFill>
        </w:rPr>
        <w:t>运输车辆禁止驶入永久基本农田</w:t>
      </w:r>
      <w:r>
        <w:rPr>
          <w:rFonts w:hint="eastAsia" w:ascii="宋体" w:hAnsi="宋体" w:cs="Arial"/>
          <w:color w:val="000000" w:themeColor="text1"/>
          <w:kern w:val="0"/>
          <w:sz w:val="24"/>
          <w:szCs w:val="24"/>
          <w:lang w:val="en-US" w:eastAsia="zh-CN"/>
          <w14:textFill>
            <w14:solidFill>
              <w14:schemeClr w14:val="tx1"/>
            </w14:solidFill>
          </w14:textFill>
        </w:rPr>
        <w:t>和一般耕地</w:t>
      </w:r>
      <w:r>
        <w:rPr>
          <w:rFonts w:hint="eastAsia" w:ascii="宋体" w:hAnsi="宋体" w:cs="Arial"/>
          <w:color w:val="000000" w:themeColor="text1"/>
          <w:kern w:val="0"/>
          <w:sz w:val="24"/>
          <w:szCs w:val="24"/>
          <w14:textFill>
            <w14:solidFill>
              <w14:schemeClr w14:val="tx1"/>
            </w14:solidFill>
          </w14:textFill>
        </w:rPr>
        <w:t>中，禁止将废水和固体废物倾倒入永久基本农田</w:t>
      </w:r>
      <w:r>
        <w:rPr>
          <w:rFonts w:hint="eastAsia" w:ascii="宋体" w:hAnsi="宋体" w:cs="Arial"/>
          <w:color w:val="000000" w:themeColor="text1"/>
          <w:kern w:val="0"/>
          <w:sz w:val="24"/>
          <w:szCs w:val="24"/>
          <w:lang w:val="en-US" w:eastAsia="zh-CN"/>
          <w14:textFill>
            <w14:solidFill>
              <w14:schemeClr w14:val="tx1"/>
            </w14:solidFill>
          </w14:textFill>
        </w:rPr>
        <w:t>和一般耕地中</w:t>
      </w:r>
      <w:r>
        <w:rPr>
          <w:rFonts w:hint="eastAsia" w:ascii="宋体" w:hAnsi="宋体" w:cs="Arial"/>
          <w:color w:val="000000" w:themeColor="text1"/>
          <w:kern w:val="0"/>
          <w:sz w:val="24"/>
          <w:szCs w:val="24"/>
          <w14:textFill>
            <w14:solidFill>
              <w14:schemeClr w14:val="tx1"/>
            </w14:solidFill>
          </w14:textFill>
        </w:rPr>
        <w:t>。</w:t>
      </w:r>
      <w:r>
        <w:rPr>
          <w:rFonts w:hint="eastAsia"/>
          <w:color w:val="000000" w:themeColor="text1"/>
          <w14:textFill>
            <w14:solidFill>
              <w14:schemeClr w14:val="tx1"/>
            </w14:solidFill>
          </w14:textFill>
        </w:rPr>
        <w:t>危险废物</w:t>
      </w:r>
      <w:r>
        <w:rPr>
          <w:rFonts w:hint="eastAsia"/>
          <w:color w:val="000000" w:themeColor="text1"/>
          <w:lang w:val="en-US" w:eastAsia="zh-CN"/>
          <w14:textFill>
            <w14:solidFill>
              <w14:schemeClr w14:val="tx1"/>
            </w14:solidFill>
          </w14:textFill>
        </w:rPr>
        <w:t>运输过程</w:t>
      </w:r>
      <w:r>
        <w:rPr>
          <w:rFonts w:hint="eastAsia"/>
          <w:color w:val="000000" w:themeColor="text1"/>
          <w14:textFill>
            <w14:solidFill>
              <w14:schemeClr w14:val="tx1"/>
            </w14:solidFill>
          </w14:textFill>
        </w:rPr>
        <w:t>中应严格执行《危险废物转移管理办法》（部令第23号）并制定内部转移、转运制度。确保危险废物的运输安全可靠，减少或避免运输过程中的二次污染和可能造成的环境风险。</w:t>
      </w:r>
    </w:p>
    <w:p w14:paraId="01CEDB56">
      <w:pPr>
        <w:spacing w:line="500" w:lineRule="exact"/>
        <w:ind w:firstLine="480" w:firstLineChars="200"/>
        <w:rPr>
          <w:rFonts w:hint="eastAsia" w:ascii="宋体" w:hAnsi="宋体" w:cs="Arial"/>
          <w:color w:val="000000" w:themeColor="text1"/>
          <w:kern w:val="0"/>
          <w:sz w:val="24"/>
          <w:szCs w:val="24"/>
          <w14:textFill>
            <w14:solidFill>
              <w14:schemeClr w14:val="tx1"/>
            </w14:solidFill>
          </w14:textFill>
        </w:rPr>
      </w:pPr>
      <w:r>
        <w:rPr>
          <w:rFonts w:hint="eastAsia" w:ascii="宋体" w:hAnsi="宋体" w:cs="Arial"/>
          <w:color w:val="000000" w:themeColor="text1"/>
          <w:kern w:val="0"/>
          <w:sz w:val="24"/>
          <w:szCs w:val="24"/>
          <w14:textFill>
            <w14:solidFill>
              <w14:schemeClr w14:val="tx1"/>
            </w14:solidFill>
          </w14:textFill>
        </w:rPr>
        <w:t>（5）井下作业时安装防喷器，严格按照井下作业操作规程操作。</w:t>
      </w:r>
    </w:p>
    <w:p w14:paraId="369CA799">
      <w:pPr>
        <w:spacing w:line="500" w:lineRule="exact"/>
        <w:ind w:firstLine="480" w:firstLineChars="200"/>
        <w:rPr>
          <w:rFonts w:hint="eastAsia" w:ascii="宋体" w:hAnsi="宋体" w:eastAsia="宋体" w:cs="Arial"/>
          <w:color w:val="000000" w:themeColor="text1"/>
          <w:kern w:val="0"/>
          <w:sz w:val="24"/>
          <w:szCs w:val="24"/>
          <w:lang w:eastAsia="zh-CN"/>
          <w14:textFill>
            <w14:solidFill>
              <w14:schemeClr w14:val="tx1"/>
            </w14:solidFill>
          </w14:textFill>
        </w:rPr>
      </w:pPr>
      <w:r>
        <w:rPr>
          <w:rFonts w:hint="eastAsia" w:ascii="宋体" w:hAnsi="宋体" w:cs="Arial"/>
          <w:color w:val="000000" w:themeColor="text1"/>
          <w:kern w:val="0"/>
          <w:sz w:val="24"/>
          <w:szCs w:val="24"/>
          <w:lang w:eastAsia="zh-CN"/>
          <w14:textFill>
            <w14:solidFill>
              <w14:schemeClr w14:val="tx1"/>
            </w14:solidFill>
          </w14:textFill>
        </w:rPr>
        <w:t>（</w:t>
      </w:r>
      <w:r>
        <w:rPr>
          <w:rFonts w:hint="eastAsia" w:ascii="宋体" w:hAnsi="宋体" w:cs="Arial"/>
          <w:color w:val="000000" w:themeColor="text1"/>
          <w:kern w:val="0"/>
          <w:sz w:val="24"/>
          <w:szCs w:val="24"/>
          <w:lang w:val="en-US" w:eastAsia="zh-CN"/>
          <w14:textFill>
            <w14:solidFill>
              <w14:schemeClr w14:val="tx1"/>
            </w14:solidFill>
          </w14:textFill>
        </w:rPr>
        <w:t>6</w:t>
      </w:r>
      <w:r>
        <w:rPr>
          <w:rFonts w:hint="eastAsia" w:ascii="宋体" w:hAnsi="宋体" w:cs="Arial"/>
          <w:color w:val="000000" w:themeColor="text1"/>
          <w:kern w:val="0"/>
          <w:sz w:val="24"/>
          <w:szCs w:val="24"/>
          <w:lang w:eastAsia="zh-CN"/>
          <w14:textFill>
            <w14:solidFill>
              <w14:schemeClr w14:val="tx1"/>
            </w14:solidFill>
          </w14:textFill>
        </w:rPr>
        <w:t>）当事故发生后污染了</w:t>
      </w:r>
      <w:r>
        <w:rPr>
          <w:rFonts w:hint="eastAsia" w:ascii="宋体" w:hAnsi="宋体" w:cs="Arial"/>
          <w:color w:val="000000" w:themeColor="text1"/>
          <w:kern w:val="0"/>
          <w:sz w:val="24"/>
          <w:szCs w:val="24"/>
          <w:lang w:val="en-US" w:eastAsia="zh-CN"/>
          <w14:textFill>
            <w14:solidFill>
              <w14:schemeClr w14:val="tx1"/>
            </w14:solidFill>
          </w14:textFill>
        </w:rPr>
        <w:t>永久</w:t>
      </w:r>
      <w:r>
        <w:rPr>
          <w:rFonts w:hint="eastAsia" w:ascii="宋体" w:hAnsi="宋体" w:cs="Arial"/>
          <w:color w:val="000000" w:themeColor="text1"/>
          <w:kern w:val="0"/>
          <w:sz w:val="24"/>
          <w:szCs w:val="24"/>
          <w:lang w:eastAsia="zh-CN"/>
          <w14:textFill>
            <w14:solidFill>
              <w14:schemeClr w14:val="tx1"/>
            </w14:solidFill>
          </w14:textFill>
        </w:rPr>
        <w:t>基本农田，应根据《基本农田保护条例》立即采取措施处理，对农田造成质量降低的，应进行治理；对农户造成财产损失的，应按规定进行赔偿。</w:t>
      </w:r>
    </w:p>
    <w:bookmarkEnd w:id="649"/>
    <w:p w14:paraId="77C12D35">
      <w:pPr>
        <w:pStyle w:val="8"/>
        <w:rPr>
          <w:rFonts w:hint="eastAsia"/>
          <w:color w:val="000000" w:themeColor="text1"/>
          <w14:textFill>
            <w14:solidFill>
              <w14:schemeClr w14:val="tx1"/>
            </w14:solidFill>
          </w14:textFill>
        </w:rPr>
      </w:pPr>
      <w:bookmarkStart w:id="652" w:name="_Hlk40733197"/>
      <w:r>
        <w:rPr>
          <w:rFonts w:hint="eastAsia"/>
          <w:color w:val="000000" w:themeColor="text1"/>
          <w14:textFill>
            <w14:solidFill>
              <w14:schemeClr w14:val="tx1"/>
            </w14:solidFill>
          </w14:textFill>
        </w:rPr>
        <w:t>洗井废水及井下作业废水（液）运输风险防范措施</w:t>
      </w:r>
    </w:p>
    <w:p w14:paraId="48F04896">
      <w:pPr>
        <w:pStyle w:val="5"/>
        <w:spacing w:line="50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洗井废水及井下作业废水（液）运输风险防范措施：罐车运输的驾驶员和押运员必须经过专门培训才能上岗作业。出车前必须对车辆的安全技术状况进行认真检查，发现故障排除后方可投入运行。要特别注意检查罐车罐体的安全性能，逐个部位检查液位计、压力表、阀门、温度表、紧急切断阀、导静电装置等安全装置是否安全可靠，杜绝“跑、冒、滴、漏”。保持驾驶室干净，不得有发火用具。参照《汽车运输危险货物规则》（JT617-2004）配装表中进行，车辆排气管应安装隔热和熄灭火星装置，并配装符合JT230规定的导静电橡胶拖地带装置。行车要遵守交通、消防、治安等法律法规。控制车速，保持与前车安全距离，严禁违法超车，不能疲劳驾驶。</w:t>
      </w:r>
    </w:p>
    <w:p w14:paraId="451D767D">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采出水回注环境风险防范措施</w:t>
      </w:r>
    </w:p>
    <w:p w14:paraId="165764A4">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（1）运营期加强注水水质的管理，保证回注水水质满足《碎屑岩油藏注水水质指标技术要求及分析方法》（SY/T5329-2022）相关标准要求。</w:t>
      </w:r>
    </w:p>
    <w:p w14:paraId="31BCA924">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（2）参照《石油天然气工业套管和油管的维护与使用标准》（GB/T17745-2011）相关要求进行井筒完整性管理，定期开展井筒完整性检查。</w:t>
      </w:r>
    </w:p>
    <w:p w14:paraId="2DB1A172">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回注井运行过程中，应持续对回注井口压力、套管压力、环空压力、回注流体的流量、水质等指标进行监测，定期开展套管腐蚀和水泥环状况检测，检测周期不超过3年。新启用或检维修后初次启用的回注井运行前，应进行井筒完整性测试；回注井应至少每2年进行1次井筒完整性检测，检测发现井筒完整性失效，应立即停止回注。</w:t>
      </w:r>
    </w:p>
    <w:p w14:paraId="128B6450">
      <w:pPr>
        <w:pStyle w:val="8"/>
        <w:rPr>
          <w:rFonts w:hint="eastAsia"/>
          <w:color w:val="000000" w:themeColor="text1"/>
          <w14:textFill>
            <w14:solidFill>
              <w14:schemeClr w14:val="tx1"/>
            </w14:solidFill>
          </w14:textFill>
        </w:rPr>
      </w:pPr>
      <w:r>
        <w:rPr>
          <w:color w:val="000000" w:themeColor="text1"/>
          <w14:textFill>
            <w14:solidFill>
              <w14:schemeClr w14:val="tx1"/>
            </w14:solidFill>
          </w14:textFill>
        </w:rPr>
        <w:t>环境风险应急</w:t>
      </w:r>
      <w:bookmarkEnd w:id="637"/>
      <w:bookmarkEnd w:id="638"/>
      <w:bookmarkEnd w:id="639"/>
      <w:bookmarkEnd w:id="640"/>
      <w:bookmarkEnd w:id="641"/>
      <w:bookmarkEnd w:id="642"/>
      <w:bookmarkEnd w:id="643"/>
      <w:bookmarkEnd w:id="644"/>
      <w:r>
        <w:rPr>
          <w:rFonts w:hint="eastAsia"/>
          <w:color w:val="000000" w:themeColor="text1"/>
          <w14:textFill>
            <w14:solidFill>
              <w14:schemeClr w14:val="tx1"/>
            </w14:solidFill>
          </w14:textFill>
        </w:rPr>
        <w:t>措施</w:t>
      </w:r>
    </w:p>
    <w:p w14:paraId="089418FF">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（1）应急处置措施</w:t>
      </w:r>
    </w:p>
    <w:p w14:paraId="348FB080">
      <w:pPr>
        <w:pStyle w:val="193"/>
        <w:rPr>
          <w:rFonts w:hint="eastAsia"/>
          <w:color w:val="000000" w:themeColor="text1"/>
          <w14:textFill>
            <w14:solidFill>
              <w14:schemeClr w14:val="tx1"/>
            </w14:solidFill>
          </w14:textFill>
        </w:rPr>
      </w:pPr>
      <w:bookmarkStart w:id="653" w:name="_Hlk40377182"/>
      <w:r>
        <w:rPr>
          <w:rFonts w:hint="eastAsia"/>
          <w:color w:val="000000" w:themeColor="text1"/>
          <w14:textFill>
            <w14:solidFill>
              <w14:schemeClr w14:val="tx1"/>
            </w14:solidFill>
          </w14:textFill>
        </w:rPr>
        <w:t>发生事故时，</w:t>
      </w:r>
      <w:bookmarkStart w:id="654" w:name="_Hlk40632491"/>
      <w:r>
        <w:rPr>
          <w:rFonts w:hint="eastAsia"/>
          <w:color w:val="000000" w:themeColor="text1"/>
          <w14:textFill>
            <w14:solidFill>
              <w14:schemeClr w14:val="tx1"/>
            </w14:solidFill>
          </w14:textFill>
        </w:rPr>
        <w:t>如管线、设备发生泄漏</w:t>
      </w:r>
      <w:bookmarkEnd w:id="654"/>
      <w:r>
        <w:rPr>
          <w:rFonts w:hint="eastAsia"/>
          <w:color w:val="000000" w:themeColor="text1"/>
          <w14:textFill>
            <w14:solidFill>
              <w14:schemeClr w14:val="tx1"/>
            </w14:solidFill>
          </w14:textFill>
        </w:rPr>
        <w:t>事故时，上层能收集的原油回收送吉祥联合站处理</w:t>
      </w:r>
      <w:r>
        <w:rPr>
          <w:color w:val="000000" w:themeColor="text1"/>
          <w14:textFill>
            <w14:solidFill>
              <w14:schemeClr w14:val="tx1"/>
            </w14:solidFill>
          </w14:textFill>
        </w:rPr>
        <w:t>，无法收集的原油和受浸染的土壤</w:t>
      </w:r>
      <w:r>
        <w:rPr>
          <w:rFonts w:hint="eastAsia"/>
          <w:color w:val="000000" w:themeColor="text1"/>
          <w14:textFill>
            <w14:solidFill>
              <w14:schemeClr w14:val="tx1"/>
            </w14:solidFill>
          </w14:textFill>
        </w:rPr>
        <w:t>等</w:t>
      </w:r>
      <w:r>
        <w:rPr>
          <w:color w:val="000000" w:themeColor="text1"/>
          <w14:textFill>
            <w14:solidFill>
              <w14:schemeClr w14:val="tx1"/>
            </w14:solidFill>
          </w14:textFill>
        </w:rPr>
        <w:t>含油污泥属于《国家危险废物名录（2025年版）》HW08废矿物油与含矿物油废物，交由具有相应危险废物处置资质的单位进行回收、处置</w:t>
      </w:r>
      <w:bookmarkEnd w:id="653"/>
      <w:r>
        <w:rPr>
          <w:rFonts w:hint="eastAsia"/>
          <w:color w:val="000000" w:themeColor="text1"/>
          <w14:textFill>
            <w14:solidFill>
              <w14:schemeClr w14:val="tx1"/>
            </w14:solidFill>
          </w14:textFill>
        </w:rPr>
        <w:t>。若发生不可控风险事故，应立即启动《中国石油新疆油田分公司吉庆油田作业区突发环境污染事件应急预案》，由应急领导小组对事故进行处理。</w:t>
      </w:r>
    </w:p>
    <w:p w14:paraId="0772EB61">
      <w:pPr>
        <w:pStyle w:val="19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（2）应急预案</w:t>
      </w:r>
    </w:p>
    <w:bookmarkEnd w:id="652"/>
    <w:p w14:paraId="5EBCA9A6">
      <w:pPr>
        <w:pStyle w:val="193"/>
        <w:rPr>
          <w:rFonts w:hint="eastAsia"/>
          <w:color w:val="000000" w:themeColor="text1"/>
          <w14:textFill>
            <w14:solidFill>
              <w14:schemeClr w14:val="tx1"/>
            </w14:solidFill>
          </w14:textFill>
        </w:rPr>
      </w:pPr>
      <w:bookmarkStart w:id="655" w:name="_Hlk40733242"/>
      <w:bookmarkStart w:id="656" w:name="_Hlk12460212"/>
      <w:bookmarkStart w:id="657" w:name="_Hlk147588542"/>
      <w:r>
        <w:rPr>
          <w:rFonts w:hint="eastAsia"/>
          <w:color w:val="000000" w:themeColor="text1"/>
          <w14:textFill>
            <w14:solidFill>
              <w14:schemeClr w14:val="tx1"/>
            </w14:solidFill>
          </w14:textFill>
        </w:rPr>
        <w:t>项目投产后应纳入《中国石油新疆油田分公司吉庆油田作业区突发环境污染事件应急预案》，从而对环境风险进行有效防治。</w:t>
      </w:r>
      <w:bookmarkEnd w:id="655"/>
      <w:bookmarkEnd w:id="656"/>
      <w:bookmarkStart w:id="658" w:name="_Hlk40733273"/>
      <w:r>
        <w:rPr>
          <w:rFonts w:hint="eastAsia"/>
          <w:color w:val="000000" w:themeColor="text1"/>
          <w14:textFill>
            <w14:solidFill>
              <w14:schemeClr w14:val="tx1"/>
            </w14:solidFill>
          </w14:textFill>
        </w:rPr>
        <w:t>项目实施后建设单位应根据实际建设情况</w:t>
      </w:r>
      <w:bookmarkStart w:id="659" w:name="_Hlk92216992"/>
      <w:r>
        <w:rPr>
          <w:rFonts w:hint="eastAsia"/>
          <w:color w:val="000000" w:themeColor="text1"/>
          <w14:textFill>
            <w14:solidFill>
              <w14:schemeClr w14:val="tx1"/>
            </w14:solidFill>
          </w14:textFill>
        </w:rPr>
        <w:t>对应急预案中的</w:t>
      </w:r>
      <w:r>
        <w:rPr>
          <w:rFonts w:hint="eastAsia" w:cs="Arial"/>
          <w:color w:val="000000" w:themeColor="text1"/>
          <w14:textFill>
            <w14:solidFill>
              <w14:schemeClr w14:val="tx1"/>
            </w14:solidFill>
          </w14:textFill>
        </w:rPr>
        <w:t>环境风险源基本情况、环境风险源识别、装置风险识别进行修改完善</w:t>
      </w:r>
      <w:bookmarkEnd w:id="659"/>
      <w:r>
        <w:rPr>
          <w:rFonts w:hint="eastAsia" w:cs="Arial"/>
          <w:color w:val="000000" w:themeColor="text1"/>
          <w14:textFill>
            <w14:solidFill>
              <w14:schemeClr w14:val="tx1"/>
            </w14:solidFill>
          </w14:textFill>
        </w:rPr>
        <w:t>，其余与现有应急预案保持一致，专项编制针对</w:t>
      </w:r>
      <w:r>
        <w:rPr>
          <w:rFonts w:hint="eastAsia" w:cs="Arial"/>
          <w:color w:val="000000" w:themeColor="text1"/>
          <w:lang w:val="en-US" w:eastAsia="zh-CN"/>
          <w14:textFill>
            <w14:solidFill>
              <w14:schemeClr w14:val="tx1"/>
            </w14:solidFill>
          </w14:textFill>
        </w:rPr>
        <w:t>永久</w:t>
      </w:r>
      <w:r>
        <w:rPr>
          <w:rFonts w:hint="eastAsia" w:cs="Arial"/>
          <w:color w:val="000000" w:themeColor="text1"/>
          <w14:textFill>
            <w14:solidFill>
              <w14:schemeClr w14:val="tx1"/>
            </w14:solidFill>
          </w14:textFill>
        </w:rPr>
        <w:t>基本农田、</w:t>
      </w:r>
      <w:r>
        <w:rPr>
          <w:rFonts w:hint="eastAsia" w:cs="Arial"/>
          <w:color w:val="000000" w:themeColor="text1"/>
          <w:lang w:val="en-US" w:eastAsia="zh-CN"/>
          <w14:textFill>
            <w14:solidFill>
              <w14:schemeClr w14:val="tx1"/>
            </w14:solidFill>
          </w14:textFill>
        </w:rPr>
        <w:t>一般耕地和居民</w:t>
      </w:r>
      <w:r>
        <w:rPr>
          <w:rFonts w:hint="eastAsia" w:cs="Arial"/>
          <w:color w:val="000000" w:themeColor="text1"/>
          <w14:textFill>
            <w14:solidFill>
              <w14:schemeClr w14:val="tx1"/>
            </w14:solidFill>
          </w14:textFill>
        </w:rPr>
        <w:t>的现场应急处置方案</w:t>
      </w:r>
      <w:r>
        <w:rPr>
          <w:rFonts w:hint="eastAsia" w:cs="Arial"/>
          <w:color w:val="000000" w:themeColor="text1"/>
          <w:lang w:eastAsia="zh-CN"/>
          <w14:textFill>
            <w14:solidFill>
              <w14:schemeClr w14:val="tx1"/>
            </w14:solidFill>
          </w14:textFill>
        </w:rPr>
        <w:t>，</w:t>
      </w:r>
      <w:r>
        <w:rPr>
          <w:rFonts w:hint="eastAsia" w:cs="Arial"/>
          <w:color w:val="000000" w:themeColor="text1"/>
          <w14:textFill>
            <w14:solidFill>
              <w14:schemeClr w14:val="tx1"/>
            </w14:solidFill>
          </w14:textFill>
        </w:rPr>
        <w:t>并根据风险等级要求对现有应急预案进行修订。</w:t>
      </w:r>
    </w:p>
    <w:bookmarkEnd w:id="657"/>
    <w:p w14:paraId="06C5351A">
      <w:pPr>
        <w:pStyle w:val="120"/>
        <w:rPr>
          <w:rStyle w:val="192"/>
          <w:rFonts w:hint="eastAsia"/>
          <w:color w:val="000000" w:themeColor="text1"/>
          <w14:textFill>
            <w14:solidFill>
              <w14:schemeClr w14:val="tx1"/>
            </w14:solidFill>
          </w14:textFill>
        </w:rPr>
      </w:pPr>
      <w:bookmarkStart w:id="660" w:name="_Hlk78887558"/>
      <w:r>
        <w:rPr>
          <w:rFonts w:hint="eastAsia"/>
          <w:color w:val="000000" w:themeColor="text1"/>
          <w14:textFill>
            <w14:solidFill>
              <w14:schemeClr w14:val="tx1"/>
            </w14:solidFill>
          </w14:textFill>
        </w:rPr>
        <w:t>环境风险简单分析内容详</w:t>
      </w:r>
      <w:r>
        <w:rPr>
          <w:rStyle w:val="192"/>
          <w:rFonts w:hint="eastAsia"/>
          <w:color w:val="000000" w:themeColor="text1"/>
          <w14:textFill>
            <w14:solidFill>
              <w14:schemeClr w14:val="tx1"/>
            </w14:solidFill>
          </w14:textFill>
        </w:rPr>
        <w:t>见表6.4-1。</w:t>
      </w:r>
    </w:p>
    <w:p w14:paraId="5692DA38">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表6.4-1  </w:t>
      </w:r>
      <w:bookmarkStart w:id="661" w:name="_Hlk80209137"/>
      <w:r>
        <w:rPr>
          <w:rFonts w:hint="eastAsia"/>
          <w:color w:val="000000" w:themeColor="text1"/>
          <w14:textFill>
            <w14:solidFill>
              <w14:schemeClr w14:val="tx1"/>
            </w14:solidFill>
          </w14:textFill>
        </w:rPr>
        <w:t>环境风险简单分析一览表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7454"/>
      </w:tblGrid>
      <w:tr w14:paraId="51E989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5ACA83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建设项目</w:t>
            </w:r>
          </w:p>
          <w:p w14:paraId="26328AB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4269" w:type="pct"/>
            <w:vAlign w:val="center"/>
          </w:tcPr>
          <w:p w14:paraId="7C011E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吉7井区梧桐沟组油藏2026年更新补钻产能建设项目</w:t>
            </w:r>
          </w:p>
        </w:tc>
      </w:tr>
      <w:tr w14:paraId="21C0FF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075A103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建设地点</w:t>
            </w:r>
          </w:p>
        </w:tc>
        <w:tc>
          <w:tcPr>
            <w:tcW w:w="4269" w:type="pct"/>
            <w:vAlign w:val="center"/>
          </w:tcPr>
          <w:p w14:paraId="252BF0C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本项目行政上隶属于新疆维吾尔自治区昌吉回族自治州吉木萨尔县</w:t>
            </w:r>
          </w:p>
        </w:tc>
      </w:tr>
      <w:tr w14:paraId="410D5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0410D93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地理坐标</w:t>
            </w:r>
          </w:p>
        </w:tc>
        <w:tc>
          <w:tcPr>
            <w:tcW w:w="4269" w:type="pct"/>
            <w:vAlign w:val="center"/>
          </w:tcPr>
          <w:p w14:paraId="156AE6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 89°16′12.097</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，N 44°06′52.061</w:t>
            </w:r>
            <w:r>
              <w:rPr>
                <w:color w:val="000000" w:themeColor="text1"/>
                <w14:textFill>
                  <w14:solidFill>
                    <w14:schemeClr w14:val="tx1"/>
                  </w14:solidFill>
                </w14:textFill>
              </w:rPr>
              <w:t>”</w:t>
            </w:r>
          </w:p>
        </w:tc>
      </w:tr>
      <w:tr w14:paraId="1846F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37E51B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主要危险物质及分布</w:t>
            </w:r>
          </w:p>
        </w:tc>
        <w:tc>
          <w:tcPr>
            <w:tcW w:w="4269" w:type="pct"/>
            <w:vAlign w:val="center"/>
          </w:tcPr>
          <w:p w14:paraId="6B6B8E8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施工期风险物质为</w:t>
            </w:r>
            <w:r>
              <w:rPr>
                <w:color w:val="000000" w:themeColor="text1"/>
                <w14:textFill>
                  <w14:solidFill>
                    <w14:schemeClr w14:val="tx1"/>
                  </w14:solidFill>
                </w14:textFill>
              </w:rPr>
              <w:t>柴油、废润滑油、废润滑油桶、沾油废防渗材料和废危化品包装材料</w:t>
            </w:r>
            <w:r>
              <w:rPr>
                <w:rFonts w:hint="eastAsia"/>
                <w:color w:val="000000" w:themeColor="text1"/>
                <w14:textFill>
                  <w14:solidFill>
                    <w14:schemeClr w14:val="tx1"/>
                  </w14:solidFill>
                </w14:textFill>
              </w:rPr>
              <w:t>，施工期柴油和危险废物主要分布在井场；运营期涉及的危险物质主要为</w:t>
            </w:r>
            <w:r>
              <w:rPr>
                <w:color w:val="000000" w:themeColor="text1"/>
                <w14:textFill>
                  <w14:solidFill>
                    <w14:schemeClr w14:val="tx1"/>
                  </w14:solidFill>
                </w14:textFill>
              </w:rPr>
              <w:t>原油、伴生气（甲烷）、废润滑油、废润滑油桶、沾油废防渗材料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废弃的含油抹布、劳保用品</w:t>
            </w:r>
            <w:r>
              <w:rPr>
                <w:rFonts w:hint="eastAsia"/>
                <w:color w:val="000000" w:themeColor="text1"/>
                <w14:textFill>
                  <w14:solidFill>
                    <w14:schemeClr w14:val="tx1"/>
                  </w14:solidFill>
                </w14:textFill>
              </w:rPr>
              <w:t>、次生污染物CO；运营期危险物质主要分布在各井场和单井采油管线。</w:t>
            </w:r>
          </w:p>
        </w:tc>
      </w:tr>
      <w:tr w14:paraId="10C3D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747834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环境影响途径及危害后果</w:t>
            </w:r>
          </w:p>
        </w:tc>
        <w:tc>
          <w:tcPr>
            <w:tcW w:w="4269" w:type="pct"/>
            <w:vAlign w:val="center"/>
          </w:tcPr>
          <w:p w14:paraId="4274AAA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柴油储罐或者危险废物发生泄漏或发生井喷事故，泄漏的柴油或者危险废物对大气、土壤和地下水环境产生一定的影响；运营期2井式平台井场、单井采油井场、注水井场的设备、管线发生破损造成原油和伴生气发生泄漏，污染土壤和大气，泄漏原油可能通过包气带渗漏进入地下含水层，污染地下水；泄漏的油气若遇明火，发生火灾、爆炸，污染大气环境。事故发生概率较低，发生事故后，及时采取相应的应急措施，不会对周围环境产生明显影响。</w:t>
            </w:r>
          </w:p>
        </w:tc>
      </w:tr>
      <w:tr w14:paraId="68B4EA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4379539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环境风险防范措施要求</w:t>
            </w:r>
          </w:p>
        </w:tc>
        <w:tc>
          <w:tcPr>
            <w:tcW w:w="4269" w:type="pct"/>
            <w:vAlign w:val="center"/>
          </w:tcPr>
          <w:p w14:paraId="208980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严格遵守钻井的安全规定，在井口安装防喷器和控制装置；井场设置明显的禁止烟火标志；井场钻井设备及电气设备、照明灯具符合防火防爆的安全要求，井场安装探照灯，以备井喷时钻台照明；在井架、井场路口等处设置风向标，发生事故时人员迅速向上风向疏散；按消防规定配备灭火器、消防铁锹和其他消防器材。井场设置明显的禁止烟火标志；井下作业时要求带罐操作，最大限度避免落地油产生，而泄漏物料和落地油应及时回收、妥善处置。</w:t>
            </w:r>
          </w:p>
          <w:p w14:paraId="5614BA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平面布置中尽量将火灾危险性相近的设施集中布置，并保持规定的防火距离；将全场内的明火点控制到最小，并布置在油气生产区场地边缘部位；按规定配置齐全各类消防设施，并定期进行检查，保持有效性及完好可用；站场内的装置区等均为爆炸火灾危险区域，区域内的配电设备均应采用防爆型；加强对职工的教育培训，实行上岗证制度，增强职工风险意识；在井场设置风向标；在油气可能泄漏和积聚的区域设置可燃气体浓度检测报警装置。</w:t>
            </w:r>
          </w:p>
          <w:p w14:paraId="744C127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（3）定期对管线进行巡检，</w:t>
            </w:r>
            <w:r>
              <w:rPr>
                <w:color w:val="000000" w:themeColor="text1"/>
                <w14:textFill>
                  <w14:solidFill>
                    <w14:schemeClr w14:val="tx1"/>
                  </w14:solidFill>
                </w14:textFill>
              </w:rPr>
              <w:t>严格按照管道施工、验收等规范进行设计、施工和验收。管线敷设前，应加强对管材和焊接质量的检查，严禁使用不合格产品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定期对管线进行超声波检查，对壁厚低于规定要求的管段应及时更换，消除爆管的隐患；定期对</w:t>
            </w:r>
            <w:r>
              <w:rPr>
                <w:rFonts w:hint="eastAsia"/>
                <w:color w:val="000000" w:themeColor="text1"/>
                <w14:textFill>
                  <w14:solidFill>
                    <w14:schemeClr w14:val="tx1"/>
                  </w14:solidFill>
                </w14:textFill>
              </w:rPr>
              <w:t>管线</w:t>
            </w:r>
            <w:r>
              <w:rPr>
                <w:color w:val="000000" w:themeColor="text1"/>
                <w14:textFill>
                  <w14:solidFill>
                    <w14:schemeClr w14:val="tx1"/>
                  </w14:solidFill>
                </w14:textFill>
              </w:rPr>
              <w:t>上的安全保护设施，如截断阀、安全阀、放空系统等进行检查</w:t>
            </w:r>
            <w:r>
              <w:rPr>
                <w:rFonts w:hint="eastAsia"/>
                <w:color w:val="000000" w:themeColor="text1"/>
                <w14:textFill>
                  <w14:solidFill>
                    <w14:schemeClr w14:val="tx1"/>
                  </w14:solidFill>
                </w14:textFill>
              </w:rPr>
              <w:t>；严禁在管线两侧各5m范围内修筑工程，在管线上方及近旁严禁动土开挖和修建超过管道负荷的建筑物。</w:t>
            </w:r>
          </w:p>
          <w:p w14:paraId="256D2F1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项目投产后应纳入《中国石油新疆油田分公司吉庆油田作业区突发环境污染事件应急预案》，从而对环境风险进行有效防治。项目实施后建设单位应根据实际建设情况对应急预案中的环境风险源基本情况、环境风险源识别、装置风险识别进行修改完善，其余与现有应急预案保持一致，</w:t>
            </w:r>
            <w:r>
              <w:rPr>
                <w:rFonts w:hint="eastAsia" w:cs="Arial"/>
                <w:color w:val="000000" w:themeColor="text1"/>
                <w14:textFill>
                  <w14:solidFill>
                    <w14:schemeClr w14:val="tx1"/>
                  </w14:solidFill>
                </w14:textFill>
              </w:rPr>
              <w:t>专项编制针对</w:t>
            </w:r>
            <w:r>
              <w:rPr>
                <w:rFonts w:hint="eastAsia" w:cs="Arial"/>
                <w:color w:val="000000" w:themeColor="text1"/>
                <w:lang w:val="en-US" w:eastAsia="zh-CN"/>
                <w14:textFill>
                  <w14:solidFill>
                    <w14:schemeClr w14:val="tx1"/>
                  </w14:solidFill>
                </w14:textFill>
              </w:rPr>
              <w:t>永久</w:t>
            </w:r>
            <w:r>
              <w:rPr>
                <w:rFonts w:hint="eastAsia" w:cs="Arial"/>
                <w:color w:val="000000" w:themeColor="text1"/>
                <w14:textFill>
                  <w14:solidFill>
                    <w14:schemeClr w14:val="tx1"/>
                  </w14:solidFill>
                </w14:textFill>
              </w:rPr>
              <w:t>基本农田、</w:t>
            </w:r>
            <w:r>
              <w:rPr>
                <w:rFonts w:hint="eastAsia" w:cs="Arial"/>
                <w:color w:val="000000" w:themeColor="text1"/>
                <w:lang w:val="en-US" w:eastAsia="zh-CN"/>
                <w14:textFill>
                  <w14:solidFill>
                    <w14:schemeClr w14:val="tx1"/>
                  </w14:solidFill>
                </w14:textFill>
              </w:rPr>
              <w:t>一般耕地和居民</w:t>
            </w:r>
            <w:r>
              <w:rPr>
                <w:rFonts w:hint="eastAsia" w:cs="Arial"/>
                <w:color w:val="000000" w:themeColor="text1"/>
                <w14:textFill>
                  <w14:solidFill>
                    <w14:schemeClr w14:val="tx1"/>
                  </w14:solidFill>
                </w14:textFill>
              </w:rPr>
              <w:t>的现场应急处置方案</w:t>
            </w:r>
            <w:r>
              <w:rPr>
                <w:rFonts w:hint="eastAsia" w:cs="Arial"/>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并根据风险等级要求对现有应急预案进行修订。</w:t>
            </w:r>
          </w:p>
        </w:tc>
      </w:tr>
      <w:bookmarkEnd w:id="608"/>
      <w:bookmarkEnd w:id="609"/>
      <w:bookmarkEnd w:id="610"/>
      <w:bookmarkEnd w:id="624"/>
      <w:bookmarkEnd w:id="658"/>
      <w:bookmarkEnd w:id="660"/>
      <w:bookmarkEnd w:id="661"/>
    </w:tbl>
    <w:p w14:paraId="7F976249">
      <w:pPr>
        <w:pStyle w:val="7"/>
        <w:rPr>
          <w:rFonts w:hint="eastAsia"/>
          <w:color w:val="000000" w:themeColor="text1"/>
          <w:lang w:val="zh-CN"/>
          <w14:textFill>
            <w14:solidFill>
              <w14:schemeClr w14:val="tx1"/>
            </w14:solidFill>
          </w14:textFill>
        </w:rPr>
      </w:pPr>
      <w:bookmarkStart w:id="662" w:name="_Toc21737"/>
      <w:bookmarkStart w:id="663" w:name="_Toc475624490"/>
      <w:bookmarkStart w:id="664" w:name="_Toc445840422"/>
      <w:bookmarkStart w:id="665" w:name="_Toc448413621"/>
      <w:bookmarkStart w:id="666" w:name="_Toc445996468"/>
      <w:bookmarkStart w:id="667" w:name="_Toc14918"/>
      <w:bookmarkStart w:id="668" w:name="_Toc9979"/>
      <w:bookmarkStart w:id="669" w:name="_Toc19321"/>
      <w:bookmarkStart w:id="670" w:name="_Toc445842149"/>
      <w:bookmarkStart w:id="671" w:name="_Toc459026596"/>
      <w:r>
        <w:rPr>
          <w:rFonts w:hint="eastAsia"/>
          <w:color w:val="000000" w:themeColor="text1"/>
          <w:lang w:val="zh-CN"/>
          <w14:textFill>
            <w14:solidFill>
              <w14:schemeClr w14:val="tx1"/>
            </w14:solidFill>
          </w14:textFill>
        </w:rPr>
        <w:t>退役</w:t>
      </w:r>
      <w:r>
        <w:rPr>
          <w:color w:val="000000" w:themeColor="text1"/>
          <w:lang w:val="zh-CN"/>
          <w14:textFill>
            <w14:solidFill>
              <w14:schemeClr w14:val="tx1"/>
            </w14:solidFill>
          </w14:textFill>
        </w:rPr>
        <w:t>期环境保护</w:t>
      </w:r>
      <w:r>
        <w:rPr>
          <w:rFonts w:hint="eastAsia"/>
          <w:color w:val="000000" w:themeColor="text1"/>
          <w:lang w:val="zh-CN"/>
          <w14:textFill>
            <w14:solidFill>
              <w14:schemeClr w14:val="tx1"/>
            </w14:solidFill>
          </w14:textFill>
        </w:rPr>
        <w:t>措施</w:t>
      </w:r>
      <w:bookmarkEnd w:id="662"/>
      <w:bookmarkEnd w:id="663"/>
      <w:bookmarkEnd w:id="664"/>
      <w:bookmarkEnd w:id="665"/>
      <w:bookmarkEnd w:id="666"/>
      <w:bookmarkEnd w:id="667"/>
      <w:bookmarkEnd w:id="668"/>
      <w:bookmarkEnd w:id="669"/>
      <w:bookmarkEnd w:id="670"/>
      <w:bookmarkEnd w:id="671"/>
    </w:p>
    <w:p w14:paraId="6DA291C3">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退役</w:t>
      </w:r>
      <w:r>
        <w:rPr>
          <w:color w:val="000000" w:themeColor="text1"/>
          <w:lang w:val="zh-CN"/>
          <w14:textFill>
            <w14:solidFill>
              <w14:schemeClr w14:val="tx1"/>
            </w14:solidFill>
          </w14:textFill>
        </w:rPr>
        <w:t>期</w:t>
      </w:r>
      <w:r>
        <w:rPr>
          <w:rFonts w:hint="eastAsia"/>
          <w:color w:val="000000" w:themeColor="text1"/>
          <w:lang w:val="zh-CN"/>
          <w14:textFill>
            <w14:solidFill>
              <w14:schemeClr w14:val="tx1"/>
            </w14:solidFill>
          </w14:textFill>
        </w:rPr>
        <w:t>大气环境保护措施</w:t>
      </w:r>
    </w:p>
    <w:p w14:paraId="10BEE0C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1）运输车辆使用符合国家标准的油品。</w:t>
      </w:r>
    </w:p>
    <w:p w14:paraId="05C2CEC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2）在施工操作中应做到文明施工，防止水泥等的洒落与飘散；尽量避开大风天气进行作业。</w:t>
      </w:r>
    </w:p>
    <w:p w14:paraId="1D84360A">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退役期水环境保护措施</w:t>
      </w:r>
    </w:p>
    <w:p w14:paraId="7419CD8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对完成采油</w:t>
      </w:r>
      <w:r>
        <w:rPr>
          <w:rFonts w:hint="eastAsia"/>
          <w:color w:val="000000" w:themeColor="text1"/>
          <w:lang w:val="en-US"/>
          <w14:textFill>
            <w14:solidFill>
              <w14:schemeClr w14:val="tx1"/>
            </w14:solidFill>
          </w14:textFill>
        </w:rPr>
        <w:t>和注水</w:t>
      </w:r>
      <w:r>
        <w:rPr>
          <w:rFonts w:hint="eastAsia"/>
          <w:color w:val="000000" w:themeColor="text1"/>
          <w14:textFill>
            <w14:solidFill>
              <w14:schemeClr w14:val="tx1"/>
            </w14:solidFill>
          </w14:textFill>
        </w:rPr>
        <w:t>的废弃井应封堵，拆除井口装置，截去地下</w:t>
      </w:r>
      <w:r>
        <w:rPr>
          <w:color w:val="000000" w:themeColor="text1"/>
          <w14:textFill>
            <w14:solidFill>
              <w14:schemeClr w14:val="tx1"/>
            </w14:solidFill>
          </w14:textFill>
        </w:rPr>
        <w:t>1m内管头，</w:t>
      </w:r>
      <w:r>
        <w:rPr>
          <w:rFonts w:hint="eastAsia"/>
          <w:color w:val="000000" w:themeColor="text1"/>
          <w14:textFill>
            <w14:solidFill>
              <w14:schemeClr w14:val="tx1"/>
            </w14:solidFill>
          </w14:textFill>
        </w:rPr>
        <w:t>废弃井应根据《废弃井封井回填技术指南（试行）》中的相关要求进行封井回填；单井采油管线、</w:t>
      </w:r>
      <w:r>
        <w:rPr>
          <w:rFonts w:hint="eastAsia"/>
          <w:color w:val="000000" w:themeColor="text1"/>
          <w:lang w:val="en-US"/>
          <w14:textFill>
            <w14:solidFill>
              <w14:schemeClr w14:val="tx1"/>
            </w14:solidFill>
          </w14:textFill>
        </w:rPr>
        <w:t>单井注水管线和单井掺热水管线</w:t>
      </w:r>
      <w:r>
        <w:rPr>
          <w:rFonts w:hint="eastAsia"/>
          <w:color w:val="000000" w:themeColor="text1"/>
          <w14:textFill>
            <w14:solidFill>
              <w14:schemeClr w14:val="tx1"/>
            </w14:solidFill>
          </w14:textFill>
        </w:rPr>
        <w:t>清扫确保管线内无残留物，管线两端使用盲板封堵。清扫的废水集中收集后送至</w:t>
      </w:r>
      <w:r>
        <w:rPr>
          <w:rFonts w:hint="eastAsia"/>
          <w:color w:val="000000" w:themeColor="text1"/>
          <w:lang w:val="en-US"/>
          <w14:textFill>
            <w14:solidFill>
              <w14:schemeClr w14:val="tx1"/>
            </w14:solidFill>
          </w14:textFill>
        </w:rPr>
        <w:t>吉祥联合站采出水处理系统</w:t>
      </w:r>
      <w:r>
        <w:rPr>
          <w:rFonts w:hint="eastAsia"/>
          <w:color w:val="000000" w:themeColor="text1"/>
          <w14:textFill>
            <w14:solidFill>
              <w14:schemeClr w14:val="tx1"/>
            </w14:solidFill>
          </w14:textFill>
        </w:rPr>
        <w:t>处理。</w:t>
      </w:r>
    </w:p>
    <w:p w14:paraId="1CEDF70E">
      <w:pPr>
        <w:pStyle w:val="8"/>
        <w:rPr>
          <w:rFonts w:hint="eastAsia"/>
          <w:color w:val="000000" w:themeColor="text1"/>
          <w:lang w:val="zh-CN"/>
          <w14:textFill>
            <w14:solidFill>
              <w14:schemeClr w14:val="tx1"/>
            </w14:solidFill>
          </w14:textFill>
        </w:rPr>
      </w:pPr>
      <w:bookmarkStart w:id="672" w:name="_Toc445842153"/>
      <w:bookmarkStart w:id="673" w:name="_Toc445996471"/>
      <w:bookmarkStart w:id="674" w:name="_Toc445840423"/>
      <w:bookmarkStart w:id="675" w:name="_Toc11580"/>
      <w:r>
        <w:rPr>
          <w:rFonts w:hint="eastAsia"/>
          <w:color w:val="000000" w:themeColor="text1"/>
          <w:lang w:val="zh-CN"/>
          <w14:textFill>
            <w14:solidFill>
              <w14:schemeClr w14:val="tx1"/>
            </w14:solidFill>
          </w14:textFill>
        </w:rPr>
        <w:t>退役期</w:t>
      </w:r>
      <w:r>
        <w:rPr>
          <w:color w:val="000000" w:themeColor="text1"/>
          <w:lang w:val="zh-CN"/>
          <w14:textFill>
            <w14:solidFill>
              <w14:schemeClr w14:val="tx1"/>
            </w14:solidFill>
          </w14:textFill>
        </w:rPr>
        <w:t>噪声污染防治措施</w:t>
      </w:r>
    </w:p>
    <w:p w14:paraId="702B8D4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1）选用低噪声机械和车辆。</w:t>
      </w:r>
    </w:p>
    <w:p w14:paraId="51D6E72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2）加强设备检查维修，保证其正常运行。</w:t>
      </w:r>
    </w:p>
    <w:p w14:paraId="3C6EBCC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3）加强运输车辆管理，合理规划运输路线，禁止运输车辆随意高声鸣笛</w:t>
      </w:r>
      <w:r>
        <w:rPr>
          <w:rFonts w:hint="eastAsia"/>
          <w:color w:val="000000" w:themeColor="text1"/>
          <w14:textFill>
            <w14:solidFill>
              <w14:schemeClr w14:val="tx1"/>
            </w14:solidFill>
          </w14:textFill>
        </w:rPr>
        <w:t>。</w:t>
      </w:r>
    </w:p>
    <w:p w14:paraId="7F4CF090">
      <w:pPr>
        <w:pStyle w:val="8"/>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退役期固废及土壤污染防治措施</w:t>
      </w:r>
    </w:p>
    <w:p w14:paraId="45B5AF16">
      <w:pPr>
        <w:pStyle w:val="120"/>
        <w:rPr>
          <w:rFonts w:hint="eastAsia"/>
          <w:color w:val="000000" w:themeColor="text1"/>
          <w14:textFill>
            <w14:solidFill>
              <w14:schemeClr w14:val="tx1"/>
            </w14:solidFill>
          </w14:textFill>
        </w:rPr>
      </w:pPr>
      <w:bookmarkStart w:id="676" w:name="_Toc448413622"/>
      <w:bookmarkStart w:id="677" w:name="_Toc22367"/>
      <w:bookmarkStart w:id="678" w:name="_Toc30821"/>
      <w:r>
        <w:rPr>
          <w:rFonts w:hint="eastAsia"/>
          <w:color w:val="000000" w:themeColor="text1"/>
          <w14:textFill>
            <w14:solidFill>
              <w14:schemeClr w14:val="tx1"/>
            </w14:solidFill>
          </w14:textFill>
        </w:rPr>
        <w:t>（1）地面设施拆除、清理等工作中会产生废弃管线、废弃建筑残渣，应集中清理收集。管线外运清洗后可回收利用，废弃建筑残渣收集后交由环卫部门统一处置，不得遗留在场地内影响土壤环境质量。</w:t>
      </w:r>
    </w:p>
    <w:p w14:paraId="660AB2A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（2）运输过程中，运输车辆均加盖篷布，以防止行驶过程中固体废物的散落。</w:t>
      </w:r>
    </w:p>
    <w:p w14:paraId="4375DFA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）对完成采油的废弃井应封堵，拆除井口装置，截去地下1m内管头，最后清理场地，清除各种固体废弃物，植被靠自然恢复。</w:t>
      </w:r>
    </w:p>
    <w:p w14:paraId="1C120215">
      <w:pPr>
        <w:pStyle w:val="8"/>
        <w:rPr>
          <w:rFonts w:hint="eastAsia"/>
          <w:color w:val="000000" w:themeColor="text1"/>
          <w:lang w:val="zh-CN"/>
          <w14:textFill>
            <w14:solidFill>
              <w14:schemeClr w14:val="tx1"/>
            </w14:solidFill>
          </w14:textFill>
        </w:rPr>
      </w:pPr>
      <w:bookmarkStart w:id="679" w:name="_Hlk175263464"/>
      <w:r>
        <w:rPr>
          <w:rFonts w:hint="eastAsia"/>
          <w:color w:val="000000" w:themeColor="text1"/>
          <w:lang w:val="zh-CN"/>
          <w14:textFill>
            <w14:solidFill>
              <w14:schemeClr w14:val="tx1"/>
            </w14:solidFill>
          </w14:textFill>
        </w:rPr>
        <w:t>退役期生态环境保护措施</w:t>
      </w:r>
    </w:p>
    <w:bookmarkEnd w:id="672"/>
    <w:bookmarkEnd w:id="673"/>
    <w:bookmarkEnd w:id="674"/>
    <w:bookmarkEnd w:id="675"/>
    <w:bookmarkEnd w:id="676"/>
    <w:bookmarkEnd w:id="677"/>
    <w:bookmarkEnd w:id="678"/>
    <w:bookmarkEnd w:id="679"/>
    <w:p w14:paraId="79E68F21">
      <w:pPr>
        <w:pStyle w:val="120"/>
        <w:rPr>
          <w:rFonts w:hint="eastAsia"/>
          <w:color w:val="000000" w:themeColor="text1"/>
          <w14:textFill>
            <w14:solidFill>
              <w14:schemeClr w14:val="tx1"/>
            </w14:solidFill>
          </w14:textFill>
        </w:rPr>
      </w:pPr>
      <w:bookmarkStart w:id="680" w:name="_Hlk175263489"/>
      <w:bookmarkStart w:id="681" w:name="_Hlk511374601"/>
      <w:bookmarkStart w:id="682" w:name="_Hlk512466345"/>
      <w:r>
        <w:rPr>
          <w:rFonts w:hint="eastAsia"/>
          <w:color w:val="000000" w:themeColor="text1"/>
          <w14:textFill>
            <w14:solidFill>
              <w14:schemeClr w14:val="tx1"/>
            </w14:solidFill>
          </w14:textFill>
        </w:rPr>
        <w:t>退役期对完成采油</w:t>
      </w:r>
      <w:r>
        <w:rPr>
          <w:rFonts w:hint="eastAsia"/>
          <w:color w:val="000000" w:themeColor="text1"/>
          <w:lang w:val="en-US"/>
          <w14:textFill>
            <w14:solidFill>
              <w14:schemeClr w14:val="tx1"/>
            </w14:solidFill>
          </w14:textFill>
        </w:rPr>
        <w:t>和注水</w:t>
      </w:r>
      <w:r>
        <w:rPr>
          <w:rFonts w:hint="eastAsia"/>
          <w:color w:val="000000" w:themeColor="text1"/>
          <w14:textFill>
            <w14:solidFill>
              <w14:schemeClr w14:val="tx1"/>
            </w14:solidFill>
          </w14:textFill>
        </w:rPr>
        <w:t>的废弃井应封堵，拆除井口装置及其他设施，截去地下1m内管头；对永久性占地范围内的水泥平台或砂砾石铺垫应进行清理，并清除各种固体废弃物，确保无环境遗留问题；挖松固化地面，对2井式平台井场、单井采油井场</w:t>
      </w:r>
      <w:r>
        <w:rPr>
          <w:rFonts w:hint="eastAsia"/>
          <w:color w:val="000000" w:themeColor="text1"/>
          <w:lang w:val="en-US"/>
          <w14:textFill>
            <w14:solidFill>
              <w14:schemeClr w14:val="tx1"/>
            </w14:solidFill>
          </w14:textFill>
        </w:rPr>
        <w:t>和</w:t>
      </w:r>
      <w:r>
        <w:rPr>
          <w:rFonts w:hint="eastAsia"/>
          <w:color w:val="000000" w:themeColor="text1"/>
          <w14:textFill>
            <w14:solidFill>
              <w14:schemeClr w14:val="tx1"/>
            </w14:solidFill>
          </w14:textFill>
        </w:rPr>
        <w:t>注水井场进行平整、覆土，植被主要靠自然恢复，使</w:t>
      </w:r>
      <w:r>
        <w:rPr>
          <w:rFonts w:hint="eastAsia"/>
          <w:color w:val="000000" w:themeColor="text1"/>
          <w:lang w:val="en-US"/>
          <w14:textFill>
            <w14:solidFill>
              <w14:schemeClr w14:val="tx1"/>
            </w14:solidFill>
          </w14:textFill>
        </w:rPr>
        <w:t>井场</w:t>
      </w:r>
      <w:r>
        <w:rPr>
          <w:rFonts w:hint="eastAsia"/>
          <w:color w:val="000000" w:themeColor="text1"/>
          <w14:textFill>
            <w14:solidFill>
              <w14:schemeClr w14:val="tx1"/>
            </w14:solidFill>
          </w14:textFill>
        </w:rPr>
        <w:t>恢复到相对自然的一种状态。</w:t>
      </w:r>
    </w:p>
    <w:bookmarkEnd w:id="680"/>
    <w:p w14:paraId="1D0DEB56">
      <w:pPr>
        <w:pStyle w:val="8"/>
        <w:rPr>
          <w:rFonts w:hint="eastAsia"/>
          <w:color w:val="000000" w:themeColor="text1"/>
          <w:lang w:val="zh-CN"/>
          <w14:textFill>
            <w14:solidFill>
              <w14:schemeClr w14:val="tx1"/>
            </w14:solidFill>
          </w14:textFill>
        </w:rPr>
      </w:pPr>
      <w:bookmarkStart w:id="683" w:name="_Hlk40721850"/>
      <w:bookmarkStart w:id="684" w:name="_Hlk512466869"/>
      <w:r>
        <w:rPr>
          <w:rFonts w:hint="eastAsia"/>
          <w:color w:val="000000" w:themeColor="text1"/>
          <w:lang w:val="zh-CN"/>
          <w14:textFill>
            <w14:solidFill>
              <w14:schemeClr w14:val="tx1"/>
            </w14:solidFill>
          </w14:textFill>
        </w:rPr>
        <w:t>生态恢复治理方案</w:t>
      </w:r>
    </w:p>
    <w:bookmarkEnd w:id="683"/>
    <w:p w14:paraId="3A0A0FF2">
      <w:pPr>
        <w:pStyle w:val="120"/>
        <w:rPr>
          <w:rFonts w:hint="eastAsia"/>
          <w:color w:val="000000" w:themeColor="text1"/>
          <w14:textFill>
            <w14:solidFill>
              <w14:schemeClr w14:val="tx1"/>
            </w14:solidFill>
          </w14:textFill>
        </w:rPr>
      </w:pPr>
      <w:bookmarkStart w:id="685" w:name="_Hlk80207146"/>
      <w:r>
        <w:rPr>
          <w:rFonts w:hint="eastAsia"/>
          <w:color w:val="000000" w:themeColor="text1"/>
          <w14:textFill>
            <w14:solidFill>
              <w14:schemeClr w14:val="tx1"/>
            </w14:solidFill>
          </w14:textFill>
        </w:rPr>
        <w:t>（1）生态环境保护与恢复治理的一般要求</w:t>
      </w:r>
    </w:p>
    <w:p w14:paraId="2F127841">
      <w:pPr>
        <w:adjustRightInd w:val="0"/>
        <w:snapToGrid w:val="0"/>
        <w:spacing w:line="520" w:lineRule="exact"/>
        <w:ind w:firstLine="488"/>
        <w:rPr>
          <w:rFonts w:hint="eastAsia" w:ascii="宋体" w:hAnsi="宋体"/>
          <w:color w:val="000000" w:themeColor="text1"/>
          <w:spacing w:val="4"/>
          <w:sz w:val="24"/>
          <w:szCs w:val="24"/>
          <w14:textFill>
            <w14:solidFill>
              <w14:schemeClr w14:val="tx1"/>
            </w14:solidFill>
          </w14:textFill>
        </w:rPr>
      </w:pPr>
      <w:r>
        <w:rPr>
          <w:rFonts w:hint="eastAsia" w:ascii="宋体" w:hAnsi="宋体"/>
          <w:color w:val="000000" w:themeColor="text1"/>
          <w:spacing w:val="4"/>
          <w:sz w:val="24"/>
          <w:szCs w:val="24"/>
          <w14:textFill>
            <w14:solidFill>
              <w14:schemeClr w14:val="tx1"/>
            </w14:solidFill>
          </w14:textFill>
        </w:rPr>
        <w:t>根据《矿山生态环境保护与恢复治理技术规范（试行）》（HJ651-2013）、《废弃井封井回填技术指南（试行）》的相关要求，制定生态环境保护与恢复治理方案时需遵循以下要求：</w:t>
      </w:r>
    </w:p>
    <w:p w14:paraId="729C1812">
      <w:pPr>
        <w:adjustRightInd w:val="0"/>
        <w:snapToGrid w:val="0"/>
        <w:spacing w:line="520" w:lineRule="exact"/>
        <w:ind w:firstLine="488"/>
        <w:rPr>
          <w:rFonts w:hint="eastAsia" w:ascii="宋体" w:hAnsi="宋体"/>
          <w:color w:val="000000" w:themeColor="text1"/>
          <w:spacing w:val="4"/>
          <w:sz w:val="24"/>
          <w:szCs w:val="24"/>
          <w14:textFill>
            <w14:solidFill>
              <w14:schemeClr w14:val="tx1"/>
            </w14:solidFill>
          </w14:textFill>
        </w:rPr>
      </w:pPr>
      <w:r>
        <w:rPr>
          <w:rFonts w:hint="eastAsia" w:ascii="宋体" w:hAnsi="宋体"/>
          <w:color w:val="000000" w:themeColor="text1"/>
          <w:spacing w:val="4"/>
          <w:sz w:val="24"/>
          <w:szCs w:val="24"/>
          <w14:textFill>
            <w14:solidFill>
              <w14:schemeClr w14:val="tx1"/>
            </w14:solidFill>
          </w14:textFill>
        </w:rPr>
        <w:t>①禁止在依法划定的饮用水水源保护区内进行开采。</w:t>
      </w:r>
    </w:p>
    <w:p w14:paraId="69546F29">
      <w:pPr>
        <w:adjustRightInd w:val="0"/>
        <w:snapToGrid w:val="0"/>
        <w:spacing w:line="520" w:lineRule="exact"/>
        <w:ind w:firstLine="488"/>
        <w:rPr>
          <w:rFonts w:hint="eastAsia" w:ascii="宋体" w:hAnsi="宋体"/>
          <w:color w:val="000000" w:themeColor="text1"/>
          <w:spacing w:val="4"/>
          <w:sz w:val="24"/>
          <w:szCs w:val="24"/>
          <w14:textFill>
            <w14:solidFill>
              <w14:schemeClr w14:val="tx1"/>
            </w14:solidFill>
          </w14:textFill>
        </w:rPr>
      </w:pPr>
      <w:r>
        <w:rPr>
          <w:rFonts w:hint="eastAsia" w:ascii="宋体" w:hAnsi="宋体"/>
          <w:color w:val="000000" w:themeColor="text1"/>
          <w:spacing w:val="4"/>
          <w:sz w:val="24"/>
          <w:szCs w:val="24"/>
          <w14:textFill>
            <w14:solidFill>
              <w14:schemeClr w14:val="tx1"/>
            </w14:solidFill>
          </w14:textFill>
        </w:rPr>
        <w:t>②采取有效预防和保护措施，避免或减轻矿产资源开发活动造成的生态破坏和环境污染。</w:t>
      </w:r>
    </w:p>
    <w:p w14:paraId="67396536">
      <w:pPr>
        <w:adjustRightInd w:val="0"/>
        <w:snapToGrid w:val="0"/>
        <w:spacing w:line="520" w:lineRule="exact"/>
        <w:ind w:firstLine="488"/>
        <w:rPr>
          <w:rFonts w:hint="eastAsia" w:ascii="宋体" w:hAnsi="宋体"/>
          <w:color w:val="000000" w:themeColor="text1"/>
          <w:spacing w:val="4"/>
          <w:sz w:val="24"/>
          <w:szCs w:val="24"/>
          <w14:textFill>
            <w14:solidFill>
              <w14:schemeClr w14:val="tx1"/>
            </w14:solidFill>
          </w14:textFill>
        </w:rPr>
      </w:pPr>
      <w:r>
        <w:rPr>
          <w:rFonts w:hint="eastAsia" w:ascii="宋体" w:hAnsi="宋体"/>
          <w:color w:val="000000" w:themeColor="text1"/>
          <w:spacing w:val="4"/>
          <w:sz w:val="24"/>
          <w:szCs w:val="24"/>
          <w14:textFill>
            <w14:solidFill>
              <w14:schemeClr w14:val="tx1"/>
            </w14:solidFill>
          </w14:textFill>
        </w:rPr>
        <w:t>③坚持“预防为主、防治结合、过程控制”的原则，将生态环境保护与恢复治理贯穿开采的全过程。</w:t>
      </w:r>
    </w:p>
    <w:p w14:paraId="1FECC959">
      <w:pPr>
        <w:spacing w:line="360" w:lineRule="auto"/>
        <w:ind w:firstLine="480" w:firstLineChars="200"/>
        <w:rPr>
          <w:color w:val="000000" w:themeColor="text1"/>
          <w:sz w:val="24"/>
          <w14:textFill>
            <w14:solidFill>
              <w14:schemeClr w14:val="tx1"/>
            </w14:solidFill>
          </w14:textFill>
        </w:rPr>
      </w:pPr>
      <w:bookmarkStart w:id="686" w:name="_Hlk72012541"/>
      <w:r>
        <w:rPr>
          <w:rFonts w:hint="eastAsia"/>
          <w:color w:val="000000" w:themeColor="text1"/>
          <w:sz w:val="24"/>
          <w14:textFill>
            <w14:solidFill>
              <w14:schemeClr w14:val="tx1"/>
            </w14:solidFill>
          </w14:textFill>
        </w:rPr>
        <w:t>④贯彻“边开采，边治理，边恢复”的原则，及时治理恢复生态环境。</w:t>
      </w:r>
    </w:p>
    <w:p w14:paraId="59F5110E">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⑤遵循矿区油气资源赋存状况、生态环境特征等条件，科学合理地确定开发方案，选择与油气藏类型相适应的先进开采技术和工艺，推广使用成熟、先进的技术装备，严禁使用国家明文规定的限制和淘汰的技术工艺及装备。</w:t>
      </w:r>
    </w:p>
    <w:bookmarkEnd w:id="686"/>
    <w:p w14:paraId="299C28FE">
      <w:pPr>
        <w:spacing w:line="360" w:lineRule="auto"/>
        <w:ind w:firstLine="480" w:firstLineChars="200"/>
        <w:rPr>
          <w:rFonts w:hint="eastAsia" w:ascii="宋体" w:hAnsi="宋体"/>
          <w:color w:val="000000" w:themeColor="text1"/>
          <w:sz w:val="24"/>
          <w14:textFill>
            <w14:solidFill>
              <w14:schemeClr w14:val="tx1"/>
            </w14:solidFill>
          </w14:textFill>
        </w:rPr>
      </w:pPr>
      <w:bookmarkStart w:id="687" w:name="_Hlk175263541"/>
      <w:r>
        <w:rPr>
          <w:rFonts w:hint="eastAsia" w:ascii="宋体" w:hAnsi="宋体"/>
          <w:color w:val="000000" w:themeColor="text1"/>
          <w:sz w:val="24"/>
          <w14:textFill>
            <w14:solidFill>
              <w14:schemeClr w14:val="tx1"/>
            </w14:solidFill>
          </w14:textFill>
        </w:rPr>
        <w:t>（2）井口封井</w:t>
      </w:r>
    </w:p>
    <w:p w14:paraId="66DD691E">
      <w:pPr>
        <w:spacing w:line="360" w:lineRule="auto"/>
        <w:ind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油田停采后将进行一系列清理工作，包括地面设施拆除、地下截去至少</w:t>
      </w:r>
      <w:r>
        <w:rPr>
          <w:rFonts w:ascii="宋体" w:hAnsi="宋体"/>
          <w:color w:val="000000" w:themeColor="text1"/>
          <w:sz w:val="24"/>
          <w14:textFill>
            <w14:solidFill>
              <w14:schemeClr w14:val="tx1"/>
            </w14:solidFill>
          </w14:textFill>
        </w:rPr>
        <w:t>1m</w:t>
      </w:r>
      <w:r>
        <w:rPr>
          <w:rFonts w:hint="eastAsia" w:ascii="宋体" w:hAnsi="宋体"/>
          <w:color w:val="000000" w:themeColor="text1"/>
          <w:sz w:val="24"/>
          <w14:textFill>
            <w14:solidFill>
              <w14:schemeClr w14:val="tx1"/>
            </w14:solidFill>
          </w14:textFill>
        </w:rPr>
        <w:t>的井筒并用水泥灌注封井、井场清理等，封井过程中严格按照《废弃井封井回填技术指南（试行）》中要求进行封井回填，要求如下：</w:t>
      </w:r>
    </w:p>
    <w:p w14:paraId="5716A3BA">
      <w:pPr>
        <w:spacing w:line="360" w:lineRule="auto"/>
        <w:ind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①对管鞋封隔：采取顶替法，水泥塞在套管鞋上下的长度至少应各为</w:t>
      </w:r>
      <w:r>
        <w:rPr>
          <w:rFonts w:ascii="宋体" w:hAnsi="宋体"/>
          <w:color w:val="000000" w:themeColor="text1"/>
          <w:sz w:val="24"/>
          <w14:textFill>
            <w14:solidFill>
              <w14:schemeClr w14:val="tx1"/>
            </w14:solidFill>
          </w14:textFill>
        </w:rPr>
        <w:t>30m</w:t>
      </w:r>
      <w:r>
        <w:rPr>
          <w:rFonts w:hint="eastAsia" w:ascii="宋体" w:hAnsi="宋体"/>
          <w:color w:val="000000" w:themeColor="text1"/>
          <w:sz w:val="24"/>
          <w14:textFill>
            <w14:solidFill>
              <w14:schemeClr w14:val="tx1"/>
            </w14:solidFill>
          </w14:textFill>
        </w:rPr>
        <w:t>；也可采取水泥承留器法，在套管鞋以上位置放置一个水泥承留器，向该器下方挤水泥进行封堵，水泥浆的量应填满水泥承留器以下</w:t>
      </w:r>
      <w:r>
        <w:rPr>
          <w:rFonts w:ascii="宋体" w:hAnsi="宋体"/>
          <w:color w:val="000000" w:themeColor="text1"/>
          <w:sz w:val="24"/>
          <w14:textFill>
            <w14:solidFill>
              <w14:schemeClr w14:val="tx1"/>
            </w14:solidFill>
          </w14:textFill>
        </w:rPr>
        <w:t>30m</w:t>
      </w:r>
      <w:r>
        <w:rPr>
          <w:rFonts w:hint="eastAsia" w:ascii="宋体" w:hAnsi="宋体"/>
          <w:color w:val="000000" w:themeColor="text1"/>
          <w:sz w:val="24"/>
          <w14:textFill>
            <w14:solidFill>
              <w14:schemeClr w14:val="tx1"/>
            </w14:solidFill>
          </w14:textFill>
        </w:rPr>
        <w:t>的裸眼井段，且留在水泥承留器上部的水泥塞长度应大于</w:t>
      </w:r>
      <w:r>
        <w:rPr>
          <w:rFonts w:ascii="宋体" w:hAnsi="宋体"/>
          <w:color w:val="000000" w:themeColor="text1"/>
          <w:sz w:val="24"/>
          <w14:textFill>
            <w14:solidFill>
              <w14:schemeClr w14:val="tx1"/>
            </w14:solidFill>
          </w14:textFill>
        </w:rPr>
        <w:t>15m</w:t>
      </w:r>
      <w:r>
        <w:rPr>
          <w:rFonts w:hint="eastAsia" w:ascii="宋体" w:hAnsi="宋体"/>
          <w:color w:val="000000" w:themeColor="text1"/>
          <w:sz w:val="24"/>
          <w14:textFill>
            <w14:solidFill>
              <w14:schemeClr w14:val="tx1"/>
            </w14:solidFill>
          </w14:textFill>
        </w:rPr>
        <w:t>。</w:t>
      </w:r>
    </w:p>
    <w:p w14:paraId="1A93EBC4">
      <w:pPr>
        <w:spacing w:line="360" w:lineRule="auto"/>
        <w:ind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②裸眼井段内的封隔：裸眼井段悬空水泥塞应封堵封层上下</w:t>
      </w:r>
      <w:r>
        <w:rPr>
          <w:rFonts w:ascii="宋体" w:hAnsi="宋体"/>
          <w:color w:val="000000" w:themeColor="text1"/>
          <w:sz w:val="24"/>
          <w14:textFill>
            <w14:solidFill>
              <w14:schemeClr w14:val="tx1"/>
            </w14:solidFill>
          </w14:textFill>
        </w:rPr>
        <w:t>30m</w:t>
      </w:r>
      <w:r>
        <w:rPr>
          <w:rFonts w:hint="eastAsia" w:ascii="宋体" w:hAnsi="宋体"/>
          <w:color w:val="000000" w:themeColor="text1"/>
          <w:sz w:val="24"/>
          <w14:textFill>
            <w14:solidFill>
              <w14:schemeClr w14:val="tx1"/>
            </w14:solidFill>
          </w14:textFill>
        </w:rPr>
        <w:t>；裸眼井段井壁垮塌，施工管柱无法下至待封井段的井，可在井壁垮塌位置以上裸眼井段挤注打水泥塞。垮塌深度较浅的井，从垮塌部位开始采取全井灌注水泥至井口进行封井。</w:t>
      </w:r>
    </w:p>
    <w:p w14:paraId="37C885D6">
      <w:pPr>
        <w:spacing w:line="360" w:lineRule="auto"/>
        <w:ind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③对套管井的封隔：套管被切割后，当余留套管下部地层没有产液运移或漏失时，可用顶替法来封堵余留套管；若在余留套管中地层有产液或有漏失时，则应采用挤水泥法。</w:t>
      </w:r>
    </w:p>
    <w:p w14:paraId="22C32F1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（3）2井式平台井场、单井采油井场、注水井场和道路生态恢复治理</w:t>
      </w:r>
    </w:p>
    <w:p w14:paraId="34F28915">
      <w:pPr>
        <w:pStyle w:val="120"/>
        <w:rPr>
          <w:rFonts w:hint="eastAsia"/>
          <w:color w:val="000000" w:themeColor="text1"/>
          <w14:textFill>
            <w14:solidFill>
              <w14:schemeClr w14:val="tx1"/>
            </w14:solidFill>
          </w14:textFill>
        </w:rPr>
      </w:pPr>
      <w:bookmarkStart w:id="688" w:name="_Hlk80530047"/>
      <w:r>
        <w:rPr>
          <w:rFonts w:hint="eastAsia"/>
          <w:color w:val="000000" w:themeColor="text1"/>
          <w14:textFill>
            <w14:solidFill>
              <w14:schemeClr w14:val="tx1"/>
            </w14:solidFill>
          </w14:textFill>
        </w:rPr>
        <w:t>拆除井场各项生产设施，清除2井式平台井场、单井采油井场、注水井场和道路地面硬化、砾石铺垫，释放永久占地。最后进行场地清理，清除各种固体废物，并对占地进行平整，避免影响植被自然恢复。</w:t>
      </w:r>
      <w:bookmarkEnd w:id="688"/>
    </w:p>
    <w:p w14:paraId="5781AA8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（4）管线生态恢复</w:t>
      </w:r>
    </w:p>
    <w:p w14:paraId="24786E04">
      <w:pPr>
        <w:pStyle w:val="193"/>
        <w:rPr>
          <w:rFonts w:hint="eastAsia"/>
          <w:color w:val="000000" w:themeColor="text1"/>
          <w14:textFill>
            <w14:solidFill>
              <w14:schemeClr w14:val="tx1"/>
            </w14:solidFill>
          </w14:textFill>
        </w:rPr>
      </w:pPr>
      <w:bookmarkStart w:id="689" w:name="_Hlk80530867"/>
      <w:r>
        <w:rPr>
          <w:rFonts w:hint="eastAsia"/>
          <w:color w:val="000000" w:themeColor="text1"/>
          <w14:textFill>
            <w14:solidFill>
              <w14:schemeClr w14:val="tx1"/>
            </w14:solidFill>
          </w14:textFill>
        </w:rPr>
        <w:t>单井采油管线、单井注水管线和单井掺热水管线维持现状，避免因开挖管线对区域生态环境造成二次破坏。管线内物质应清空干净，并按要求进行吹扫，确保管线内无残留采出物，管线两端使用盲板封堵，吹扫废水由罐车拉运至吉祥联合站采出水处理系统处理</w:t>
      </w:r>
      <w:bookmarkEnd w:id="687"/>
      <w:r>
        <w:rPr>
          <w:rFonts w:hint="eastAsia"/>
          <w:color w:val="000000" w:themeColor="text1"/>
          <w14:textFill>
            <w14:solidFill>
              <w14:schemeClr w14:val="tx1"/>
            </w14:solidFill>
          </w14:textFill>
        </w:rPr>
        <w:t>。</w:t>
      </w:r>
    </w:p>
    <w:bookmarkEnd w:id="689"/>
    <w:p w14:paraId="3B2148EC">
      <w:pPr>
        <w:pStyle w:val="120"/>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（5）</w:t>
      </w:r>
      <w:r>
        <w:rPr>
          <w:rFonts w:hint="eastAsia"/>
          <w:color w:val="000000" w:themeColor="text1"/>
          <w14:textFill>
            <w14:solidFill>
              <w14:schemeClr w14:val="tx1"/>
            </w14:solidFill>
          </w14:textFill>
        </w:rPr>
        <w:t>植被恢复措施及恢复要求</w:t>
      </w:r>
    </w:p>
    <w:p w14:paraId="06F76BCA">
      <w:pPr>
        <w:pStyle w:val="120"/>
        <w:rPr>
          <w:rFonts w:hint="eastAsia"/>
          <w:color w:val="000000" w:themeColor="text1"/>
          <w14:textFill>
            <w14:solidFill>
              <w14:schemeClr w14:val="tx1"/>
            </w14:solidFill>
          </w14:textFill>
        </w:rPr>
      </w:pPr>
      <w:bookmarkStart w:id="690" w:name="_Hlk40721908"/>
      <w:bookmarkStart w:id="691" w:name="_Hlk80530885"/>
      <w:r>
        <w:rPr>
          <w:rFonts w:hint="eastAsia"/>
          <w:color w:val="000000" w:themeColor="text1"/>
          <w14:textFill>
            <w14:solidFill>
              <w14:schemeClr w14:val="tx1"/>
            </w14:solidFill>
          </w14:textFill>
        </w:rPr>
        <w:t>工程施工结束后，应对临时占地内的土地进行平整，做到“工完、料净、场地清”。经治理后应做到不漏油、不漏气、不漏电，无油污、无垃圾。各种机动车辆固定线路，禁止随意开路。</w:t>
      </w:r>
    </w:p>
    <w:bookmarkEnd w:id="690"/>
    <w:p w14:paraId="5CEEE6F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采用自然恢复的方式对区域植被进行恢复，植被类型应与原有类型相似，并与周边自然景观协调，不得使用外来有害物种进行植被恢复。</w:t>
      </w:r>
    </w:p>
    <w:p w14:paraId="54208A78">
      <w:pPr>
        <w:pStyle w:val="7"/>
        <w:rPr>
          <w:rFonts w:hint="eastAsia"/>
          <w:color w:val="000000" w:themeColor="text1"/>
          <w14:textFill>
            <w14:solidFill>
              <w14:schemeClr w14:val="tx1"/>
            </w14:solidFill>
          </w14:textFill>
        </w:rPr>
      </w:pPr>
      <w:bookmarkStart w:id="692" w:name="_Toc7882"/>
      <w:r>
        <w:rPr>
          <w:rFonts w:hint="eastAsia"/>
          <w:color w:val="000000" w:themeColor="text1"/>
          <w14:textFill>
            <w14:solidFill>
              <w14:schemeClr w14:val="tx1"/>
            </w14:solidFill>
          </w14:textFill>
        </w:rPr>
        <w:t>环境保护措施可行性分析</w:t>
      </w:r>
      <w:bookmarkEnd w:id="692"/>
    </w:p>
    <w:p w14:paraId="7F6D0285">
      <w:pPr>
        <w:pStyle w:val="120"/>
        <w:rPr>
          <w:rFonts w:hint="eastAsia"/>
          <w:color w:val="000000" w:themeColor="text1"/>
          <w:kern w:val="0"/>
          <w14:textFill>
            <w14:solidFill>
              <w14:schemeClr w14:val="tx1"/>
            </w14:solidFill>
          </w14:textFill>
        </w:rPr>
      </w:pPr>
      <w:r>
        <w:rPr>
          <w:rFonts w:hint="eastAsia"/>
          <w:color w:val="000000" w:themeColor="text1"/>
          <w14:textFill>
            <w14:solidFill>
              <w14:schemeClr w14:val="tx1"/>
            </w14:solidFill>
          </w14:textFill>
        </w:rPr>
        <w:t>本次评价类比中国石油新疆油田分公司吉庆油田作业区同类项目来说明采取的环境保护措施的技术可行性、经济合理性、长期稳定运行和达标排放的可靠性。中国石油新疆油田分公司吉庆油田作业区开发多年来，油气集输大部分采用密闭集输工艺，</w:t>
      </w:r>
      <w:r>
        <w:rPr>
          <w:rFonts w:hint="eastAsia" w:cs="宋体"/>
          <w:color w:val="000000" w:themeColor="text1"/>
          <w14:textFill>
            <w14:solidFill>
              <w14:schemeClr w14:val="tx1"/>
            </w14:solidFill>
          </w14:textFill>
        </w:rPr>
        <w:t>且</w:t>
      </w:r>
      <w:r>
        <w:rPr>
          <w:rFonts w:hint="eastAsia"/>
          <w:color w:val="000000" w:themeColor="text1"/>
          <w:kern w:val="0"/>
          <w14:textFill>
            <w14:solidFill>
              <w14:schemeClr w14:val="tx1"/>
            </w14:solidFill>
          </w14:textFill>
        </w:rPr>
        <w:t>近年来实际生产运行过程均未发生环境风险事故，</w:t>
      </w:r>
      <w:r>
        <w:rPr>
          <w:rFonts w:hint="eastAsia" w:cs="宋体"/>
          <w:color w:val="000000" w:themeColor="text1"/>
          <w14:textFill>
            <w14:solidFill>
              <w14:schemeClr w14:val="tx1"/>
            </w14:solidFill>
          </w14:textFill>
        </w:rPr>
        <w:t>各类油气生产和储存设</w:t>
      </w:r>
      <w:r>
        <w:rPr>
          <w:rFonts w:hint="eastAsia"/>
          <w:color w:val="000000" w:themeColor="text1"/>
          <w:kern w:val="0"/>
          <w14:textFill>
            <w14:solidFill>
              <w14:schemeClr w14:val="tx1"/>
            </w14:solidFill>
          </w14:textFill>
        </w:rPr>
        <w:t>备、设施运转、维护基本正常。</w:t>
      </w:r>
    </w:p>
    <w:p w14:paraId="14069BDC">
      <w:pPr>
        <w:pStyle w:val="120"/>
        <w:rPr>
          <w:rFonts w:hint="eastAsia" w:cs="宋体"/>
          <w:color w:val="000000" w:themeColor="text1"/>
          <w14:textFill>
            <w14:solidFill>
              <w14:schemeClr w14:val="tx1"/>
            </w14:solidFill>
          </w14:textFill>
        </w:rPr>
      </w:pPr>
      <w:r>
        <w:rPr>
          <w:rFonts w:hint="eastAsia"/>
          <w:color w:val="000000" w:themeColor="text1"/>
          <w:kern w:val="0"/>
          <w14:textFill>
            <w14:solidFill>
              <w14:schemeClr w14:val="tx1"/>
            </w14:solidFill>
          </w14:textFill>
        </w:rPr>
        <w:t>根据《</w:t>
      </w:r>
      <w:bookmarkStart w:id="693" w:name="_Hlk34330956"/>
      <w:bookmarkStart w:id="694" w:name="_Hlk42181995"/>
      <w:r>
        <w:rPr>
          <w:rFonts w:hint="eastAsia"/>
          <w:color w:val="000000" w:themeColor="text1"/>
          <w:kern w:val="0"/>
          <w14:textFill>
            <w14:solidFill>
              <w14:schemeClr w14:val="tx1"/>
            </w14:solidFill>
          </w14:textFill>
        </w:rPr>
        <w:t>吉7井区梧桐沟组、八道湾组油藏2023年水平井开发建设工程竣工环境保护验收调查表》</w:t>
      </w:r>
      <w:bookmarkEnd w:id="693"/>
      <w:bookmarkEnd w:id="694"/>
      <w:r>
        <w:rPr>
          <w:rFonts w:hint="eastAsia"/>
          <w:color w:val="000000" w:themeColor="text1"/>
          <w:kern w:val="0"/>
          <w14:textFill>
            <w14:solidFill>
              <w14:schemeClr w14:val="tx1"/>
            </w14:solidFill>
          </w14:textFill>
        </w:rPr>
        <w:t>（</w:t>
      </w:r>
      <w:r>
        <w:rPr>
          <w:rFonts w:hint="eastAsia"/>
          <w:color w:val="000000" w:themeColor="text1"/>
          <w:kern w:val="0"/>
          <w:lang w:val="en-US"/>
          <w14:textFill>
            <w14:solidFill>
              <w14:schemeClr w14:val="tx1"/>
            </w14:solidFill>
          </w14:textFill>
        </w:rPr>
        <w:t>2024年10月</w:t>
      </w:r>
      <w:r>
        <w:rPr>
          <w:rFonts w:hint="eastAsia"/>
          <w:color w:val="000000" w:themeColor="text1"/>
          <w:kern w:val="0"/>
          <w14:textFill>
            <w14:solidFill>
              <w14:schemeClr w14:val="tx1"/>
            </w14:solidFill>
          </w14:textFill>
        </w:rPr>
        <w:t>）</w:t>
      </w:r>
      <w:r>
        <w:rPr>
          <w:rFonts w:hint="eastAsia"/>
          <w:color w:val="000000" w:themeColor="text1"/>
          <w14:textFill>
            <w14:solidFill>
              <w14:schemeClr w14:val="tx1"/>
            </w14:solidFill>
          </w14:textFill>
        </w:rPr>
        <w:t>结论可知</w:t>
      </w:r>
      <w:r>
        <w:rPr>
          <w:rFonts w:hint="eastAsia" w:cs="宋体"/>
          <w:color w:val="000000" w:themeColor="text1"/>
          <w14:textFill>
            <w14:solidFill>
              <w14:schemeClr w14:val="tx1"/>
            </w14:solidFill>
          </w14:textFill>
        </w:rPr>
        <w:t>，</w:t>
      </w:r>
      <w:r>
        <w:rPr>
          <w:rFonts w:hint="eastAsia" w:cs="宋体"/>
          <w:color w:val="000000" w:themeColor="text1"/>
          <w:lang w:val="en-US"/>
          <w14:textFill>
            <w14:solidFill>
              <w14:schemeClr w14:val="tx1"/>
            </w14:solidFill>
          </w14:textFill>
        </w:rPr>
        <w:t>2井式采油平台井场和单井采油井场</w:t>
      </w:r>
      <w:r>
        <w:rPr>
          <w:rFonts w:hint="eastAsia" w:cs="宋体"/>
          <w:color w:val="000000" w:themeColor="text1"/>
          <w14:textFill>
            <w14:solidFill>
              <w14:schemeClr w14:val="tx1"/>
            </w14:solidFill>
          </w14:textFill>
        </w:rPr>
        <w:t>厂界非甲烷总烃</w:t>
      </w:r>
      <w:r>
        <w:rPr>
          <w:rFonts w:hint="eastAsia"/>
          <w:color w:val="000000" w:themeColor="text1"/>
          <w14:textFill>
            <w14:solidFill>
              <w14:schemeClr w14:val="tx1"/>
            </w14:solidFill>
          </w14:textFill>
        </w:rPr>
        <w:t>《陆上石油天然气开采工业大气污染物排放标准》（GB39728-2020）的场界标准限值（4mg/m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要求</w:t>
      </w:r>
      <w:r>
        <w:rPr>
          <w:rFonts w:hint="eastAsia"/>
          <w:color w:val="000000" w:themeColor="text1"/>
          <w14:textFill>
            <w14:solidFill>
              <w14:schemeClr w14:val="tx1"/>
            </w14:solidFill>
          </w14:textFill>
        </w:rPr>
        <w:t>，H</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满足《恶臭污染物排放标准》（G</w:t>
      </w:r>
      <w:r>
        <w:rPr>
          <w:color w:val="000000" w:themeColor="text1"/>
          <w14:textFill>
            <w14:solidFill>
              <w14:schemeClr w14:val="tx1"/>
            </w14:solidFill>
          </w14:textFill>
        </w:rPr>
        <w:t>B14554-1993</w:t>
      </w:r>
      <w:r>
        <w:rPr>
          <w:rFonts w:hint="eastAsia"/>
          <w:color w:val="000000" w:themeColor="text1"/>
          <w14:textFill>
            <w14:solidFill>
              <w14:schemeClr w14:val="tx1"/>
            </w14:solidFill>
          </w14:textFill>
        </w:rPr>
        <w:t>）标准限值</w:t>
      </w:r>
      <w:r>
        <w:rPr>
          <w:rFonts w:hint="eastAsia" w:cs="宋体"/>
          <w:color w:val="000000" w:themeColor="text1"/>
          <w14:textFill>
            <w14:solidFill>
              <w14:schemeClr w14:val="tx1"/>
            </w14:solidFill>
          </w14:textFill>
        </w:rPr>
        <w:t>；</w:t>
      </w:r>
      <w:r>
        <w:rPr>
          <w:rFonts w:hint="eastAsia" w:cs="宋体"/>
          <w:color w:val="000000" w:themeColor="text1"/>
          <w:lang w:val="en-US"/>
          <w14:textFill>
            <w14:solidFill>
              <w14:schemeClr w14:val="tx1"/>
            </w14:solidFill>
          </w14:textFill>
        </w:rPr>
        <w:t>2井式采油平台井场和单井采油井场</w:t>
      </w:r>
      <w:r>
        <w:rPr>
          <w:rFonts w:hint="eastAsia" w:cs="宋体"/>
          <w:color w:val="000000" w:themeColor="text1"/>
          <w14:textFill>
            <w14:solidFill>
              <w14:schemeClr w14:val="tx1"/>
            </w14:solidFill>
          </w14:textFill>
        </w:rPr>
        <w:t>厂界昼间、夜间噪声值均</w:t>
      </w:r>
      <w:r>
        <w:rPr>
          <w:rFonts w:cs="宋体"/>
          <w:color w:val="000000" w:themeColor="text1"/>
          <w14:textFill>
            <w14:solidFill>
              <w14:schemeClr w14:val="tx1"/>
            </w14:solidFill>
          </w14:textFill>
        </w:rPr>
        <w:t>满足</w:t>
      </w:r>
      <w:r>
        <w:rPr>
          <w:rFonts w:hint="eastAsia" w:cs="宋体"/>
          <w:color w:val="000000" w:themeColor="text1"/>
          <w14:textFill>
            <w14:solidFill>
              <w14:schemeClr w14:val="tx1"/>
            </w14:solidFill>
          </w14:textFill>
        </w:rPr>
        <w:t>《工业企业厂界环境噪声排放标准》（GB12348－2008）2类标准限值；</w:t>
      </w:r>
      <w:r>
        <w:rPr>
          <w:rFonts w:hint="eastAsia" w:ascii="Times New Roman" w:hAnsi="Times New Roman"/>
          <w:color w:val="000000" w:themeColor="text1"/>
          <w:kern w:val="0"/>
          <w14:textFill>
            <w14:solidFill>
              <w14:schemeClr w14:val="tx1"/>
            </w14:solidFill>
          </w14:textFill>
        </w:rPr>
        <w:t>采出水、井下作业废液送至吉祥联合站采出水处理系统处理</w:t>
      </w:r>
      <w:r>
        <w:rPr>
          <w:rFonts w:hint="eastAsia" w:cs="宋体"/>
          <w:color w:val="000000" w:themeColor="text1"/>
          <w14:textFill>
            <w14:solidFill>
              <w14:schemeClr w14:val="tx1"/>
            </w14:solidFill>
          </w14:textFill>
        </w:rPr>
        <w:t>；产生的危险废物均交由有相应危险废物处置资质的单位回收处置，</w:t>
      </w:r>
      <w:r>
        <w:rPr>
          <w:rFonts w:cs="宋体"/>
          <w:color w:val="000000" w:themeColor="text1"/>
          <w14:textFill>
            <w14:solidFill>
              <w14:schemeClr w14:val="tx1"/>
            </w14:solidFill>
          </w14:textFill>
        </w:rPr>
        <w:t>没有对周围环境产生重大不利影响</w:t>
      </w:r>
      <w:r>
        <w:rPr>
          <w:rFonts w:hint="eastAsia" w:cs="宋体"/>
          <w:color w:val="000000" w:themeColor="text1"/>
          <w14:textFill>
            <w14:solidFill>
              <w14:schemeClr w14:val="tx1"/>
            </w14:solidFill>
          </w14:textFill>
        </w:rPr>
        <w:t>；</w:t>
      </w:r>
      <w:r>
        <w:rPr>
          <w:rFonts w:cs="宋体"/>
          <w:color w:val="000000" w:themeColor="text1"/>
          <w14:textFill>
            <w14:solidFill>
              <w14:schemeClr w14:val="tx1"/>
            </w14:solidFill>
          </w14:textFill>
        </w:rPr>
        <w:t>永久性占地地面均进行了硬化处理，临时性占地范围内草本植被</w:t>
      </w:r>
      <w:r>
        <w:rPr>
          <w:rFonts w:hint="eastAsia" w:cs="宋体"/>
          <w:color w:val="000000" w:themeColor="text1"/>
          <w14:textFill>
            <w14:solidFill>
              <w14:schemeClr w14:val="tx1"/>
            </w14:solidFill>
          </w14:textFill>
        </w:rPr>
        <w:t>正在</w:t>
      </w:r>
      <w:r>
        <w:rPr>
          <w:rFonts w:cs="宋体"/>
          <w:color w:val="000000" w:themeColor="text1"/>
          <w14:textFill>
            <w14:solidFill>
              <w14:schemeClr w14:val="tx1"/>
            </w14:solidFill>
          </w14:textFill>
        </w:rPr>
        <w:t>恢复。</w:t>
      </w:r>
    </w:p>
    <w:p w14:paraId="5C95FDF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综上所述，本次采取的环境保护措施与中国石油新疆油田分公司吉庆油田作业区现有的环境保护措施基本相同，均为技术可行、经济合理、稳定可靠、便于实施的成熟措施，在油田开发过程中得到广泛应用。综上所述，本次采取的环境保护措施为技术可行、经济合理、可以达到长期稳定运行和达标排放。</w:t>
      </w:r>
    </w:p>
    <w:bookmarkEnd w:id="681"/>
    <w:bookmarkEnd w:id="682"/>
    <w:bookmarkEnd w:id="684"/>
    <w:bookmarkEnd w:id="685"/>
    <w:bookmarkEnd w:id="691"/>
    <w:p w14:paraId="013DE686">
      <w:pPr>
        <w:pStyle w:val="7"/>
        <w:rPr>
          <w:rFonts w:hint="eastAsia"/>
          <w:color w:val="000000" w:themeColor="text1"/>
          <w14:textFill>
            <w14:solidFill>
              <w14:schemeClr w14:val="tx1"/>
            </w14:solidFill>
          </w14:textFill>
        </w:rPr>
      </w:pPr>
      <w:bookmarkStart w:id="695" w:name="_Toc475624492"/>
      <w:bookmarkStart w:id="696" w:name="_Toc16453"/>
      <w:bookmarkStart w:id="697" w:name="_Toc445829834"/>
      <w:bookmarkStart w:id="698" w:name="_Toc459026612"/>
      <w:bookmarkStart w:id="699" w:name="_Toc448413636"/>
      <w:bookmarkStart w:id="700" w:name="_Toc445842206"/>
      <w:bookmarkStart w:id="701" w:name="_Toc445996513"/>
      <w:bookmarkStart w:id="702" w:name="_Toc23463"/>
      <w:bookmarkStart w:id="703" w:name="_Toc445840444"/>
      <w:bookmarkStart w:id="704" w:name="_Toc23809"/>
      <w:bookmarkStart w:id="705" w:name="_Toc21031"/>
      <w:bookmarkStart w:id="706" w:name="_Hlk175259115"/>
      <w:r>
        <w:rPr>
          <w:color w:val="000000" w:themeColor="text1"/>
          <w14:textFill>
            <w14:solidFill>
              <w14:schemeClr w14:val="tx1"/>
            </w14:solidFill>
          </w14:textFill>
        </w:rPr>
        <w:t>环保投资分析</w:t>
      </w:r>
      <w:bookmarkEnd w:id="695"/>
      <w:bookmarkEnd w:id="696"/>
      <w:bookmarkEnd w:id="697"/>
      <w:bookmarkEnd w:id="698"/>
      <w:bookmarkEnd w:id="699"/>
      <w:bookmarkEnd w:id="700"/>
      <w:bookmarkEnd w:id="701"/>
      <w:bookmarkEnd w:id="702"/>
      <w:bookmarkEnd w:id="703"/>
      <w:bookmarkEnd w:id="704"/>
      <w:bookmarkEnd w:id="705"/>
    </w:p>
    <w:bookmarkEnd w:id="706"/>
    <w:p w14:paraId="3EC14FB6">
      <w:pPr>
        <w:pStyle w:val="120"/>
        <w:rPr>
          <w:rFonts w:hint="eastAsia"/>
          <w:color w:val="000000" w:themeColor="text1"/>
          <w14:textFill>
            <w14:solidFill>
              <w14:schemeClr w14:val="tx1"/>
            </w14:solidFill>
          </w14:textFill>
        </w:rPr>
      </w:pPr>
      <w:bookmarkStart w:id="707" w:name="_Hlk147588038"/>
      <w:bookmarkStart w:id="708" w:name="_Hlk175259139"/>
      <w:bookmarkStart w:id="709" w:name="_Hlk40722423"/>
      <w:r>
        <w:rPr>
          <w:rFonts w:hint="eastAsia"/>
          <w:color w:val="000000" w:themeColor="text1"/>
          <w14:textFill>
            <w14:solidFill>
              <w14:schemeClr w14:val="tx1"/>
            </w14:solidFill>
          </w14:textFill>
        </w:rPr>
        <w:t>项目总投资925.37万元，</w:t>
      </w:r>
      <w:r>
        <w:rPr>
          <w:color w:val="000000" w:themeColor="text1"/>
          <w14:textFill>
            <w14:solidFill>
              <w14:schemeClr w14:val="tx1"/>
            </w14:solidFill>
          </w14:textFill>
        </w:rPr>
        <w:t>环保投资约</w:t>
      </w:r>
      <w:r>
        <w:rPr>
          <w:rFonts w:hint="eastAsia"/>
          <w:color w:val="000000" w:themeColor="text1"/>
          <w:lang w:val="en-US"/>
          <w14:textFill>
            <w14:solidFill>
              <w14:schemeClr w14:val="tx1"/>
            </w14:solidFill>
          </w14:textFill>
        </w:rPr>
        <w:t>123</w:t>
      </w:r>
      <w:r>
        <w:rPr>
          <w:rFonts w:hint="eastAsia"/>
          <w:color w:val="000000" w:themeColor="text1"/>
          <w14:textFill>
            <w14:solidFill>
              <w14:schemeClr w14:val="tx1"/>
            </w14:solidFill>
          </w14:textFill>
        </w:rPr>
        <w:t>万</w:t>
      </w:r>
      <w:r>
        <w:rPr>
          <w:color w:val="000000" w:themeColor="text1"/>
          <w14:textFill>
            <w14:solidFill>
              <w14:schemeClr w14:val="tx1"/>
            </w14:solidFill>
          </w14:textFill>
        </w:rPr>
        <w:t>元，占总投资的</w:t>
      </w:r>
      <w:r>
        <w:rPr>
          <w:rFonts w:hint="eastAsia"/>
          <w:color w:val="000000" w:themeColor="text1"/>
          <w:lang w:val="en-US"/>
          <w14:textFill>
            <w14:solidFill>
              <w14:schemeClr w14:val="tx1"/>
            </w14:solidFill>
          </w14:textFill>
        </w:rPr>
        <w:t>13.29</w:t>
      </w:r>
      <w:r>
        <w:rPr>
          <w:rFonts w:hint="eastAsia"/>
          <w:color w:val="000000" w:themeColor="text1"/>
          <w14:textFill>
            <w14:solidFill>
              <w14:schemeClr w14:val="tx1"/>
            </w14:solidFill>
          </w14:textFill>
        </w:rPr>
        <w:t>%，见表</w:t>
      </w:r>
      <w:r>
        <w:rPr>
          <w:color w:val="000000" w:themeColor="text1"/>
          <w14:textFill>
            <w14:solidFill>
              <w14:schemeClr w14:val="tx1"/>
            </w14:solidFill>
          </w14:textFill>
        </w:rPr>
        <w:t>6.7</w:t>
      </w:r>
      <w:r>
        <w:rPr>
          <w:rFonts w:hint="eastAsia"/>
          <w:color w:val="000000" w:themeColor="text1"/>
          <w14:textFill>
            <w14:solidFill>
              <w14:schemeClr w14:val="tx1"/>
            </w14:solidFill>
          </w14:textFill>
        </w:rPr>
        <w:t>-1。</w:t>
      </w:r>
    </w:p>
    <w:p w14:paraId="191BD954">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6.7</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 xml:space="preserve"> 环境保护投资估算一览表</w:t>
      </w:r>
    </w:p>
    <w:bookmarkEnd w:id="707"/>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28" w:type="dxa"/>
          <w:bottom w:w="0" w:type="dxa"/>
          <w:right w:w="28" w:type="dxa"/>
        </w:tblCellMar>
      </w:tblPr>
      <w:tblGrid>
        <w:gridCol w:w="462"/>
        <w:gridCol w:w="826"/>
        <w:gridCol w:w="1823"/>
        <w:gridCol w:w="4665"/>
        <w:gridCol w:w="954"/>
      </w:tblGrid>
      <w:tr w14:paraId="2B391EC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tblHeader/>
          <w:jc w:val="center"/>
        </w:trPr>
        <w:tc>
          <w:tcPr>
            <w:tcW w:w="265" w:type="pct"/>
            <w:vAlign w:val="center"/>
          </w:tcPr>
          <w:p w14:paraId="5C6D3325">
            <w:pPr>
              <w:pStyle w:val="280"/>
              <w:rPr>
                <w:rFonts w:hint="eastAsia"/>
                <w:color w:val="000000" w:themeColor="text1"/>
                <w14:textFill>
                  <w14:solidFill>
                    <w14:schemeClr w14:val="tx1"/>
                  </w14:solidFill>
                </w14:textFill>
              </w:rPr>
            </w:pPr>
            <w:bookmarkStart w:id="710" w:name="_Hlk169013886"/>
            <w:r>
              <w:rPr>
                <w:rFonts w:hint="eastAsia"/>
                <w:color w:val="000000" w:themeColor="text1"/>
                <w14:textFill>
                  <w14:solidFill>
                    <w14:schemeClr w14:val="tx1"/>
                  </w14:solidFill>
                </w14:textFill>
              </w:rPr>
              <w:t>阶段</w:t>
            </w:r>
          </w:p>
        </w:tc>
        <w:tc>
          <w:tcPr>
            <w:tcW w:w="472" w:type="pct"/>
            <w:vAlign w:val="center"/>
          </w:tcPr>
          <w:p w14:paraId="6450052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w:t>
            </w:r>
          </w:p>
          <w:p w14:paraId="6CE2ACE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要素</w:t>
            </w:r>
          </w:p>
        </w:tc>
        <w:tc>
          <w:tcPr>
            <w:tcW w:w="1044" w:type="pct"/>
            <w:vAlign w:val="center"/>
          </w:tcPr>
          <w:p w14:paraId="4F0F8D1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2670" w:type="pct"/>
            <w:vAlign w:val="center"/>
          </w:tcPr>
          <w:p w14:paraId="22A51C6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环保措施</w:t>
            </w:r>
          </w:p>
        </w:tc>
        <w:tc>
          <w:tcPr>
            <w:tcW w:w="546" w:type="pct"/>
            <w:vAlign w:val="center"/>
          </w:tcPr>
          <w:p w14:paraId="333F5BD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投资</w:t>
            </w:r>
          </w:p>
          <w:p w14:paraId="20B3C2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（万元）</w:t>
            </w:r>
          </w:p>
        </w:tc>
      </w:tr>
      <w:tr w14:paraId="6A51A00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660" w:hRule="atLeast"/>
          <w:jc w:val="center"/>
        </w:trPr>
        <w:tc>
          <w:tcPr>
            <w:tcW w:w="265" w:type="pct"/>
            <w:vMerge w:val="restart"/>
            <w:vAlign w:val="center"/>
          </w:tcPr>
          <w:p w14:paraId="495DE1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w:t>
            </w:r>
          </w:p>
          <w:p w14:paraId="319365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工</w:t>
            </w:r>
          </w:p>
          <w:p w14:paraId="7EA961D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期</w:t>
            </w:r>
          </w:p>
        </w:tc>
        <w:tc>
          <w:tcPr>
            <w:tcW w:w="472" w:type="pct"/>
            <w:vMerge w:val="restart"/>
            <w:vAlign w:val="center"/>
          </w:tcPr>
          <w:p w14:paraId="431AA7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w:t>
            </w:r>
          </w:p>
          <w:p w14:paraId="70922D0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w:t>
            </w:r>
          </w:p>
        </w:tc>
        <w:tc>
          <w:tcPr>
            <w:tcW w:w="1044" w:type="pct"/>
            <w:vAlign w:val="center"/>
          </w:tcPr>
          <w:p w14:paraId="32D6A53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临时占地</w:t>
            </w:r>
          </w:p>
        </w:tc>
        <w:tc>
          <w:tcPr>
            <w:tcW w:w="2670" w:type="pct"/>
            <w:tcBorders>
              <w:bottom w:val="single" w:color="auto" w:sz="4" w:space="0"/>
            </w:tcBorders>
            <w:vAlign w:val="center"/>
          </w:tcPr>
          <w:p w14:paraId="6F8CD4A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完工后迹地清理并平整压实、临时占地释放后植被和土壤的恢复</w:t>
            </w:r>
          </w:p>
        </w:tc>
        <w:tc>
          <w:tcPr>
            <w:tcW w:w="546" w:type="pct"/>
            <w:vMerge w:val="restart"/>
            <w:vAlign w:val="center"/>
          </w:tcPr>
          <w:p w14:paraId="08C78BF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4DC93D8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25" w:hRule="atLeast"/>
          <w:jc w:val="center"/>
        </w:trPr>
        <w:tc>
          <w:tcPr>
            <w:tcW w:w="265" w:type="pct"/>
            <w:vMerge w:val="continue"/>
            <w:vAlign w:val="center"/>
          </w:tcPr>
          <w:p w14:paraId="58742A51">
            <w:pPr>
              <w:pStyle w:val="280"/>
              <w:rPr>
                <w:rFonts w:hint="eastAsia"/>
                <w:color w:val="000000" w:themeColor="text1"/>
                <w14:textFill>
                  <w14:solidFill>
                    <w14:schemeClr w14:val="tx1"/>
                  </w14:solidFill>
                </w14:textFill>
              </w:rPr>
            </w:pPr>
          </w:p>
        </w:tc>
        <w:tc>
          <w:tcPr>
            <w:tcW w:w="472" w:type="pct"/>
            <w:vMerge w:val="continue"/>
            <w:vAlign w:val="center"/>
          </w:tcPr>
          <w:p w14:paraId="7B884B1A">
            <w:pPr>
              <w:pStyle w:val="280"/>
              <w:rPr>
                <w:rFonts w:hint="eastAsia"/>
                <w:color w:val="000000" w:themeColor="text1"/>
                <w14:textFill>
                  <w14:solidFill>
                    <w14:schemeClr w14:val="tx1"/>
                  </w14:solidFill>
                </w14:textFill>
              </w:rPr>
            </w:pPr>
          </w:p>
        </w:tc>
        <w:tc>
          <w:tcPr>
            <w:tcW w:w="1044" w:type="pct"/>
            <w:vAlign w:val="center"/>
          </w:tcPr>
          <w:p w14:paraId="36B610F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临时占地和永久占地</w:t>
            </w:r>
          </w:p>
        </w:tc>
        <w:tc>
          <w:tcPr>
            <w:tcW w:w="2670" w:type="pct"/>
            <w:tcBorders>
              <w:top w:val="single" w:color="auto" w:sz="4" w:space="0"/>
            </w:tcBorders>
            <w:vAlign w:val="center"/>
          </w:tcPr>
          <w:p w14:paraId="01B4C7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按照正式征地文件的规定对占地进行经济补偿，对永久占地进行地面硬化</w:t>
            </w:r>
          </w:p>
        </w:tc>
        <w:tc>
          <w:tcPr>
            <w:tcW w:w="546" w:type="pct"/>
            <w:vMerge w:val="continue"/>
            <w:vAlign w:val="center"/>
          </w:tcPr>
          <w:p w14:paraId="0F6917F8">
            <w:pPr>
              <w:pStyle w:val="280"/>
              <w:rPr>
                <w:rFonts w:hint="eastAsia"/>
                <w:color w:val="000000" w:themeColor="text1"/>
                <w14:textFill>
                  <w14:solidFill>
                    <w14:schemeClr w14:val="tx1"/>
                  </w14:solidFill>
                </w14:textFill>
              </w:rPr>
            </w:pPr>
          </w:p>
        </w:tc>
      </w:tr>
      <w:tr w14:paraId="7A8C5ED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3C49D92E">
            <w:pPr>
              <w:pStyle w:val="280"/>
              <w:rPr>
                <w:rFonts w:hint="eastAsia"/>
                <w:color w:val="000000" w:themeColor="text1"/>
                <w14:textFill>
                  <w14:solidFill>
                    <w14:schemeClr w14:val="tx1"/>
                  </w14:solidFill>
                </w14:textFill>
              </w:rPr>
            </w:pPr>
          </w:p>
        </w:tc>
        <w:tc>
          <w:tcPr>
            <w:tcW w:w="472" w:type="pct"/>
            <w:vMerge w:val="restart"/>
            <w:vAlign w:val="center"/>
          </w:tcPr>
          <w:p w14:paraId="781D869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1044" w:type="pct"/>
            <w:vAlign w:val="center"/>
          </w:tcPr>
          <w:p w14:paraId="1FC1104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施工扬尘</w:t>
            </w:r>
          </w:p>
        </w:tc>
        <w:tc>
          <w:tcPr>
            <w:tcW w:w="2670" w:type="pct"/>
            <w:vAlign w:val="center"/>
          </w:tcPr>
          <w:p w14:paraId="4C99F09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运输车辆应加盖篷布，临时土方覆盖，防尘布（或网），逸散性材料运输采用苫布遮盖</w:t>
            </w:r>
          </w:p>
        </w:tc>
        <w:tc>
          <w:tcPr>
            <w:tcW w:w="546" w:type="pct"/>
            <w:vAlign w:val="center"/>
          </w:tcPr>
          <w:p w14:paraId="48AEF22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r w14:paraId="45C3655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762033ED">
            <w:pPr>
              <w:pStyle w:val="280"/>
              <w:rPr>
                <w:rFonts w:hint="eastAsia"/>
                <w:color w:val="000000" w:themeColor="text1"/>
                <w14:textFill>
                  <w14:solidFill>
                    <w14:schemeClr w14:val="tx1"/>
                  </w14:solidFill>
                </w14:textFill>
              </w:rPr>
            </w:pPr>
          </w:p>
        </w:tc>
        <w:tc>
          <w:tcPr>
            <w:tcW w:w="472" w:type="pct"/>
            <w:vMerge w:val="continue"/>
            <w:vAlign w:val="center"/>
          </w:tcPr>
          <w:p w14:paraId="4C74FDD0">
            <w:pPr>
              <w:pStyle w:val="280"/>
              <w:rPr>
                <w:rFonts w:hint="eastAsia"/>
                <w:color w:val="000000" w:themeColor="text1"/>
                <w14:textFill>
                  <w14:solidFill>
                    <w14:schemeClr w14:val="tx1"/>
                  </w14:solidFill>
                </w14:textFill>
              </w:rPr>
            </w:pPr>
          </w:p>
        </w:tc>
        <w:tc>
          <w:tcPr>
            <w:tcW w:w="1044" w:type="pct"/>
            <w:vAlign w:val="center"/>
          </w:tcPr>
          <w:p w14:paraId="3F39F20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施工机械和施工车辆尾气、焊接废气</w:t>
            </w:r>
          </w:p>
        </w:tc>
        <w:tc>
          <w:tcPr>
            <w:tcW w:w="2670" w:type="pct"/>
            <w:vAlign w:val="center"/>
          </w:tcPr>
          <w:p w14:paraId="2D05B0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使用达标油品，加强设备维护；使用符合国家标准的焊条</w:t>
            </w:r>
          </w:p>
        </w:tc>
        <w:tc>
          <w:tcPr>
            <w:tcW w:w="546" w:type="pct"/>
            <w:vAlign w:val="center"/>
          </w:tcPr>
          <w:p w14:paraId="4E5FA1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r w14:paraId="2D769BF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7413C37F">
            <w:pPr>
              <w:pStyle w:val="280"/>
              <w:rPr>
                <w:rFonts w:hint="eastAsia"/>
                <w:color w:val="000000" w:themeColor="text1"/>
                <w14:textFill>
                  <w14:solidFill>
                    <w14:schemeClr w14:val="tx1"/>
                  </w14:solidFill>
                </w14:textFill>
              </w:rPr>
            </w:pPr>
          </w:p>
        </w:tc>
        <w:tc>
          <w:tcPr>
            <w:tcW w:w="472" w:type="pct"/>
            <w:vAlign w:val="center"/>
          </w:tcPr>
          <w:p w14:paraId="353FD9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044" w:type="pct"/>
            <w:vAlign w:val="center"/>
          </w:tcPr>
          <w:p w14:paraId="6D9607D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压裂返排液</w:t>
            </w:r>
          </w:p>
        </w:tc>
        <w:tc>
          <w:tcPr>
            <w:tcW w:w="2670" w:type="pct"/>
            <w:vAlign w:val="center"/>
          </w:tcPr>
          <w:p w14:paraId="2FB8B0E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送至吉祥联合站采出水处理系统处理</w:t>
            </w:r>
          </w:p>
        </w:tc>
        <w:tc>
          <w:tcPr>
            <w:tcW w:w="546" w:type="pct"/>
            <w:vAlign w:val="center"/>
          </w:tcPr>
          <w:p w14:paraId="5B6785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r w14:paraId="005C0D4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69C42D5F">
            <w:pPr>
              <w:pStyle w:val="280"/>
              <w:rPr>
                <w:rFonts w:hint="eastAsia"/>
                <w:color w:val="000000" w:themeColor="text1"/>
                <w14:textFill>
                  <w14:solidFill>
                    <w14:schemeClr w14:val="tx1"/>
                  </w14:solidFill>
                </w14:textFill>
              </w:rPr>
            </w:pPr>
          </w:p>
        </w:tc>
        <w:tc>
          <w:tcPr>
            <w:tcW w:w="472" w:type="pct"/>
            <w:vAlign w:val="center"/>
          </w:tcPr>
          <w:p w14:paraId="260D86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1044" w:type="pct"/>
            <w:vAlign w:val="center"/>
          </w:tcPr>
          <w:p w14:paraId="6FDF7A0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2670" w:type="pct"/>
            <w:vAlign w:val="center"/>
          </w:tcPr>
          <w:p w14:paraId="6B5A2B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采用低噪声设备、基础减振，加强维修</w:t>
            </w:r>
          </w:p>
        </w:tc>
        <w:tc>
          <w:tcPr>
            <w:tcW w:w="546" w:type="pct"/>
            <w:vAlign w:val="center"/>
          </w:tcPr>
          <w:p w14:paraId="7D3BF6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r w14:paraId="11D9B3B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6676E0B8">
            <w:pPr>
              <w:pStyle w:val="280"/>
              <w:rPr>
                <w:rFonts w:hint="eastAsia"/>
                <w:color w:val="000000" w:themeColor="text1"/>
                <w14:textFill>
                  <w14:solidFill>
                    <w14:schemeClr w14:val="tx1"/>
                  </w14:solidFill>
                </w14:textFill>
              </w:rPr>
            </w:pPr>
          </w:p>
        </w:tc>
        <w:tc>
          <w:tcPr>
            <w:tcW w:w="472" w:type="pct"/>
            <w:vMerge w:val="restart"/>
            <w:vAlign w:val="center"/>
          </w:tcPr>
          <w:p w14:paraId="7997D0F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w:t>
            </w:r>
          </w:p>
          <w:p w14:paraId="50380E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废物</w:t>
            </w:r>
          </w:p>
        </w:tc>
        <w:tc>
          <w:tcPr>
            <w:tcW w:w="1044" w:type="pct"/>
            <w:vAlign w:val="center"/>
          </w:tcPr>
          <w:p w14:paraId="1187F04B">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水基</w:t>
            </w:r>
            <w:r>
              <w:rPr>
                <w:rFonts w:hint="eastAsia"/>
                <w:color w:val="000000" w:themeColor="text1"/>
                <w14:textFill>
                  <w14:solidFill>
                    <w14:schemeClr w14:val="tx1"/>
                  </w14:solidFill>
                </w14:textFill>
              </w:rPr>
              <w:t>钻井岩屑</w:t>
            </w:r>
            <w:r>
              <w:rPr>
                <w:rFonts w:hint="eastAsia"/>
                <w:color w:val="000000" w:themeColor="text1"/>
                <w:lang w:val="en-US" w:eastAsia="zh-CN"/>
                <w14:textFill>
                  <w14:solidFill>
                    <w14:schemeClr w14:val="tx1"/>
                  </w14:solidFill>
                </w14:textFill>
              </w:rPr>
              <w:t>和废弃钻井液</w:t>
            </w:r>
          </w:p>
        </w:tc>
        <w:tc>
          <w:tcPr>
            <w:tcW w:w="2670" w:type="pct"/>
            <w:vAlign w:val="center"/>
          </w:tcPr>
          <w:p w14:paraId="271A197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采用不落地系统处理，分离出的水基钻井岩屑和废弃钻井液交由岩屑处置单位处理</w:t>
            </w:r>
          </w:p>
        </w:tc>
        <w:tc>
          <w:tcPr>
            <w:tcW w:w="546" w:type="pct"/>
            <w:vAlign w:val="center"/>
          </w:tcPr>
          <w:p w14:paraId="2F4F576D">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22</w:t>
            </w:r>
          </w:p>
        </w:tc>
      </w:tr>
      <w:tr w14:paraId="1D335E6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67D1038B">
            <w:pPr>
              <w:pStyle w:val="280"/>
              <w:rPr>
                <w:rFonts w:hint="eastAsia"/>
                <w:color w:val="000000" w:themeColor="text1"/>
                <w14:textFill>
                  <w14:solidFill>
                    <w14:schemeClr w14:val="tx1"/>
                  </w14:solidFill>
                </w14:textFill>
              </w:rPr>
            </w:pPr>
          </w:p>
        </w:tc>
        <w:tc>
          <w:tcPr>
            <w:tcW w:w="472" w:type="pct"/>
            <w:vMerge w:val="continue"/>
            <w:vAlign w:val="center"/>
          </w:tcPr>
          <w:p w14:paraId="5881D9F0">
            <w:pPr>
              <w:pStyle w:val="280"/>
              <w:rPr>
                <w:rFonts w:hint="eastAsia"/>
                <w:color w:val="000000" w:themeColor="text1"/>
                <w14:textFill>
                  <w14:solidFill>
                    <w14:schemeClr w14:val="tx1"/>
                  </w14:solidFill>
                </w14:textFill>
              </w:rPr>
            </w:pPr>
          </w:p>
        </w:tc>
        <w:tc>
          <w:tcPr>
            <w:tcW w:w="1044" w:type="pct"/>
            <w:vAlign w:val="center"/>
          </w:tcPr>
          <w:p w14:paraId="0892C25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废润滑油、废润滑油桶和沾油废防渗材料</w:t>
            </w:r>
          </w:p>
        </w:tc>
        <w:tc>
          <w:tcPr>
            <w:tcW w:w="2670" w:type="pct"/>
            <w:vAlign w:val="center"/>
          </w:tcPr>
          <w:p w14:paraId="0136BB55">
            <w:pPr>
              <w:pStyle w:val="28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单座</w:t>
            </w:r>
            <w:r>
              <w:rPr>
                <w:rFonts w:hint="eastAsia"/>
                <w:color w:val="000000" w:themeColor="text1"/>
                <w14:textFill>
                  <w14:solidFill>
                    <w14:schemeClr w14:val="tx1"/>
                  </w14:solidFill>
                </w14:textFill>
              </w:rPr>
              <w:t>钻井井场内设置1座临时危险废物贮存点</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各类危险废物均</w:t>
            </w:r>
            <w:r>
              <w:rPr>
                <w:rFonts w:hint="eastAsia"/>
                <w:color w:val="000000" w:themeColor="text1"/>
                <w14:textFill>
                  <w14:solidFill>
                    <w14:schemeClr w14:val="tx1"/>
                  </w14:solidFill>
                </w14:textFill>
              </w:rPr>
              <w:t>交由有相应危险废物处置资质的单位处置</w:t>
            </w:r>
          </w:p>
        </w:tc>
        <w:tc>
          <w:tcPr>
            <w:tcW w:w="546" w:type="pct"/>
            <w:vAlign w:val="center"/>
          </w:tcPr>
          <w:p w14:paraId="2BBD6E0B">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8.5</w:t>
            </w:r>
          </w:p>
        </w:tc>
      </w:tr>
      <w:tr w14:paraId="2FB0577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54FC4C84">
            <w:pPr>
              <w:pStyle w:val="280"/>
              <w:rPr>
                <w:rFonts w:hint="eastAsia"/>
                <w:color w:val="000000" w:themeColor="text1"/>
                <w14:textFill>
                  <w14:solidFill>
                    <w14:schemeClr w14:val="tx1"/>
                  </w14:solidFill>
                </w14:textFill>
              </w:rPr>
            </w:pPr>
          </w:p>
        </w:tc>
        <w:tc>
          <w:tcPr>
            <w:tcW w:w="472" w:type="pct"/>
            <w:vMerge w:val="continue"/>
            <w:vAlign w:val="center"/>
          </w:tcPr>
          <w:p w14:paraId="6E1053BE">
            <w:pPr>
              <w:pStyle w:val="280"/>
              <w:rPr>
                <w:rFonts w:hint="eastAsia"/>
                <w:color w:val="000000" w:themeColor="text1"/>
                <w14:textFill>
                  <w14:solidFill>
                    <w14:schemeClr w14:val="tx1"/>
                  </w14:solidFill>
                </w14:textFill>
              </w:rPr>
            </w:pPr>
          </w:p>
        </w:tc>
        <w:tc>
          <w:tcPr>
            <w:tcW w:w="1044" w:type="pct"/>
            <w:vAlign w:val="center"/>
          </w:tcPr>
          <w:p w14:paraId="0369A088">
            <w:pPr>
              <w:pStyle w:val="280"/>
              <w:rPr>
                <w:rFonts w:hint="eastAsia"/>
                <w:color w:val="000000" w:themeColor="text1"/>
                <w:spacing w:val="-4"/>
                <w14:textFill>
                  <w14:solidFill>
                    <w14:schemeClr w14:val="tx1"/>
                  </w14:solidFill>
                </w14:textFill>
              </w:rPr>
            </w:pPr>
            <w:r>
              <w:rPr>
                <w:rFonts w:hint="eastAsia"/>
                <w:color w:val="000000" w:themeColor="text1"/>
                <w14:textFill>
                  <w14:solidFill>
                    <w14:schemeClr w14:val="tx1"/>
                  </w14:solidFill>
                </w14:textFill>
              </w:rPr>
              <w:t>建筑垃圾</w:t>
            </w:r>
          </w:p>
        </w:tc>
        <w:tc>
          <w:tcPr>
            <w:tcW w:w="2670" w:type="pct"/>
            <w:vAlign w:val="center"/>
          </w:tcPr>
          <w:p w14:paraId="0640224E">
            <w:pPr>
              <w:pStyle w:val="280"/>
              <w:rPr>
                <w:rFonts w:hint="eastAsia"/>
                <w:color w:val="000000" w:themeColor="text1"/>
                <w:spacing w:val="-4"/>
                <w14:textFill>
                  <w14:solidFill>
                    <w14:schemeClr w14:val="tx1"/>
                  </w14:solidFill>
                </w14:textFill>
              </w:rPr>
            </w:pPr>
            <w:r>
              <w:rPr>
                <w:rFonts w:hint="eastAsia"/>
                <w:color w:val="000000" w:themeColor="text1"/>
                <w14:textFill>
                  <w14:solidFill>
                    <w14:schemeClr w14:val="tx1"/>
                  </w14:solidFill>
                </w14:textFill>
              </w:rPr>
              <w:t>建筑垃圾收集后交由环卫部门统一处置</w:t>
            </w:r>
          </w:p>
        </w:tc>
        <w:tc>
          <w:tcPr>
            <w:tcW w:w="546" w:type="pct"/>
            <w:vAlign w:val="center"/>
          </w:tcPr>
          <w:p w14:paraId="6570B3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r w14:paraId="5CE9983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restart"/>
            <w:vAlign w:val="center"/>
          </w:tcPr>
          <w:p w14:paraId="1B1721B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w:t>
            </w:r>
          </w:p>
          <w:p w14:paraId="6175C5B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营</w:t>
            </w:r>
          </w:p>
          <w:p w14:paraId="7E2E116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期</w:t>
            </w:r>
          </w:p>
        </w:tc>
        <w:tc>
          <w:tcPr>
            <w:tcW w:w="472" w:type="pct"/>
            <w:vAlign w:val="center"/>
          </w:tcPr>
          <w:p w14:paraId="485FAC0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1044" w:type="pct"/>
            <w:vAlign w:val="center"/>
          </w:tcPr>
          <w:p w14:paraId="1956BD1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无组织挥发烃类、无组织硫化氢</w:t>
            </w:r>
          </w:p>
        </w:tc>
        <w:tc>
          <w:tcPr>
            <w:tcW w:w="2670" w:type="pct"/>
            <w:vAlign w:val="center"/>
          </w:tcPr>
          <w:p w14:paraId="2FA0F89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选用技术质量可靠的设备、仪表控制、阀门，加强巡检</w:t>
            </w:r>
          </w:p>
        </w:tc>
        <w:tc>
          <w:tcPr>
            <w:tcW w:w="546" w:type="pct"/>
            <w:vAlign w:val="center"/>
          </w:tcPr>
          <w:p w14:paraId="4D6CAB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r w14:paraId="45DD8DD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08812EB4">
            <w:pPr>
              <w:pStyle w:val="280"/>
              <w:rPr>
                <w:rFonts w:hint="eastAsia"/>
                <w:color w:val="000000" w:themeColor="text1"/>
                <w14:textFill>
                  <w14:solidFill>
                    <w14:schemeClr w14:val="tx1"/>
                  </w14:solidFill>
                </w14:textFill>
              </w:rPr>
            </w:pPr>
          </w:p>
        </w:tc>
        <w:tc>
          <w:tcPr>
            <w:tcW w:w="472" w:type="pct"/>
            <w:vAlign w:val="center"/>
          </w:tcPr>
          <w:p w14:paraId="5EE9761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044" w:type="pct"/>
            <w:vAlign w:val="center"/>
          </w:tcPr>
          <w:p w14:paraId="3D656F1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洗井废水和井下作业废液</w:t>
            </w:r>
          </w:p>
        </w:tc>
        <w:tc>
          <w:tcPr>
            <w:tcW w:w="2670" w:type="pct"/>
            <w:vAlign w:val="center"/>
          </w:tcPr>
          <w:p w14:paraId="7763611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送至吉祥联合站采出水处理系统处理</w:t>
            </w:r>
          </w:p>
        </w:tc>
        <w:tc>
          <w:tcPr>
            <w:tcW w:w="546" w:type="pct"/>
            <w:vAlign w:val="center"/>
          </w:tcPr>
          <w:p w14:paraId="3A901E0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r w14:paraId="0EA6ACA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5F978F5A">
            <w:pPr>
              <w:pStyle w:val="280"/>
              <w:rPr>
                <w:rFonts w:hint="eastAsia"/>
                <w:color w:val="000000" w:themeColor="text1"/>
                <w14:textFill>
                  <w14:solidFill>
                    <w14:schemeClr w14:val="tx1"/>
                  </w14:solidFill>
                </w14:textFill>
              </w:rPr>
            </w:pPr>
          </w:p>
        </w:tc>
        <w:tc>
          <w:tcPr>
            <w:tcW w:w="472" w:type="pct"/>
            <w:vAlign w:val="center"/>
          </w:tcPr>
          <w:p w14:paraId="54636183">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噪声</w:t>
            </w:r>
          </w:p>
        </w:tc>
        <w:tc>
          <w:tcPr>
            <w:tcW w:w="1044" w:type="pct"/>
            <w:vAlign w:val="center"/>
          </w:tcPr>
          <w:p w14:paraId="03A0B510">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站场噪声</w:t>
            </w:r>
          </w:p>
        </w:tc>
        <w:tc>
          <w:tcPr>
            <w:tcW w:w="2670" w:type="pct"/>
            <w:vAlign w:val="center"/>
          </w:tcPr>
          <w:p w14:paraId="474ECB74">
            <w:pPr>
              <w:pStyle w:val="280"/>
              <w:rPr>
                <w:rFonts w:hint="eastAsia"/>
                <w:color w:val="000000" w:themeColor="text1"/>
                <w:spacing w:val="4"/>
                <w14:textFill>
                  <w14:solidFill>
                    <w14:schemeClr w14:val="tx1"/>
                  </w14:solidFill>
                </w14:textFill>
              </w:rPr>
            </w:pPr>
            <w:r>
              <w:rPr>
                <w:rFonts w:hint="eastAsia"/>
                <w:color w:val="000000" w:themeColor="text1"/>
                <w:lang w:bidi="ar"/>
                <w14:textFill>
                  <w14:solidFill>
                    <w14:schemeClr w14:val="tx1"/>
                  </w14:solidFill>
                </w14:textFill>
              </w:rPr>
              <w:t>采用低噪声设备、基础减振</w:t>
            </w:r>
          </w:p>
        </w:tc>
        <w:tc>
          <w:tcPr>
            <w:tcW w:w="546" w:type="pct"/>
            <w:vAlign w:val="center"/>
          </w:tcPr>
          <w:p w14:paraId="34DFF4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r w14:paraId="162F1EB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2B3946E6">
            <w:pPr>
              <w:pStyle w:val="280"/>
              <w:rPr>
                <w:rFonts w:hint="eastAsia"/>
                <w:color w:val="000000" w:themeColor="text1"/>
                <w14:textFill>
                  <w14:solidFill>
                    <w14:schemeClr w14:val="tx1"/>
                  </w14:solidFill>
                </w14:textFill>
              </w:rPr>
            </w:pPr>
          </w:p>
        </w:tc>
        <w:tc>
          <w:tcPr>
            <w:tcW w:w="472" w:type="pct"/>
            <w:vAlign w:val="center"/>
          </w:tcPr>
          <w:p w14:paraId="4F61B80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固体</w:t>
            </w:r>
          </w:p>
          <w:p w14:paraId="72DEA409">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废物</w:t>
            </w:r>
          </w:p>
        </w:tc>
        <w:tc>
          <w:tcPr>
            <w:tcW w:w="1044" w:type="pct"/>
            <w:vAlign w:val="center"/>
          </w:tcPr>
          <w:p w14:paraId="6247DAE3">
            <w:pPr>
              <w:pStyle w:val="280"/>
              <w:rPr>
                <w:rFonts w:hint="eastAsia"/>
                <w:color w:val="000000" w:themeColor="text1"/>
                <w:spacing w:val="4"/>
                <w:lang w:bidi="ar"/>
                <w14:textFill>
                  <w14:solidFill>
                    <w14:schemeClr w14:val="tx1"/>
                  </w14:solidFill>
                </w14:textFill>
              </w:rPr>
            </w:pPr>
            <w:r>
              <w:rPr>
                <w:rFonts w:hint="eastAsia"/>
                <w:color w:val="000000" w:themeColor="text1"/>
                <w14:textFill>
                  <w14:solidFill>
                    <w14:schemeClr w14:val="tx1"/>
                  </w14:solidFill>
                </w14:textFill>
              </w:rPr>
              <w:t>废润滑油、废润滑油桶、沾油废防渗材料及含油废抹布、劳保用品</w:t>
            </w:r>
          </w:p>
        </w:tc>
        <w:tc>
          <w:tcPr>
            <w:tcW w:w="2670" w:type="pct"/>
            <w:vAlign w:val="center"/>
          </w:tcPr>
          <w:p w14:paraId="79A52CC6">
            <w:pPr>
              <w:pStyle w:val="280"/>
              <w:rPr>
                <w:rFonts w:hint="eastAsia"/>
                <w:color w:val="000000" w:themeColor="text1"/>
                <w:lang w:bidi="ar"/>
                <w14:textFill>
                  <w14:solidFill>
                    <w14:schemeClr w14:val="tx1"/>
                  </w14:solidFill>
                </w14:textFill>
              </w:rPr>
            </w:pPr>
            <w:r>
              <w:rPr>
                <w:rFonts w:hint="eastAsia"/>
                <w:color w:val="000000" w:themeColor="text1"/>
                <w14:textFill>
                  <w14:solidFill>
                    <w14:schemeClr w14:val="tx1"/>
                  </w14:solidFill>
                </w14:textFill>
              </w:rPr>
              <w:t>集中收集后交由有相应危险废物处置资质的单位回收处置</w:t>
            </w:r>
          </w:p>
        </w:tc>
        <w:tc>
          <w:tcPr>
            <w:tcW w:w="546" w:type="pct"/>
            <w:vAlign w:val="center"/>
          </w:tcPr>
          <w:p w14:paraId="50B3A0D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r>
      <w:tr w14:paraId="31A2794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restart"/>
            <w:vAlign w:val="center"/>
          </w:tcPr>
          <w:p w14:paraId="28BA49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退役期</w:t>
            </w:r>
          </w:p>
        </w:tc>
        <w:tc>
          <w:tcPr>
            <w:tcW w:w="472" w:type="pct"/>
            <w:tcBorders>
              <w:top w:val="single" w:color="auto" w:sz="4" w:space="0"/>
              <w:left w:val="single" w:color="auto" w:sz="6" w:space="0"/>
              <w:right w:val="single" w:color="auto" w:sz="4" w:space="0"/>
            </w:tcBorders>
            <w:vAlign w:val="center"/>
          </w:tcPr>
          <w:p w14:paraId="0DB2846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w:t>
            </w:r>
          </w:p>
          <w:p w14:paraId="148D46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废物</w:t>
            </w:r>
          </w:p>
        </w:tc>
        <w:tc>
          <w:tcPr>
            <w:tcW w:w="1044" w:type="pct"/>
            <w:tcBorders>
              <w:top w:val="single" w:color="auto" w:sz="4" w:space="0"/>
              <w:left w:val="single" w:color="auto" w:sz="6" w:space="0"/>
              <w:bottom w:val="single" w:color="auto" w:sz="4" w:space="0"/>
              <w:right w:val="single" w:color="auto" w:sz="4" w:space="0"/>
            </w:tcBorders>
            <w:vAlign w:val="center"/>
          </w:tcPr>
          <w:p w14:paraId="0AC5E9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站场及管线拆除的建筑垃圾</w:t>
            </w:r>
          </w:p>
        </w:tc>
        <w:tc>
          <w:tcPr>
            <w:tcW w:w="2670" w:type="pct"/>
            <w:tcBorders>
              <w:top w:val="single" w:color="auto" w:sz="4" w:space="0"/>
              <w:left w:val="single" w:color="auto" w:sz="6" w:space="0"/>
              <w:bottom w:val="single" w:color="auto" w:sz="4" w:space="0"/>
              <w:right w:val="single" w:color="auto" w:sz="4" w:space="0"/>
            </w:tcBorders>
            <w:vAlign w:val="center"/>
          </w:tcPr>
          <w:p w14:paraId="6593CA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建筑垃圾收集后交由环卫部门统一处置</w:t>
            </w:r>
          </w:p>
        </w:tc>
        <w:tc>
          <w:tcPr>
            <w:tcW w:w="546" w:type="pct"/>
            <w:tcBorders>
              <w:top w:val="single" w:color="auto" w:sz="4" w:space="0"/>
              <w:left w:val="single" w:color="auto" w:sz="6" w:space="0"/>
              <w:bottom w:val="single" w:color="auto" w:sz="4" w:space="0"/>
            </w:tcBorders>
            <w:vAlign w:val="center"/>
          </w:tcPr>
          <w:p w14:paraId="71C870F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319C11A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4112EEC2">
            <w:pPr>
              <w:pStyle w:val="280"/>
              <w:rPr>
                <w:rFonts w:hint="eastAsia"/>
                <w:color w:val="000000" w:themeColor="text1"/>
                <w14:textFill>
                  <w14:solidFill>
                    <w14:schemeClr w14:val="tx1"/>
                  </w14:solidFill>
                </w14:textFill>
              </w:rPr>
            </w:pPr>
          </w:p>
        </w:tc>
        <w:tc>
          <w:tcPr>
            <w:tcW w:w="472" w:type="pct"/>
            <w:tcBorders>
              <w:top w:val="single" w:color="auto" w:sz="4" w:space="0"/>
              <w:left w:val="single" w:color="auto" w:sz="6" w:space="0"/>
              <w:right w:val="single" w:color="auto" w:sz="4" w:space="0"/>
            </w:tcBorders>
            <w:vAlign w:val="center"/>
          </w:tcPr>
          <w:p w14:paraId="0E5E662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044" w:type="pct"/>
            <w:tcBorders>
              <w:top w:val="single" w:color="auto" w:sz="4" w:space="0"/>
              <w:left w:val="single" w:color="auto" w:sz="6" w:space="0"/>
              <w:bottom w:val="single" w:color="auto" w:sz="4" w:space="0"/>
              <w:right w:val="single" w:color="auto" w:sz="4" w:space="0"/>
            </w:tcBorders>
            <w:vAlign w:val="center"/>
          </w:tcPr>
          <w:p w14:paraId="5681288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管线吹扫废水</w:t>
            </w:r>
          </w:p>
        </w:tc>
        <w:tc>
          <w:tcPr>
            <w:tcW w:w="2670" w:type="pct"/>
            <w:tcBorders>
              <w:top w:val="single" w:color="auto" w:sz="4" w:space="0"/>
              <w:left w:val="single" w:color="auto" w:sz="6" w:space="0"/>
              <w:bottom w:val="single" w:color="auto" w:sz="4" w:space="0"/>
              <w:right w:val="single" w:color="auto" w:sz="4" w:space="0"/>
            </w:tcBorders>
            <w:vAlign w:val="center"/>
          </w:tcPr>
          <w:p w14:paraId="33FBA3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送至吉祥联合站采出水处理系统处理</w:t>
            </w:r>
          </w:p>
        </w:tc>
        <w:tc>
          <w:tcPr>
            <w:tcW w:w="546" w:type="pct"/>
            <w:tcBorders>
              <w:top w:val="single" w:color="auto" w:sz="4" w:space="0"/>
              <w:left w:val="single" w:color="auto" w:sz="6" w:space="0"/>
              <w:bottom w:val="single" w:color="auto" w:sz="4" w:space="0"/>
            </w:tcBorders>
            <w:vAlign w:val="center"/>
          </w:tcPr>
          <w:p w14:paraId="57CB698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r>
      <w:tr w14:paraId="50BECF1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65" w:type="pct"/>
            <w:vMerge w:val="continue"/>
            <w:vAlign w:val="center"/>
          </w:tcPr>
          <w:p w14:paraId="4B5DCA39">
            <w:pPr>
              <w:pStyle w:val="280"/>
              <w:rPr>
                <w:rFonts w:hint="eastAsia"/>
                <w:color w:val="000000" w:themeColor="text1"/>
                <w14:textFill>
                  <w14:solidFill>
                    <w14:schemeClr w14:val="tx1"/>
                  </w14:solidFill>
                </w14:textFill>
              </w:rPr>
            </w:pPr>
          </w:p>
        </w:tc>
        <w:tc>
          <w:tcPr>
            <w:tcW w:w="472" w:type="pct"/>
            <w:tcBorders>
              <w:top w:val="single" w:color="auto" w:sz="4" w:space="0"/>
              <w:left w:val="single" w:color="auto" w:sz="6" w:space="0"/>
              <w:bottom w:val="single" w:color="auto" w:sz="4" w:space="0"/>
              <w:right w:val="single" w:color="auto" w:sz="4" w:space="0"/>
            </w:tcBorders>
            <w:vAlign w:val="center"/>
          </w:tcPr>
          <w:p w14:paraId="6823BA0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w:t>
            </w:r>
          </w:p>
          <w:p w14:paraId="3DA4B0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恢复</w:t>
            </w:r>
          </w:p>
        </w:tc>
        <w:tc>
          <w:tcPr>
            <w:tcW w:w="1044" w:type="pct"/>
            <w:tcBorders>
              <w:top w:val="single" w:color="auto" w:sz="4" w:space="0"/>
              <w:left w:val="single" w:color="auto" w:sz="6" w:space="0"/>
              <w:bottom w:val="single" w:color="auto" w:sz="4" w:space="0"/>
              <w:right w:val="single" w:color="auto" w:sz="4" w:space="0"/>
            </w:tcBorders>
            <w:vAlign w:val="center"/>
          </w:tcPr>
          <w:p w14:paraId="7205B90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临时占地和永久占地</w:t>
            </w:r>
          </w:p>
        </w:tc>
        <w:tc>
          <w:tcPr>
            <w:tcW w:w="2670" w:type="pct"/>
            <w:tcBorders>
              <w:top w:val="single" w:color="auto" w:sz="4" w:space="0"/>
              <w:left w:val="single" w:color="auto" w:sz="6" w:space="0"/>
              <w:bottom w:val="single" w:color="auto" w:sz="4" w:space="0"/>
              <w:right w:val="single" w:color="auto" w:sz="4" w:space="0"/>
            </w:tcBorders>
            <w:vAlign w:val="center"/>
          </w:tcPr>
          <w:p w14:paraId="60992A7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完工后迹地清理并平整压实、施工临时占地和永久占地释放后植被和土壤的恢复</w:t>
            </w:r>
          </w:p>
        </w:tc>
        <w:tc>
          <w:tcPr>
            <w:tcW w:w="546" w:type="pct"/>
            <w:tcBorders>
              <w:top w:val="single" w:color="auto" w:sz="4" w:space="0"/>
              <w:left w:val="single" w:color="auto" w:sz="6" w:space="0"/>
              <w:bottom w:val="single" w:color="auto" w:sz="4" w:space="0"/>
            </w:tcBorders>
            <w:vAlign w:val="center"/>
          </w:tcPr>
          <w:p w14:paraId="6EFF3C7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r w14:paraId="687C4E6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738" w:type="pct"/>
            <w:gridSpan w:val="2"/>
            <w:vMerge w:val="restart"/>
            <w:tcBorders>
              <w:right w:val="single" w:color="auto" w:sz="4" w:space="0"/>
            </w:tcBorders>
            <w:vAlign w:val="center"/>
          </w:tcPr>
          <w:p w14:paraId="431C3C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环境风险</w:t>
            </w:r>
          </w:p>
        </w:tc>
        <w:tc>
          <w:tcPr>
            <w:tcW w:w="1044" w:type="pct"/>
            <w:tcBorders>
              <w:top w:val="single" w:color="auto" w:sz="4" w:space="0"/>
              <w:left w:val="single" w:color="auto" w:sz="6" w:space="0"/>
              <w:bottom w:val="single" w:color="auto" w:sz="4" w:space="0"/>
              <w:right w:val="single" w:color="auto" w:sz="4" w:space="0"/>
            </w:tcBorders>
            <w:vAlign w:val="center"/>
          </w:tcPr>
          <w:p w14:paraId="2D372CF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井控装置</w:t>
            </w:r>
          </w:p>
        </w:tc>
        <w:tc>
          <w:tcPr>
            <w:tcW w:w="2670" w:type="pct"/>
            <w:tcBorders>
              <w:top w:val="single" w:color="auto" w:sz="4" w:space="0"/>
              <w:left w:val="single" w:color="auto" w:sz="6" w:space="0"/>
              <w:bottom w:val="single" w:color="auto" w:sz="4" w:space="0"/>
              <w:right w:val="single" w:color="auto" w:sz="4" w:space="0"/>
            </w:tcBorders>
            <w:vAlign w:val="center"/>
          </w:tcPr>
          <w:p w14:paraId="38C3B1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井场设置防喷器，防止井喷；井场左右两侧各设置1条放喷管线和应急放喷池</w:t>
            </w:r>
          </w:p>
        </w:tc>
        <w:tc>
          <w:tcPr>
            <w:tcW w:w="546" w:type="pct"/>
            <w:tcBorders>
              <w:top w:val="single" w:color="auto" w:sz="4" w:space="0"/>
              <w:left w:val="single" w:color="auto" w:sz="6" w:space="0"/>
              <w:bottom w:val="single" w:color="auto" w:sz="4" w:space="0"/>
            </w:tcBorders>
            <w:vAlign w:val="center"/>
          </w:tcPr>
          <w:p w14:paraId="468146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r>
      <w:tr w14:paraId="405BEE2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738" w:type="pct"/>
            <w:gridSpan w:val="2"/>
            <w:vMerge w:val="continue"/>
            <w:tcBorders>
              <w:right w:val="single" w:color="auto" w:sz="4" w:space="0"/>
            </w:tcBorders>
            <w:vAlign w:val="center"/>
          </w:tcPr>
          <w:p w14:paraId="03D80A87">
            <w:pPr>
              <w:pStyle w:val="280"/>
              <w:rPr>
                <w:rFonts w:hint="eastAsia"/>
                <w:color w:val="000000" w:themeColor="text1"/>
                <w14:textFill>
                  <w14:solidFill>
                    <w14:schemeClr w14:val="tx1"/>
                  </w14:solidFill>
                </w14:textFill>
              </w:rPr>
            </w:pPr>
          </w:p>
        </w:tc>
        <w:tc>
          <w:tcPr>
            <w:tcW w:w="1044" w:type="pct"/>
            <w:tcBorders>
              <w:top w:val="single" w:color="auto" w:sz="4" w:space="0"/>
              <w:left w:val="single" w:color="auto" w:sz="6" w:space="0"/>
              <w:bottom w:val="single" w:color="auto" w:sz="4" w:space="0"/>
              <w:right w:val="single" w:color="auto" w:sz="4" w:space="0"/>
            </w:tcBorders>
            <w:vAlign w:val="center"/>
          </w:tcPr>
          <w:p w14:paraId="1218995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硫化氢监测</w:t>
            </w:r>
          </w:p>
        </w:tc>
        <w:tc>
          <w:tcPr>
            <w:tcW w:w="2670" w:type="pct"/>
            <w:tcBorders>
              <w:top w:val="single" w:color="auto" w:sz="4" w:space="0"/>
              <w:left w:val="single" w:color="auto" w:sz="6" w:space="0"/>
              <w:bottom w:val="single" w:color="auto" w:sz="4" w:space="0"/>
              <w:right w:val="single" w:color="auto" w:sz="4" w:space="0"/>
            </w:tcBorders>
            <w:vAlign w:val="center"/>
          </w:tcPr>
          <w:p w14:paraId="54C040B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对硫化氢气体浓度进行检测。</w:t>
            </w:r>
          </w:p>
        </w:tc>
        <w:tc>
          <w:tcPr>
            <w:tcW w:w="546" w:type="pct"/>
            <w:tcBorders>
              <w:top w:val="single" w:color="auto" w:sz="4" w:space="0"/>
              <w:left w:val="single" w:color="auto" w:sz="6" w:space="0"/>
              <w:bottom w:val="single" w:color="auto" w:sz="4" w:space="0"/>
            </w:tcBorders>
            <w:vAlign w:val="center"/>
          </w:tcPr>
          <w:p w14:paraId="6E8005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r w14:paraId="2ABE7AF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738" w:type="pct"/>
            <w:gridSpan w:val="2"/>
            <w:vMerge w:val="restart"/>
            <w:vAlign w:val="center"/>
          </w:tcPr>
          <w:p w14:paraId="21CB13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环境管理</w:t>
            </w:r>
          </w:p>
        </w:tc>
        <w:tc>
          <w:tcPr>
            <w:tcW w:w="1044" w:type="pct"/>
            <w:vAlign w:val="center"/>
          </w:tcPr>
          <w:p w14:paraId="06CA02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环境监理</w:t>
            </w:r>
          </w:p>
        </w:tc>
        <w:tc>
          <w:tcPr>
            <w:tcW w:w="2670" w:type="pct"/>
            <w:vAlign w:val="center"/>
          </w:tcPr>
          <w:p w14:paraId="0EDB9B3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防渗措施落实情况；严格监督各项环保措施落实情况，确保各项污染防治措施有效实施；</w:t>
            </w:r>
          </w:p>
        </w:tc>
        <w:tc>
          <w:tcPr>
            <w:tcW w:w="546" w:type="pct"/>
            <w:vAlign w:val="center"/>
          </w:tcPr>
          <w:p w14:paraId="19DF68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r>
      <w:tr w14:paraId="0B1A863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738" w:type="pct"/>
            <w:gridSpan w:val="2"/>
            <w:vMerge w:val="continue"/>
            <w:vAlign w:val="center"/>
          </w:tcPr>
          <w:p w14:paraId="687FA387">
            <w:pPr>
              <w:pStyle w:val="280"/>
              <w:rPr>
                <w:rFonts w:hint="eastAsia"/>
                <w:color w:val="000000" w:themeColor="text1"/>
                <w14:textFill>
                  <w14:solidFill>
                    <w14:schemeClr w14:val="tx1"/>
                  </w14:solidFill>
                </w14:textFill>
              </w:rPr>
            </w:pPr>
          </w:p>
        </w:tc>
        <w:tc>
          <w:tcPr>
            <w:tcW w:w="1044" w:type="pct"/>
            <w:vAlign w:val="center"/>
          </w:tcPr>
          <w:p w14:paraId="03B157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环境监测</w:t>
            </w:r>
          </w:p>
        </w:tc>
        <w:tc>
          <w:tcPr>
            <w:tcW w:w="2670" w:type="pct"/>
            <w:vAlign w:val="center"/>
          </w:tcPr>
          <w:p w14:paraId="45739AD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废气、噪声、生态环境、土壤和地下水跟踪监测</w:t>
            </w:r>
          </w:p>
        </w:tc>
        <w:tc>
          <w:tcPr>
            <w:tcW w:w="546" w:type="pct"/>
            <w:vAlign w:val="center"/>
          </w:tcPr>
          <w:p w14:paraId="7F08AE7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r>
      <w:tr w14:paraId="2EECCB9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738" w:type="pct"/>
            <w:gridSpan w:val="2"/>
            <w:vAlign w:val="center"/>
          </w:tcPr>
          <w:p w14:paraId="139CBF2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地下水保护措施</w:t>
            </w:r>
          </w:p>
        </w:tc>
        <w:tc>
          <w:tcPr>
            <w:tcW w:w="3715" w:type="pct"/>
            <w:gridSpan w:val="2"/>
            <w:vAlign w:val="center"/>
          </w:tcPr>
          <w:p w14:paraId="7F5F2C9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井场的防渗措施</w:t>
            </w:r>
          </w:p>
        </w:tc>
        <w:tc>
          <w:tcPr>
            <w:tcW w:w="546" w:type="pct"/>
            <w:vAlign w:val="center"/>
          </w:tcPr>
          <w:p w14:paraId="013D7C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0465FB3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738" w:type="pct"/>
            <w:gridSpan w:val="2"/>
            <w:vAlign w:val="center"/>
          </w:tcPr>
          <w:p w14:paraId="4D4AF90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3715" w:type="pct"/>
            <w:gridSpan w:val="2"/>
            <w:vAlign w:val="center"/>
          </w:tcPr>
          <w:p w14:paraId="50408E7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46" w:type="pct"/>
            <w:vAlign w:val="center"/>
          </w:tcPr>
          <w:p w14:paraId="57A5882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123</w:t>
            </w:r>
          </w:p>
        </w:tc>
      </w:tr>
      <w:bookmarkEnd w:id="708"/>
      <w:bookmarkEnd w:id="710"/>
    </w:tbl>
    <w:p w14:paraId="57644BA5">
      <w:pPr>
        <w:pStyle w:val="6"/>
        <w:rPr>
          <w:rFonts w:hint="eastAsia"/>
          <w:color w:val="000000" w:themeColor="text1"/>
          <w14:textFill>
            <w14:solidFill>
              <w14:schemeClr w14:val="tx1"/>
            </w14:solidFill>
          </w14:textFill>
        </w:rPr>
      </w:pPr>
      <w:r>
        <w:rPr>
          <w:color w:val="000000" w:themeColor="text1"/>
          <w14:textFill>
            <w14:solidFill>
              <w14:schemeClr w14:val="tx1"/>
            </w14:solidFill>
          </w14:textFill>
        </w:rPr>
        <w:br w:type="page"/>
      </w:r>
      <w:bookmarkEnd w:id="709"/>
      <w:bookmarkStart w:id="711" w:name="_Toc468307959"/>
      <w:bookmarkStart w:id="712" w:name="_Toc471933676"/>
      <w:bookmarkStart w:id="713" w:name="_Toc11342"/>
      <w:bookmarkStart w:id="714" w:name="_Toc459026608"/>
      <w:r>
        <w:rPr>
          <w:rFonts w:hint="eastAsia"/>
          <w:color w:val="000000" w:themeColor="text1"/>
          <w14:textFill>
            <w14:solidFill>
              <w14:schemeClr w14:val="tx1"/>
            </w14:solidFill>
          </w14:textFill>
        </w:rPr>
        <w:t>环境管理与监测</w:t>
      </w:r>
      <w:bookmarkEnd w:id="711"/>
      <w:bookmarkEnd w:id="712"/>
      <w:r>
        <w:rPr>
          <w:rFonts w:hint="eastAsia"/>
          <w:color w:val="000000" w:themeColor="text1"/>
          <w14:textFill>
            <w14:solidFill>
              <w14:schemeClr w14:val="tx1"/>
            </w14:solidFill>
          </w14:textFill>
        </w:rPr>
        <w:t>计划</w:t>
      </w:r>
      <w:bookmarkEnd w:id="713"/>
    </w:p>
    <w:p w14:paraId="3DB6D5C7">
      <w:pPr>
        <w:pStyle w:val="7"/>
        <w:rPr>
          <w:rFonts w:hint="eastAsia"/>
          <w:color w:val="000000" w:themeColor="text1"/>
          <w14:textFill>
            <w14:solidFill>
              <w14:schemeClr w14:val="tx1"/>
            </w14:solidFill>
          </w14:textFill>
        </w:rPr>
      </w:pPr>
      <w:bookmarkStart w:id="715" w:name="_Toc468307960"/>
      <w:bookmarkStart w:id="716" w:name="_Toc18751"/>
      <w:bookmarkStart w:id="717" w:name="_Toc471933677"/>
      <w:r>
        <w:rPr>
          <w:rFonts w:hint="eastAsia"/>
          <w:color w:val="000000" w:themeColor="text1"/>
          <w14:textFill>
            <w14:solidFill>
              <w14:schemeClr w14:val="tx1"/>
            </w14:solidFill>
          </w14:textFill>
        </w:rPr>
        <w:t>环境</w:t>
      </w:r>
      <w:bookmarkEnd w:id="714"/>
      <w:r>
        <w:rPr>
          <w:color w:val="000000" w:themeColor="text1"/>
          <w14:textFill>
            <w14:solidFill>
              <w14:schemeClr w14:val="tx1"/>
            </w14:solidFill>
          </w14:textFill>
        </w:rPr>
        <w:t>管理</w:t>
      </w:r>
      <w:r>
        <w:rPr>
          <w:rFonts w:hint="eastAsia"/>
          <w:color w:val="000000" w:themeColor="text1"/>
          <w14:textFill>
            <w14:solidFill>
              <w14:schemeClr w14:val="tx1"/>
            </w14:solidFill>
          </w14:textFill>
        </w:rPr>
        <w:t>机构</w:t>
      </w:r>
      <w:bookmarkEnd w:id="715"/>
      <w:bookmarkEnd w:id="716"/>
      <w:bookmarkEnd w:id="717"/>
    </w:p>
    <w:p w14:paraId="2A340F2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本项目依托吉庆油田作业区在环境管理上建立的健康、安全与环境管理体系（</w:t>
      </w:r>
      <w:r>
        <w:rPr>
          <w:color w:val="000000" w:themeColor="text1"/>
          <w14:textFill>
            <w14:solidFill>
              <w14:schemeClr w14:val="tx1"/>
            </w14:solidFill>
          </w14:textFill>
        </w:rPr>
        <w:t>HSE</w:t>
      </w:r>
      <w:r>
        <w:rPr>
          <w:rFonts w:hint="eastAsia"/>
          <w:color w:val="000000" w:themeColor="text1"/>
          <w14:textFill>
            <w14:solidFill>
              <w14:schemeClr w14:val="tx1"/>
            </w14:solidFill>
          </w14:textFill>
        </w:rPr>
        <w:t>管理体系），减少建设期和运营期对周围环境的影响，落实各项环保和安全措施，作业区编制有《吉庆油田作业区质量、健康、安全与环境管理体系管理手册》（版本号A/O，2020年6月8日实施）。</w:t>
      </w:r>
    </w:p>
    <w:p w14:paraId="2A363F8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作业区在环境管理机构设置上实行逐级负责制，作业区管理体系最高管理者负责制定环境方针和环境目标，为环境管理方案的执行提供必要的支持和物质保障等；日常环境管理工作由安全环保科负责，在环境管理中行使职权，监督体系的建立和实施等；作业区安全环保科负责环境标准的贯彻实施，确保所有有关管理体系方面要求和管理文件能正确、完全地执行；各单位安全环保负责人负责解决油田开发过程中出现的各类环境问题以及发生污染事故的处理等。</w:t>
      </w:r>
    </w:p>
    <w:p w14:paraId="7E30219D">
      <w:pPr>
        <w:pStyle w:val="7"/>
        <w:rPr>
          <w:rFonts w:hint="eastAsia"/>
          <w:color w:val="000000" w:themeColor="text1"/>
          <w14:textFill>
            <w14:solidFill>
              <w14:schemeClr w14:val="tx1"/>
            </w14:solidFill>
          </w14:textFill>
        </w:rPr>
      </w:pPr>
      <w:bookmarkStart w:id="718" w:name="_Toc459026609"/>
      <w:bookmarkStart w:id="719" w:name="_Toc6096"/>
      <w:bookmarkStart w:id="720" w:name="_Toc468307961"/>
      <w:bookmarkStart w:id="721" w:name="_Toc471933678"/>
      <w:r>
        <w:rPr>
          <w:rFonts w:hint="eastAsia"/>
          <w:color w:val="000000" w:themeColor="text1"/>
          <w14:textFill>
            <w14:solidFill>
              <w14:schemeClr w14:val="tx1"/>
            </w14:solidFill>
          </w14:textFill>
        </w:rPr>
        <w:t>生产区</w:t>
      </w:r>
      <w:r>
        <w:rPr>
          <w:color w:val="000000" w:themeColor="text1"/>
          <w14:textFill>
            <w14:solidFill>
              <w14:schemeClr w14:val="tx1"/>
            </w14:solidFill>
          </w14:textFill>
        </w:rPr>
        <w:t>环境管理</w:t>
      </w:r>
      <w:bookmarkEnd w:id="718"/>
      <w:bookmarkEnd w:id="719"/>
      <w:bookmarkEnd w:id="720"/>
      <w:bookmarkEnd w:id="721"/>
    </w:p>
    <w:p w14:paraId="178682BE">
      <w:pPr>
        <w:pStyle w:val="8"/>
        <w:rPr>
          <w:rFonts w:hint="eastAsia"/>
          <w:color w:val="000000" w:themeColor="text1"/>
          <w14:textFill>
            <w14:solidFill>
              <w14:schemeClr w14:val="tx1"/>
            </w14:solidFill>
          </w14:textFill>
        </w:rPr>
      </w:pPr>
      <w:bookmarkStart w:id="722" w:name="_Hlk175265533"/>
      <w:r>
        <w:rPr>
          <w:rFonts w:hint="eastAsia"/>
          <w:color w:val="000000" w:themeColor="text1"/>
          <w14:textFill>
            <w14:solidFill>
              <w14:schemeClr w14:val="tx1"/>
            </w14:solidFill>
          </w14:textFill>
        </w:rPr>
        <w:t>施工期环境</w:t>
      </w:r>
      <w:r>
        <w:rPr>
          <w:color w:val="000000" w:themeColor="text1"/>
          <w14:textFill>
            <w14:solidFill>
              <w14:schemeClr w14:val="tx1"/>
            </w14:solidFill>
          </w14:textFill>
        </w:rPr>
        <w:t>管理</w:t>
      </w:r>
    </w:p>
    <w:bookmarkEnd w:id="722"/>
    <w:p w14:paraId="1E526C7F">
      <w:pPr>
        <w:pStyle w:val="120"/>
        <w:rPr>
          <w:rStyle w:val="235"/>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单位在施工期应加强对施工单位环境保护工作的监督与管理，施工单位应遵守相关环境保护法律法规，并严格落实本报告以及环评批复中提出的施工期环境保护要求；建立环境保护档案，对施工期采取的环境保护工作进行记录，保留施工前后施工区域的影像资料，便于建设单位进行监督检查。</w:t>
      </w:r>
      <w:r>
        <w:rPr>
          <w:rFonts w:hint="eastAsia" w:cs="宋体"/>
          <w:color w:val="000000" w:themeColor="text1"/>
          <w:lang w:bidi="ar"/>
          <w14:textFill>
            <w14:solidFill>
              <w14:schemeClr w14:val="tx1"/>
            </w14:solidFill>
          </w14:textFill>
        </w:rPr>
        <w:t>施工期相关的施工期环境保护行动计划</w:t>
      </w:r>
      <w:r>
        <w:rPr>
          <w:rStyle w:val="235"/>
          <w:rFonts w:hint="eastAsia"/>
          <w:color w:val="000000" w:themeColor="text1"/>
          <w14:textFill>
            <w14:solidFill>
              <w14:schemeClr w14:val="tx1"/>
            </w14:solidFill>
          </w14:textFill>
        </w:rPr>
        <w:t>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7.2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Style w:val="235"/>
          <w:rFonts w:hint="eastAsia"/>
          <w:color w:val="000000" w:themeColor="text1"/>
          <w14:textFill>
            <w14:solidFill>
              <w14:schemeClr w14:val="tx1"/>
            </w14:solidFill>
          </w14:textFill>
        </w:rPr>
        <w:t>。</w:t>
      </w:r>
    </w:p>
    <w:p w14:paraId="5B1903D3">
      <w:pPr>
        <w:pStyle w:val="19"/>
        <w:ind w:firstLine="420"/>
        <w:rPr>
          <w:rFonts w:hint="eastAsia"/>
          <w:color w:val="000000" w:themeColor="text1"/>
          <w14:textFill>
            <w14:solidFill>
              <w14:schemeClr w14:val="tx1"/>
            </w14:solidFill>
          </w14:textFill>
        </w:rPr>
      </w:pPr>
      <w:bookmarkStart w:id="723" w:name="_Ref468827344"/>
      <w:r>
        <w:rPr>
          <w:rStyle w:val="166"/>
          <w:color w:val="000000" w:themeColor="text1"/>
          <w14:textFill>
            <w14:solidFill>
              <w14:schemeClr w14:val="tx1"/>
            </w14:solidFill>
          </w14:textFill>
        </w:rPr>
        <w:t>表</w:t>
      </w:r>
      <w:bookmarkEnd w:id="723"/>
      <w:r>
        <w:rPr>
          <w:rStyle w:val="166"/>
          <w:color w:val="000000" w:themeColor="text1"/>
          <w14:textFill>
            <w14:solidFill>
              <w14:schemeClr w14:val="tx1"/>
            </w14:solidFill>
          </w14:textFill>
        </w:rPr>
        <w:t>7.2-1</w:t>
      </w:r>
      <w:r>
        <w:rPr>
          <w:rFonts w:hint="eastAsia"/>
          <w:color w:val="000000" w:themeColor="text1"/>
          <w14:textFill>
            <w14:solidFill>
              <w14:schemeClr w14:val="tx1"/>
            </w14:solidFill>
          </w14:textFill>
        </w:rPr>
        <w:t xml:space="preserve">  </w:t>
      </w:r>
      <w:bookmarkStart w:id="724" w:name="_Hlk33482327"/>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环境保护行动计划</w:t>
      </w:r>
    </w:p>
    <w:bookmarkEnd w:id="724"/>
    <w:tbl>
      <w:tblPr>
        <w:tblStyle w:val="51"/>
        <w:tblW w:w="890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85" w:type="dxa"/>
          <w:bottom w:w="0" w:type="dxa"/>
          <w:right w:w="85" w:type="dxa"/>
        </w:tblCellMar>
      </w:tblPr>
      <w:tblGrid>
        <w:gridCol w:w="631"/>
        <w:gridCol w:w="858"/>
        <w:gridCol w:w="5671"/>
        <w:gridCol w:w="722"/>
        <w:gridCol w:w="1018"/>
      </w:tblGrid>
      <w:tr w14:paraId="1FC985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tblHeader/>
          <w:jc w:val="center"/>
        </w:trPr>
        <w:tc>
          <w:tcPr>
            <w:tcW w:w="631" w:type="dxa"/>
            <w:vAlign w:val="center"/>
          </w:tcPr>
          <w:p w14:paraId="69B49EA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858" w:type="dxa"/>
            <w:vAlign w:val="center"/>
          </w:tcPr>
          <w:p w14:paraId="51364C5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影响</w:t>
            </w:r>
          </w:p>
          <w:p w14:paraId="2B1ACA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因素</w:t>
            </w:r>
          </w:p>
        </w:tc>
        <w:tc>
          <w:tcPr>
            <w:tcW w:w="5671" w:type="dxa"/>
            <w:vAlign w:val="center"/>
          </w:tcPr>
          <w:p w14:paraId="3DDFC20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环保措施</w:t>
            </w:r>
          </w:p>
        </w:tc>
        <w:tc>
          <w:tcPr>
            <w:tcW w:w="722" w:type="dxa"/>
            <w:vAlign w:val="center"/>
          </w:tcPr>
          <w:p w14:paraId="4C2317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实施</w:t>
            </w:r>
          </w:p>
          <w:p w14:paraId="793A1FC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1018" w:type="dxa"/>
            <w:vAlign w:val="center"/>
          </w:tcPr>
          <w:p w14:paraId="45E10AC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监督</w:t>
            </w:r>
          </w:p>
          <w:p w14:paraId="6566474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r>
      <w:tr w14:paraId="4CC4A5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111AF7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58" w:type="dxa"/>
            <w:vAlign w:val="center"/>
          </w:tcPr>
          <w:p w14:paraId="52874AF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w:t>
            </w:r>
          </w:p>
          <w:p w14:paraId="2B538C0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w:t>
            </w:r>
          </w:p>
        </w:tc>
        <w:tc>
          <w:tcPr>
            <w:tcW w:w="5671" w:type="dxa"/>
            <w:vAlign w:val="center"/>
          </w:tcPr>
          <w:p w14:paraId="3F2F6EB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过程中严格控制占地面积，规定施工活动范围，减少临时占地和对地表的扰动。施工结束后，施工单位应负责及时清理现场，使之尽快自然恢复，将施工期对生态环境影响降到最低。严禁施工人员踩踏植被和猎捕野生动物。</w:t>
            </w:r>
          </w:p>
        </w:tc>
        <w:tc>
          <w:tcPr>
            <w:tcW w:w="722" w:type="dxa"/>
            <w:vMerge w:val="restart"/>
            <w:vAlign w:val="center"/>
          </w:tcPr>
          <w:p w14:paraId="19B62BB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施工单位</w:t>
            </w:r>
          </w:p>
        </w:tc>
        <w:tc>
          <w:tcPr>
            <w:tcW w:w="1018" w:type="dxa"/>
            <w:vMerge w:val="restart"/>
            <w:vAlign w:val="center"/>
          </w:tcPr>
          <w:p w14:paraId="7CB87DF2">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新疆维吾尔自治区生态环境厅、昌吉回族自治州生态环境局及吉木萨尔县分局</w:t>
            </w:r>
          </w:p>
        </w:tc>
      </w:tr>
      <w:tr w14:paraId="2BEB82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2EFBB79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858" w:type="dxa"/>
            <w:vAlign w:val="center"/>
          </w:tcPr>
          <w:p w14:paraId="09BFD3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水环境</w:t>
            </w:r>
          </w:p>
        </w:tc>
        <w:tc>
          <w:tcPr>
            <w:tcW w:w="5671" w:type="dxa"/>
            <w:vAlign w:val="center"/>
          </w:tcPr>
          <w:p w14:paraId="1F12A12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管线试压废水用于施工洒水抑尘</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混凝土养护废水</w:t>
            </w:r>
            <w:r>
              <w:rPr>
                <w:rFonts w:hint="eastAsia"/>
                <w:color w:val="000000" w:themeColor="text1"/>
                <w:lang w:val="en-US" w:eastAsia="zh-CN"/>
                <w14:textFill>
                  <w14:solidFill>
                    <w14:schemeClr w14:val="tx1"/>
                  </w14:solidFill>
                </w14:textFill>
              </w:rPr>
              <w:t>自然蒸发处理，</w:t>
            </w:r>
            <w:r>
              <w:rPr>
                <w:rFonts w:hint="eastAsia"/>
                <w:color w:val="000000" w:themeColor="text1"/>
                <w14:textFill>
                  <w14:solidFill>
                    <w14:schemeClr w14:val="tx1"/>
                  </w14:solidFill>
                </w14:textFill>
              </w:rPr>
              <w:t>压裂返排液送至吉祥联合站采出水处理系统处理。</w:t>
            </w:r>
          </w:p>
        </w:tc>
        <w:tc>
          <w:tcPr>
            <w:tcW w:w="722" w:type="dxa"/>
            <w:vMerge w:val="continue"/>
            <w:vAlign w:val="center"/>
          </w:tcPr>
          <w:p w14:paraId="28BE2A8B">
            <w:pPr>
              <w:pStyle w:val="280"/>
              <w:rPr>
                <w:rFonts w:hint="eastAsia"/>
                <w:color w:val="000000" w:themeColor="text1"/>
                <w14:textFill>
                  <w14:solidFill>
                    <w14:schemeClr w14:val="tx1"/>
                  </w14:solidFill>
                </w14:textFill>
              </w:rPr>
            </w:pPr>
          </w:p>
        </w:tc>
        <w:tc>
          <w:tcPr>
            <w:tcW w:w="1018" w:type="dxa"/>
            <w:vMerge w:val="continue"/>
            <w:vAlign w:val="center"/>
          </w:tcPr>
          <w:p w14:paraId="2272DF41">
            <w:pPr>
              <w:pStyle w:val="280"/>
              <w:rPr>
                <w:rFonts w:hint="eastAsia"/>
                <w:color w:val="000000" w:themeColor="text1"/>
                <w14:textFill>
                  <w14:solidFill>
                    <w14:schemeClr w14:val="tx1"/>
                  </w14:solidFill>
                </w14:textFill>
              </w:rPr>
            </w:pPr>
          </w:p>
        </w:tc>
      </w:tr>
      <w:tr w14:paraId="5B9220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04F66F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858" w:type="dxa"/>
            <w:vAlign w:val="center"/>
          </w:tcPr>
          <w:p w14:paraId="7D19AF0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w:t>
            </w:r>
          </w:p>
          <w:p w14:paraId="5D5D4EC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w:t>
            </w:r>
          </w:p>
        </w:tc>
        <w:tc>
          <w:tcPr>
            <w:tcW w:w="5671" w:type="dxa"/>
            <w:vAlign w:val="center"/>
          </w:tcPr>
          <w:p w14:paraId="5FA406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按规定的施工范围进行作业，可有效减少土壤扰动，施工产生的建筑垃圾及时清运，可避免污染物进入土壤环境造成污染。</w:t>
            </w:r>
          </w:p>
        </w:tc>
        <w:tc>
          <w:tcPr>
            <w:tcW w:w="722" w:type="dxa"/>
            <w:vMerge w:val="continue"/>
            <w:vAlign w:val="center"/>
          </w:tcPr>
          <w:p w14:paraId="32881D4D">
            <w:pPr>
              <w:pStyle w:val="280"/>
              <w:rPr>
                <w:rFonts w:hint="eastAsia"/>
                <w:color w:val="000000" w:themeColor="text1"/>
                <w14:textFill>
                  <w14:solidFill>
                    <w14:schemeClr w14:val="tx1"/>
                  </w14:solidFill>
                </w14:textFill>
              </w:rPr>
            </w:pPr>
          </w:p>
        </w:tc>
        <w:tc>
          <w:tcPr>
            <w:tcW w:w="1018" w:type="dxa"/>
            <w:vMerge w:val="continue"/>
            <w:vAlign w:val="center"/>
          </w:tcPr>
          <w:p w14:paraId="2AD8D5E3">
            <w:pPr>
              <w:pStyle w:val="280"/>
              <w:rPr>
                <w:rFonts w:hint="eastAsia"/>
                <w:color w:val="000000" w:themeColor="text1"/>
                <w14:textFill>
                  <w14:solidFill>
                    <w14:schemeClr w14:val="tx1"/>
                  </w14:solidFill>
                </w14:textFill>
              </w:rPr>
            </w:pPr>
          </w:p>
        </w:tc>
      </w:tr>
      <w:tr w14:paraId="4E1318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100179A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4</w:t>
            </w:r>
          </w:p>
        </w:tc>
        <w:tc>
          <w:tcPr>
            <w:tcW w:w="858" w:type="dxa"/>
            <w:vAlign w:val="center"/>
          </w:tcPr>
          <w:p w14:paraId="23A47D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5671" w:type="dxa"/>
            <w:vAlign w:val="center"/>
          </w:tcPr>
          <w:p w14:paraId="7873E5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选用低噪声设备，并注意设备的正确使用和经常性维护，保持较低噪声水平。运输车辆限速、尽量减少鸣笛。</w:t>
            </w:r>
          </w:p>
        </w:tc>
        <w:tc>
          <w:tcPr>
            <w:tcW w:w="722" w:type="dxa"/>
            <w:vMerge w:val="continue"/>
            <w:vAlign w:val="center"/>
          </w:tcPr>
          <w:p w14:paraId="113BF833">
            <w:pPr>
              <w:pStyle w:val="280"/>
              <w:rPr>
                <w:rFonts w:hint="eastAsia"/>
                <w:color w:val="000000" w:themeColor="text1"/>
                <w14:textFill>
                  <w14:solidFill>
                    <w14:schemeClr w14:val="tx1"/>
                  </w14:solidFill>
                </w14:textFill>
              </w:rPr>
            </w:pPr>
          </w:p>
        </w:tc>
        <w:tc>
          <w:tcPr>
            <w:tcW w:w="1018" w:type="dxa"/>
            <w:vMerge w:val="continue"/>
            <w:vAlign w:val="center"/>
          </w:tcPr>
          <w:p w14:paraId="44AD794B">
            <w:pPr>
              <w:pStyle w:val="280"/>
              <w:rPr>
                <w:rFonts w:hint="eastAsia"/>
                <w:color w:val="000000" w:themeColor="text1"/>
                <w14:textFill>
                  <w14:solidFill>
                    <w14:schemeClr w14:val="tx1"/>
                  </w14:solidFill>
                </w14:textFill>
              </w:rPr>
            </w:pPr>
          </w:p>
        </w:tc>
      </w:tr>
      <w:tr w14:paraId="51F75B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4D8C851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5</w:t>
            </w:r>
          </w:p>
        </w:tc>
        <w:tc>
          <w:tcPr>
            <w:tcW w:w="858" w:type="dxa"/>
            <w:vAlign w:val="center"/>
          </w:tcPr>
          <w:p w14:paraId="22DB0CC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w:t>
            </w:r>
          </w:p>
          <w:p w14:paraId="4885784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w:t>
            </w:r>
          </w:p>
        </w:tc>
        <w:tc>
          <w:tcPr>
            <w:tcW w:w="5671" w:type="dxa"/>
            <w:vAlign w:val="center"/>
          </w:tcPr>
          <w:p w14:paraId="4363CA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逸散性材料运输、装卸和堆放过程中采取加盖苫布等抑尘措施，严禁散落和尘土飞扬。施工期各机械设备应使用符合国家标准的油品，加强设备的维护，减少大气污染物的排放量。</w:t>
            </w:r>
          </w:p>
        </w:tc>
        <w:tc>
          <w:tcPr>
            <w:tcW w:w="722" w:type="dxa"/>
            <w:vMerge w:val="continue"/>
            <w:vAlign w:val="center"/>
          </w:tcPr>
          <w:p w14:paraId="6655DB7E">
            <w:pPr>
              <w:pStyle w:val="280"/>
              <w:rPr>
                <w:rFonts w:hint="eastAsia"/>
                <w:color w:val="000000" w:themeColor="text1"/>
                <w14:textFill>
                  <w14:solidFill>
                    <w14:schemeClr w14:val="tx1"/>
                  </w14:solidFill>
                </w14:textFill>
              </w:rPr>
            </w:pPr>
          </w:p>
        </w:tc>
        <w:tc>
          <w:tcPr>
            <w:tcW w:w="1018" w:type="dxa"/>
            <w:vMerge w:val="continue"/>
            <w:vAlign w:val="center"/>
          </w:tcPr>
          <w:p w14:paraId="06D26EF5">
            <w:pPr>
              <w:pStyle w:val="280"/>
              <w:rPr>
                <w:rFonts w:hint="eastAsia"/>
                <w:color w:val="000000" w:themeColor="text1"/>
                <w14:textFill>
                  <w14:solidFill>
                    <w14:schemeClr w14:val="tx1"/>
                  </w14:solidFill>
                </w14:textFill>
              </w:rPr>
            </w:pPr>
          </w:p>
        </w:tc>
      </w:tr>
      <w:tr w14:paraId="42D485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1990A81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6</w:t>
            </w:r>
          </w:p>
        </w:tc>
        <w:tc>
          <w:tcPr>
            <w:tcW w:w="858" w:type="dxa"/>
            <w:vAlign w:val="center"/>
          </w:tcPr>
          <w:p w14:paraId="5D8E4B0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水土</w:t>
            </w:r>
          </w:p>
          <w:p w14:paraId="36E069D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流失</w:t>
            </w:r>
          </w:p>
        </w:tc>
        <w:tc>
          <w:tcPr>
            <w:tcW w:w="5671" w:type="dxa"/>
            <w:vAlign w:val="center"/>
          </w:tcPr>
          <w:p w14:paraId="5A4915F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严格按规划的施工范围进行施工作业，不得随意开辟施工便道。施工后期，及时做好施工迹地的清理工作。做好施工后期的迹地恢复工作，包括土地平整，创造局部小环境以利于植被的恢复等，防止水土流失。</w:t>
            </w:r>
          </w:p>
        </w:tc>
        <w:tc>
          <w:tcPr>
            <w:tcW w:w="722" w:type="dxa"/>
            <w:vMerge w:val="continue"/>
            <w:vAlign w:val="center"/>
          </w:tcPr>
          <w:p w14:paraId="40DCEC7D">
            <w:pPr>
              <w:pStyle w:val="280"/>
              <w:rPr>
                <w:rFonts w:hint="eastAsia"/>
                <w:color w:val="000000" w:themeColor="text1"/>
                <w14:textFill>
                  <w14:solidFill>
                    <w14:schemeClr w14:val="tx1"/>
                  </w14:solidFill>
                </w14:textFill>
              </w:rPr>
            </w:pPr>
          </w:p>
        </w:tc>
        <w:tc>
          <w:tcPr>
            <w:tcW w:w="1018" w:type="dxa"/>
            <w:vMerge w:val="continue"/>
            <w:vAlign w:val="center"/>
          </w:tcPr>
          <w:p w14:paraId="76695AFD">
            <w:pPr>
              <w:pStyle w:val="280"/>
              <w:rPr>
                <w:rFonts w:hint="eastAsia"/>
                <w:color w:val="000000" w:themeColor="text1"/>
                <w14:textFill>
                  <w14:solidFill>
                    <w14:schemeClr w14:val="tx1"/>
                  </w14:solidFill>
                </w14:textFill>
              </w:rPr>
            </w:pPr>
          </w:p>
        </w:tc>
      </w:tr>
      <w:tr w14:paraId="2E833E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6E035DE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858" w:type="dxa"/>
            <w:vAlign w:val="center"/>
          </w:tcPr>
          <w:p w14:paraId="12368C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w:t>
            </w:r>
          </w:p>
          <w:p w14:paraId="51ADC21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废物</w:t>
            </w:r>
          </w:p>
        </w:tc>
        <w:tc>
          <w:tcPr>
            <w:tcW w:w="5671" w:type="dxa"/>
            <w:vAlign w:val="center"/>
          </w:tcPr>
          <w:p w14:paraId="11FAE6D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水基钻井岩屑</w:t>
            </w:r>
            <w:r>
              <w:rPr>
                <w:rFonts w:hint="eastAsia"/>
                <w:color w:val="000000" w:themeColor="text1"/>
                <w:lang w:val="en-US" w:eastAsia="zh-CN"/>
                <w14:textFill>
                  <w14:solidFill>
                    <w14:schemeClr w14:val="tx1"/>
                  </w14:solidFill>
                </w14:textFill>
              </w:rPr>
              <w:t>和废弃钻井液</w:t>
            </w:r>
            <w:r>
              <w:rPr>
                <w:rFonts w:hint="eastAsia"/>
                <w:color w:val="000000" w:themeColor="text1"/>
                <w14:textFill>
                  <w14:solidFill>
                    <w14:schemeClr w14:val="tx1"/>
                  </w14:solidFill>
                </w14:textFill>
              </w:rPr>
              <w:t>交由岩屑处置单位处理，废润滑油、废润滑油桶和沾油废防渗材料交由有相应危险废物处置资质的单位回收处置，建筑垃圾集中收集后交由环卫部门统一处置。</w:t>
            </w:r>
          </w:p>
        </w:tc>
        <w:tc>
          <w:tcPr>
            <w:tcW w:w="722" w:type="dxa"/>
            <w:vMerge w:val="continue"/>
            <w:vAlign w:val="center"/>
          </w:tcPr>
          <w:p w14:paraId="61765F5B">
            <w:pPr>
              <w:pStyle w:val="280"/>
              <w:rPr>
                <w:rFonts w:hint="eastAsia"/>
                <w:color w:val="000000" w:themeColor="text1"/>
                <w14:textFill>
                  <w14:solidFill>
                    <w14:schemeClr w14:val="tx1"/>
                  </w14:solidFill>
                </w14:textFill>
              </w:rPr>
            </w:pPr>
          </w:p>
        </w:tc>
        <w:tc>
          <w:tcPr>
            <w:tcW w:w="1018" w:type="dxa"/>
            <w:vMerge w:val="continue"/>
            <w:vAlign w:val="center"/>
          </w:tcPr>
          <w:p w14:paraId="15350811">
            <w:pPr>
              <w:pStyle w:val="280"/>
              <w:rPr>
                <w:rFonts w:hint="eastAsia"/>
                <w:color w:val="000000" w:themeColor="text1"/>
                <w14:textFill>
                  <w14:solidFill>
                    <w14:schemeClr w14:val="tx1"/>
                  </w14:solidFill>
                </w14:textFill>
              </w:rPr>
            </w:pPr>
          </w:p>
        </w:tc>
      </w:tr>
    </w:tbl>
    <w:p w14:paraId="7BF35C8A">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运营期环境管理</w:t>
      </w:r>
    </w:p>
    <w:p w14:paraId="42321132">
      <w:pPr>
        <w:pStyle w:val="120"/>
        <w:rPr>
          <w:rFonts w:hint="eastAsia"/>
          <w:color w:val="000000" w:themeColor="text1"/>
          <w14:textFill>
            <w14:solidFill>
              <w14:schemeClr w14:val="tx1"/>
            </w14:solidFill>
          </w14:textFill>
        </w:rPr>
      </w:pPr>
      <w:bookmarkStart w:id="725" w:name="_Ref468827447"/>
      <w:r>
        <w:rPr>
          <w:rFonts w:hint="eastAsia"/>
          <w:color w:val="000000" w:themeColor="text1"/>
          <w14:textFill>
            <w14:solidFill>
              <w14:schemeClr w14:val="tx1"/>
            </w14:solidFill>
          </w14:textFill>
        </w:rPr>
        <w:t>（1）建立和实施运营期的健康、安全与环境（HSE）管理体系。</w:t>
      </w:r>
    </w:p>
    <w:p w14:paraId="15CA76C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（2）贯彻执行国家、地方及上级部门有关环境保护方针、政策、法律及法规。</w:t>
      </w:r>
    </w:p>
    <w:p w14:paraId="133B219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加强环保管理人员的培训、教育，学习先进的环保管理理念，提高管理人员的技术水平与业务能力，定期对运营期环境保护工作进行总结和分析，根据环保水平的发展进步持续改进、强化运营期的环境保护与管理要求。</w:t>
      </w:r>
    </w:p>
    <w:p w14:paraId="5E85206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组织开展环境保护宣传教育、技术和经验交流活动，推广先进技术和科研成果；参加调查、分析、处理环境污染事故，并负责统计上报事故的基本情况及处理结果，协同有关部门制定防治污染事故措施，并监督实施。</w:t>
      </w:r>
    </w:p>
    <w:p w14:paraId="343A161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项目运行后3至5年内，须组织开展环境影响后评价工作，对实际产生的环境影响以及污染防治、生态保护和风险防范措施的有效性进行跟踪监测和验证评价，对存在问题提出补救方案或者改进措施，不断完善和提高建设项目环境影响评价的有效性，切实落实各项环境保护措施。</w:t>
      </w:r>
    </w:p>
    <w:p w14:paraId="336E736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（6）运营期各环境要素的污染防治措施见表</w:t>
      </w:r>
      <w:r>
        <w:rPr>
          <w:color w:val="000000" w:themeColor="text1"/>
          <w14:textFill>
            <w14:solidFill>
              <w14:schemeClr w14:val="tx1"/>
            </w14:solidFill>
          </w14:textFill>
        </w:rPr>
        <w:t>7.2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p>
    <w:p w14:paraId="2F4E2AB5">
      <w:pPr>
        <w:pStyle w:val="19"/>
        <w:rPr>
          <w:rFonts w:hint="eastAsia"/>
          <w:color w:val="000000" w:themeColor="text1"/>
          <w14:textFill>
            <w14:solidFill>
              <w14:schemeClr w14:val="tx1"/>
            </w14:solidFill>
          </w14:textFill>
        </w:rPr>
      </w:pPr>
    </w:p>
    <w:p w14:paraId="64C937FF">
      <w:pPr>
        <w:pStyle w:val="19"/>
        <w:rPr>
          <w:rFonts w:hint="eastAsia"/>
          <w:color w:val="000000" w:themeColor="text1"/>
          <w14:textFill>
            <w14:solidFill>
              <w14:schemeClr w14:val="tx1"/>
            </w14:solidFill>
          </w14:textFill>
        </w:rPr>
      </w:pPr>
    </w:p>
    <w:p w14:paraId="16760E1A">
      <w:pPr>
        <w:pStyle w:val="19"/>
        <w:rPr>
          <w:rFonts w:hint="eastAsia"/>
          <w:color w:val="000000" w:themeColor="text1"/>
          <w14:textFill>
            <w14:solidFill>
              <w14:schemeClr w14:val="tx1"/>
            </w14:solidFill>
          </w14:textFill>
        </w:rPr>
      </w:pPr>
    </w:p>
    <w:p w14:paraId="206FBC15">
      <w:pPr>
        <w:pStyle w:val="19"/>
        <w:rPr>
          <w:rFonts w:hint="eastAsia"/>
          <w:color w:val="000000" w:themeColor="text1"/>
          <w14:textFill>
            <w14:solidFill>
              <w14:schemeClr w14:val="tx1"/>
            </w14:solidFill>
          </w14:textFill>
        </w:rPr>
      </w:pPr>
      <w:r>
        <w:rPr>
          <w:color w:val="000000" w:themeColor="text1"/>
          <w14:textFill>
            <w14:solidFill>
              <w14:schemeClr w14:val="tx1"/>
            </w14:solidFill>
          </w14:textFill>
        </w:rPr>
        <w:t>表</w:t>
      </w:r>
      <w:bookmarkEnd w:id="725"/>
      <w:r>
        <w:rPr>
          <w:color w:val="000000" w:themeColor="text1"/>
          <w14:textFill>
            <w14:solidFill>
              <w14:schemeClr w14:val="tx1"/>
            </w14:solidFill>
          </w14:textFill>
        </w:rPr>
        <w:t>7.2-2</w:t>
      </w:r>
      <w:r>
        <w:rPr>
          <w:rFonts w:hint="eastAsia"/>
          <w:color w:val="000000" w:themeColor="text1"/>
          <w14:textFill>
            <w14:solidFill>
              <w14:schemeClr w14:val="tx1"/>
            </w14:solidFill>
          </w14:textFill>
        </w:rPr>
        <w:t xml:space="preserve">  运营期</w:t>
      </w:r>
      <w:r>
        <w:rPr>
          <w:color w:val="000000" w:themeColor="text1"/>
          <w14:textFill>
            <w14:solidFill>
              <w14:schemeClr w14:val="tx1"/>
            </w14:solidFill>
          </w14:textFill>
        </w:rPr>
        <w:t>环境保护</w:t>
      </w:r>
      <w:r>
        <w:rPr>
          <w:rFonts w:hint="eastAsia"/>
          <w:color w:val="000000" w:themeColor="text1"/>
          <w14:textFill>
            <w14:solidFill>
              <w14:schemeClr w14:val="tx1"/>
            </w14:solidFill>
          </w14:textFill>
        </w:rPr>
        <w:t>行动计划</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134"/>
        <w:gridCol w:w="5244"/>
        <w:gridCol w:w="709"/>
        <w:gridCol w:w="1325"/>
      </w:tblGrid>
      <w:tr w14:paraId="0908D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34" w:type="dxa"/>
            <w:vAlign w:val="center"/>
          </w:tcPr>
          <w:p w14:paraId="798F353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134" w:type="dxa"/>
            <w:vAlign w:val="center"/>
          </w:tcPr>
          <w:p w14:paraId="05F952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影响因素</w:t>
            </w:r>
          </w:p>
        </w:tc>
        <w:tc>
          <w:tcPr>
            <w:tcW w:w="5244" w:type="dxa"/>
            <w:vAlign w:val="center"/>
          </w:tcPr>
          <w:p w14:paraId="48E58CA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环保措施</w:t>
            </w:r>
          </w:p>
        </w:tc>
        <w:tc>
          <w:tcPr>
            <w:tcW w:w="709" w:type="dxa"/>
            <w:vAlign w:val="center"/>
          </w:tcPr>
          <w:p w14:paraId="2951489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实施单位</w:t>
            </w:r>
          </w:p>
        </w:tc>
        <w:tc>
          <w:tcPr>
            <w:tcW w:w="1325" w:type="dxa"/>
            <w:vAlign w:val="center"/>
          </w:tcPr>
          <w:p w14:paraId="2E5AC0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监督</w:t>
            </w:r>
          </w:p>
          <w:p w14:paraId="6AA9A41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r>
      <w:tr w14:paraId="1ECDE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32320AF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134" w:type="dxa"/>
            <w:vAlign w:val="center"/>
          </w:tcPr>
          <w:p w14:paraId="44DCA11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大气环境</w:t>
            </w:r>
          </w:p>
        </w:tc>
        <w:tc>
          <w:tcPr>
            <w:tcW w:w="5244" w:type="dxa"/>
            <w:vAlign w:val="center"/>
          </w:tcPr>
          <w:p w14:paraId="5F1CE1F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选用质量可靠的设备、仪表、阀门等；定期对站场内各设备、阀门、各类管线等检查、检修。</w:t>
            </w:r>
          </w:p>
        </w:tc>
        <w:tc>
          <w:tcPr>
            <w:tcW w:w="709" w:type="dxa"/>
            <w:vMerge w:val="restart"/>
            <w:vAlign w:val="center"/>
          </w:tcPr>
          <w:p w14:paraId="7216CA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中国石油新疆油田分公司吉庆油田作业区</w:t>
            </w:r>
          </w:p>
        </w:tc>
        <w:tc>
          <w:tcPr>
            <w:tcW w:w="1325" w:type="dxa"/>
            <w:vMerge w:val="restart"/>
            <w:vAlign w:val="center"/>
          </w:tcPr>
          <w:p w14:paraId="6F5158F0">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新疆维吾尔自治区生态环境厅、昌吉回族自治州生态环境局及吉木萨尔县分局</w:t>
            </w:r>
          </w:p>
        </w:tc>
      </w:tr>
      <w:tr w14:paraId="08DFE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5CFE25B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134" w:type="dxa"/>
            <w:vAlign w:val="center"/>
          </w:tcPr>
          <w:p w14:paraId="1CFA523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水环境</w:t>
            </w:r>
          </w:p>
        </w:tc>
        <w:tc>
          <w:tcPr>
            <w:tcW w:w="5244" w:type="dxa"/>
            <w:vAlign w:val="center"/>
          </w:tcPr>
          <w:p w14:paraId="4A302B2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洗井废水和井下作业废液由罐车拉运至吉祥联合站采出水处理系统处理，出水水质达标后油藏。</w:t>
            </w:r>
          </w:p>
        </w:tc>
        <w:tc>
          <w:tcPr>
            <w:tcW w:w="709" w:type="dxa"/>
            <w:vMerge w:val="continue"/>
            <w:vAlign w:val="center"/>
          </w:tcPr>
          <w:p w14:paraId="34F40242">
            <w:pPr>
              <w:pStyle w:val="280"/>
              <w:rPr>
                <w:rFonts w:hint="eastAsia"/>
                <w:color w:val="000000" w:themeColor="text1"/>
                <w14:textFill>
                  <w14:solidFill>
                    <w14:schemeClr w14:val="tx1"/>
                  </w14:solidFill>
                </w14:textFill>
              </w:rPr>
            </w:pPr>
          </w:p>
        </w:tc>
        <w:tc>
          <w:tcPr>
            <w:tcW w:w="1325" w:type="dxa"/>
            <w:vMerge w:val="continue"/>
            <w:vAlign w:val="center"/>
          </w:tcPr>
          <w:p w14:paraId="10077353">
            <w:pPr>
              <w:pStyle w:val="280"/>
              <w:rPr>
                <w:rFonts w:hint="eastAsia"/>
                <w:color w:val="000000" w:themeColor="text1"/>
                <w14:textFill>
                  <w14:solidFill>
                    <w14:schemeClr w14:val="tx1"/>
                  </w14:solidFill>
                </w14:textFill>
              </w:rPr>
            </w:pPr>
          </w:p>
        </w:tc>
      </w:tr>
      <w:tr w14:paraId="4259F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10951B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134" w:type="dxa"/>
            <w:vAlign w:val="center"/>
          </w:tcPr>
          <w:p w14:paraId="434E0E8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5244" w:type="dxa"/>
            <w:vAlign w:val="center"/>
          </w:tcPr>
          <w:p w14:paraId="248FBD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选用低噪声设备，定期对设备进行检修和维护，使其处于运行良好的状态。</w:t>
            </w:r>
          </w:p>
        </w:tc>
        <w:tc>
          <w:tcPr>
            <w:tcW w:w="709" w:type="dxa"/>
            <w:vMerge w:val="continue"/>
            <w:vAlign w:val="center"/>
          </w:tcPr>
          <w:p w14:paraId="3959AF1B">
            <w:pPr>
              <w:pStyle w:val="280"/>
              <w:rPr>
                <w:rFonts w:hint="eastAsia"/>
                <w:color w:val="000000" w:themeColor="text1"/>
                <w14:textFill>
                  <w14:solidFill>
                    <w14:schemeClr w14:val="tx1"/>
                  </w14:solidFill>
                </w14:textFill>
              </w:rPr>
            </w:pPr>
          </w:p>
        </w:tc>
        <w:tc>
          <w:tcPr>
            <w:tcW w:w="1325" w:type="dxa"/>
            <w:vMerge w:val="continue"/>
            <w:vAlign w:val="center"/>
          </w:tcPr>
          <w:p w14:paraId="409F8263">
            <w:pPr>
              <w:pStyle w:val="280"/>
              <w:rPr>
                <w:rFonts w:hint="eastAsia"/>
                <w:color w:val="000000" w:themeColor="text1"/>
                <w14:textFill>
                  <w14:solidFill>
                    <w14:schemeClr w14:val="tx1"/>
                  </w14:solidFill>
                </w14:textFill>
              </w:rPr>
            </w:pPr>
          </w:p>
        </w:tc>
      </w:tr>
      <w:tr w14:paraId="64361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10B89B0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134" w:type="dxa"/>
            <w:vAlign w:val="center"/>
          </w:tcPr>
          <w:p w14:paraId="151F01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固体废物处置</w:t>
            </w:r>
          </w:p>
        </w:tc>
        <w:tc>
          <w:tcPr>
            <w:tcW w:w="5244" w:type="dxa"/>
            <w:vAlign w:val="center"/>
          </w:tcPr>
          <w:p w14:paraId="617DF6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废润滑油、废润滑油桶、沾油废防渗材料和含油废抹布、劳保用品集中收集后交由有相应危险废物处置资质的单位回收处置 </w:t>
            </w:r>
          </w:p>
        </w:tc>
        <w:tc>
          <w:tcPr>
            <w:tcW w:w="709" w:type="dxa"/>
            <w:vMerge w:val="continue"/>
            <w:vAlign w:val="center"/>
          </w:tcPr>
          <w:p w14:paraId="385A8886">
            <w:pPr>
              <w:pStyle w:val="280"/>
              <w:rPr>
                <w:rFonts w:hint="eastAsia"/>
                <w:color w:val="000000" w:themeColor="text1"/>
                <w14:textFill>
                  <w14:solidFill>
                    <w14:schemeClr w14:val="tx1"/>
                  </w14:solidFill>
                </w14:textFill>
              </w:rPr>
            </w:pPr>
          </w:p>
        </w:tc>
        <w:tc>
          <w:tcPr>
            <w:tcW w:w="1325" w:type="dxa"/>
            <w:vMerge w:val="continue"/>
            <w:vAlign w:val="center"/>
          </w:tcPr>
          <w:p w14:paraId="0434448A">
            <w:pPr>
              <w:pStyle w:val="280"/>
              <w:rPr>
                <w:rFonts w:hint="eastAsia"/>
                <w:color w:val="000000" w:themeColor="text1"/>
                <w14:textFill>
                  <w14:solidFill>
                    <w14:schemeClr w14:val="tx1"/>
                  </w14:solidFill>
                </w14:textFill>
              </w:rPr>
            </w:pPr>
          </w:p>
        </w:tc>
      </w:tr>
      <w:tr w14:paraId="09C1F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0B0466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134" w:type="dxa"/>
            <w:vAlign w:val="center"/>
          </w:tcPr>
          <w:p w14:paraId="42DEA3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tc>
        <w:tc>
          <w:tcPr>
            <w:tcW w:w="5244" w:type="dxa"/>
            <w:vAlign w:val="center"/>
          </w:tcPr>
          <w:p w14:paraId="72348BB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继续做好施工地的地表恢复工作，培训巡检人员相关环境保护知识，更好地保护沿线植被；对管道设施定期巡查，及时维修保养</w:t>
            </w:r>
          </w:p>
        </w:tc>
        <w:tc>
          <w:tcPr>
            <w:tcW w:w="709" w:type="dxa"/>
            <w:vMerge w:val="continue"/>
            <w:vAlign w:val="center"/>
          </w:tcPr>
          <w:p w14:paraId="64E10096">
            <w:pPr>
              <w:pStyle w:val="280"/>
              <w:rPr>
                <w:rFonts w:hint="eastAsia"/>
                <w:color w:val="000000" w:themeColor="text1"/>
                <w14:textFill>
                  <w14:solidFill>
                    <w14:schemeClr w14:val="tx1"/>
                  </w14:solidFill>
                </w14:textFill>
              </w:rPr>
            </w:pPr>
          </w:p>
        </w:tc>
        <w:tc>
          <w:tcPr>
            <w:tcW w:w="1325" w:type="dxa"/>
            <w:vMerge w:val="continue"/>
            <w:vAlign w:val="center"/>
          </w:tcPr>
          <w:p w14:paraId="26E06651">
            <w:pPr>
              <w:pStyle w:val="280"/>
              <w:rPr>
                <w:rFonts w:hint="eastAsia"/>
                <w:color w:val="000000" w:themeColor="text1"/>
                <w14:textFill>
                  <w14:solidFill>
                    <w14:schemeClr w14:val="tx1"/>
                  </w14:solidFill>
                </w14:textFill>
              </w:rPr>
            </w:pPr>
          </w:p>
        </w:tc>
      </w:tr>
      <w:tr w14:paraId="58D5F1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70A7CA5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6</w:t>
            </w:r>
          </w:p>
        </w:tc>
        <w:tc>
          <w:tcPr>
            <w:tcW w:w="1134" w:type="dxa"/>
            <w:vAlign w:val="center"/>
          </w:tcPr>
          <w:p w14:paraId="700B79E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风险防范措施</w:t>
            </w:r>
          </w:p>
        </w:tc>
        <w:tc>
          <w:tcPr>
            <w:tcW w:w="5244" w:type="dxa"/>
            <w:vAlign w:val="center"/>
          </w:tcPr>
          <w:p w14:paraId="035143A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制定事故应急预案，对重大隐患和重大事故能够快速做出反应并及时处理</w:t>
            </w:r>
          </w:p>
        </w:tc>
        <w:tc>
          <w:tcPr>
            <w:tcW w:w="709" w:type="dxa"/>
            <w:vMerge w:val="continue"/>
            <w:vAlign w:val="center"/>
          </w:tcPr>
          <w:p w14:paraId="5F9D2D51">
            <w:pPr>
              <w:pStyle w:val="280"/>
              <w:rPr>
                <w:rFonts w:hint="eastAsia"/>
                <w:color w:val="000000" w:themeColor="text1"/>
                <w14:textFill>
                  <w14:solidFill>
                    <w14:schemeClr w14:val="tx1"/>
                  </w14:solidFill>
                </w14:textFill>
              </w:rPr>
            </w:pPr>
          </w:p>
        </w:tc>
        <w:tc>
          <w:tcPr>
            <w:tcW w:w="1325" w:type="dxa"/>
            <w:vMerge w:val="continue"/>
            <w:vAlign w:val="center"/>
          </w:tcPr>
          <w:p w14:paraId="2BE0597E">
            <w:pPr>
              <w:pStyle w:val="280"/>
              <w:rPr>
                <w:rFonts w:hint="eastAsia"/>
                <w:color w:val="000000" w:themeColor="text1"/>
                <w14:textFill>
                  <w14:solidFill>
                    <w14:schemeClr w14:val="tx1"/>
                  </w14:solidFill>
                </w14:textFill>
              </w:rPr>
            </w:pPr>
          </w:p>
        </w:tc>
      </w:tr>
      <w:tr w14:paraId="697AB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22AABDD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7</w:t>
            </w:r>
          </w:p>
        </w:tc>
        <w:tc>
          <w:tcPr>
            <w:tcW w:w="1134" w:type="dxa"/>
            <w:vAlign w:val="center"/>
          </w:tcPr>
          <w:p w14:paraId="0B42801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环境管理</w:t>
            </w:r>
          </w:p>
        </w:tc>
        <w:tc>
          <w:tcPr>
            <w:tcW w:w="5244" w:type="dxa"/>
            <w:vAlign w:val="center"/>
          </w:tcPr>
          <w:p w14:paraId="1138735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建立环境管理体系和事故应急体系，实施环境监测计划</w:t>
            </w:r>
          </w:p>
        </w:tc>
        <w:tc>
          <w:tcPr>
            <w:tcW w:w="709" w:type="dxa"/>
            <w:vMerge w:val="continue"/>
            <w:vAlign w:val="center"/>
          </w:tcPr>
          <w:p w14:paraId="3DAD4538">
            <w:pPr>
              <w:pStyle w:val="280"/>
              <w:rPr>
                <w:rFonts w:hint="eastAsia"/>
                <w:color w:val="000000" w:themeColor="text1"/>
                <w14:textFill>
                  <w14:solidFill>
                    <w14:schemeClr w14:val="tx1"/>
                  </w14:solidFill>
                </w14:textFill>
              </w:rPr>
            </w:pPr>
          </w:p>
        </w:tc>
        <w:tc>
          <w:tcPr>
            <w:tcW w:w="1325" w:type="dxa"/>
            <w:vMerge w:val="continue"/>
            <w:vAlign w:val="center"/>
          </w:tcPr>
          <w:p w14:paraId="3B4537CE">
            <w:pPr>
              <w:pStyle w:val="280"/>
              <w:rPr>
                <w:rFonts w:hint="eastAsia"/>
                <w:color w:val="000000" w:themeColor="text1"/>
                <w14:textFill>
                  <w14:solidFill>
                    <w14:schemeClr w14:val="tx1"/>
                  </w14:solidFill>
                </w14:textFill>
              </w:rPr>
            </w:pPr>
          </w:p>
        </w:tc>
      </w:tr>
    </w:tbl>
    <w:p w14:paraId="23F55DE4">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排污许可管理</w:t>
      </w:r>
    </w:p>
    <w:p w14:paraId="171FC042">
      <w:pPr>
        <w:pStyle w:val="120"/>
        <w:rPr>
          <w:rFonts w:hint="eastAsia"/>
          <w:color w:val="000000" w:themeColor="text1"/>
          <w14:textFill>
            <w14:solidFill>
              <w14:schemeClr w14:val="tx1"/>
            </w14:solidFill>
          </w14:textFill>
        </w:rPr>
      </w:pPr>
      <w:bookmarkStart w:id="726" w:name="_Hlk160377308"/>
      <w:r>
        <w:rPr>
          <w:rFonts w:hint="eastAsia"/>
          <w:color w:val="000000" w:themeColor="text1"/>
          <w14:textFill>
            <w14:solidFill>
              <w14:schemeClr w14:val="tx1"/>
            </w14:solidFill>
          </w14:textFill>
        </w:rPr>
        <w:t>《固定污染源排污许可分类管理名录》（2</w:t>
      </w:r>
      <w:r>
        <w:rPr>
          <w:color w:val="000000" w:themeColor="text1"/>
          <w14:textFill>
            <w14:solidFill>
              <w14:schemeClr w14:val="tx1"/>
            </w14:solidFill>
          </w14:textFill>
        </w:rPr>
        <w:t>019</w:t>
      </w:r>
      <w:r>
        <w:rPr>
          <w:rFonts w:hint="eastAsia"/>
          <w:color w:val="000000" w:themeColor="text1"/>
          <w14:textFill>
            <w14:solidFill>
              <w14:schemeClr w14:val="tx1"/>
            </w14:solidFill>
          </w14:textFill>
        </w:rPr>
        <w:t>年版）第六条规定：“属于本名录第</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至</w:t>
      </w:r>
      <w:r>
        <w:rPr>
          <w:color w:val="000000" w:themeColor="text1"/>
          <w14:textFill>
            <w14:solidFill>
              <w14:schemeClr w14:val="tx1"/>
            </w14:solidFill>
          </w14:textFill>
        </w:rPr>
        <w:t>107</w:t>
      </w:r>
      <w:r>
        <w:rPr>
          <w:rFonts w:hint="eastAsia"/>
          <w:color w:val="000000" w:themeColor="text1"/>
          <w14:textFill>
            <w14:solidFill>
              <w14:schemeClr w14:val="tx1"/>
            </w14:solidFill>
          </w14:textFill>
        </w:rPr>
        <w:t>类行业的排污单位，按照本名录第</w:t>
      </w:r>
      <w:r>
        <w:rPr>
          <w:color w:val="000000" w:themeColor="text1"/>
          <w14:textFill>
            <w14:solidFill>
              <w14:schemeClr w14:val="tx1"/>
            </w14:solidFill>
          </w14:textFill>
        </w:rPr>
        <w:t>109</w:t>
      </w:r>
      <w:r>
        <w:rPr>
          <w:rFonts w:hint="eastAsia"/>
          <w:color w:val="000000" w:themeColor="text1"/>
          <w14:textFill>
            <w14:solidFill>
              <w14:schemeClr w14:val="tx1"/>
            </w14:solidFill>
          </w14:textFill>
        </w:rPr>
        <w:t>至</w:t>
      </w:r>
      <w:r>
        <w:rPr>
          <w:color w:val="000000" w:themeColor="text1"/>
          <w14:textFill>
            <w14:solidFill>
              <w14:schemeClr w14:val="tx1"/>
            </w14:solidFill>
          </w14:textFill>
        </w:rPr>
        <w:t>112</w:t>
      </w:r>
      <w:r>
        <w:rPr>
          <w:rFonts w:hint="eastAsia"/>
          <w:color w:val="000000" w:themeColor="text1"/>
          <w14:textFill>
            <w14:solidFill>
              <w14:schemeClr w14:val="tx1"/>
            </w14:solidFill>
          </w14:textFill>
        </w:rPr>
        <w:t>类规定的锅炉、工业炉窑、表面处理、水处理等通用工序实施重点管理或者简化管理的，只需对其涉及的通用工序申请取得排污许可证，不需要对其他生产设施和相应的排放口等申请取得排污许可证”。本项目不涉及锅炉、工业炉窑、表面处理和水处理等通用工序，不申领排污许可证。</w:t>
      </w:r>
    </w:p>
    <w:bookmarkEnd w:id="726"/>
    <w:p w14:paraId="381F61F1">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退役期</w:t>
      </w:r>
      <w:r>
        <w:rPr>
          <w:color w:val="000000" w:themeColor="text1"/>
          <w14:textFill>
            <w14:solidFill>
              <w14:schemeClr w14:val="tx1"/>
            </w14:solidFill>
          </w14:textFill>
        </w:rPr>
        <w:t>环境管理</w:t>
      </w:r>
    </w:p>
    <w:p w14:paraId="26FD3CB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退役期环境管理</w:t>
      </w:r>
      <w:r>
        <w:rPr>
          <w:color w:val="000000" w:themeColor="text1"/>
          <w14:textFill>
            <w14:solidFill>
              <w14:schemeClr w14:val="tx1"/>
            </w14:solidFill>
          </w14:textFill>
        </w:rPr>
        <w:t>的主要内容见</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7.2-3</w:t>
      </w:r>
      <w:r>
        <w:rPr>
          <w:rFonts w:hint="eastAsia"/>
          <w:color w:val="000000" w:themeColor="text1"/>
          <w14:textFill>
            <w14:solidFill>
              <w14:schemeClr w14:val="tx1"/>
            </w14:solidFill>
          </w14:textFill>
        </w:rPr>
        <w:t>。</w:t>
      </w:r>
    </w:p>
    <w:p w14:paraId="5C0EC3A5">
      <w:pPr>
        <w:pStyle w:val="19"/>
        <w:ind w:firstLine="420"/>
        <w:rPr>
          <w:rStyle w:val="166"/>
          <w:rFonts w:hint="eastAsia"/>
          <w:color w:val="000000" w:themeColor="text1"/>
          <w14:textFill>
            <w14:solidFill>
              <w14:schemeClr w14:val="tx1"/>
            </w14:solidFill>
          </w14:textFill>
        </w:rPr>
      </w:pPr>
      <w:bookmarkStart w:id="727" w:name="_Ref468827454"/>
      <w:r>
        <w:rPr>
          <w:rStyle w:val="166"/>
          <w:color w:val="000000" w:themeColor="text1"/>
          <w14:textFill>
            <w14:solidFill>
              <w14:schemeClr w14:val="tx1"/>
            </w14:solidFill>
          </w14:textFill>
        </w:rPr>
        <w:t>表</w:t>
      </w:r>
      <w:bookmarkEnd w:id="727"/>
      <w:r>
        <w:rPr>
          <w:rStyle w:val="166"/>
          <w:color w:val="000000" w:themeColor="text1"/>
          <w14:textFill>
            <w14:solidFill>
              <w14:schemeClr w14:val="tx1"/>
            </w14:solidFill>
          </w14:textFill>
        </w:rPr>
        <w:t>7.2-3</w:t>
      </w:r>
      <w:r>
        <w:rPr>
          <w:rStyle w:val="166"/>
          <w:rFonts w:hint="eastAsia"/>
          <w:color w:val="000000" w:themeColor="text1"/>
          <w14:textFill>
            <w14:solidFill>
              <w14:schemeClr w14:val="tx1"/>
            </w14:solidFill>
          </w14:textFill>
        </w:rPr>
        <w:t xml:space="preserve">  退役</w:t>
      </w:r>
      <w:r>
        <w:rPr>
          <w:rStyle w:val="166"/>
          <w:color w:val="000000" w:themeColor="text1"/>
          <w14:textFill>
            <w14:solidFill>
              <w14:schemeClr w14:val="tx1"/>
            </w14:solidFill>
          </w14:textFill>
        </w:rPr>
        <w:t>期</w:t>
      </w:r>
      <w:r>
        <w:rPr>
          <w:rStyle w:val="166"/>
          <w:rFonts w:hint="eastAsia"/>
          <w:color w:val="000000" w:themeColor="text1"/>
          <w14:textFill>
            <w14:solidFill>
              <w14:schemeClr w14:val="tx1"/>
            </w14:solidFill>
          </w14:textFill>
        </w:rPr>
        <w:t>的</w:t>
      </w:r>
      <w:r>
        <w:rPr>
          <w:rStyle w:val="166"/>
          <w:color w:val="000000" w:themeColor="text1"/>
          <w14:textFill>
            <w14:solidFill>
              <w14:schemeClr w14:val="tx1"/>
            </w14:solidFill>
          </w14:textFill>
        </w:rPr>
        <w:t>环境保护</w:t>
      </w:r>
      <w:r>
        <w:rPr>
          <w:rStyle w:val="166"/>
          <w:rFonts w:hint="eastAsia"/>
          <w:color w:val="000000" w:themeColor="text1"/>
          <w14:textFill>
            <w14:solidFill>
              <w14:schemeClr w14:val="tx1"/>
            </w14:solidFill>
          </w14:textFill>
        </w:rPr>
        <w:t>行动计划</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1056"/>
        <w:gridCol w:w="4047"/>
        <w:gridCol w:w="1276"/>
        <w:gridCol w:w="1642"/>
      </w:tblGrid>
      <w:tr w14:paraId="71AC5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06" w:type="pct"/>
            <w:vAlign w:val="center"/>
          </w:tcPr>
          <w:p w14:paraId="3D746D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605" w:type="pct"/>
            <w:vAlign w:val="center"/>
          </w:tcPr>
          <w:p w14:paraId="3690281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影响因素</w:t>
            </w:r>
          </w:p>
        </w:tc>
        <w:tc>
          <w:tcPr>
            <w:tcW w:w="2318" w:type="pct"/>
            <w:vAlign w:val="center"/>
          </w:tcPr>
          <w:p w14:paraId="535DB2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环保措施</w:t>
            </w:r>
          </w:p>
        </w:tc>
        <w:tc>
          <w:tcPr>
            <w:tcW w:w="731" w:type="pct"/>
            <w:vAlign w:val="center"/>
          </w:tcPr>
          <w:p w14:paraId="4C8DE83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实施单位</w:t>
            </w:r>
          </w:p>
        </w:tc>
        <w:tc>
          <w:tcPr>
            <w:tcW w:w="940" w:type="pct"/>
            <w:vAlign w:val="center"/>
          </w:tcPr>
          <w:p w14:paraId="7B11B72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监督单位</w:t>
            </w:r>
          </w:p>
        </w:tc>
      </w:tr>
      <w:tr w14:paraId="7881C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7A88BAF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05" w:type="pct"/>
            <w:vAlign w:val="center"/>
          </w:tcPr>
          <w:p w14:paraId="6A78D2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tc>
        <w:tc>
          <w:tcPr>
            <w:tcW w:w="2318" w:type="pct"/>
            <w:vAlign w:val="center"/>
          </w:tcPr>
          <w:p w14:paraId="3825955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做好退役期的地表恢复工作，拆卸、迁移设备，恢复地貌。</w:t>
            </w:r>
          </w:p>
        </w:tc>
        <w:tc>
          <w:tcPr>
            <w:tcW w:w="731" w:type="pct"/>
            <w:vMerge w:val="restart"/>
            <w:vAlign w:val="center"/>
          </w:tcPr>
          <w:p w14:paraId="14E02DF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中国石油新疆油田分公司吉庆油田作业区</w:t>
            </w:r>
          </w:p>
        </w:tc>
        <w:tc>
          <w:tcPr>
            <w:tcW w:w="940" w:type="pct"/>
            <w:vMerge w:val="restart"/>
            <w:vAlign w:val="center"/>
          </w:tcPr>
          <w:p w14:paraId="7750F988">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新疆维吾尔自治区生态环境厅、昌吉回族自治州生态环境局及吉木萨尔县分局</w:t>
            </w:r>
          </w:p>
        </w:tc>
      </w:tr>
      <w:tr w14:paraId="03530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24B777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05" w:type="pct"/>
            <w:vAlign w:val="center"/>
          </w:tcPr>
          <w:p w14:paraId="2D5D8C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2318" w:type="pct"/>
            <w:vAlign w:val="center"/>
          </w:tcPr>
          <w:p w14:paraId="78D57FE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退役期间加强施工设备维护保养，合理安排施工时间。</w:t>
            </w:r>
          </w:p>
        </w:tc>
        <w:tc>
          <w:tcPr>
            <w:tcW w:w="731" w:type="pct"/>
            <w:vMerge w:val="continue"/>
            <w:vAlign w:val="center"/>
          </w:tcPr>
          <w:p w14:paraId="3198269F">
            <w:pPr>
              <w:pStyle w:val="280"/>
              <w:rPr>
                <w:rFonts w:hint="eastAsia"/>
                <w:color w:val="000000" w:themeColor="text1"/>
                <w14:textFill>
                  <w14:solidFill>
                    <w14:schemeClr w14:val="tx1"/>
                  </w14:solidFill>
                </w14:textFill>
              </w:rPr>
            </w:pPr>
          </w:p>
        </w:tc>
        <w:tc>
          <w:tcPr>
            <w:tcW w:w="940" w:type="pct"/>
            <w:vMerge w:val="continue"/>
            <w:vAlign w:val="center"/>
          </w:tcPr>
          <w:p w14:paraId="350E5EAE">
            <w:pPr>
              <w:pStyle w:val="280"/>
              <w:rPr>
                <w:rFonts w:hint="eastAsia"/>
                <w:color w:val="000000" w:themeColor="text1"/>
                <w14:textFill>
                  <w14:solidFill>
                    <w14:schemeClr w14:val="tx1"/>
                  </w14:solidFill>
                </w14:textFill>
              </w:rPr>
            </w:pPr>
          </w:p>
        </w:tc>
      </w:tr>
      <w:tr w14:paraId="6A292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232EA0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05" w:type="pct"/>
            <w:vAlign w:val="center"/>
          </w:tcPr>
          <w:p w14:paraId="4EE3075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大气环境</w:t>
            </w:r>
          </w:p>
        </w:tc>
        <w:tc>
          <w:tcPr>
            <w:tcW w:w="2318" w:type="pct"/>
            <w:vAlign w:val="center"/>
          </w:tcPr>
          <w:p w14:paraId="769D87F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在对原有的设备拆卸、转移过程中会产生一定的扬尘，闭井工作避开大风等恶劣天气，避免对周围空气造成影响。</w:t>
            </w:r>
          </w:p>
        </w:tc>
        <w:tc>
          <w:tcPr>
            <w:tcW w:w="731" w:type="pct"/>
            <w:vMerge w:val="continue"/>
            <w:vAlign w:val="center"/>
          </w:tcPr>
          <w:p w14:paraId="147710FD">
            <w:pPr>
              <w:pStyle w:val="280"/>
              <w:rPr>
                <w:rFonts w:hint="eastAsia"/>
                <w:color w:val="000000" w:themeColor="text1"/>
                <w14:textFill>
                  <w14:solidFill>
                    <w14:schemeClr w14:val="tx1"/>
                  </w14:solidFill>
                </w14:textFill>
              </w:rPr>
            </w:pPr>
          </w:p>
        </w:tc>
        <w:tc>
          <w:tcPr>
            <w:tcW w:w="940" w:type="pct"/>
            <w:vMerge w:val="continue"/>
            <w:vAlign w:val="center"/>
          </w:tcPr>
          <w:p w14:paraId="36D37B2C">
            <w:pPr>
              <w:pStyle w:val="280"/>
              <w:rPr>
                <w:rFonts w:hint="eastAsia"/>
                <w:color w:val="000000" w:themeColor="text1"/>
                <w14:textFill>
                  <w14:solidFill>
                    <w14:schemeClr w14:val="tx1"/>
                  </w14:solidFill>
                </w14:textFill>
              </w:rPr>
            </w:pPr>
          </w:p>
        </w:tc>
      </w:tr>
      <w:tr w14:paraId="17CDF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4810A27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05" w:type="pct"/>
            <w:vAlign w:val="center"/>
          </w:tcPr>
          <w:p w14:paraId="41365B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水环境</w:t>
            </w:r>
          </w:p>
        </w:tc>
        <w:tc>
          <w:tcPr>
            <w:tcW w:w="2318" w:type="pct"/>
            <w:vAlign w:val="center"/>
          </w:tcPr>
          <w:p w14:paraId="5D6E3D6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管线进行清扫封堵，产生的废液送至吉祥联合站采出水处理系统处理。</w:t>
            </w:r>
          </w:p>
        </w:tc>
        <w:tc>
          <w:tcPr>
            <w:tcW w:w="731" w:type="pct"/>
            <w:vMerge w:val="continue"/>
            <w:vAlign w:val="center"/>
          </w:tcPr>
          <w:p w14:paraId="69370471">
            <w:pPr>
              <w:pStyle w:val="280"/>
              <w:rPr>
                <w:rFonts w:hint="eastAsia"/>
                <w:color w:val="000000" w:themeColor="text1"/>
                <w14:textFill>
                  <w14:solidFill>
                    <w14:schemeClr w14:val="tx1"/>
                  </w14:solidFill>
                </w14:textFill>
              </w:rPr>
            </w:pPr>
          </w:p>
        </w:tc>
        <w:tc>
          <w:tcPr>
            <w:tcW w:w="940" w:type="pct"/>
            <w:vMerge w:val="continue"/>
            <w:vAlign w:val="center"/>
          </w:tcPr>
          <w:p w14:paraId="7EB24355">
            <w:pPr>
              <w:pStyle w:val="280"/>
              <w:rPr>
                <w:rFonts w:hint="eastAsia"/>
                <w:color w:val="000000" w:themeColor="text1"/>
                <w14:textFill>
                  <w14:solidFill>
                    <w14:schemeClr w14:val="tx1"/>
                  </w14:solidFill>
                </w14:textFill>
              </w:rPr>
            </w:pPr>
          </w:p>
        </w:tc>
      </w:tr>
      <w:tr w14:paraId="6C9D9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547E427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05" w:type="pct"/>
            <w:vAlign w:val="center"/>
          </w:tcPr>
          <w:p w14:paraId="0AC97D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tc>
        <w:tc>
          <w:tcPr>
            <w:tcW w:w="2318" w:type="pct"/>
            <w:vAlign w:val="center"/>
          </w:tcPr>
          <w:p w14:paraId="6EE01A9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固体废弃物分类收集，及时清运。</w:t>
            </w:r>
          </w:p>
        </w:tc>
        <w:tc>
          <w:tcPr>
            <w:tcW w:w="731" w:type="pct"/>
            <w:vMerge w:val="continue"/>
            <w:vAlign w:val="center"/>
          </w:tcPr>
          <w:p w14:paraId="26683E0A">
            <w:pPr>
              <w:pStyle w:val="280"/>
              <w:rPr>
                <w:rFonts w:hint="eastAsia"/>
                <w:color w:val="000000" w:themeColor="text1"/>
                <w14:textFill>
                  <w14:solidFill>
                    <w14:schemeClr w14:val="tx1"/>
                  </w14:solidFill>
                </w14:textFill>
              </w:rPr>
            </w:pPr>
          </w:p>
        </w:tc>
        <w:tc>
          <w:tcPr>
            <w:tcW w:w="940" w:type="pct"/>
            <w:vMerge w:val="continue"/>
            <w:vAlign w:val="center"/>
          </w:tcPr>
          <w:p w14:paraId="0820C7CC">
            <w:pPr>
              <w:pStyle w:val="280"/>
              <w:rPr>
                <w:rFonts w:hint="eastAsia"/>
                <w:color w:val="000000" w:themeColor="text1"/>
                <w14:textFill>
                  <w14:solidFill>
                    <w14:schemeClr w14:val="tx1"/>
                  </w14:solidFill>
                </w14:textFill>
              </w:rPr>
            </w:pPr>
          </w:p>
        </w:tc>
      </w:tr>
    </w:tbl>
    <w:p w14:paraId="75FCA26D">
      <w:pPr>
        <w:pStyle w:val="7"/>
        <w:rPr>
          <w:rFonts w:hint="eastAsia"/>
          <w:color w:val="000000" w:themeColor="text1"/>
          <w14:textFill>
            <w14:solidFill>
              <w14:schemeClr w14:val="tx1"/>
            </w14:solidFill>
          </w14:textFill>
        </w:rPr>
      </w:pPr>
      <w:bookmarkStart w:id="728" w:name="_Toc10780"/>
      <w:bookmarkStart w:id="729" w:name="_Toc459026610"/>
      <w:bookmarkStart w:id="730" w:name="_Toc471933679"/>
      <w:bookmarkStart w:id="731" w:name="_Toc468307962"/>
      <w:r>
        <w:rPr>
          <w:rFonts w:hint="eastAsia"/>
          <w:color w:val="000000" w:themeColor="text1"/>
          <w14:textFill>
            <w14:solidFill>
              <w14:schemeClr w14:val="tx1"/>
            </w14:solidFill>
          </w14:textFill>
        </w:rPr>
        <w:t>污染物排放的管理要求</w:t>
      </w:r>
      <w:bookmarkEnd w:id="728"/>
    </w:p>
    <w:p w14:paraId="77F020F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污染物排放清单及管理要求见表</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.3-1、表</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p>
    <w:p w14:paraId="522D76D3">
      <w:pPr>
        <w:pStyle w:val="7"/>
        <w:rPr>
          <w:rFonts w:hint="eastAsia"/>
          <w:color w:val="000000" w:themeColor="text1"/>
          <w14:textFill>
            <w14:solidFill>
              <w14:schemeClr w14:val="tx1"/>
            </w14:solidFill>
          </w14:textFill>
        </w:rPr>
      </w:pPr>
      <w:bookmarkStart w:id="732" w:name="_Toc28332"/>
      <w:r>
        <w:rPr>
          <w:rFonts w:hint="eastAsia"/>
          <w:color w:val="000000" w:themeColor="text1"/>
          <w14:textFill>
            <w14:solidFill>
              <w14:schemeClr w14:val="tx1"/>
            </w14:solidFill>
          </w14:textFill>
        </w:rPr>
        <w:t>企业环境信息公开</w:t>
      </w:r>
      <w:bookmarkEnd w:id="732"/>
    </w:p>
    <w:p w14:paraId="3534676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中国石油新疆油田分公司吉庆油田作业区应根据《企业环境信息依法披露管理办法》（生态环境部 部令第2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号）、《企业环境信息依法披露格式准则》（环办综合〔2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）规定，并结合新疆</w:t>
      </w:r>
      <w:r>
        <w:rPr>
          <w:rFonts w:hint="eastAsia"/>
          <w:color w:val="000000" w:themeColor="text1"/>
          <w14:textFill>
            <w14:solidFill>
              <w14:schemeClr w14:val="tx1"/>
            </w14:solidFill>
          </w14:textFill>
        </w:rPr>
        <w:t>维吾尔自治区</w:t>
      </w:r>
      <w:r>
        <w:rPr>
          <w:color w:val="000000" w:themeColor="text1"/>
          <w14:textFill>
            <w14:solidFill>
              <w14:schemeClr w14:val="tx1"/>
            </w14:solidFill>
          </w14:textFill>
        </w:rPr>
        <w:t>的相关要求，可通过政府网站、报刊、广播、电视等便于公众知晓的方式公布。公司应公开以下内容：</w:t>
      </w:r>
    </w:p>
    <w:p w14:paraId="3670943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企业基本</w:t>
      </w:r>
      <w:r>
        <w:rPr>
          <w:color w:val="000000" w:themeColor="text1"/>
          <w14:textFill>
            <w14:solidFill>
              <w14:schemeClr w14:val="tx1"/>
            </w14:solidFill>
          </w14:textFill>
        </w:rPr>
        <w:t>信息，包括</w:t>
      </w:r>
      <w:r>
        <w:rPr>
          <w:rFonts w:hint="eastAsia"/>
          <w:color w:val="000000" w:themeColor="text1"/>
          <w14:textFill>
            <w14:solidFill>
              <w14:schemeClr w14:val="tx1"/>
            </w14:solidFill>
          </w14:textFill>
        </w:rPr>
        <w:t>中文名称、法定代表人、注册地址、生产地址、行业类别、企业联系人及联系方式、企业性质，以及属于重点排污单位、实施强制性清洁生产审核的企业等情况，还包括主要产品与服务、生产工艺的名称，以及生产工艺属于国家、地方等公布的鼓励类、限制类或淘汰类目录（名录）的情况</w:t>
      </w:r>
      <w:r>
        <w:rPr>
          <w:color w:val="000000" w:themeColor="text1"/>
          <w14:textFill>
            <w14:solidFill>
              <w14:schemeClr w14:val="tx1"/>
            </w14:solidFill>
          </w14:textFill>
        </w:rPr>
        <w:t>；</w:t>
      </w:r>
    </w:p>
    <w:p w14:paraId="17F2F71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环境管理</w:t>
      </w:r>
      <w:r>
        <w:rPr>
          <w:color w:val="000000" w:themeColor="text1"/>
          <w14:textFill>
            <w14:solidFill>
              <w14:schemeClr w14:val="tx1"/>
            </w14:solidFill>
          </w14:textFill>
        </w:rPr>
        <w:t>信息，</w:t>
      </w:r>
      <w:r>
        <w:rPr>
          <w:rFonts w:hint="eastAsia"/>
          <w:color w:val="000000" w:themeColor="text1"/>
          <w14:textFill>
            <w14:solidFill>
              <w14:schemeClr w14:val="tx1"/>
            </w14:solidFill>
          </w14:textFill>
        </w:rPr>
        <w:t>主要为有效期内或正在申请核发或变更的全部生态环境行政许可（包括但不限于排污许可、建设项目环境影响评价等）的相关信息；还包括环境保护税缴纳信息、依法投保环境污染责任保险信息、环保信用评价等级等情况；</w:t>
      </w:r>
    </w:p>
    <w:p w14:paraId="5EFE29E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（3）污染物产生、治理与排放信息，</w:t>
      </w:r>
      <w:r>
        <w:rPr>
          <w:color w:val="000000" w:themeColor="text1"/>
          <w14:textFill>
            <w14:solidFill>
              <w14:schemeClr w14:val="tx1"/>
            </w14:solidFill>
          </w14:textFill>
        </w:rPr>
        <w:t>包括主要</w:t>
      </w:r>
      <w:r>
        <w:rPr>
          <w:rFonts w:hint="eastAsia"/>
          <w:color w:val="000000" w:themeColor="text1"/>
          <w14:textFill>
            <w14:solidFill>
              <w14:schemeClr w14:val="tx1"/>
            </w14:solidFill>
          </w14:textFill>
        </w:rPr>
        <w:t>污染防治设施的名称、对应的产污环节、处理的污染物、对应排污口的名称、编号、年度非正常运行的设施名称、排放的污染物、次数、日期及时长、主要原因；污染防治设施由第三方负责运行维护的应当提供运维方信息；</w:t>
      </w:r>
    </w:p>
    <w:p w14:paraId="5799BEF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企业应当就排污许可、建设项目环境影响评价等生态环境行政许可新获得、变更、撤销等情况，披露变更事项、批复机关、批复文件文号、批复时间、批复原文内容等信息；</w:t>
      </w:r>
    </w:p>
    <w:p w14:paraId="403FA08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5）突发环境事件应急预案；</w:t>
      </w:r>
    </w:p>
    <w:p w14:paraId="63FD7D7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6）其他应当公开的环境信息。</w:t>
      </w:r>
    </w:p>
    <w:p w14:paraId="62C057F9">
      <w:pPr>
        <w:pStyle w:val="120"/>
        <w:ind w:firstLine="0" w:firstLineChars="0"/>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p>
    <w:p w14:paraId="07FBE3A5">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7.3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无组织废气污染物排放清单</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350"/>
        <w:gridCol w:w="1132"/>
        <w:gridCol w:w="1415"/>
        <w:gridCol w:w="4964"/>
        <w:gridCol w:w="2154"/>
        <w:gridCol w:w="2351"/>
      </w:tblGrid>
      <w:tr w14:paraId="383D85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6558F1E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482" w:type="pct"/>
            <w:vAlign w:val="center"/>
          </w:tcPr>
          <w:p w14:paraId="2045174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污染源</w:t>
            </w:r>
          </w:p>
        </w:tc>
        <w:tc>
          <w:tcPr>
            <w:tcW w:w="404" w:type="pct"/>
            <w:tcMar>
              <w:left w:w="0" w:type="dxa"/>
              <w:right w:w="0" w:type="dxa"/>
            </w:tcMar>
            <w:vAlign w:val="center"/>
          </w:tcPr>
          <w:p w14:paraId="159A583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505" w:type="pct"/>
            <w:tcMar>
              <w:left w:w="0" w:type="dxa"/>
              <w:right w:w="0" w:type="dxa"/>
            </w:tcMar>
            <w:vAlign w:val="center"/>
          </w:tcPr>
          <w:p w14:paraId="5D36AE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产生量</w:t>
            </w:r>
          </w:p>
        </w:tc>
        <w:tc>
          <w:tcPr>
            <w:tcW w:w="1772" w:type="pct"/>
            <w:tcMar>
              <w:left w:w="0" w:type="dxa"/>
              <w:right w:w="0" w:type="dxa"/>
            </w:tcMar>
            <w:vAlign w:val="center"/>
          </w:tcPr>
          <w:p w14:paraId="15C5457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治理措施</w:t>
            </w:r>
          </w:p>
        </w:tc>
        <w:tc>
          <w:tcPr>
            <w:tcW w:w="769" w:type="pct"/>
            <w:tcMar>
              <w:left w:w="0" w:type="dxa"/>
              <w:right w:w="0" w:type="dxa"/>
            </w:tcMar>
            <w:vAlign w:val="center"/>
          </w:tcPr>
          <w:p w14:paraId="4C070B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实际排放量（t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a）</w:t>
            </w:r>
          </w:p>
        </w:tc>
        <w:tc>
          <w:tcPr>
            <w:tcW w:w="839" w:type="pct"/>
            <w:tcMar>
              <w:left w:w="0" w:type="dxa"/>
              <w:right w:w="0" w:type="dxa"/>
            </w:tcMar>
            <w:vAlign w:val="center"/>
          </w:tcPr>
          <w:p w14:paraId="454662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厂界浓度（mg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r>
      <w:tr w14:paraId="60DD4B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vMerge w:val="restart"/>
            <w:tcMar>
              <w:left w:w="0" w:type="dxa"/>
              <w:right w:w="0" w:type="dxa"/>
            </w:tcMar>
            <w:vAlign w:val="center"/>
          </w:tcPr>
          <w:p w14:paraId="2B3147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2" w:type="pct"/>
            <w:vMerge w:val="restart"/>
            <w:vAlign w:val="center"/>
          </w:tcPr>
          <w:p w14:paraId="1C8A2A8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采油井场</w:t>
            </w:r>
          </w:p>
        </w:tc>
        <w:tc>
          <w:tcPr>
            <w:tcW w:w="404" w:type="pct"/>
            <w:tcMar>
              <w:left w:w="0" w:type="dxa"/>
              <w:right w:w="0" w:type="dxa"/>
            </w:tcMar>
            <w:vAlign w:val="center"/>
          </w:tcPr>
          <w:p w14:paraId="7B8D20D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MHC</w:t>
            </w:r>
          </w:p>
        </w:tc>
        <w:tc>
          <w:tcPr>
            <w:tcW w:w="505" w:type="pct"/>
            <w:tcMar>
              <w:left w:w="0" w:type="dxa"/>
              <w:right w:w="0" w:type="dxa"/>
            </w:tcMar>
            <w:vAlign w:val="center"/>
          </w:tcPr>
          <w:p w14:paraId="703144EC">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0.4062</w:t>
            </w:r>
            <w:r>
              <w:rPr>
                <w:color w:val="000000" w:themeColor="text1"/>
                <w:lang w:bidi="ar"/>
                <w14:textFill>
                  <w14:solidFill>
                    <w14:schemeClr w14:val="tx1"/>
                  </w14:solidFill>
                </w14:textFill>
              </w:rPr>
              <w:t>t</w:t>
            </w:r>
            <w:r>
              <w:rPr>
                <w:rFonts w:hint="eastAsia" w:cs="宋体"/>
                <w:color w:val="000000" w:themeColor="text1"/>
                <w14:textFill>
                  <w14:solidFill>
                    <w14:schemeClr w14:val="tx1"/>
                  </w14:solidFill>
                </w14:textFill>
              </w:rPr>
              <w:t>/a</w:t>
            </w:r>
          </w:p>
        </w:tc>
        <w:tc>
          <w:tcPr>
            <w:tcW w:w="1772" w:type="pct"/>
            <w:vMerge w:val="restart"/>
            <w:tcMar>
              <w:left w:w="0" w:type="dxa"/>
              <w:right w:w="0" w:type="dxa"/>
            </w:tcMar>
            <w:vAlign w:val="center"/>
          </w:tcPr>
          <w:p w14:paraId="2D2DFEC2">
            <w:pPr>
              <w:pStyle w:val="280"/>
              <w:rPr>
                <w:rFonts w:hint="eastAsia"/>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选用质量可靠的设备、仪表、阀门等；定期对设备、阀门等检查</w:t>
            </w:r>
            <w:r>
              <w:rPr>
                <w:color w:val="000000" w:themeColor="text1"/>
                <w14:textFill>
                  <w14:solidFill>
                    <w14:schemeClr w14:val="tx1"/>
                  </w14:solidFill>
                </w14:textFill>
              </w:rPr>
              <w:t xml:space="preserve"> </w:t>
            </w:r>
          </w:p>
        </w:tc>
        <w:tc>
          <w:tcPr>
            <w:tcW w:w="769" w:type="pct"/>
            <w:tcMar>
              <w:left w:w="0" w:type="dxa"/>
              <w:right w:w="0" w:type="dxa"/>
            </w:tcMar>
            <w:vAlign w:val="center"/>
          </w:tcPr>
          <w:p w14:paraId="5893170A">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0.4062</w:t>
            </w:r>
            <w:r>
              <w:rPr>
                <w:color w:val="000000" w:themeColor="text1"/>
                <w:lang w:bidi="ar"/>
                <w14:textFill>
                  <w14:solidFill>
                    <w14:schemeClr w14:val="tx1"/>
                  </w14:solidFill>
                </w14:textFill>
              </w:rPr>
              <w:t>t</w:t>
            </w:r>
            <w:r>
              <w:rPr>
                <w:rFonts w:hint="eastAsia" w:cs="宋体"/>
                <w:color w:val="000000" w:themeColor="text1"/>
                <w14:textFill>
                  <w14:solidFill>
                    <w14:schemeClr w14:val="tx1"/>
                  </w14:solidFill>
                </w14:textFill>
              </w:rPr>
              <w:t>/a</w:t>
            </w:r>
          </w:p>
        </w:tc>
        <w:tc>
          <w:tcPr>
            <w:tcW w:w="839" w:type="pct"/>
            <w:tcMar>
              <w:left w:w="0" w:type="dxa"/>
              <w:right w:w="0" w:type="dxa"/>
            </w:tcMar>
            <w:vAlign w:val="center"/>
          </w:tcPr>
          <w:p w14:paraId="1DE7CE2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r w14:paraId="73DE2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vMerge w:val="continue"/>
            <w:tcMar>
              <w:left w:w="0" w:type="dxa"/>
              <w:right w:w="0" w:type="dxa"/>
            </w:tcMar>
            <w:vAlign w:val="center"/>
          </w:tcPr>
          <w:p w14:paraId="249D7561">
            <w:pPr>
              <w:pStyle w:val="280"/>
              <w:rPr>
                <w:rFonts w:hint="eastAsia"/>
                <w:color w:val="000000" w:themeColor="text1"/>
                <w14:textFill>
                  <w14:solidFill>
                    <w14:schemeClr w14:val="tx1"/>
                  </w14:solidFill>
                </w14:textFill>
              </w:rPr>
            </w:pPr>
          </w:p>
        </w:tc>
        <w:tc>
          <w:tcPr>
            <w:tcW w:w="482" w:type="pct"/>
            <w:vMerge w:val="continue"/>
            <w:vAlign w:val="center"/>
          </w:tcPr>
          <w:p w14:paraId="47ACBF83">
            <w:pPr>
              <w:pStyle w:val="280"/>
              <w:rPr>
                <w:rFonts w:hint="eastAsia"/>
                <w:color w:val="000000" w:themeColor="text1"/>
                <w14:textFill>
                  <w14:solidFill>
                    <w14:schemeClr w14:val="tx1"/>
                  </w14:solidFill>
                </w14:textFill>
              </w:rPr>
            </w:pPr>
          </w:p>
        </w:tc>
        <w:tc>
          <w:tcPr>
            <w:tcW w:w="404" w:type="pct"/>
            <w:tcMar>
              <w:left w:w="0" w:type="dxa"/>
              <w:right w:w="0" w:type="dxa"/>
            </w:tcMar>
            <w:vAlign w:val="center"/>
          </w:tcPr>
          <w:p w14:paraId="493BE40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505" w:type="pct"/>
            <w:tcMar>
              <w:left w:w="0" w:type="dxa"/>
              <w:right w:w="0" w:type="dxa"/>
            </w:tcMar>
            <w:vAlign w:val="center"/>
          </w:tcPr>
          <w:p w14:paraId="19A889F0">
            <w:pPr>
              <w:pStyle w:val="280"/>
              <w:rPr>
                <w:rFonts w:hint="eastAsia" w:eastAsia="宋体"/>
                <w:color w:val="000000" w:themeColor="text1"/>
                <w:lang w:eastAsia="zh-CN"/>
                <w14:textFill>
                  <w14:solidFill>
                    <w14:schemeClr w14:val="tx1"/>
                  </w14:solidFill>
                </w14:textFill>
              </w:rPr>
            </w:pPr>
            <w:r>
              <w:rPr>
                <w:rFonts w:hint="eastAsia"/>
                <w:color w:val="000000" w:themeColor="text1"/>
                <w:lang w:eastAsia="zh-CN" w:bidi="ar"/>
                <w14:textFill>
                  <w14:solidFill>
                    <w14:schemeClr w14:val="tx1"/>
                  </w14:solidFill>
                </w14:textFill>
              </w:rPr>
              <w:t>0.0653g/a</w:t>
            </w:r>
          </w:p>
        </w:tc>
        <w:tc>
          <w:tcPr>
            <w:tcW w:w="1772" w:type="pct"/>
            <w:vMerge w:val="continue"/>
            <w:tcMar>
              <w:left w:w="0" w:type="dxa"/>
              <w:right w:w="0" w:type="dxa"/>
            </w:tcMar>
            <w:vAlign w:val="center"/>
          </w:tcPr>
          <w:p w14:paraId="71C06D0A">
            <w:pPr>
              <w:pStyle w:val="280"/>
              <w:rPr>
                <w:rFonts w:hint="eastAsia"/>
                <w:snapToGrid w:val="0"/>
                <w:color w:val="000000" w:themeColor="text1"/>
                <w14:textFill>
                  <w14:solidFill>
                    <w14:schemeClr w14:val="tx1"/>
                  </w14:solidFill>
                </w14:textFill>
              </w:rPr>
            </w:pPr>
          </w:p>
        </w:tc>
        <w:tc>
          <w:tcPr>
            <w:tcW w:w="769" w:type="pct"/>
            <w:tcMar>
              <w:left w:w="0" w:type="dxa"/>
              <w:right w:w="0" w:type="dxa"/>
            </w:tcMar>
            <w:vAlign w:val="center"/>
          </w:tcPr>
          <w:p w14:paraId="7E2402F4">
            <w:pPr>
              <w:pStyle w:val="280"/>
              <w:rPr>
                <w:rFonts w:hint="eastAsia" w:eastAsia="宋体"/>
                <w:color w:val="000000" w:themeColor="text1"/>
                <w:lang w:eastAsia="zh-CN"/>
                <w14:textFill>
                  <w14:solidFill>
                    <w14:schemeClr w14:val="tx1"/>
                  </w14:solidFill>
                </w14:textFill>
              </w:rPr>
            </w:pPr>
            <w:r>
              <w:rPr>
                <w:rFonts w:hint="eastAsia"/>
                <w:color w:val="000000" w:themeColor="text1"/>
                <w:lang w:eastAsia="zh-CN" w:bidi="ar"/>
                <w14:textFill>
                  <w14:solidFill>
                    <w14:schemeClr w14:val="tx1"/>
                  </w14:solidFill>
                </w14:textFill>
              </w:rPr>
              <w:t>0.0653g/a</w:t>
            </w:r>
          </w:p>
        </w:tc>
        <w:tc>
          <w:tcPr>
            <w:tcW w:w="839" w:type="pct"/>
            <w:tcMar>
              <w:left w:w="0" w:type="dxa"/>
              <w:right w:w="0" w:type="dxa"/>
            </w:tcMar>
            <w:vAlign w:val="center"/>
          </w:tcPr>
          <w:p w14:paraId="469241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0.06</w:t>
            </w:r>
          </w:p>
        </w:tc>
      </w:tr>
    </w:tbl>
    <w:p w14:paraId="2BE8B656">
      <w:pPr>
        <w:pStyle w:val="19"/>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2  </w:t>
      </w:r>
      <w:r>
        <w:rPr>
          <w:rFonts w:hint="eastAsia"/>
          <w:color w:val="000000" w:themeColor="text1"/>
          <w14:textFill>
            <w14:solidFill>
              <w14:schemeClr w14:val="tx1"/>
            </w14:solidFill>
          </w14:textFill>
        </w:rPr>
        <w:t>噪声、废水及固废等污染物排放清单</w:t>
      </w:r>
    </w:p>
    <w:tbl>
      <w:tblPr>
        <w:tblStyle w:val="51"/>
        <w:tblW w:w="496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2915"/>
        <w:gridCol w:w="3842"/>
        <w:gridCol w:w="1840"/>
        <w:gridCol w:w="2695"/>
        <w:gridCol w:w="1952"/>
      </w:tblGrid>
      <w:tr w14:paraId="19B36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87" w:type="pct"/>
            <w:gridSpan w:val="2"/>
            <w:vAlign w:val="center"/>
          </w:tcPr>
          <w:p w14:paraId="19A7C1E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1380" w:type="pct"/>
            <w:vAlign w:val="center"/>
          </w:tcPr>
          <w:p w14:paraId="53C6B1C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环保措施</w:t>
            </w:r>
          </w:p>
        </w:tc>
        <w:tc>
          <w:tcPr>
            <w:tcW w:w="661" w:type="pct"/>
            <w:vAlign w:val="center"/>
          </w:tcPr>
          <w:p w14:paraId="089E16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运行参数</w:t>
            </w:r>
          </w:p>
        </w:tc>
        <w:tc>
          <w:tcPr>
            <w:tcW w:w="968" w:type="pct"/>
            <w:vAlign w:val="center"/>
          </w:tcPr>
          <w:p w14:paraId="33C2A6E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701" w:type="pct"/>
            <w:vAlign w:val="center"/>
          </w:tcPr>
          <w:p w14:paraId="4D88F1D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排放标准</w:t>
            </w:r>
          </w:p>
        </w:tc>
      </w:tr>
      <w:tr w14:paraId="69501A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0" w:type="pct"/>
            <w:vAlign w:val="center"/>
          </w:tcPr>
          <w:p w14:paraId="11E54967">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噪声</w:t>
            </w:r>
          </w:p>
        </w:tc>
        <w:tc>
          <w:tcPr>
            <w:tcW w:w="1047" w:type="pct"/>
            <w:vAlign w:val="center"/>
          </w:tcPr>
          <w:p w14:paraId="243DAAF8">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设备噪声</w:t>
            </w:r>
          </w:p>
        </w:tc>
        <w:tc>
          <w:tcPr>
            <w:tcW w:w="1380" w:type="pct"/>
            <w:vAlign w:val="center"/>
          </w:tcPr>
          <w:p w14:paraId="6CD4A88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选用低噪声设备+</w:t>
            </w:r>
            <w:r>
              <w:rPr>
                <w:rFonts w:hint="eastAsia"/>
                <w:color w:val="000000" w:themeColor="text1"/>
                <w14:textFill>
                  <w14:solidFill>
                    <w14:schemeClr w14:val="tx1"/>
                  </w14:solidFill>
                </w14:textFill>
              </w:rPr>
              <w:t>加防振垫</w:t>
            </w:r>
            <w:r>
              <w:rPr>
                <w:color w:val="000000" w:themeColor="text1"/>
                <w14:textFill>
                  <w14:solidFill>
                    <w14:schemeClr w14:val="tx1"/>
                  </w14:solidFill>
                </w14:textFill>
              </w:rPr>
              <w:t>+基础减震等</w:t>
            </w:r>
          </w:p>
        </w:tc>
        <w:tc>
          <w:tcPr>
            <w:tcW w:w="661" w:type="pct"/>
            <w:vAlign w:val="center"/>
          </w:tcPr>
          <w:p w14:paraId="35536631">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85</w:t>
            </w:r>
            <w:r>
              <w:rPr>
                <w:rFonts w:hint="eastAsia"/>
                <w:color w:val="000000" w:themeColor="text1"/>
                <w14:textFill>
                  <w14:solidFill>
                    <w14:schemeClr w14:val="tx1"/>
                  </w14:solidFill>
                </w14:textFill>
              </w:rPr>
              <w:t>～90</w:t>
            </w:r>
            <w:r>
              <w:rPr>
                <w:color w:val="000000" w:themeColor="text1"/>
                <w14:textFill>
                  <w14:solidFill>
                    <w14:schemeClr w14:val="tx1"/>
                  </w14:solidFill>
                </w14:textFill>
              </w:rPr>
              <w:t>dB</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p>
        </w:tc>
        <w:tc>
          <w:tcPr>
            <w:tcW w:w="968" w:type="pct"/>
            <w:vAlign w:val="center"/>
          </w:tcPr>
          <w:p w14:paraId="5B8443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701" w:type="pct"/>
            <w:vAlign w:val="center"/>
          </w:tcPr>
          <w:p w14:paraId="7C1FC186">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昼60dB（A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夜50dB（A</w:t>
            </w:r>
            <w:r>
              <w:rPr>
                <w:rFonts w:hint="eastAsia"/>
                <w:color w:val="000000" w:themeColor="text1"/>
                <w14:textFill>
                  <w14:solidFill>
                    <w14:schemeClr w14:val="tx1"/>
                  </w14:solidFill>
                </w14:textFill>
              </w:rPr>
              <w:t>）</w:t>
            </w:r>
          </w:p>
        </w:tc>
      </w:tr>
      <w:tr w14:paraId="224110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0" w:type="pct"/>
            <w:vMerge w:val="restart"/>
            <w:vAlign w:val="center"/>
          </w:tcPr>
          <w:p w14:paraId="4126E46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047" w:type="pct"/>
            <w:vAlign w:val="center"/>
          </w:tcPr>
          <w:p w14:paraId="0C15DE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洗井废水</w:t>
            </w:r>
          </w:p>
        </w:tc>
        <w:tc>
          <w:tcPr>
            <w:tcW w:w="1380" w:type="pct"/>
            <w:vMerge w:val="restart"/>
            <w:vAlign w:val="center"/>
          </w:tcPr>
          <w:p w14:paraId="3E0B50D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罐车拉运至吉祥联合站采出水处理系统处理</w:t>
            </w:r>
          </w:p>
        </w:tc>
        <w:tc>
          <w:tcPr>
            <w:tcW w:w="661" w:type="pct"/>
            <w:vAlign w:val="center"/>
          </w:tcPr>
          <w:p w14:paraId="5329D77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968" w:type="pct"/>
            <w:vAlign w:val="center"/>
          </w:tcPr>
          <w:p w14:paraId="073CF9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化学需氧量、石油类</w:t>
            </w:r>
          </w:p>
        </w:tc>
        <w:tc>
          <w:tcPr>
            <w:tcW w:w="701" w:type="pct"/>
            <w:vAlign w:val="center"/>
          </w:tcPr>
          <w:p w14:paraId="49321AF5">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306A5A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0" w:type="pct"/>
            <w:vMerge w:val="continue"/>
            <w:vAlign w:val="center"/>
          </w:tcPr>
          <w:p w14:paraId="3527D258">
            <w:pPr>
              <w:pStyle w:val="280"/>
              <w:rPr>
                <w:rFonts w:hint="eastAsia"/>
                <w:color w:val="000000" w:themeColor="text1"/>
                <w14:textFill>
                  <w14:solidFill>
                    <w14:schemeClr w14:val="tx1"/>
                  </w14:solidFill>
                </w14:textFill>
              </w:rPr>
            </w:pPr>
          </w:p>
        </w:tc>
        <w:tc>
          <w:tcPr>
            <w:tcW w:w="1047" w:type="pct"/>
            <w:vAlign w:val="center"/>
          </w:tcPr>
          <w:p w14:paraId="53BD5C5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压裂返排液</w:t>
            </w:r>
          </w:p>
        </w:tc>
        <w:tc>
          <w:tcPr>
            <w:tcW w:w="1380" w:type="pct"/>
            <w:vMerge w:val="continue"/>
            <w:vAlign w:val="center"/>
          </w:tcPr>
          <w:p w14:paraId="228CAF21">
            <w:pPr>
              <w:pStyle w:val="280"/>
              <w:rPr>
                <w:rFonts w:hint="eastAsia"/>
                <w:color w:val="000000" w:themeColor="text1"/>
                <w14:textFill>
                  <w14:solidFill>
                    <w14:schemeClr w14:val="tx1"/>
                  </w14:solidFill>
                </w14:textFill>
              </w:rPr>
            </w:pPr>
          </w:p>
        </w:tc>
        <w:tc>
          <w:tcPr>
            <w:tcW w:w="661" w:type="pct"/>
            <w:vAlign w:val="center"/>
          </w:tcPr>
          <w:p w14:paraId="0A2754F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959.52m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968" w:type="pct"/>
            <w:vAlign w:val="center"/>
          </w:tcPr>
          <w:p w14:paraId="21F24DC3">
            <w:pPr>
              <w:pStyle w:val="280"/>
              <w:rPr>
                <w:rFonts w:hint="eastAsia"/>
                <w:color w:val="000000" w:themeColor="text1"/>
                <w14:textFill>
                  <w14:solidFill>
                    <w14:schemeClr w14:val="tx1"/>
                  </w14:solidFill>
                </w14:textFill>
              </w:rPr>
            </w:pPr>
            <w:r>
              <w:rPr>
                <w:rFonts w:hint="eastAsia" w:cs="宋体"/>
                <w:color w:val="000000" w:themeColor="text1"/>
                <w14:textFill>
                  <w14:solidFill>
                    <w14:schemeClr w14:val="tx1"/>
                  </w14:solidFill>
                </w14:textFill>
              </w:rPr>
              <w:t>石油类</w:t>
            </w:r>
            <w:r>
              <w:rPr>
                <w:rFonts w:hint="eastAsia"/>
                <w:color w:val="000000" w:themeColor="text1"/>
                <w:kern w:val="2"/>
                <w14:textFill>
                  <w14:solidFill>
                    <w14:schemeClr w14:val="tx1"/>
                  </w14:solidFill>
                </w14:textFill>
              </w:rPr>
              <w:t>、悬浮物</w:t>
            </w:r>
          </w:p>
        </w:tc>
        <w:tc>
          <w:tcPr>
            <w:tcW w:w="701" w:type="pct"/>
            <w:vAlign w:val="center"/>
          </w:tcPr>
          <w:p w14:paraId="679DEBC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167715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0" w:type="pct"/>
            <w:vMerge w:val="continue"/>
            <w:tcBorders>
              <w:bottom w:val="single" w:color="auto" w:sz="4" w:space="0"/>
            </w:tcBorders>
            <w:vAlign w:val="center"/>
          </w:tcPr>
          <w:p w14:paraId="7B30F911">
            <w:pPr>
              <w:pStyle w:val="280"/>
              <w:rPr>
                <w:rFonts w:hint="eastAsia"/>
                <w:color w:val="000000" w:themeColor="text1"/>
                <w14:textFill>
                  <w14:solidFill>
                    <w14:schemeClr w14:val="tx1"/>
                  </w14:solidFill>
                </w14:textFill>
              </w:rPr>
            </w:pPr>
          </w:p>
        </w:tc>
        <w:tc>
          <w:tcPr>
            <w:tcW w:w="1047" w:type="pct"/>
            <w:vAlign w:val="center"/>
          </w:tcPr>
          <w:p w14:paraId="20CFEF9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废洗井液</w:t>
            </w:r>
          </w:p>
        </w:tc>
        <w:tc>
          <w:tcPr>
            <w:tcW w:w="1380" w:type="pct"/>
            <w:vMerge w:val="continue"/>
            <w:vAlign w:val="center"/>
          </w:tcPr>
          <w:p w14:paraId="642876B5">
            <w:pPr>
              <w:pStyle w:val="280"/>
              <w:rPr>
                <w:rFonts w:hint="eastAsia"/>
                <w:color w:val="000000" w:themeColor="text1"/>
                <w14:textFill>
                  <w14:solidFill>
                    <w14:schemeClr w14:val="tx1"/>
                  </w14:solidFill>
                </w14:textFill>
              </w:rPr>
            </w:pPr>
          </w:p>
        </w:tc>
        <w:tc>
          <w:tcPr>
            <w:tcW w:w="661" w:type="pct"/>
            <w:vAlign w:val="center"/>
          </w:tcPr>
          <w:p w14:paraId="7F5EF6A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202.32t/a</w:t>
            </w:r>
          </w:p>
        </w:tc>
        <w:tc>
          <w:tcPr>
            <w:tcW w:w="968" w:type="pct"/>
            <w:vAlign w:val="center"/>
          </w:tcPr>
          <w:p w14:paraId="792A9E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石油类、悬浮物</w:t>
            </w:r>
          </w:p>
        </w:tc>
        <w:tc>
          <w:tcPr>
            <w:tcW w:w="701" w:type="pct"/>
            <w:vAlign w:val="center"/>
          </w:tcPr>
          <w:p w14:paraId="7304B3E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0EDDB6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0" w:type="pct"/>
            <w:vMerge w:val="restart"/>
            <w:vAlign w:val="center"/>
          </w:tcPr>
          <w:p w14:paraId="7186E5C2">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固体</w:t>
            </w:r>
          </w:p>
          <w:p w14:paraId="5F293CDC">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废物</w:t>
            </w:r>
          </w:p>
        </w:tc>
        <w:tc>
          <w:tcPr>
            <w:tcW w:w="1047" w:type="pct"/>
            <w:vAlign w:val="center"/>
          </w:tcPr>
          <w:p w14:paraId="4C10A7A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w:t>
            </w:r>
          </w:p>
        </w:tc>
        <w:tc>
          <w:tcPr>
            <w:tcW w:w="1380" w:type="pct"/>
            <w:vMerge w:val="restart"/>
            <w:vAlign w:val="center"/>
          </w:tcPr>
          <w:p w14:paraId="35FC827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集中收集后交由有相应危险废物处置资质的单位回收处置</w:t>
            </w:r>
          </w:p>
        </w:tc>
        <w:tc>
          <w:tcPr>
            <w:tcW w:w="661" w:type="pct"/>
            <w:vAlign w:val="center"/>
          </w:tcPr>
          <w:p w14:paraId="3324FB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0.4t</w:t>
            </w:r>
            <w:r>
              <w:rPr>
                <w:color w:val="000000" w:themeColor="text1"/>
                <w14:textFill>
                  <w14:solidFill>
                    <w14:schemeClr w14:val="tx1"/>
                  </w14:solidFill>
                </w14:textFill>
              </w:rPr>
              <w:t>/a</w:t>
            </w:r>
          </w:p>
        </w:tc>
        <w:tc>
          <w:tcPr>
            <w:tcW w:w="968" w:type="pct"/>
            <w:vAlign w:val="center"/>
          </w:tcPr>
          <w:p w14:paraId="2CD3032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701" w:type="pct"/>
            <w:vAlign w:val="center"/>
          </w:tcPr>
          <w:p w14:paraId="362D9C9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2A47D3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0" w:type="pct"/>
            <w:vMerge w:val="continue"/>
            <w:vAlign w:val="center"/>
          </w:tcPr>
          <w:p w14:paraId="6AA2F4AD">
            <w:pPr>
              <w:pStyle w:val="280"/>
              <w:rPr>
                <w:rFonts w:hint="eastAsia"/>
                <w:color w:val="000000" w:themeColor="text1"/>
                <w14:textFill>
                  <w14:solidFill>
                    <w14:schemeClr w14:val="tx1"/>
                  </w14:solidFill>
                </w14:textFill>
              </w:rPr>
            </w:pPr>
          </w:p>
        </w:tc>
        <w:tc>
          <w:tcPr>
            <w:tcW w:w="1047" w:type="pct"/>
            <w:vAlign w:val="center"/>
          </w:tcPr>
          <w:p w14:paraId="089175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废润滑油桶</w:t>
            </w:r>
          </w:p>
        </w:tc>
        <w:tc>
          <w:tcPr>
            <w:tcW w:w="1380" w:type="pct"/>
            <w:vMerge w:val="continue"/>
            <w:vAlign w:val="center"/>
          </w:tcPr>
          <w:p w14:paraId="4F4C0160">
            <w:pPr>
              <w:pStyle w:val="280"/>
              <w:rPr>
                <w:rFonts w:hint="eastAsia"/>
                <w:color w:val="000000" w:themeColor="text1"/>
                <w14:textFill>
                  <w14:solidFill>
                    <w14:schemeClr w14:val="tx1"/>
                  </w14:solidFill>
                </w14:textFill>
              </w:rPr>
            </w:pPr>
          </w:p>
        </w:tc>
        <w:tc>
          <w:tcPr>
            <w:tcW w:w="661" w:type="pct"/>
            <w:vAlign w:val="center"/>
          </w:tcPr>
          <w:p w14:paraId="31DD93A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0.04t</w:t>
            </w:r>
            <w:r>
              <w:rPr>
                <w:color w:val="000000" w:themeColor="text1"/>
                <w14:textFill>
                  <w14:solidFill>
                    <w14:schemeClr w14:val="tx1"/>
                  </w14:solidFill>
                </w14:textFill>
              </w:rPr>
              <w:t>/a</w:t>
            </w:r>
          </w:p>
        </w:tc>
        <w:tc>
          <w:tcPr>
            <w:tcW w:w="968" w:type="pct"/>
            <w:vAlign w:val="center"/>
          </w:tcPr>
          <w:p w14:paraId="1C75FDA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701" w:type="pct"/>
            <w:vAlign w:val="center"/>
          </w:tcPr>
          <w:p w14:paraId="758FD769">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52EDA2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0" w:type="pct"/>
            <w:vMerge w:val="continue"/>
            <w:vAlign w:val="center"/>
          </w:tcPr>
          <w:p w14:paraId="2093494A">
            <w:pPr>
              <w:pStyle w:val="280"/>
              <w:rPr>
                <w:rFonts w:hint="eastAsia"/>
                <w:color w:val="000000" w:themeColor="text1"/>
                <w14:textFill>
                  <w14:solidFill>
                    <w14:schemeClr w14:val="tx1"/>
                  </w14:solidFill>
                </w14:textFill>
              </w:rPr>
            </w:pPr>
          </w:p>
        </w:tc>
        <w:tc>
          <w:tcPr>
            <w:tcW w:w="1047" w:type="pct"/>
            <w:vAlign w:val="center"/>
          </w:tcPr>
          <w:p w14:paraId="4D6F5BD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废含油抹布和劳保用品</w:t>
            </w:r>
          </w:p>
        </w:tc>
        <w:tc>
          <w:tcPr>
            <w:tcW w:w="1380" w:type="pct"/>
            <w:vMerge w:val="continue"/>
            <w:vAlign w:val="center"/>
          </w:tcPr>
          <w:p w14:paraId="4424587F">
            <w:pPr>
              <w:pStyle w:val="280"/>
              <w:rPr>
                <w:rFonts w:hint="eastAsia"/>
                <w:color w:val="000000" w:themeColor="text1"/>
                <w14:textFill>
                  <w14:solidFill>
                    <w14:schemeClr w14:val="tx1"/>
                  </w14:solidFill>
                </w14:textFill>
              </w:rPr>
            </w:pPr>
          </w:p>
        </w:tc>
        <w:tc>
          <w:tcPr>
            <w:tcW w:w="661" w:type="pct"/>
            <w:vAlign w:val="center"/>
          </w:tcPr>
          <w:p w14:paraId="4163DBD9">
            <w:pPr>
              <w:pStyle w:val="28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0.42</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/a</w:t>
            </w:r>
          </w:p>
        </w:tc>
        <w:tc>
          <w:tcPr>
            <w:tcW w:w="968" w:type="pct"/>
            <w:vAlign w:val="center"/>
          </w:tcPr>
          <w:p w14:paraId="2EF5FA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701" w:type="pct"/>
            <w:vAlign w:val="center"/>
          </w:tcPr>
          <w:p w14:paraId="2D8E9B6E">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68DBF0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0" w:type="pct"/>
            <w:vMerge w:val="continue"/>
            <w:vAlign w:val="center"/>
          </w:tcPr>
          <w:p w14:paraId="0181E207">
            <w:pPr>
              <w:pStyle w:val="280"/>
              <w:rPr>
                <w:rFonts w:hint="eastAsia"/>
                <w:color w:val="000000" w:themeColor="text1"/>
                <w14:textFill>
                  <w14:solidFill>
                    <w14:schemeClr w14:val="tx1"/>
                  </w14:solidFill>
                </w14:textFill>
              </w:rPr>
            </w:pPr>
          </w:p>
        </w:tc>
        <w:tc>
          <w:tcPr>
            <w:tcW w:w="1047" w:type="pct"/>
            <w:vAlign w:val="center"/>
          </w:tcPr>
          <w:p w14:paraId="6EC8E2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沾油废防渗材料</w:t>
            </w:r>
          </w:p>
        </w:tc>
        <w:tc>
          <w:tcPr>
            <w:tcW w:w="1380" w:type="pct"/>
            <w:vMerge w:val="continue"/>
            <w:vAlign w:val="center"/>
          </w:tcPr>
          <w:p w14:paraId="2B973586">
            <w:pPr>
              <w:pStyle w:val="280"/>
              <w:rPr>
                <w:rFonts w:hint="eastAsia"/>
                <w:color w:val="000000" w:themeColor="text1"/>
                <w14:textFill>
                  <w14:solidFill>
                    <w14:schemeClr w14:val="tx1"/>
                  </w14:solidFill>
                </w14:textFill>
              </w:rPr>
            </w:pPr>
          </w:p>
        </w:tc>
        <w:tc>
          <w:tcPr>
            <w:tcW w:w="661" w:type="pct"/>
            <w:vAlign w:val="center"/>
          </w:tcPr>
          <w:p w14:paraId="62ED238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0.04t</w:t>
            </w:r>
            <w:r>
              <w:rPr>
                <w:color w:val="000000" w:themeColor="text1"/>
                <w14:textFill>
                  <w14:solidFill>
                    <w14:schemeClr w14:val="tx1"/>
                  </w14:solidFill>
                </w14:textFill>
              </w:rPr>
              <w:t>/a</w:t>
            </w:r>
          </w:p>
        </w:tc>
        <w:tc>
          <w:tcPr>
            <w:tcW w:w="968" w:type="pct"/>
            <w:vAlign w:val="center"/>
          </w:tcPr>
          <w:p w14:paraId="3E78E7A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701" w:type="pct"/>
            <w:vAlign w:val="center"/>
          </w:tcPr>
          <w:p w14:paraId="3F5CDEC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bl>
    <w:p w14:paraId="58B0023D">
      <w:pPr>
        <w:pStyle w:val="120"/>
        <w:rPr>
          <w:rFonts w:hint="eastAsia"/>
          <w:color w:val="000000" w:themeColor="text1"/>
          <w14:textFill>
            <w14:solidFill>
              <w14:schemeClr w14:val="tx1"/>
            </w14:solidFill>
          </w14:textFill>
        </w:rPr>
      </w:pPr>
    </w:p>
    <w:p w14:paraId="7352CE1A">
      <w:pPr>
        <w:pStyle w:val="120"/>
        <w:rPr>
          <w:rFonts w:hint="eastAsia"/>
          <w:color w:val="000000" w:themeColor="text1"/>
          <w14:textFill>
            <w14:solidFill>
              <w14:schemeClr w14:val="tx1"/>
            </w14:solidFill>
          </w14:textFill>
        </w:rPr>
      </w:pPr>
    </w:p>
    <w:p w14:paraId="4AB9A385">
      <w:pPr>
        <w:pStyle w:val="120"/>
        <w:rPr>
          <w:rFonts w:hint="eastAsia"/>
          <w:color w:val="000000" w:themeColor="text1"/>
          <w14:textFill>
            <w14:solidFill>
              <w14:schemeClr w14:val="tx1"/>
            </w14:solidFill>
          </w14:textFill>
        </w:rPr>
        <w:sectPr>
          <w:pgSz w:w="16838" w:h="11906" w:orient="landscape"/>
          <w:pgMar w:top="1588" w:right="1418" w:bottom="1588" w:left="1418" w:header="1020" w:footer="1020" w:gutter="0"/>
          <w:cols w:space="720" w:num="1"/>
          <w:docGrid w:type="lines" w:linePitch="312" w:charSpace="0"/>
        </w:sectPr>
      </w:pPr>
    </w:p>
    <w:p w14:paraId="4EC30AB2">
      <w:pPr>
        <w:pStyle w:val="7"/>
        <w:rPr>
          <w:rFonts w:hint="eastAsia"/>
          <w:color w:val="000000" w:themeColor="text1"/>
          <w14:textFill>
            <w14:solidFill>
              <w14:schemeClr w14:val="tx1"/>
            </w14:solidFill>
          </w14:textFill>
        </w:rPr>
      </w:pPr>
      <w:bookmarkStart w:id="733" w:name="_Toc3664"/>
      <w:bookmarkStart w:id="734" w:name="_Hlk175259033"/>
      <w:r>
        <w:rPr>
          <w:rFonts w:hint="eastAsia"/>
          <w:color w:val="000000" w:themeColor="text1"/>
          <w14:textFill>
            <w14:solidFill>
              <w14:schemeClr w14:val="tx1"/>
            </w14:solidFill>
          </w14:textFill>
        </w:rPr>
        <w:t>环境监测与监控</w:t>
      </w:r>
      <w:bookmarkEnd w:id="733"/>
    </w:p>
    <w:bookmarkEnd w:id="734"/>
    <w:p w14:paraId="2B7E1F4A">
      <w:pPr>
        <w:pStyle w:val="8"/>
        <w:rPr>
          <w:rFonts w:hint="eastAsia"/>
          <w:color w:val="000000" w:themeColor="text1"/>
          <w14:textFill>
            <w14:solidFill>
              <w14:schemeClr w14:val="tx1"/>
            </w14:solidFill>
          </w14:textFill>
        </w:rPr>
      </w:pPr>
      <w:bookmarkStart w:id="735" w:name="_Hlk175265615"/>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开展环境工程现场监理</w:t>
      </w:r>
      <w:r>
        <w:rPr>
          <w:rFonts w:hint="eastAsia"/>
          <w:color w:val="000000" w:themeColor="text1"/>
          <w14:textFill>
            <w14:solidFill>
              <w14:schemeClr w14:val="tx1"/>
            </w14:solidFill>
          </w14:textFill>
        </w:rPr>
        <w:t>建议</w:t>
      </w:r>
    </w:p>
    <w:bookmarkEnd w:id="735"/>
    <w:p w14:paraId="20831E7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为减轻</w:t>
      </w:r>
      <w:r>
        <w:rPr>
          <w:color w:val="000000" w:themeColor="text1"/>
          <w14:textFill>
            <w14:solidFill>
              <w14:schemeClr w14:val="tx1"/>
            </w14:solidFill>
          </w14:textFill>
        </w:rPr>
        <w:t>对环境的影响，将环境管理制度从事后管理转变为全过程管理，建议实施环境监理。</w:t>
      </w:r>
    </w:p>
    <w:p w14:paraId="6133B69B">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由于建设单位</w:t>
      </w:r>
      <w:r>
        <w:rPr>
          <w:color w:val="000000" w:themeColor="text1"/>
          <w14:textFill>
            <w14:solidFill>
              <w14:schemeClr w14:val="tx1"/>
            </w14:solidFill>
          </w14:textFill>
        </w:rPr>
        <w:t>聘请相关环境监理</w:t>
      </w:r>
      <w:r>
        <w:rPr>
          <w:rFonts w:hint="eastAsia"/>
          <w:color w:val="000000" w:themeColor="text1"/>
          <w14:textFill>
            <w14:solidFill>
              <w14:schemeClr w14:val="tx1"/>
            </w14:solidFill>
          </w14:textFill>
        </w:rPr>
        <w:t>机构</w:t>
      </w:r>
      <w:r>
        <w:rPr>
          <w:color w:val="000000" w:themeColor="text1"/>
          <w14:textFill>
            <w14:solidFill>
              <w14:schemeClr w14:val="tx1"/>
            </w14:solidFill>
          </w14:textFill>
        </w:rPr>
        <w:t>对施工单位</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承包商、供应商和</w:t>
      </w:r>
      <w:r>
        <w:rPr>
          <w:rFonts w:hint="eastAsia"/>
          <w:color w:val="000000" w:themeColor="text1"/>
          <w14:textFill>
            <w14:solidFill>
              <w14:schemeClr w14:val="tx1"/>
            </w14:solidFill>
          </w14:textFill>
        </w:rPr>
        <w:t>中国石油新疆油田分公司</w:t>
      </w:r>
      <w:r>
        <w:rPr>
          <w:color w:val="000000" w:themeColor="text1"/>
          <w14:textFill>
            <w14:solidFill>
              <w14:schemeClr w14:val="tx1"/>
            </w14:solidFill>
          </w14:textFill>
        </w:rPr>
        <w:t>环保</w:t>
      </w:r>
      <w:r>
        <w:rPr>
          <w:rFonts w:hint="eastAsia"/>
          <w:color w:val="000000" w:themeColor="text1"/>
          <w14:textFill>
            <w14:solidFill>
              <w14:schemeClr w14:val="tx1"/>
            </w14:solidFill>
          </w14:textFill>
        </w:rPr>
        <w:t>法律法规</w:t>
      </w:r>
      <w:r>
        <w:rPr>
          <w:color w:val="000000" w:themeColor="text1"/>
          <w14:textFill>
            <w14:solidFill>
              <w14:schemeClr w14:val="tx1"/>
            </w14:solidFill>
          </w14:textFill>
        </w:rPr>
        <w:t>、制度、标准、规范的情况</w:t>
      </w:r>
      <w:r>
        <w:rPr>
          <w:rFonts w:hint="eastAsia"/>
          <w:color w:val="000000" w:themeColor="text1"/>
          <w14:textFill>
            <w14:solidFill>
              <w14:schemeClr w14:val="tx1"/>
            </w14:solidFill>
          </w14:textFill>
        </w:rPr>
        <w:t>依法</w:t>
      </w:r>
      <w:r>
        <w:rPr>
          <w:color w:val="000000" w:themeColor="text1"/>
          <w14:textFill>
            <w14:solidFill>
              <w14:schemeClr w14:val="tx1"/>
            </w14:solidFill>
          </w14:textFill>
        </w:rPr>
        <w:t>进行监督检查，特别是加强施工现场的环境监理检查工作，目的是协助建设单位落实</w:t>
      </w:r>
      <w:r>
        <w:rPr>
          <w:rFonts w:hint="eastAsia"/>
          <w:color w:val="000000" w:themeColor="text1"/>
          <w14:textFill>
            <w14:solidFill>
              <w14:schemeClr w14:val="tx1"/>
            </w14:solidFill>
          </w14:textFill>
        </w:rPr>
        <w:t>施工</w:t>
      </w:r>
      <w:r>
        <w:rPr>
          <w:color w:val="000000" w:themeColor="text1"/>
          <w14:textFill>
            <w14:solidFill>
              <w14:schemeClr w14:val="tx1"/>
            </w14:solidFill>
          </w14:textFill>
        </w:rPr>
        <w:t>期间的各项环境保护要求和施工合同中的环保规定，确保</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建设符合有关相关要求。因此</w:t>
      </w:r>
      <w:r>
        <w:rPr>
          <w:rFonts w:hint="eastAsia"/>
          <w:color w:val="000000" w:themeColor="text1"/>
          <w14:textFill>
            <w14:solidFill>
              <w14:schemeClr w14:val="tx1"/>
            </w14:solidFill>
          </w14:textFill>
        </w:rPr>
        <w:t>建议</w:t>
      </w:r>
      <w:r>
        <w:rPr>
          <w:color w:val="000000" w:themeColor="text1"/>
          <w14:textFill>
            <w14:solidFill>
              <w14:schemeClr w14:val="tx1"/>
            </w14:solidFill>
          </w14:textFill>
        </w:rPr>
        <w:t>建设单位外聘环保专业人员，对</w:t>
      </w:r>
      <w:r>
        <w:rPr>
          <w:rFonts w:hint="eastAsia"/>
          <w:color w:val="000000" w:themeColor="text1"/>
          <w14:textFill>
            <w14:solidFill>
              <w14:schemeClr w14:val="tx1"/>
            </w14:solidFill>
          </w14:textFill>
        </w:rPr>
        <w:t>各</w:t>
      </w:r>
      <w:r>
        <w:rPr>
          <w:color w:val="000000" w:themeColor="text1"/>
          <w14:textFill>
            <w14:solidFill>
              <w14:schemeClr w14:val="tx1"/>
            </w14:solidFill>
          </w14:textFill>
        </w:rPr>
        <w:t>作业</w:t>
      </w:r>
      <w:r>
        <w:rPr>
          <w:rFonts w:hint="eastAsia"/>
          <w:color w:val="000000" w:themeColor="text1"/>
          <w14:textFill>
            <w14:solidFill>
              <w14:schemeClr w14:val="tx1"/>
            </w14:solidFill>
          </w14:textFill>
        </w:rPr>
        <w:t>阶段</w:t>
      </w:r>
      <w:r>
        <w:rPr>
          <w:color w:val="000000" w:themeColor="text1"/>
          <w14:textFill>
            <w14:solidFill>
              <w14:schemeClr w14:val="tx1"/>
            </w14:solidFill>
          </w14:textFill>
        </w:rPr>
        <w:t>进行环境监理工作。</w:t>
      </w:r>
      <w:bookmarkEnd w:id="729"/>
      <w:bookmarkEnd w:id="730"/>
      <w:bookmarkEnd w:id="731"/>
    </w:p>
    <w:p w14:paraId="17F1452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监理人员要求</w:t>
      </w:r>
    </w:p>
    <w:p w14:paraId="1DF7CCA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①环境</w:t>
      </w:r>
      <w:r>
        <w:rPr>
          <w:color w:val="000000" w:themeColor="text1"/>
          <w14:textFill>
            <w14:solidFill>
              <w14:schemeClr w14:val="tx1"/>
            </w14:solidFill>
          </w14:textFill>
        </w:rPr>
        <w:t>监理人员必须具备环保专业</w:t>
      </w:r>
      <w:r>
        <w:rPr>
          <w:rFonts w:hint="eastAsia"/>
          <w:color w:val="000000" w:themeColor="text1"/>
          <w14:textFill>
            <w14:solidFill>
              <w14:schemeClr w14:val="tx1"/>
            </w14:solidFill>
          </w14:textFill>
        </w:rPr>
        <w:t>知识</w:t>
      </w:r>
      <w:r>
        <w:rPr>
          <w:color w:val="000000" w:themeColor="text1"/>
          <w14:textFill>
            <w14:solidFill>
              <w14:schemeClr w14:val="tx1"/>
            </w14:solidFill>
          </w14:textFill>
        </w:rPr>
        <w:t>，</w:t>
      </w:r>
      <w:bookmarkStart w:id="736" w:name="_Hlk33530010"/>
      <w:r>
        <w:rPr>
          <w:rFonts w:hint="eastAsia"/>
          <w:color w:val="000000" w:themeColor="text1"/>
          <w14:textFill>
            <w14:solidFill>
              <w14:schemeClr w14:val="tx1"/>
            </w14:solidFill>
          </w14:textFill>
        </w:rPr>
        <w:t>精通</w:t>
      </w:r>
      <w:r>
        <w:rPr>
          <w:color w:val="000000" w:themeColor="text1"/>
          <w14:textFill>
            <w14:solidFill>
              <w14:schemeClr w14:val="tx1"/>
            </w14:solidFill>
          </w14:textFill>
        </w:rPr>
        <w:t>国家环境</w:t>
      </w:r>
      <w:r>
        <w:rPr>
          <w:rFonts w:hint="eastAsia"/>
          <w:color w:val="000000" w:themeColor="text1"/>
          <w14:textFill>
            <w14:solidFill>
              <w14:schemeClr w14:val="tx1"/>
            </w14:solidFill>
          </w14:textFill>
        </w:rPr>
        <w:t>保护相关法律法规、标准</w:t>
      </w:r>
      <w:r>
        <w:rPr>
          <w:color w:val="000000" w:themeColor="text1"/>
          <w14:textFill>
            <w14:solidFill>
              <w14:schemeClr w14:val="tx1"/>
            </w14:solidFill>
          </w14:textFill>
        </w:rPr>
        <w:t>和政策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了解当地</w:t>
      </w:r>
      <w:bookmarkStart w:id="737" w:name="_Hlk33529977"/>
      <w:r>
        <w:rPr>
          <w:rFonts w:hint="eastAsia"/>
          <w:color w:val="000000" w:themeColor="text1"/>
          <w14:textFill>
            <w14:solidFill>
              <w14:schemeClr w14:val="tx1"/>
            </w14:solidFill>
          </w14:textFill>
        </w:rPr>
        <w:t>生态环境行政主管部门</w:t>
      </w:r>
      <w:bookmarkEnd w:id="737"/>
      <w:r>
        <w:rPr>
          <w:color w:val="000000" w:themeColor="text1"/>
          <w14:textFill>
            <w14:solidFill>
              <w14:schemeClr w14:val="tx1"/>
            </w14:solidFill>
          </w14:textFill>
        </w:rPr>
        <w:t>的</w:t>
      </w:r>
      <w:r>
        <w:rPr>
          <w:rFonts w:hint="eastAsia"/>
          <w:color w:val="000000" w:themeColor="text1"/>
          <w14:textFill>
            <w14:solidFill>
              <w14:schemeClr w14:val="tx1"/>
            </w14:solidFill>
          </w14:textFill>
        </w:rPr>
        <w:t>环保</w:t>
      </w:r>
      <w:r>
        <w:rPr>
          <w:color w:val="000000" w:themeColor="text1"/>
          <w14:textFill>
            <w14:solidFill>
              <w14:schemeClr w14:val="tx1"/>
            </w14:solidFill>
          </w14:textFill>
        </w:rPr>
        <w:t>要求</w:t>
      </w:r>
      <w:bookmarkEnd w:id="736"/>
      <w:r>
        <w:rPr>
          <w:color w:val="000000" w:themeColor="text1"/>
          <w14:textFill>
            <w14:solidFill>
              <w14:schemeClr w14:val="tx1"/>
            </w14:solidFill>
          </w14:textFill>
        </w:rPr>
        <w:t>。</w:t>
      </w:r>
    </w:p>
    <w:p w14:paraId="46720AF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②必须</w:t>
      </w:r>
      <w:r>
        <w:rPr>
          <w:color w:val="000000" w:themeColor="text1"/>
          <w14:textFill>
            <w14:solidFill>
              <w14:schemeClr w14:val="tx1"/>
            </w14:solidFill>
          </w14:textFill>
        </w:rPr>
        <w:t>接受</w:t>
      </w:r>
      <w:r>
        <w:rPr>
          <w:rFonts w:hint="eastAsia"/>
          <w:color w:val="000000" w:themeColor="text1"/>
          <w14:textFill>
            <w14:solidFill>
              <w14:schemeClr w14:val="tx1"/>
            </w14:solidFill>
          </w14:textFill>
        </w:rPr>
        <w:t>过HSE专门</w:t>
      </w:r>
      <w:r>
        <w:rPr>
          <w:color w:val="000000" w:themeColor="text1"/>
          <w14:textFill>
            <w14:solidFill>
              <w14:schemeClr w14:val="tx1"/>
            </w14:solidFill>
          </w14:textFill>
        </w:rPr>
        <w:t>培训，有较长的从事环保</w:t>
      </w:r>
      <w:r>
        <w:rPr>
          <w:rFonts w:hint="eastAsia"/>
          <w:color w:val="000000" w:themeColor="text1"/>
          <w14:textFill>
            <w14:solidFill>
              <w14:schemeClr w14:val="tx1"/>
            </w14:solidFill>
          </w14:textFill>
        </w:rPr>
        <w:t>工作经历。</w:t>
      </w:r>
    </w:p>
    <w:p w14:paraId="201A79D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③具有</w:t>
      </w:r>
      <w:r>
        <w:rPr>
          <w:color w:val="000000" w:themeColor="text1"/>
          <w14:textFill>
            <w14:solidFill>
              <w14:schemeClr w14:val="tx1"/>
            </w14:solidFill>
          </w14:textFill>
        </w:rPr>
        <w:t>一定的油</w:t>
      </w:r>
      <w:r>
        <w:rPr>
          <w:rFonts w:hint="eastAsia"/>
          <w:color w:val="000000" w:themeColor="text1"/>
          <w14:textFill>
            <w14:solidFill>
              <w14:schemeClr w14:val="tx1"/>
            </w14:solidFill>
          </w14:textFill>
        </w:rPr>
        <w:t>气</w:t>
      </w:r>
      <w:r>
        <w:rPr>
          <w:color w:val="000000" w:themeColor="text1"/>
          <w14:textFill>
            <w14:solidFill>
              <w14:schemeClr w14:val="tx1"/>
            </w14:solidFill>
          </w14:textFill>
        </w:rPr>
        <w:t>田开发和输油气管道建设的现场施工经验。</w:t>
      </w:r>
    </w:p>
    <w:p w14:paraId="32C1397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环境监理人员</w:t>
      </w:r>
      <w:r>
        <w:rPr>
          <w:color w:val="000000" w:themeColor="text1"/>
          <w14:textFill>
            <w14:solidFill>
              <w14:schemeClr w14:val="tx1"/>
            </w14:solidFill>
          </w14:textFill>
        </w:rPr>
        <w:t>主要职责</w:t>
      </w:r>
    </w:p>
    <w:p w14:paraId="39C5AC6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①监督</w:t>
      </w:r>
      <w:r>
        <w:rPr>
          <w:color w:val="000000" w:themeColor="text1"/>
          <w14:textFill>
            <w14:solidFill>
              <w14:schemeClr w14:val="tx1"/>
            </w14:solidFill>
          </w14:textFill>
        </w:rPr>
        <w:t>施工现场对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环境管理方案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的落实。</w:t>
      </w:r>
    </w:p>
    <w:p w14:paraId="6F74753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②协助HSE部门</w:t>
      </w:r>
      <w:r>
        <w:rPr>
          <w:color w:val="000000" w:themeColor="text1"/>
          <w14:textFill>
            <w14:solidFill>
              <w14:schemeClr w14:val="tx1"/>
            </w14:solidFill>
          </w14:textFill>
        </w:rPr>
        <w:t>负责人汇报环境管理现状，并</w:t>
      </w:r>
      <w:r>
        <w:rPr>
          <w:rFonts w:hint="eastAsia"/>
          <w:color w:val="000000" w:themeColor="text1"/>
          <w14:textFill>
            <w14:solidFill>
              <w14:schemeClr w14:val="tx1"/>
            </w14:solidFill>
          </w14:textFill>
        </w:rPr>
        <w:t>根据发现</w:t>
      </w:r>
      <w:r>
        <w:rPr>
          <w:color w:val="000000" w:themeColor="text1"/>
          <w14:textFill>
            <w14:solidFill>
              <w14:schemeClr w14:val="tx1"/>
            </w14:solidFill>
          </w14:textFill>
        </w:rPr>
        <w:t>的问题提出合理</w:t>
      </w:r>
      <w:r>
        <w:rPr>
          <w:rFonts w:hint="eastAsia"/>
          <w:color w:val="000000" w:themeColor="text1"/>
          <w14:textFill>
            <w14:solidFill>
              <w14:schemeClr w14:val="tx1"/>
            </w14:solidFill>
          </w14:textFill>
        </w:rPr>
        <w:t>化</w:t>
      </w:r>
      <w:r>
        <w:rPr>
          <w:color w:val="000000" w:themeColor="text1"/>
          <w14:textFill>
            <w14:solidFill>
              <w14:schemeClr w14:val="tx1"/>
            </w14:solidFill>
          </w14:textFill>
        </w:rPr>
        <w:t>建议。</w:t>
      </w:r>
    </w:p>
    <w:p w14:paraId="61C096F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③协助HSE部门</w:t>
      </w:r>
      <w:r>
        <w:rPr>
          <w:color w:val="000000" w:themeColor="text1"/>
          <w14:textFill>
            <w14:solidFill>
              <w14:schemeClr w14:val="tx1"/>
            </w14:solidFill>
          </w14:textFill>
        </w:rPr>
        <w:t>负责人</w:t>
      </w:r>
      <w:r>
        <w:rPr>
          <w:rFonts w:hint="eastAsia"/>
          <w:color w:val="000000" w:themeColor="text1"/>
          <w14:textFill>
            <w14:solidFill>
              <w14:schemeClr w14:val="tx1"/>
            </w14:solidFill>
          </w14:textFill>
        </w:rPr>
        <w:t>宣传</w:t>
      </w:r>
      <w:r>
        <w:rPr>
          <w:color w:val="000000" w:themeColor="text1"/>
          <w14:textFill>
            <w14:solidFill>
              <w14:schemeClr w14:val="tx1"/>
            </w14:solidFill>
          </w14:textFill>
        </w:rPr>
        <w:t>贯彻国家和当地</w:t>
      </w:r>
      <w:r>
        <w:rPr>
          <w:rFonts w:hint="eastAsia"/>
          <w:color w:val="000000" w:themeColor="text1"/>
          <w14:textFill>
            <w14:solidFill>
              <w14:schemeClr w14:val="tx1"/>
            </w14:solidFill>
          </w14:textFill>
        </w:rPr>
        <w:t>政府</w:t>
      </w:r>
      <w:r>
        <w:rPr>
          <w:color w:val="000000" w:themeColor="text1"/>
          <w14:textFill>
            <w14:solidFill>
              <w14:schemeClr w14:val="tx1"/>
            </w14:solidFill>
          </w14:textFill>
        </w:rPr>
        <w:t>有关</w:t>
      </w:r>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方面的</w:t>
      </w:r>
      <w:r>
        <w:rPr>
          <w:rFonts w:hint="eastAsia"/>
          <w:color w:val="000000" w:themeColor="text1"/>
          <w14:textFill>
            <w14:solidFill>
              <w14:schemeClr w14:val="tx1"/>
            </w14:solidFill>
          </w14:textFill>
        </w:rPr>
        <w:t>法律法规和政策</w:t>
      </w:r>
      <w:r>
        <w:rPr>
          <w:color w:val="000000" w:themeColor="text1"/>
          <w14:textFill>
            <w14:solidFill>
              <w14:schemeClr w14:val="tx1"/>
            </w14:solidFill>
          </w14:textFill>
        </w:rPr>
        <w:t>。</w:t>
      </w:r>
    </w:p>
    <w:p w14:paraId="346D5F1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④对HSE工作</w:t>
      </w:r>
      <w:r>
        <w:rPr>
          <w:color w:val="000000" w:themeColor="text1"/>
          <w14:textFill>
            <w14:solidFill>
              <w14:schemeClr w14:val="tx1"/>
            </w14:solidFill>
          </w14:textFill>
        </w:rPr>
        <w:t>的真实性、合法性、效益</w:t>
      </w:r>
      <w:r>
        <w:rPr>
          <w:rFonts w:hint="eastAsia"/>
          <w:color w:val="000000" w:themeColor="text1"/>
          <w14:textFill>
            <w14:solidFill>
              <w14:schemeClr w14:val="tx1"/>
            </w14:solidFill>
          </w14:textFill>
        </w:rPr>
        <w:t>性进行</w:t>
      </w:r>
      <w:r>
        <w:rPr>
          <w:color w:val="000000" w:themeColor="text1"/>
          <w14:textFill>
            <w14:solidFill>
              <w14:schemeClr w14:val="tx1"/>
            </w14:solidFill>
          </w14:textFill>
        </w:rPr>
        <w:t>审查，评价其责任，并提出</w:t>
      </w:r>
      <w:r>
        <w:rPr>
          <w:rFonts w:hint="eastAsia"/>
          <w:color w:val="000000" w:themeColor="text1"/>
          <w14:textFill>
            <w14:solidFill>
              <w14:schemeClr w14:val="tx1"/>
            </w14:solidFill>
          </w14:textFill>
        </w:rPr>
        <w:t>改进</w:t>
      </w:r>
      <w:r>
        <w:rPr>
          <w:color w:val="000000" w:themeColor="text1"/>
          <w14:textFill>
            <w14:solidFill>
              <w14:schemeClr w14:val="tx1"/>
            </w14:solidFill>
          </w14:textFill>
        </w:rPr>
        <w:t>意见</w:t>
      </w:r>
      <w:r>
        <w:rPr>
          <w:rFonts w:hint="eastAsia"/>
          <w:color w:val="000000" w:themeColor="text1"/>
          <w14:textFill>
            <w14:solidFill>
              <w14:schemeClr w14:val="tx1"/>
            </w14:solidFill>
          </w14:textFill>
        </w:rPr>
        <w:t>。</w:t>
      </w:r>
    </w:p>
    <w:p w14:paraId="62E701B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监理工作计划</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重点</w:t>
      </w:r>
      <w:r>
        <w:rPr>
          <w:rFonts w:hint="eastAsia"/>
          <w:color w:val="000000" w:themeColor="text1"/>
          <w14:textFill>
            <w14:solidFill>
              <w14:schemeClr w14:val="tx1"/>
            </w14:solidFill>
          </w14:textFill>
        </w:rPr>
        <w:t>见表</w:t>
      </w:r>
      <w:r>
        <w:rPr>
          <w:color w:val="000000" w:themeColor="text1"/>
          <w14:textFill>
            <w14:solidFill>
              <w14:schemeClr w14:val="tx1"/>
            </w14:solidFill>
          </w14:textFill>
        </w:rPr>
        <w:t>7.5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p>
    <w:p w14:paraId="533A11C3">
      <w:pPr>
        <w:pStyle w:val="11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7.5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现场</w:t>
      </w:r>
      <w:r>
        <w:rPr>
          <w:color w:val="000000" w:themeColor="text1"/>
          <w14:textFill>
            <w14:solidFill>
              <w14:schemeClr w14:val="tx1"/>
            </w14:solidFill>
          </w14:textFill>
        </w:rPr>
        <w:t>环境监理工作</w:t>
      </w:r>
      <w:r>
        <w:rPr>
          <w:rFonts w:hint="eastAsia"/>
          <w:color w:val="000000" w:themeColor="text1"/>
          <w14:textFill>
            <w14:solidFill>
              <w14:schemeClr w14:val="tx1"/>
            </w14:solidFill>
          </w14:textFill>
        </w:rPr>
        <w:t>计划</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851"/>
        <w:gridCol w:w="6095"/>
        <w:gridCol w:w="1109"/>
      </w:tblGrid>
      <w:tr w14:paraId="5C780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trPr>
        <w:tc>
          <w:tcPr>
            <w:tcW w:w="675" w:type="dxa"/>
            <w:vAlign w:val="center"/>
          </w:tcPr>
          <w:p w14:paraId="75C853D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851" w:type="dxa"/>
            <w:vAlign w:val="center"/>
          </w:tcPr>
          <w:p w14:paraId="2145051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场地</w:t>
            </w:r>
          </w:p>
        </w:tc>
        <w:tc>
          <w:tcPr>
            <w:tcW w:w="6095" w:type="dxa"/>
            <w:vAlign w:val="center"/>
          </w:tcPr>
          <w:p w14:paraId="6FE1472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监督内容</w:t>
            </w:r>
          </w:p>
        </w:tc>
        <w:tc>
          <w:tcPr>
            <w:tcW w:w="1109" w:type="dxa"/>
            <w:vAlign w:val="center"/>
          </w:tcPr>
          <w:p w14:paraId="3073906A">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监理要求</w:t>
            </w:r>
          </w:p>
        </w:tc>
      </w:tr>
      <w:tr w14:paraId="47F3EA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vAlign w:val="center"/>
          </w:tcPr>
          <w:p w14:paraId="038D0EDF">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1</w:t>
            </w:r>
          </w:p>
        </w:tc>
        <w:tc>
          <w:tcPr>
            <w:tcW w:w="851" w:type="dxa"/>
            <w:vAlign w:val="center"/>
          </w:tcPr>
          <w:p w14:paraId="558034F0">
            <w:pPr>
              <w:pStyle w:val="21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井场建设现场</w:t>
            </w:r>
          </w:p>
        </w:tc>
        <w:tc>
          <w:tcPr>
            <w:tcW w:w="6095" w:type="dxa"/>
            <w:vAlign w:val="center"/>
          </w:tcPr>
          <w:p w14:paraId="327BB04F">
            <w:pPr>
              <w:pStyle w:val="21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1）施工作业是否超越了限定范围，施工结束后，施工现场是否进行了及时清理；</w:t>
            </w:r>
          </w:p>
          <w:p w14:paraId="4E27875D">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2）废气、噪声是否达标排放，废水、固体废物是否妥善处理；</w:t>
            </w:r>
          </w:p>
          <w:p w14:paraId="5D80CB42">
            <w:pPr>
              <w:pStyle w:val="210"/>
              <w:rPr>
                <w:rFonts w:hint="eastAsia"/>
                <w:color w:val="000000" w:themeColor="text1"/>
                <w14:textFill>
                  <w14:solidFill>
                    <w14:schemeClr w14:val="tx1"/>
                  </w14:solidFill>
                </w14:textFill>
              </w:rPr>
            </w:pPr>
            <w:r>
              <w:rPr>
                <w:color w:val="000000" w:themeColor="text1"/>
                <w:lang w:bidi="ar"/>
                <w14:textFill>
                  <w14:solidFill>
                    <w14:schemeClr w14:val="tx1"/>
                  </w14:solidFill>
                </w14:textFill>
              </w:rPr>
              <w:t>3</w:t>
            </w:r>
            <w:r>
              <w:rPr>
                <w:rFonts w:hint="eastAsia"/>
                <w:color w:val="000000" w:themeColor="text1"/>
                <w:lang w:bidi="ar"/>
                <w14:textFill>
                  <w14:solidFill>
                    <w14:schemeClr w14:val="tx1"/>
                  </w14:solidFill>
                </w14:textFill>
              </w:rPr>
              <w:t>）防渗措施是否满足要求</w:t>
            </w:r>
          </w:p>
        </w:tc>
        <w:tc>
          <w:tcPr>
            <w:tcW w:w="1109" w:type="dxa"/>
            <w:vMerge w:val="restart"/>
            <w:vAlign w:val="center"/>
          </w:tcPr>
          <w:p w14:paraId="31027FF7">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环评中环保措施落实到位</w:t>
            </w:r>
          </w:p>
        </w:tc>
      </w:tr>
      <w:tr w14:paraId="12AC27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vAlign w:val="center"/>
          </w:tcPr>
          <w:p w14:paraId="736B396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851" w:type="dxa"/>
            <w:vAlign w:val="center"/>
          </w:tcPr>
          <w:p w14:paraId="73851C32">
            <w:pPr>
              <w:pStyle w:val="21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管线敷设建设现场</w:t>
            </w:r>
          </w:p>
        </w:tc>
        <w:tc>
          <w:tcPr>
            <w:tcW w:w="6095" w:type="dxa"/>
            <w:vAlign w:val="center"/>
          </w:tcPr>
          <w:p w14:paraId="5497A1F9">
            <w:pPr>
              <w:pStyle w:val="21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1）管线选线是否满足环评要求。</w:t>
            </w:r>
          </w:p>
          <w:p w14:paraId="582DB861">
            <w:pPr>
              <w:pStyle w:val="21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2）管线施工作业是否超越了施工宽度；</w:t>
            </w:r>
          </w:p>
          <w:p w14:paraId="6D0742CB">
            <w:pPr>
              <w:pStyle w:val="21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3）施工人员是否按操作规程及相关规定作业；</w:t>
            </w:r>
          </w:p>
          <w:p w14:paraId="4A9A529E">
            <w:pPr>
              <w:pStyle w:val="210"/>
              <w:rPr>
                <w:rFonts w:hint="eastAsia"/>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）施工完成后是否进行了清理、临时占地是否恢复植被</w:t>
            </w:r>
          </w:p>
        </w:tc>
        <w:tc>
          <w:tcPr>
            <w:tcW w:w="1109" w:type="dxa"/>
            <w:vMerge w:val="continue"/>
            <w:vAlign w:val="center"/>
          </w:tcPr>
          <w:p w14:paraId="1D604E65">
            <w:pPr>
              <w:pStyle w:val="210"/>
              <w:rPr>
                <w:rFonts w:hint="eastAsia"/>
                <w:color w:val="000000" w:themeColor="text1"/>
                <w14:textFill>
                  <w14:solidFill>
                    <w14:schemeClr w14:val="tx1"/>
                  </w14:solidFill>
                </w14:textFill>
              </w:rPr>
            </w:pPr>
          </w:p>
        </w:tc>
      </w:tr>
      <w:tr w14:paraId="2FF40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vAlign w:val="center"/>
          </w:tcPr>
          <w:p w14:paraId="717DA6EC">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851" w:type="dxa"/>
            <w:vAlign w:val="center"/>
          </w:tcPr>
          <w:p w14:paraId="7C799215">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c>
          <w:tcPr>
            <w:tcW w:w="6095" w:type="dxa"/>
            <w:vAlign w:val="center"/>
          </w:tcPr>
          <w:p w14:paraId="5EE634A0">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1）施工结束后是否及时清理现场、恢复地貌，是否及时采取了生态恢复和水土保持措施；</w:t>
            </w:r>
          </w:p>
          <w:p w14:paraId="407DC7D9">
            <w:pPr>
              <w:pStyle w:val="21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2）有无砍伐、破坏施工区以外的植被，有无伤害野生动物等行为</w:t>
            </w:r>
          </w:p>
        </w:tc>
        <w:tc>
          <w:tcPr>
            <w:tcW w:w="1109" w:type="dxa"/>
            <w:vMerge w:val="continue"/>
            <w:vAlign w:val="center"/>
          </w:tcPr>
          <w:p w14:paraId="3468B4FC">
            <w:pPr>
              <w:pStyle w:val="210"/>
              <w:rPr>
                <w:rFonts w:hint="eastAsia"/>
                <w:color w:val="000000" w:themeColor="text1"/>
                <w14:textFill>
                  <w14:solidFill>
                    <w14:schemeClr w14:val="tx1"/>
                  </w14:solidFill>
                </w14:textFill>
              </w:rPr>
            </w:pPr>
          </w:p>
        </w:tc>
      </w:tr>
    </w:tbl>
    <w:p w14:paraId="40223669">
      <w:pPr>
        <w:pStyle w:val="462"/>
        <w:rPr>
          <w:rFonts w:hint="eastAsia"/>
          <w:color w:val="000000" w:themeColor="text1"/>
          <w14:textFill>
            <w14:solidFill>
              <w14:schemeClr w14:val="tx1"/>
            </w14:solidFill>
          </w14:textFill>
        </w:rPr>
      </w:pPr>
      <w:bookmarkStart w:id="738" w:name="_Hlk175265630"/>
      <w:bookmarkStart w:id="739" w:name="_Hlk92205417"/>
      <w:r>
        <w:rPr>
          <w:rFonts w:hint="eastAsia"/>
          <w:color w:val="000000" w:themeColor="text1"/>
          <w14:textFill>
            <w14:solidFill>
              <w14:schemeClr w14:val="tx1"/>
            </w14:solidFill>
          </w14:textFill>
        </w:rPr>
        <w:t>（3）开展施工期生态监测，重点监测施工活动干扰下植物群落变化、重要物种的分布变化、生态质量变化等。</w:t>
      </w:r>
    </w:p>
    <w:bookmarkEnd w:id="738"/>
    <w:p w14:paraId="7B8E3A93">
      <w:pPr>
        <w:pStyle w:val="8"/>
        <w:rPr>
          <w:rFonts w:hint="eastAsia"/>
          <w:color w:val="000000" w:themeColor="text1"/>
          <w14:textFill>
            <w14:solidFill>
              <w14:schemeClr w14:val="tx1"/>
            </w14:solidFill>
          </w14:textFill>
        </w:rPr>
      </w:pPr>
      <w:bookmarkStart w:id="740" w:name="_Hlk175259075"/>
      <w:r>
        <w:rPr>
          <w:rFonts w:hint="eastAsia"/>
          <w:color w:val="000000" w:themeColor="text1"/>
          <w14:textFill>
            <w14:solidFill>
              <w14:schemeClr w14:val="tx1"/>
            </w14:solidFill>
          </w14:textFill>
        </w:rPr>
        <w:t>运营期</w:t>
      </w:r>
      <w:r>
        <w:rPr>
          <w:color w:val="000000" w:themeColor="text1"/>
          <w14:textFill>
            <w14:solidFill>
              <w14:schemeClr w14:val="tx1"/>
            </w14:solidFill>
          </w14:textFill>
        </w:rPr>
        <w:t>环境监测计划</w:t>
      </w:r>
    </w:p>
    <w:bookmarkEnd w:id="739"/>
    <w:bookmarkEnd w:id="740"/>
    <w:p w14:paraId="1A6A10D7">
      <w:pPr>
        <w:pStyle w:val="120"/>
        <w:rPr>
          <w:rFonts w:hint="eastAsia"/>
          <w:color w:val="000000" w:themeColor="text1"/>
          <w14:textFill>
            <w14:solidFill>
              <w14:schemeClr w14:val="tx1"/>
            </w14:solidFill>
          </w14:textFill>
        </w:rPr>
      </w:pPr>
      <w:bookmarkStart w:id="741" w:name="_Hlk147587863"/>
      <w:r>
        <w:rPr>
          <w:rFonts w:hint="eastAsia"/>
          <w:color w:val="000000" w:themeColor="text1"/>
          <w14:textFill>
            <w14:solidFill>
              <w14:schemeClr w14:val="tx1"/>
            </w14:solidFill>
          </w14:textFill>
        </w:rPr>
        <w:t>根据《排污单位自行监测技术指南</w:t>
      </w:r>
      <w:r>
        <w:rPr>
          <w:color w:val="000000" w:themeColor="text1"/>
          <w14:textFill>
            <w14:solidFill>
              <w14:schemeClr w14:val="tx1"/>
            </w14:solidFill>
          </w14:textFill>
        </w:rPr>
        <w:t xml:space="preserve"> 总则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HJ819-2017）</w:t>
      </w:r>
      <w:r>
        <w:rPr>
          <w:rFonts w:hint="eastAsia"/>
          <w:color w:val="000000" w:themeColor="text1"/>
          <w14:textFill>
            <w14:solidFill>
              <w14:schemeClr w14:val="tx1"/>
            </w14:solidFill>
          </w14:textFill>
        </w:rPr>
        <w:t>相关规定需</w:t>
      </w:r>
      <w:r>
        <w:rPr>
          <w:color w:val="000000" w:themeColor="text1"/>
          <w14:textFill>
            <w14:solidFill>
              <w14:schemeClr w14:val="tx1"/>
            </w14:solidFill>
          </w14:textFill>
        </w:rPr>
        <w:t>定期对</w:t>
      </w:r>
      <w:r>
        <w:rPr>
          <w:rFonts w:hint="eastAsia"/>
          <w:color w:val="000000" w:themeColor="text1"/>
          <w14:textFill>
            <w14:solidFill>
              <w14:schemeClr w14:val="tx1"/>
            </w14:solidFill>
          </w14:textFill>
        </w:rPr>
        <w:t>污染源和环境质量</w:t>
      </w:r>
      <w:r>
        <w:rPr>
          <w:color w:val="000000" w:themeColor="text1"/>
          <w14:textFill>
            <w14:solidFill>
              <w14:schemeClr w14:val="tx1"/>
            </w14:solidFill>
          </w14:textFill>
        </w:rPr>
        <w:t>进行监测</w:t>
      </w:r>
      <w:r>
        <w:rPr>
          <w:rFonts w:hint="eastAsia"/>
          <w:color w:val="000000" w:themeColor="text1"/>
          <w14:textFill>
            <w14:solidFill>
              <w14:schemeClr w14:val="tx1"/>
            </w14:solidFill>
          </w14:textFill>
        </w:rPr>
        <w:t xml:space="preserve">。《排污单位自行监测技术指南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陆上石油天然气开采业》（H</w:t>
      </w:r>
      <w:r>
        <w:rPr>
          <w:color w:val="000000" w:themeColor="text1"/>
          <w14:textFill>
            <w14:solidFill>
              <w14:schemeClr w14:val="tx1"/>
            </w14:solidFill>
          </w14:textFill>
        </w:rPr>
        <w:t>J1248-2022</w:t>
      </w:r>
      <w:r>
        <w:rPr>
          <w:rFonts w:hint="eastAsia"/>
          <w:color w:val="000000" w:themeColor="text1"/>
          <w14:textFill>
            <w14:solidFill>
              <w14:schemeClr w14:val="tx1"/>
            </w14:solidFill>
          </w14:textFill>
        </w:rPr>
        <w:t>）中规定：“①对油气集中处理站、涉及凝析油或天然气凝液的天然气处理厂、储油库、海上油气田陆岸终端的企业边界进行非甲烷总烃、硫化氢的监测；②对重点地区的油气集中处理、天然气处理厂、储油库、载有气态V</w:t>
      </w:r>
      <w:r>
        <w:rPr>
          <w:color w:val="000000" w:themeColor="text1"/>
          <w14:textFill>
            <w14:solidFill>
              <w14:schemeClr w14:val="tx1"/>
            </w14:solidFill>
          </w14:textFill>
        </w:rPr>
        <w:t>OCs</w:t>
      </w:r>
      <w:r>
        <w:rPr>
          <w:rFonts w:hint="eastAsia"/>
          <w:color w:val="000000" w:themeColor="text1"/>
          <w14:textFill>
            <w14:solidFill>
              <w14:schemeClr w14:val="tx1"/>
            </w14:solidFill>
          </w14:textFill>
        </w:rPr>
        <w:t>物料、液态V</w:t>
      </w:r>
      <w:r>
        <w:rPr>
          <w:color w:val="000000" w:themeColor="text1"/>
          <w14:textFill>
            <w14:solidFill>
              <w14:schemeClr w14:val="tx1"/>
            </w14:solidFill>
          </w14:textFill>
        </w:rPr>
        <w:t>OCs</w:t>
      </w:r>
      <w:r>
        <w:rPr>
          <w:rFonts w:hint="eastAsia"/>
          <w:color w:val="000000" w:themeColor="text1"/>
          <w14:textFill>
            <w14:solidFill>
              <w14:schemeClr w14:val="tx1"/>
            </w14:solidFill>
          </w14:textFill>
        </w:rPr>
        <w:t>物料或者质量占比≥</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%的天然气的设备与管线组件，密封点数量≥2</w:t>
      </w:r>
      <w:r>
        <w:rPr>
          <w:color w:val="000000" w:themeColor="text1"/>
          <w14:textFill>
            <w14:solidFill>
              <w14:schemeClr w14:val="tx1"/>
            </w14:solidFill>
          </w14:textFill>
        </w:rPr>
        <w:t>000</w:t>
      </w:r>
      <w:r>
        <w:rPr>
          <w:rFonts w:hint="eastAsia"/>
          <w:color w:val="000000" w:themeColor="text1"/>
          <w14:textFill>
            <w14:solidFill>
              <w14:schemeClr w14:val="tx1"/>
            </w14:solidFill>
          </w14:textFill>
        </w:rPr>
        <w:t>个的，应开展设备与管线组件密封点泄漏检测；③采油气井场、配气站、集气站（输气站）、计量站、转油站、污水处理站、配注站、放水站、注水站（回注站）、脱水站等场站内声源装置稳定运行且厂界环境噪声远低于标准限值的小型场站可不开展厂界环境噪声监测；④周边</w:t>
      </w:r>
      <w:r>
        <w:rPr>
          <w:color w:val="000000" w:themeColor="text1"/>
          <w14:textFill>
            <w14:solidFill>
              <w14:schemeClr w14:val="tx1"/>
            </w14:solidFill>
          </w14:textFill>
        </w:rPr>
        <w:t>2km</w:t>
      </w:r>
      <w:r>
        <w:rPr>
          <w:rFonts w:hint="eastAsia"/>
          <w:color w:val="000000" w:themeColor="text1"/>
          <w14:textFill>
            <w14:solidFill>
              <w14:schemeClr w14:val="tx1"/>
            </w14:solidFill>
          </w14:textFill>
        </w:rPr>
        <w:t>范围内无噪声敏感建筑物的场站，可不开展厂界环境噪声监测”。</w:t>
      </w:r>
    </w:p>
    <w:p w14:paraId="7214D04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建设内容</w:t>
      </w:r>
      <w:r>
        <w:rPr>
          <w:rFonts w:hint="eastAsia"/>
          <w:color w:val="000000" w:themeColor="text1"/>
          <w14:textFill>
            <w14:solidFill>
              <w14:schemeClr w14:val="tx1"/>
            </w14:solidFill>
          </w14:textFill>
        </w:rPr>
        <w:t>不涉及油气集中处理站、天然气处理站、储油库、海上油气田，且周围2</w:t>
      </w:r>
      <w:r>
        <w:rPr>
          <w:color w:val="000000" w:themeColor="text1"/>
          <w14:textFill>
            <w14:solidFill>
              <w14:schemeClr w14:val="tx1"/>
            </w14:solidFill>
          </w14:textFill>
        </w:rPr>
        <w:t>km</w:t>
      </w:r>
      <w:r>
        <w:rPr>
          <w:rFonts w:hint="eastAsia"/>
          <w:color w:val="000000" w:themeColor="text1"/>
          <w14:textFill>
            <w14:solidFill>
              <w14:schemeClr w14:val="tx1"/>
            </w14:solidFill>
          </w14:textFill>
        </w:rPr>
        <w:t>范围内无噪声敏感建筑物，故运营期不对井场、开展无组织废气和噪声的监测，监测计划见表7.5-2。</w:t>
      </w:r>
    </w:p>
    <w:p w14:paraId="2386711C">
      <w:pPr>
        <w:pStyle w:val="112"/>
        <w:rPr>
          <w:rFonts w:hint="eastAsia"/>
          <w:color w:val="000000" w:themeColor="text1"/>
          <w14:textFill>
            <w14:solidFill>
              <w14:schemeClr w14:val="tx1"/>
            </w14:solidFill>
          </w14:textFill>
        </w:rPr>
      </w:pPr>
      <w:bookmarkStart w:id="742" w:name="_Hlk160374412"/>
      <w:r>
        <w:rPr>
          <w:rFonts w:hint="eastAsia"/>
          <w:color w:val="000000" w:themeColor="text1"/>
          <w14:textFill>
            <w14:solidFill>
              <w14:schemeClr w14:val="tx1"/>
            </w14:solidFill>
          </w14:textFill>
        </w:rPr>
        <w:t>表7</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生态环境监测计划一览表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33"/>
        <w:gridCol w:w="608"/>
        <w:gridCol w:w="2086"/>
        <w:gridCol w:w="1985"/>
        <w:gridCol w:w="992"/>
        <w:gridCol w:w="1926"/>
      </w:tblGrid>
      <w:tr w14:paraId="34BA6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49" w:type="pct"/>
            <w:vAlign w:val="center"/>
          </w:tcPr>
          <w:p w14:paraId="77ADFFD5">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监测对象</w:t>
            </w:r>
          </w:p>
        </w:tc>
        <w:tc>
          <w:tcPr>
            <w:tcW w:w="348" w:type="pct"/>
            <w:vAlign w:val="center"/>
          </w:tcPr>
          <w:p w14:paraId="693C853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1195" w:type="pct"/>
            <w:vAlign w:val="center"/>
          </w:tcPr>
          <w:p w14:paraId="51CF6C1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监测点</w:t>
            </w:r>
          </w:p>
        </w:tc>
        <w:tc>
          <w:tcPr>
            <w:tcW w:w="1137" w:type="pct"/>
            <w:vAlign w:val="center"/>
          </w:tcPr>
          <w:p w14:paraId="1D738C46">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监测因子</w:t>
            </w:r>
          </w:p>
        </w:tc>
        <w:tc>
          <w:tcPr>
            <w:tcW w:w="568" w:type="pct"/>
            <w:vAlign w:val="center"/>
          </w:tcPr>
          <w:p w14:paraId="74D916F1">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监测频率</w:t>
            </w:r>
          </w:p>
        </w:tc>
        <w:tc>
          <w:tcPr>
            <w:tcW w:w="1103" w:type="pct"/>
            <w:vAlign w:val="center"/>
          </w:tcPr>
          <w:p w14:paraId="475220A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执行标准</w:t>
            </w:r>
          </w:p>
        </w:tc>
      </w:tr>
      <w:tr w14:paraId="4EDBB9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49" w:type="pct"/>
            <w:vAlign w:val="center"/>
          </w:tcPr>
          <w:p w14:paraId="6DA9B74D">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地下水环境</w:t>
            </w:r>
          </w:p>
        </w:tc>
        <w:tc>
          <w:tcPr>
            <w:tcW w:w="348" w:type="pct"/>
            <w:vMerge w:val="restart"/>
            <w:vAlign w:val="center"/>
          </w:tcPr>
          <w:p w14:paraId="22E9EB8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环境质量</w:t>
            </w:r>
          </w:p>
        </w:tc>
        <w:tc>
          <w:tcPr>
            <w:tcW w:w="1195" w:type="pct"/>
            <w:vAlign w:val="center"/>
          </w:tcPr>
          <w:p w14:paraId="02FE4D54">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利用下游已有水源井进行监测，一般不少于</w:t>
            </w:r>
            <w:r>
              <w:rPr>
                <w:color w:val="000000" w:themeColor="text1"/>
                <w:lang w:bidi="ar"/>
                <w14:textFill>
                  <w14:solidFill>
                    <w14:schemeClr w14:val="tx1"/>
                  </w14:solidFill>
                </w14:textFill>
              </w:rPr>
              <w:t>3</w:t>
            </w:r>
            <w:r>
              <w:rPr>
                <w:rFonts w:hint="eastAsia"/>
                <w:color w:val="000000" w:themeColor="text1"/>
                <w:lang w:bidi="ar"/>
                <w14:textFill>
                  <w14:solidFill>
                    <w14:schemeClr w14:val="tx1"/>
                  </w14:solidFill>
                </w14:textFill>
              </w:rPr>
              <w:t>个监测点，利用环境质量现状监测中的W2、W3和W4点作为地下水跟踪监测点</w:t>
            </w:r>
          </w:p>
        </w:tc>
        <w:tc>
          <w:tcPr>
            <w:tcW w:w="1998" w:type="dxa"/>
            <w:vAlign w:val="center"/>
          </w:tcPr>
          <w:p w14:paraId="70E93F78">
            <w:pPr>
              <w:kinsoku w:val="0"/>
              <w:overflowPunct w:val="0"/>
              <w:adjustRightInd w:val="0"/>
              <w:snapToGrid w:val="0"/>
              <w:spacing w:line="300" w:lineRule="exact"/>
              <w:jc w:val="center"/>
              <w:rPr>
                <w:rFonts w:hint="eastAsia"/>
                <w:color w:val="000000" w:themeColor="text1"/>
                <w:lang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pH、</w:t>
            </w:r>
            <w:r>
              <w:rPr>
                <w:rFonts w:hint="eastAsia" w:ascii="宋体" w:hAnsi="宋体" w:eastAsia="宋体" w:cs="宋体"/>
                <w:color w:val="000000" w:themeColor="text1"/>
                <w:sz w:val="21"/>
                <w:szCs w:val="21"/>
                <w:highlight w:val="none"/>
                <w14:textFill>
                  <w14:solidFill>
                    <w14:schemeClr w14:val="tx1"/>
                  </w14:solidFill>
                </w14:textFill>
              </w:rPr>
              <w:t>石油类、</w:t>
            </w:r>
            <w:r>
              <w:rPr>
                <w:rFonts w:hint="eastAsia" w:ascii="宋体" w:hAnsi="宋体" w:eastAsia="宋体" w:cs="宋体"/>
                <w:color w:val="000000" w:themeColor="text1"/>
                <w:spacing w:val="-10"/>
                <w:sz w:val="21"/>
                <w:szCs w:val="21"/>
                <w:highlight w:val="none"/>
                <w14:textFill>
                  <w14:solidFill>
                    <w14:schemeClr w14:val="tx1"/>
                  </w14:solidFill>
                </w14:textFill>
              </w:rPr>
              <w:t>石油烃（C</w:t>
            </w:r>
            <w:r>
              <w:rPr>
                <w:rFonts w:hint="eastAsia" w:ascii="宋体" w:hAnsi="宋体" w:eastAsia="宋体" w:cs="宋体"/>
                <w:color w:val="000000" w:themeColor="text1"/>
                <w:spacing w:val="-10"/>
                <w:sz w:val="21"/>
                <w:szCs w:val="21"/>
                <w:highlight w:val="none"/>
                <w:vertAlign w:val="subscript"/>
                <w14:textFill>
                  <w14:solidFill>
                    <w14:schemeClr w14:val="tx1"/>
                  </w14:solidFill>
                </w14:textFill>
              </w:rPr>
              <w:t>6</w:t>
            </w:r>
            <w:r>
              <w:rPr>
                <w:rFonts w:hint="eastAsia" w:ascii="宋体" w:hAnsi="宋体" w:eastAsia="宋体" w:cs="宋体"/>
                <w:color w:val="000000" w:themeColor="text1"/>
                <w:spacing w:val="-10"/>
                <w:sz w:val="21"/>
                <w:szCs w:val="21"/>
                <w:highlight w:val="none"/>
                <w14:textFill>
                  <w14:solidFill>
                    <w14:schemeClr w14:val="tx1"/>
                  </w14:solidFill>
                </w14:textFill>
              </w:rPr>
              <w:t>-C</w:t>
            </w:r>
            <w:r>
              <w:rPr>
                <w:rFonts w:hint="eastAsia" w:ascii="宋体" w:hAnsi="宋体" w:eastAsia="宋体" w:cs="宋体"/>
                <w:color w:val="000000" w:themeColor="text1"/>
                <w:spacing w:val="-10"/>
                <w:sz w:val="21"/>
                <w:szCs w:val="21"/>
                <w:highlight w:val="none"/>
                <w:vertAlign w:val="subscript"/>
                <w14:textFill>
                  <w14:solidFill>
                    <w14:schemeClr w14:val="tx1"/>
                  </w14:solidFill>
                </w14:textFill>
              </w:rPr>
              <w:t>9</w:t>
            </w:r>
            <w:r>
              <w:rPr>
                <w:rFonts w:hint="eastAsia" w:ascii="宋体" w:hAnsi="宋体" w:eastAsia="宋体" w:cs="宋体"/>
                <w:color w:val="000000" w:themeColor="text1"/>
                <w:spacing w:val="-10"/>
                <w:sz w:val="21"/>
                <w:szCs w:val="21"/>
                <w:highlight w:val="none"/>
                <w:lang w:eastAsia="zh-CN"/>
                <w14:textFill>
                  <w14:solidFill>
                    <w14:schemeClr w14:val="tx1"/>
                  </w14:solidFill>
                </w14:textFill>
              </w:rPr>
              <w:t>）</w:t>
            </w:r>
            <w:r>
              <w:rPr>
                <w:rFonts w:hint="eastAsia" w:ascii="宋体" w:hAnsi="宋体" w:eastAsia="宋体" w:cs="宋体"/>
                <w:color w:val="000000" w:themeColor="text1"/>
                <w:spacing w:val="-10"/>
                <w:sz w:val="21"/>
                <w:szCs w:val="21"/>
                <w:highlight w:val="none"/>
                <w14:textFill>
                  <w14:solidFill>
                    <w14:schemeClr w14:val="tx1"/>
                  </w14:solidFill>
                </w14:textFill>
              </w:rPr>
              <w:t>、石油烃（C</w:t>
            </w:r>
            <w:r>
              <w:rPr>
                <w:rFonts w:hint="eastAsia" w:ascii="宋体" w:hAnsi="宋体" w:eastAsia="宋体" w:cs="宋体"/>
                <w:color w:val="000000" w:themeColor="text1"/>
                <w:spacing w:val="-10"/>
                <w:sz w:val="21"/>
                <w:szCs w:val="21"/>
                <w:highlight w:val="none"/>
                <w:vertAlign w:val="subscript"/>
                <w14:textFill>
                  <w14:solidFill>
                    <w14:schemeClr w14:val="tx1"/>
                  </w14:solidFill>
                </w14:textFill>
              </w:rPr>
              <w:t>10</w:t>
            </w:r>
            <w:r>
              <w:rPr>
                <w:rFonts w:hint="eastAsia" w:ascii="宋体" w:hAnsi="宋体" w:eastAsia="宋体" w:cs="宋体"/>
                <w:color w:val="000000" w:themeColor="text1"/>
                <w:spacing w:val="-10"/>
                <w:sz w:val="21"/>
                <w:szCs w:val="21"/>
                <w:highlight w:val="none"/>
                <w14:textFill>
                  <w14:solidFill>
                    <w14:schemeClr w14:val="tx1"/>
                  </w14:solidFill>
                </w14:textFill>
              </w:rPr>
              <w:t>-C</w:t>
            </w:r>
            <w:r>
              <w:rPr>
                <w:rFonts w:hint="eastAsia" w:ascii="宋体" w:hAnsi="宋体" w:eastAsia="宋体" w:cs="宋体"/>
                <w:color w:val="000000" w:themeColor="text1"/>
                <w:spacing w:val="-10"/>
                <w:sz w:val="21"/>
                <w:szCs w:val="21"/>
                <w:highlight w:val="none"/>
                <w:vertAlign w:val="subscript"/>
                <w14:textFill>
                  <w14:solidFill>
                    <w14:schemeClr w14:val="tx1"/>
                  </w14:solidFill>
                </w14:textFill>
              </w:rPr>
              <w:t>40</w:t>
            </w:r>
            <w:r>
              <w:rPr>
                <w:rFonts w:hint="eastAsia" w:ascii="宋体" w:hAnsi="宋体" w:eastAsia="宋体" w:cs="宋体"/>
                <w:color w:val="000000" w:themeColor="text1"/>
                <w:spacing w:val="-10"/>
                <w:sz w:val="21"/>
                <w:szCs w:val="21"/>
                <w:highlight w:val="none"/>
                <w:lang w:eastAsia="zh-CN"/>
                <w14:textFill>
                  <w14:solidFill>
                    <w14:schemeClr w14:val="tx1"/>
                  </w14:solidFill>
                </w14:textFill>
              </w:rPr>
              <w:t>）</w:t>
            </w:r>
            <w:r>
              <w:rPr>
                <w:rFonts w:hint="eastAsia" w:ascii="宋体" w:hAnsi="宋体" w:eastAsia="宋体" w:cs="宋体"/>
                <w:color w:val="000000" w:themeColor="text1"/>
                <w:spacing w:val="-10"/>
                <w:sz w:val="21"/>
                <w:szCs w:val="21"/>
                <w:highlight w:val="none"/>
                <w14:textFill>
                  <w14:solidFill>
                    <w14:schemeClr w14:val="tx1"/>
                  </w14:solidFill>
                </w14:textFill>
              </w:rPr>
              <w:t>、砷、六价铬</w:t>
            </w:r>
          </w:p>
        </w:tc>
        <w:tc>
          <w:tcPr>
            <w:tcW w:w="998" w:type="dxa"/>
            <w:vAlign w:val="center"/>
          </w:tcPr>
          <w:p w14:paraId="3F34C207">
            <w:pPr>
              <w:kinsoku w:val="0"/>
              <w:overflowPunct w:val="0"/>
              <w:adjustRightInd w:val="0"/>
              <w:snapToGrid w:val="0"/>
              <w:spacing w:line="300" w:lineRule="exact"/>
              <w:jc w:val="center"/>
              <w:rPr>
                <w:rFonts w:hint="eastAsia"/>
                <w:color w:val="000000" w:themeColor="text1"/>
                <w:lang w:bidi="ar"/>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次/</w:t>
            </w:r>
            <w:r>
              <w:rPr>
                <w:rFonts w:hint="eastAsia" w:ascii="宋体" w:hAnsi="宋体" w:eastAsia="宋体" w:cs="宋体"/>
                <w:color w:val="000000" w:themeColor="text1"/>
                <w:sz w:val="21"/>
                <w:szCs w:val="21"/>
                <w:highlight w:val="none"/>
                <w:lang w:val="en-US" w:eastAsia="zh-CN"/>
                <w14:textFill>
                  <w14:solidFill>
                    <w14:schemeClr w14:val="tx1"/>
                  </w14:solidFill>
                </w14:textFill>
              </w:rPr>
              <w:t>半年</w:t>
            </w:r>
          </w:p>
        </w:tc>
        <w:tc>
          <w:tcPr>
            <w:tcW w:w="1103" w:type="pct"/>
            <w:vAlign w:val="center"/>
          </w:tcPr>
          <w:p w14:paraId="66045271">
            <w:pPr>
              <w:pStyle w:val="280"/>
              <w:rPr>
                <w:rFonts w:hint="eastAsia"/>
                <w:color w:val="000000" w:themeColor="text1"/>
                <w:lang w:bidi="ar"/>
                <w14:textFill>
                  <w14:solidFill>
                    <w14:schemeClr w14:val="tx1"/>
                  </w14:solidFill>
                </w14:textFill>
              </w:rPr>
            </w:pPr>
            <w:r>
              <w:rPr>
                <w:color w:val="000000" w:themeColor="text1"/>
                <w:lang w:bidi="ar"/>
                <w14:textFill>
                  <w14:solidFill>
                    <w14:schemeClr w14:val="tx1"/>
                  </w14:solidFill>
                </w14:textFill>
              </w:rPr>
              <w:t>GB/T14843-2017</w:t>
            </w:r>
            <w:r>
              <w:rPr>
                <w:rFonts w:hint="eastAsia"/>
                <w:color w:val="000000" w:themeColor="text1"/>
                <w:lang w:bidi="ar"/>
                <w14:textFill>
                  <w14:solidFill>
                    <w14:schemeClr w14:val="tx1"/>
                  </w14:solidFill>
                </w14:textFill>
              </w:rPr>
              <w:t>Ⅲ和</w:t>
            </w:r>
            <w:r>
              <w:rPr>
                <w:color w:val="000000" w:themeColor="text1"/>
                <w:lang w:bidi="ar"/>
                <w14:textFill>
                  <w14:solidFill>
                    <w14:schemeClr w14:val="tx1"/>
                  </w14:solidFill>
                </w14:textFill>
              </w:rPr>
              <w:t>GB3838-2002</w:t>
            </w:r>
            <w:r>
              <w:rPr>
                <w:rFonts w:hint="eastAsia"/>
                <w:color w:val="000000" w:themeColor="text1"/>
                <w:lang w:bidi="ar"/>
                <w14:textFill>
                  <w14:solidFill>
                    <w14:schemeClr w14:val="tx1"/>
                  </w14:solidFill>
                </w14:textFill>
              </w:rPr>
              <w:t>Ⅲ类</w:t>
            </w:r>
          </w:p>
        </w:tc>
      </w:tr>
      <w:tr w14:paraId="74B11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49" w:type="pct"/>
            <w:vAlign w:val="center"/>
          </w:tcPr>
          <w:p w14:paraId="5E61A427">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土壤环境</w:t>
            </w:r>
          </w:p>
        </w:tc>
        <w:tc>
          <w:tcPr>
            <w:tcW w:w="348" w:type="pct"/>
            <w:vMerge w:val="continue"/>
            <w:vAlign w:val="center"/>
          </w:tcPr>
          <w:p w14:paraId="62E367CC">
            <w:pPr>
              <w:pStyle w:val="280"/>
              <w:rPr>
                <w:rFonts w:hint="eastAsia"/>
                <w:color w:val="000000" w:themeColor="text1"/>
                <w14:textFill>
                  <w14:solidFill>
                    <w14:schemeClr w14:val="tx1"/>
                  </w14:solidFill>
                </w14:textFill>
              </w:rPr>
            </w:pPr>
          </w:p>
        </w:tc>
        <w:tc>
          <w:tcPr>
            <w:tcW w:w="1195" w:type="pct"/>
            <w:vAlign w:val="center"/>
          </w:tcPr>
          <w:p w14:paraId="4911F212">
            <w:pPr>
              <w:pStyle w:val="280"/>
              <w:rPr>
                <w:rFonts w:hint="eastAsia"/>
                <w:color w:val="000000" w:themeColor="text1"/>
                <w:lang w:bidi="ar"/>
                <w14:textFill>
                  <w14:solidFill>
                    <w14:schemeClr w14:val="tx1"/>
                  </w14:solidFill>
                </w14:textFill>
              </w:rPr>
            </w:pPr>
            <w:r>
              <w:rPr>
                <w:rFonts w:hint="eastAsia"/>
                <w:color w:val="000000" w:themeColor="text1"/>
                <w:kern w:val="2"/>
                <w:szCs w:val="22"/>
                <w:lang w:bidi="ar"/>
                <w14:textFill>
                  <w14:solidFill>
                    <w14:schemeClr w14:val="tx1"/>
                  </w14:solidFill>
                </w14:textFill>
              </w:rPr>
              <w:t>耕地附近的</w:t>
            </w:r>
            <w:r>
              <w:rPr>
                <w:rFonts w:hint="eastAsia"/>
                <w:color w:val="000000" w:themeColor="text1"/>
                <w:lang w:bidi="ar"/>
                <w14:textFill>
                  <w14:solidFill>
                    <w14:schemeClr w14:val="tx1"/>
                  </w14:solidFill>
                </w14:textFill>
              </w:rPr>
              <w:t>J9100A、</w:t>
            </w:r>
            <w:r>
              <w:rPr>
                <w:color w:val="000000" w:themeColor="text1"/>
                <w:lang w:bidi="ar"/>
                <w14:textFill>
                  <w14:solidFill>
                    <w14:schemeClr w14:val="tx1"/>
                  </w14:solidFill>
                </w14:textFill>
              </w:rPr>
              <w:t>JD8664A</w:t>
            </w:r>
            <w:r>
              <w:rPr>
                <w:rFonts w:hint="eastAsia"/>
                <w:color w:val="000000" w:themeColor="text1"/>
                <w:lang w:bidi="ar"/>
                <w14:textFill>
                  <w14:solidFill>
                    <w14:schemeClr w14:val="tx1"/>
                  </w14:solidFill>
                </w14:textFill>
              </w:rPr>
              <w:t>井场和典型的</w:t>
            </w:r>
            <w:r>
              <w:rPr>
                <w:rFonts w:hint="eastAsia"/>
                <w:color w:val="000000" w:themeColor="text1"/>
                <w:kern w:val="2"/>
                <w:szCs w:val="22"/>
                <w:lang w:bidi="ar"/>
                <w14:textFill>
                  <w14:solidFill>
                    <w14:schemeClr w14:val="tx1"/>
                  </w14:solidFill>
                </w14:textFill>
              </w:rPr>
              <w:t>2井式平台井井场布设1个表层样</w:t>
            </w:r>
          </w:p>
        </w:tc>
        <w:tc>
          <w:tcPr>
            <w:tcW w:w="1998" w:type="dxa"/>
            <w:vAlign w:val="center"/>
          </w:tcPr>
          <w:p w14:paraId="50808B22">
            <w:pPr>
              <w:kinsoku w:val="0"/>
              <w:overflowPunct w:val="0"/>
              <w:adjustRightInd w:val="0"/>
              <w:snapToGrid w:val="0"/>
              <w:spacing w:line="300" w:lineRule="exact"/>
              <w:jc w:val="center"/>
              <w:rPr>
                <w:rFonts w:hint="eastAsia"/>
                <w:color w:val="000000" w:themeColor="text1"/>
                <w:lang w:bidi="ar"/>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石油类、</w:t>
            </w:r>
            <w:r>
              <w:rPr>
                <w:rFonts w:hint="eastAsia" w:ascii="宋体" w:hAnsi="宋体" w:eastAsia="宋体" w:cs="宋体"/>
                <w:color w:val="000000" w:themeColor="text1"/>
                <w:spacing w:val="-10"/>
                <w:sz w:val="21"/>
                <w:szCs w:val="21"/>
                <w:highlight w:val="none"/>
                <w14:textFill>
                  <w14:solidFill>
                    <w14:schemeClr w14:val="tx1"/>
                  </w14:solidFill>
                </w14:textFill>
              </w:rPr>
              <w:t>石油烃（C</w:t>
            </w:r>
            <w:r>
              <w:rPr>
                <w:rFonts w:hint="eastAsia" w:ascii="宋体" w:hAnsi="宋体" w:eastAsia="宋体" w:cs="宋体"/>
                <w:color w:val="000000" w:themeColor="text1"/>
                <w:spacing w:val="-10"/>
                <w:sz w:val="21"/>
                <w:szCs w:val="21"/>
                <w:highlight w:val="none"/>
                <w:vertAlign w:val="subscript"/>
                <w14:textFill>
                  <w14:solidFill>
                    <w14:schemeClr w14:val="tx1"/>
                  </w14:solidFill>
                </w14:textFill>
              </w:rPr>
              <w:t>6</w:t>
            </w:r>
            <w:r>
              <w:rPr>
                <w:rFonts w:hint="eastAsia" w:ascii="宋体" w:hAnsi="宋体" w:eastAsia="宋体" w:cs="宋体"/>
                <w:color w:val="000000" w:themeColor="text1"/>
                <w:spacing w:val="-10"/>
                <w:sz w:val="21"/>
                <w:szCs w:val="21"/>
                <w:highlight w:val="none"/>
                <w14:textFill>
                  <w14:solidFill>
                    <w14:schemeClr w14:val="tx1"/>
                  </w14:solidFill>
                </w14:textFill>
              </w:rPr>
              <w:t>-C</w:t>
            </w:r>
            <w:r>
              <w:rPr>
                <w:rFonts w:hint="eastAsia" w:ascii="宋体" w:hAnsi="宋体" w:eastAsia="宋体" w:cs="宋体"/>
                <w:color w:val="000000" w:themeColor="text1"/>
                <w:spacing w:val="-10"/>
                <w:sz w:val="21"/>
                <w:szCs w:val="21"/>
                <w:highlight w:val="none"/>
                <w:vertAlign w:val="subscript"/>
                <w14:textFill>
                  <w14:solidFill>
                    <w14:schemeClr w14:val="tx1"/>
                  </w14:solidFill>
                </w14:textFill>
              </w:rPr>
              <w:t>9</w:t>
            </w:r>
            <w:r>
              <w:rPr>
                <w:rFonts w:hint="eastAsia" w:ascii="宋体" w:hAnsi="宋体" w:eastAsia="宋体" w:cs="宋体"/>
                <w:color w:val="000000" w:themeColor="text1"/>
                <w:spacing w:val="-10"/>
                <w:sz w:val="21"/>
                <w:szCs w:val="21"/>
                <w:highlight w:val="none"/>
                <w:lang w:eastAsia="zh-CN"/>
                <w14:textFill>
                  <w14:solidFill>
                    <w14:schemeClr w14:val="tx1"/>
                  </w14:solidFill>
                </w14:textFill>
              </w:rPr>
              <w:t>）</w:t>
            </w:r>
            <w:r>
              <w:rPr>
                <w:rFonts w:hint="eastAsia" w:ascii="宋体" w:hAnsi="宋体" w:eastAsia="宋体" w:cs="宋体"/>
                <w:color w:val="000000" w:themeColor="text1"/>
                <w:spacing w:val="-10"/>
                <w:sz w:val="21"/>
                <w:szCs w:val="21"/>
                <w:highlight w:val="none"/>
                <w14:textFill>
                  <w14:solidFill>
                    <w14:schemeClr w14:val="tx1"/>
                  </w14:solidFill>
                </w14:textFill>
              </w:rPr>
              <w:t>、石油烃（C</w:t>
            </w:r>
            <w:r>
              <w:rPr>
                <w:rFonts w:hint="eastAsia" w:ascii="宋体" w:hAnsi="宋体" w:eastAsia="宋体" w:cs="宋体"/>
                <w:color w:val="000000" w:themeColor="text1"/>
                <w:spacing w:val="-10"/>
                <w:sz w:val="21"/>
                <w:szCs w:val="21"/>
                <w:highlight w:val="none"/>
                <w:vertAlign w:val="subscript"/>
                <w14:textFill>
                  <w14:solidFill>
                    <w14:schemeClr w14:val="tx1"/>
                  </w14:solidFill>
                </w14:textFill>
              </w:rPr>
              <w:t>10</w:t>
            </w:r>
            <w:r>
              <w:rPr>
                <w:rFonts w:hint="eastAsia" w:ascii="宋体" w:hAnsi="宋体" w:eastAsia="宋体" w:cs="宋体"/>
                <w:color w:val="000000" w:themeColor="text1"/>
                <w:spacing w:val="-10"/>
                <w:sz w:val="21"/>
                <w:szCs w:val="21"/>
                <w:highlight w:val="none"/>
                <w14:textFill>
                  <w14:solidFill>
                    <w14:schemeClr w14:val="tx1"/>
                  </w14:solidFill>
                </w14:textFill>
              </w:rPr>
              <w:t>-C</w:t>
            </w:r>
            <w:r>
              <w:rPr>
                <w:rFonts w:hint="eastAsia" w:ascii="宋体" w:hAnsi="宋体" w:eastAsia="宋体" w:cs="宋体"/>
                <w:color w:val="000000" w:themeColor="text1"/>
                <w:spacing w:val="-10"/>
                <w:sz w:val="21"/>
                <w:szCs w:val="21"/>
                <w:highlight w:val="none"/>
                <w:vertAlign w:val="subscript"/>
                <w14:textFill>
                  <w14:solidFill>
                    <w14:schemeClr w14:val="tx1"/>
                  </w14:solidFill>
                </w14:textFill>
              </w:rPr>
              <w:t>40</w:t>
            </w:r>
            <w:r>
              <w:rPr>
                <w:rFonts w:hint="eastAsia" w:ascii="宋体" w:hAnsi="宋体" w:eastAsia="宋体" w:cs="宋体"/>
                <w:color w:val="000000" w:themeColor="text1"/>
                <w:spacing w:val="-10"/>
                <w:sz w:val="21"/>
                <w:szCs w:val="21"/>
                <w:highlight w:val="none"/>
                <w:lang w:eastAsia="zh-CN"/>
                <w14:textFill>
                  <w14:solidFill>
                    <w14:schemeClr w14:val="tx1"/>
                  </w14:solidFill>
                </w14:textFill>
              </w:rPr>
              <w:t>）</w:t>
            </w:r>
            <w:r>
              <w:rPr>
                <w:rFonts w:hint="eastAsia" w:ascii="宋体" w:hAnsi="宋体" w:eastAsia="宋体" w:cs="宋体"/>
                <w:color w:val="000000" w:themeColor="text1"/>
                <w:spacing w:val="-10"/>
                <w:sz w:val="21"/>
                <w:szCs w:val="21"/>
                <w:highlight w:val="none"/>
                <w14:textFill>
                  <w14:solidFill>
                    <w14:schemeClr w14:val="tx1"/>
                  </w14:solidFill>
                </w14:textFill>
              </w:rPr>
              <w:t>、砷、六价铬</w:t>
            </w:r>
          </w:p>
        </w:tc>
        <w:tc>
          <w:tcPr>
            <w:tcW w:w="998" w:type="dxa"/>
            <w:vAlign w:val="center"/>
          </w:tcPr>
          <w:p w14:paraId="6E667516">
            <w:pPr>
              <w:kinsoku w:val="0"/>
              <w:overflowPunct w:val="0"/>
              <w:adjustRightInd w:val="0"/>
              <w:snapToGrid w:val="0"/>
              <w:spacing w:line="300" w:lineRule="exact"/>
              <w:jc w:val="center"/>
              <w:rPr>
                <w:rFonts w:hint="eastAsia"/>
                <w:color w:val="000000" w:themeColor="text1"/>
                <w:lang w:bidi="ar"/>
                <w14:textFill>
                  <w14:solidFill>
                    <w14:schemeClr w14:val="tx1"/>
                  </w14:solidFill>
                </w14:textFill>
              </w:rPr>
            </w:pPr>
            <w:r>
              <w:rPr>
                <w:rFonts w:hint="eastAsia" w:ascii="宋体" w:hAnsi="宋体" w:cs="Arial"/>
                <w:color w:val="000000" w:themeColor="text1"/>
                <w:szCs w:val="21"/>
                <w14:textFill>
                  <w14:solidFill>
                    <w14:schemeClr w14:val="tx1"/>
                  </w14:solidFill>
                </w14:textFill>
              </w:rPr>
              <w:t>1次/年</w:t>
            </w:r>
          </w:p>
        </w:tc>
        <w:tc>
          <w:tcPr>
            <w:tcW w:w="1103" w:type="pct"/>
            <w:vAlign w:val="center"/>
          </w:tcPr>
          <w:p w14:paraId="6BA6AFBF">
            <w:pPr>
              <w:pStyle w:val="280"/>
              <w:rPr>
                <w:rFonts w:hint="eastAsia"/>
                <w:color w:val="000000" w:themeColor="text1"/>
                <w:lang w:bidi="ar"/>
                <w14:textFill>
                  <w14:solidFill>
                    <w14:schemeClr w14:val="tx1"/>
                  </w14:solidFill>
                </w14:textFill>
              </w:rPr>
            </w:pPr>
            <w:r>
              <w:rPr>
                <w:color w:val="000000" w:themeColor="text1"/>
                <w14:textFill>
                  <w14:solidFill>
                    <w14:schemeClr w14:val="tx1"/>
                  </w14:solidFill>
                </w14:textFill>
              </w:rPr>
              <w:t>GB36600-2018</w:t>
            </w:r>
            <w:r>
              <w:rPr>
                <w:rFonts w:hint="eastAsia"/>
                <w:color w:val="000000" w:themeColor="text1"/>
                <w14:textFill>
                  <w14:solidFill>
                    <w14:schemeClr w14:val="tx1"/>
                  </w14:solidFill>
                </w14:textFill>
              </w:rPr>
              <w:t xml:space="preserve"> 第二类用地筛选值</w:t>
            </w:r>
          </w:p>
        </w:tc>
      </w:tr>
      <w:tr w14:paraId="36739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49" w:type="pct"/>
            <w:vMerge w:val="restart"/>
            <w:vAlign w:val="center"/>
          </w:tcPr>
          <w:p w14:paraId="4984C3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tc>
        <w:tc>
          <w:tcPr>
            <w:tcW w:w="348" w:type="pct"/>
            <w:vAlign w:val="center"/>
          </w:tcPr>
          <w:p w14:paraId="055CE19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污染源</w:t>
            </w:r>
          </w:p>
        </w:tc>
        <w:tc>
          <w:tcPr>
            <w:tcW w:w="1195" w:type="pct"/>
            <w:vAlign w:val="center"/>
          </w:tcPr>
          <w:p w14:paraId="57483CAB">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临时占地范围内</w:t>
            </w:r>
          </w:p>
        </w:tc>
        <w:tc>
          <w:tcPr>
            <w:tcW w:w="1998" w:type="dxa"/>
            <w:vAlign w:val="center"/>
          </w:tcPr>
          <w:p w14:paraId="094C56E6">
            <w:pPr>
              <w:adjustRightInd w:val="0"/>
              <w:snapToGrid w:val="0"/>
              <w:spacing w:line="300" w:lineRule="exact"/>
              <w:jc w:val="center"/>
              <w:rPr>
                <w:rFonts w:hint="eastAsia"/>
                <w:color w:val="000000" w:themeColor="text1"/>
                <w:lang w:bidi="ar"/>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施工期临时占地的</w:t>
            </w:r>
            <w:r>
              <w:rPr>
                <w:rFonts w:hint="eastAsia" w:ascii="宋体" w:hAnsi="宋体" w:eastAsia="宋体" w:cs="宋体"/>
                <w:color w:val="000000" w:themeColor="text1"/>
                <w:sz w:val="21"/>
                <w:szCs w:val="21"/>
                <w:lang w:val="en-US" w:eastAsia="zh-CN" w:bidi="ar"/>
                <w14:textFill>
                  <w14:solidFill>
                    <w14:schemeClr w14:val="tx1"/>
                  </w14:solidFill>
                </w14:textFill>
              </w:rPr>
              <w:t>植被</w:t>
            </w:r>
            <w:r>
              <w:rPr>
                <w:rFonts w:hint="eastAsia" w:ascii="宋体" w:hAnsi="宋体" w:eastAsia="宋体" w:cs="宋体"/>
                <w:color w:val="000000" w:themeColor="text1"/>
                <w:sz w:val="21"/>
                <w:szCs w:val="21"/>
                <w:lang w:bidi="ar"/>
                <w14:textFill>
                  <w14:solidFill>
                    <w14:schemeClr w14:val="tx1"/>
                  </w14:solidFill>
                </w14:textFill>
              </w:rPr>
              <w:t>恢复情况</w:t>
            </w:r>
            <w:r>
              <w:rPr>
                <w:rFonts w:hint="eastAsia" w:ascii="宋体" w:hAnsi="宋体" w:eastAsia="宋体" w:cs="宋体"/>
                <w:color w:val="000000" w:themeColor="text1"/>
                <w:sz w:val="21"/>
                <w:szCs w:val="21"/>
                <w:lang w:eastAsia="zh-CN" w:bidi="ar"/>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包括植被覆盖率及植物多样性</w:t>
            </w:r>
            <w:r>
              <w:rPr>
                <w:rFonts w:hint="eastAsia" w:ascii="宋体" w:hAnsi="宋体" w:cs="宋体"/>
                <w:color w:val="000000" w:themeColor="text1"/>
                <w:kern w:val="0"/>
                <w:szCs w:val="21"/>
                <w:lang w:bidi="ar"/>
                <w14:textFill>
                  <w14:solidFill>
                    <w14:schemeClr w14:val="tx1"/>
                  </w14:solidFill>
                </w14:textFill>
              </w:rPr>
              <w:t>组成</w:t>
            </w:r>
          </w:p>
        </w:tc>
        <w:tc>
          <w:tcPr>
            <w:tcW w:w="998" w:type="dxa"/>
            <w:vAlign w:val="center"/>
          </w:tcPr>
          <w:p w14:paraId="50AE62D0">
            <w:pPr>
              <w:adjustRightInd w:val="0"/>
              <w:snapToGrid w:val="0"/>
              <w:spacing w:line="300" w:lineRule="exact"/>
              <w:jc w:val="center"/>
              <w:rPr>
                <w:rFonts w:hint="eastAsia"/>
                <w:color w:val="000000" w:themeColor="text1"/>
                <w:lang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1次/</w:t>
            </w:r>
            <w:r>
              <w:rPr>
                <w:rFonts w:hint="eastAsia" w:ascii="宋体" w:hAnsi="宋体" w:cs="宋体"/>
                <w:color w:val="000000" w:themeColor="text1"/>
                <w:kern w:val="0"/>
                <w:szCs w:val="21"/>
                <w:lang w:val="en-US" w:eastAsia="zh-CN" w:bidi="ar"/>
                <w14:textFill>
                  <w14:solidFill>
                    <w14:schemeClr w14:val="tx1"/>
                  </w14:solidFill>
                </w14:textFill>
              </w:rPr>
              <w:t>5</w:t>
            </w:r>
            <w:r>
              <w:rPr>
                <w:rFonts w:hint="eastAsia" w:ascii="宋体" w:hAnsi="宋体" w:cs="宋体"/>
                <w:color w:val="000000" w:themeColor="text1"/>
                <w:kern w:val="0"/>
                <w:szCs w:val="21"/>
                <w:lang w:bidi="ar"/>
                <w14:textFill>
                  <w14:solidFill>
                    <w14:schemeClr w14:val="tx1"/>
                  </w14:solidFill>
                </w14:textFill>
              </w:rPr>
              <w:t>年</w:t>
            </w:r>
          </w:p>
        </w:tc>
        <w:tc>
          <w:tcPr>
            <w:tcW w:w="1103" w:type="pct"/>
            <w:vAlign w:val="center"/>
          </w:tcPr>
          <w:p w14:paraId="4D119450">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p>
        </w:tc>
      </w:tr>
      <w:tr w14:paraId="12B912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49" w:type="pct"/>
            <w:vMerge w:val="continue"/>
            <w:vAlign w:val="center"/>
          </w:tcPr>
          <w:p w14:paraId="0B7D87EE">
            <w:pPr>
              <w:pStyle w:val="280"/>
              <w:rPr>
                <w:rFonts w:hint="eastAsia"/>
                <w:color w:val="000000" w:themeColor="text1"/>
                <w14:textFill>
                  <w14:solidFill>
                    <w14:schemeClr w14:val="tx1"/>
                  </w14:solidFill>
                </w14:textFill>
              </w:rPr>
            </w:pPr>
          </w:p>
        </w:tc>
        <w:tc>
          <w:tcPr>
            <w:tcW w:w="348" w:type="pct"/>
            <w:vAlign w:val="center"/>
          </w:tcPr>
          <w:p w14:paraId="69D4729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环境质量</w:t>
            </w:r>
          </w:p>
        </w:tc>
        <w:tc>
          <w:tcPr>
            <w:tcW w:w="1195" w:type="pct"/>
            <w:vAlign w:val="center"/>
          </w:tcPr>
          <w:p w14:paraId="163D602E">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管线临时占地范围外3</w:t>
            </w:r>
            <w:r>
              <w:rPr>
                <w:color w:val="000000" w:themeColor="text1"/>
                <w:lang w:bidi="ar"/>
                <w14:textFill>
                  <w14:solidFill>
                    <w14:schemeClr w14:val="tx1"/>
                  </w14:solidFill>
                </w14:textFill>
              </w:rPr>
              <w:t>00</w:t>
            </w:r>
            <w:r>
              <w:rPr>
                <w:rFonts w:hint="eastAsia"/>
                <w:color w:val="000000" w:themeColor="text1"/>
                <w:lang w:bidi="ar"/>
                <w14:textFill>
                  <w14:solidFill>
                    <w14:schemeClr w14:val="tx1"/>
                  </w14:solidFill>
                </w14:textFill>
              </w:rPr>
              <w:t>m范围内，井场临时占地50m范围内</w:t>
            </w:r>
          </w:p>
        </w:tc>
        <w:tc>
          <w:tcPr>
            <w:tcW w:w="1998" w:type="dxa"/>
            <w:vAlign w:val="center"/>
          </w:tcPr>
          <w:p w14:paraId="4B9F7D35">
            <w:pPr>
              <w:adjustRightInd w:val="0"/>
              <w:snapToGrid w:val="0"/>
              <w:spacing w:line="300" w:lineRule="exact"/>
              <w:jc w:val="center"/>
              <w:rPr>
                <w:rFonts w:hint="eastAsia"/>
                <w:color w:val="000000" w:themeColor="text1"/>
                <w:lang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植被覆盖率、植物多样性组成</w:t>
            </w:r>
            <w:r>
              <w:rPr>
                <w:rFonts w:hint="eastAsia" w:ascii="宋体" w:hAnsi="宋体" w:cs="宋体"/>
                <w:color w:val="000000" w:themeColor="text1"/>
                <w:kern w:val="0"/>
                <w:szCs w:val="21"/>
                <w:lang w:val="en-US" w:eastAsia="zh-CN" w:bidi="ar"/>
                <w14:textFill>
                  <w14:solidFill>
                    <w14:schemeClr w14:val="tx1"/>
                  </w14:solidFill>
                </w14:textFill>
              </w:rPr>
              <w:t>以及</w:t>
            </w:r>
            <w:r>
              <w:rPr>
                <w:rFonts w:hint="eastAsia" w:ascii="宋体" w:hAnsi="宋体" w:eastAsia="宋体" w:cs="宋体"/>
                <w:color w:val="000000" w:themeColor="text1"/>
                <w:sz w:val="21"/>
                <w:szCs w:val="21"/>
                <w:lang w:val="en-US" w:eastAsia="zh-CN" w:bidi="ar"/>
                <w14:textFill>
                  <w14:solidFill>
                    <w14:schemeClr w14:val="tx1"/>
                  </w14:solidFill>
                </w14:textFill>
              </w:rPr>
              <w:t>运营期对耕地、农作物、野生植物和动物（尤其是国家二级保护动物）的实际影响</w:t>
            </w:r>
            <w:r>
              <w:rPr>
                <w:rFonts w:hint="eastAsia" w:ascii="宋体" w:hAnsi="宋体" w:eastAsia="宋体" w:cs="宋体"/>
                <w:color w:val="000000" w:themeColor="text1"/>
                <w:sz w:val="21"/>
                <w:szCs w:val="21"/>
                <w:lang w:bidi="ar"/>
                <w14:textFill>
                  <w14:solidFill>
                    <w14:schemeClr w14:val="tx1"/>
                  </w14:solidFill>
                </w14:textFill>
              </w:rPr>
              <w:t>，生态保护对策措施的有效性及生态修复效果等</w:t>
            </w:r>
          </w:p>
        </w:tc>
        <w:tc>
          <w:tcPr>
            <w:tcW w:w="998" w:type="dxa"/>
            <w:vAlign w:val="center"/>
          </w:tcPr>
          <w:p w14:paraId="40933272">
            <w:pPr>
              <w:adjustRightInd w:val="0"/>
              <w:snapToGrid w:val="0"/>
              <w:spacing w:line="300" w:lineRule="exact"/>
              <w:jc w:val="center"/>
              <w:rPr>
                <w:rFonts w:hint="eastAsia"/>
                <w:color w:val="000000" w:themeColor="text1"/>
                <w:lang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1次/5年</w:t>
            </w:r>
          </w:p>
        </w:tc>
        <w:tc>
          <w:tcPr>
            <w:tcW w:w="1103" w:type="pct"/>
            <w:vAlign w:val="center"/>
          </w:tcPr>
          <w:p w14:paraId="6A03113C">
            <w:pPr>
              <w:pStyle w:val="280"/>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p>
        </w:tc>
      </w:tr>
      <w:bookmarkEnd w:id="741"/>
      <w:bookmarkEnd w:id="742"/>
    </w:tbl>
    <w:p w14:paraId="60F91B9B">
      <w:pPr>
        <w:rPr>
          <w:rFonts w:hint="eastAsia" w:ascii="宋体" w:hAnsi="宋体"/>
          <w:b/>
          <w:bCs/>
          <w:color w:val="000000" w:themeColor="text1"/>
          <w14:textFill>
            <w14:solidFill>
              <w14:schemeClr w14:val="tx1"/>
            </w14:solidFill>
          </w14:textFill>
        </w:rPr>
      </w:pPr>
      <w:bookmarkStart w:id="743" w:name="_Hlk108475387"/>
      <w:r>
        <w:rPr>
          <w:rFonts w:hint="eastAsia" w:ascii="宋体" w:hAnsi="宋体"/>
          <w:b/>
          <w:bCs/>
          <w:color w:val="000000" w:themeColor="text1"/>
          <w14:textFill>
            <w14:solidFill>
              <w14:schemeClr w14:val="tx1"/>
            </w14:solidFill>
          </w14:textFill>
        </w:rPr>
        <w:t>注：当地下水监测指标出现异常时，可按照</w:t>
      </w:r>
      <w:r>
        <w:rPr>
          <w:rFonts w:ascii="宋体" w:hAnsi="宋体"/>
          <w:b/>
          <w:bCs/>
          <w:color w:val="000000" w:themeColor="text1"/>
          <w14:textFill>
            <w14:solidFill>
              <w14:schemeClr w14:val="tx1"/>
            </w14:solidFill>
          </w14:textFill>
        </w:rPr>
        <w:t>HJ164的附录F中石油和天然气开采业特征项目开展监测；当土壤监测指标出现异常时，可按照GB36600的表1中的污染物项目开展监测。</w:t>
      </w:r>
      <w:bookmarkEnd w:id="743"/>
      <w:bookmarkStart w:id="744" w:name="_Hlk111789863"/>
      <w:r>
        <w:rPr>
          <w:rFonts w:hint="eastAsia" w:ascii="宋体" w:hAnsi="宋体"/>
          <w:b/>
          <w:bCs/>
          <w:color w:val="000000" w:themeColor="text1"/>
          <w14:textFill>
            <w14:solidFill>
              <w14:schemeClr w14:val="tx1"/>
            </w14:solidFill>
          </w14:textFill>
        </w:rPr>
        <w:t>由于目前《地下水质量标准》（</w:t>
      </w:r>
      <w:r>
        <w:rPr>
          <w:rFonts w:ascii="宋体" w:hAnsi="宋体" w:cs="宋体"/>
          <w:b/>
          <w:bCs/>
          <w:color w:val="000000" w:themeColor="text1"/>
          <w:spacing w:val="-10"/>
          <w:szCs w:val="21"/>
          <w14:textFill>
            <w14:solidFill>
              <w14:schemeClr w14:val="tx1"/>
            </w14:solidFill>
          </w14:textFill>
        </w:rPr>
        <w:t>GB/T14848-2017</w:t>
      </w:r>
      <w:r>
        <w:rPr>
          <w:rFonts w:hint="eastAsia" w:ascii="宋体" w:hAnsi="宋体"/>
          <w:b/>
          <w:bCs/>
          <w:color w:val="000000" w:themeColor="text1"/>
          <w14:textFill>
            <w14:solidFill>
              <w14:schemeClr w14:val="tx1"/>
            </w14:solidFill>
          </w14:textFill>
        </w:rPr>
        <w:t>）和参照执行的《地表水环境质量标准》（</w:t>
      </w:r>
      <w:r>
        <w:rPr>
          <w:rFonts w:ascii="宋体" w:hAnsi="宋体" w:cs="宋体"/>
          <w:b/>
          <w:bCs/>
          <w:color w:val="000000" w:themeColor="text1"/>
          <w:spacing w:val="-10"/>
          <w:szCs w:val="21"/>
          <w14:textFill>
            <w14:solidFill>
              <w14:schemeClr w14:val="tx1"/>
            </w14:solidFill>
          </w14:textFill>
        </w:rPr>
        <w:t>GB3838-2002</w:t>
      </w:r>
      <w:r>
        <w:rPr>
          <w:rFonts w:hint="eastAsia" w:ascii="宋体" w:hAnsi="宋体"/>
          <w:b/>
          <w:bCs/>
          <w:color w:val="000000" w:themeColor="text1"/>
          <w14:textFill>
            <w14:solidFill>
              <w14:schemeClr w14:val="tx1"/>
            </w14:solidFill>
          </w14:textFill>
        </w:rPr>
        <w:t>）中均未对石油烃（</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6</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9</w:t>
      </w:r>
      <w:r>
        <w:rPr>
          <w:rFonts w:hint="eastAsia" w:ascii="宋体" w:hAnsi="宋体"/>
          <w:b/>
          <w:bCs/>
          <w:color w:val="000000" w:themeColor="text1"/>
          <w14:textFill>
            <w14:solidFill>
              <w14:schemeClr w14:val="tx1"/>
            </w14:solidFill>
          </w14:textFill>
        </w:rPr>
        <w:t>）和</w:t>
      </w:r>
      <w:r>
        <w:rPr>
          <w:rFonts w:ascii="宋体" w:hAnsi="宋体"/>
          <w:b/>
          <w:bCs/>
          <w:color w:val="000000" w:themeColor="text1"/>
          <w14:textFill>
            <w14:solidFill>
              <w14:schemeClr w14:val="tx1"/>
            </w14:solidFill>
          </w14:textFill>
        </w:rPr>
        <w:t>石油烃</w:t>
      </w:r>
      <w:r>
        <w:rPr>
          <w:rFonts w:hint="eastAsia" w:ascii="宋体" w:hAnsi="宋体"/>
          <w:b/>
          <w:bCs/>
          <w:color w:val="000000" w:themeColor="text1"/>
          <w14:textFill>
            <w14:solidFill>
              <w14:schemeClr w14:val="tx1"/>
            </w14:solidFill>
          </w14:textFill>
        </w:rPr>
        <w:t>（</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10</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40</w:t>
      </w:r>
      <w:r>
        <w:rPr>
          <w:rFonts w:hint="eastAsia" w:ascii="宋体" w:hAnsi="宋体"/>
          <w:b/>
          <w:bCs/>
          <w:color w:val="000000" w:themeColor="text1"/>
          <w14:textFill>
            <w14:solidFill>
              <w14:schemeClr w14:val="tx1"/>
            </w14:solidFill>
          </w14:textFill>
        </w:rPr>
        <w:t>）两个监测因子的标准限值作出规定，《土壤环境质量建设用地土壤污染风险管控标准（试行）》（</w:t>
      </w:r>
      <w:r>
        <w:rPr>
          <w:rFonts w:ascii="宋体" w:hAnsi="宋体"/>
          <w:b/>
          <w:bCs/>
          <w:color w:val="000000" w:themeColor="text1"/>
          <w14:textFill>
            <w14:solidFill>
              <w14:schemeClr w14:val="tx1"/>
            </w14:solidFill>
          </w14:textFill>
        </w:rPr>
        <w:t>GB36600-2018）</w:t>
      </w:r>
      <w:r>
        <w:rPr>
          <w:rFonts w:hint="eastAsia" w:ascii="宋体" w:hAnsi="宋体"/>
          <w:b/>
          <w:bCs/>
          <w:color w:val="000000" w:themeColor="text1"/>
          <w14:textFill>
            <w14:solidFill>
              <w14:schemeClr w14:val="tx1"/>
            </w14:solidFill>
          </w14:textFill>
        </w:rPr>
        <w:t>中未对</w:t>
      </w:r>
      <w:bookmarkStart w:id="745" w:name="_Hlk111675329"/>
      <w:r>
        <w:rPr>
          <w:rFonts w:hint="eastAsia" w:ascii="宋体" w:hAnsi="宋体"/>
          <w:b/>
          <w:bCs/>
          <w:color w:val="000000" w:themeColor="text1"/>
          <w14:textFill>
            <w14:solidFill>
              <w14:schemeClr w14:val="tx1"/>
            </w14:solidFill>
          </w14:textFill>
        </w:rPr>
        <w:t>石油烃（</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6</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9</w:t>
      </w:r>
      <w:bookmarkEnd w:id="745"/>
      <w:r>
        <w:rPr>
          <w:rFonts w:hint="eastAsia" w:ascii="宋体" w:hAnsi="宋体"/>
          <w:b/>
          <w:bCs/>
          <w:color w:val="000000" w:themeColor="text1"/>
          <w14:textFill>
            <w14:solidFill>
              <w14:schemeClr w14:val="tx1"/>
            </w14:solidFill>
          </w14:textFill>
        </w:rPr>
        <w:t>）的标准限值做出规定，在新的质量标准发布前，运营期监测计划中地下水环境监测可先不开展石油烃（</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6</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9</w:t>
      </w:r>
      <w:r>
        <w:rPr>
          <w:rFonts w:hint="eastAsia" w:ascii="宋体" w:hAnsi="宋体"/>
          <w:b/>
          <w:bCs/>
          <w:color w:val="000000" w:themeColor="text1"/>
          <w14:textFill>
            <w14:solidFill>
              <w14:schemeClr w14:val="tx1"/>
            </w14:solidFill>
          </w14:textFill>
        </w:rPr>
        <w:t>）</w:t>
      </w:r>
      <w:r>
        <w:rPr>
          <w:rFonts w:ascii="宋体" w:hAnsi="宋体"/>
          <w:b/>
          <w:bCs/>
          <w:color w:val="000000" w:themeColor="text1"/>
          <w14:textFill>
            <w14:solidFill>
              <w14:schemeClr w14:val="tx1"/>
            </w14:solidFill>
          </w14:textFill>
        </w:rPr>
        <w:t>和石油烃</w:t>
      </w:r>
      <w:r>
        <w:rPr>
          <w:rFonts w:hint="eastAsia" w:ascii="宋体" w:hAnsi="宋体"/>
          <w:b/>
          <w:bCs/>
          <w:color w:val="000000" w:themeColor="text1"/>
          <w14:textFill>
            <w14:solidFill>
              <w14:schemeClr w14:val="tx1"/>
            </w14:solidFill>
          </w14:textFill>
        </w:rPr>
        <w:t>（</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10</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40</w:t>
      </w:r>
      <w:r>
        <w:rPr>
          <w:rFonts w:hint="eastAsia" w:ascii="宋体" w:hAnsi="宋体"/>
          <w:b/>
          <w:bCs/>
          <w:color w:val="000000" w:themeColor="text1"/>
          <w14:textFill>
            <w14:solidFill>
              <w14:schemeClr w14:val="tx1"/>
            </w14:solidFill>
          </w14:textFill>
        </w:rPr>
        <w:t>）这两个监测因子的环境质量现状监测工作，土壤环境监测可先不开展石油烃（</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6</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9</w:t>
      </w:r>
      <w:r>
        <w:rPr>
          <w:rFonts w:hint="eastAsia" w:ascii="宋体" w:hAnsi="宋体"/>
          <w:b/>
          <w:bCs/>
          <w:color w:val="000000" w:themeColor="text1"/>
          <w14:textFill>
            <w14:solidFill>
              <w14:schemeClr w14:val="tx1"/>
            </w14:solidFill>
          </w14:textFill>
        </w:rPr>
        <w:t>）的环境质量现状监测工作，待石油烃（</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6</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9</w:t>
      </w:r>
      <w:r>
        <w:rPr>
          <w:rFonts w:hint="eastAsia" w:ascii="宋体" w:hAnsi="宋体"/>
          <w:b/>
          <w:bCs/>
          <w:color w:val="000000" w:themeColor="text1"/>
          <w14:textFill>
            <w14:solidFill>
              <w14:schemeClr w14:val="tx1"/>
            </w14:solidFill>
          </w14:textFill>
        </w:rPr>
        <w:t>）和</w:t>
      </w:r>
      <w:r>
        <w:rPr>
          <w:rFonts w:ascii="宋体" w:hAnsi="宋体"/>
          <w:b/>
          <w:bCs/>
          <w:color w:val="000000" w:themeColor="text1"/>
          <w14:textFill>
            <w14:solidFill>
              <w14:schemeClr w14:val="tx1"/>
            </w14:solidFill>
          </w14:textFill>
        </w:rPr>
        <w:t>石油烃</w:t>
      </w:r>
      <w:r>
        <w:rPr>
          <w:rFonts w:hint="eastAsia" w:ascii="宋体" w:hAnsi="宋体"/>
          <w:b/>
          <w:bCs/>
          <w:color w:val="000000" w:themeColor="text1"/>
          <w14:textFill>
            <w14:solidFill>
              <w14:schemeClr w14:val="tx1"/>
            </w14:solidFill>
          </w14:textFill>
        </w:rPr>
        <w:t>（</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10</w:t>
      </w:r>
      <w:r>
        <w:rPr>
          <w:rFonts w:ascii="宋体" w:hAnsi="宋体"/>
          <w:b/>
          <w:bCs/>
          <w:color w:val="000000" w:themeColor="text1"/>
          <w14:textFill>
            <w14:solidFill>
              <w14:schemeClr w14:val="tx1"/>
            </w14:solidFill>
          </w14:textFill>
        </w:rPr>
        <w:t>-C</w:t>
      </w:r>
      <w:r>
        <w:rPr>
          <w:rFonts w:ascii="宋体" w:hAnsi="宋体"/>
          <w:b/>
          <w:bCs/>
          <w:color w:val="000000" w:themeColor="text1"/>
          <w:vertAlign w:val="subscript"/>
          <w14:textFill>
            <w14:solidFill>
              <w14:schemeClr w14:val="tx1"/>
            </w14:solidFill>
          </w14:textFill>
        </w:rPr>
        <w:t>40</w:t>
      </w:r>
      <w:r>
        <w:rPr>
          <w:rFonts w:hint="eastAsia" w:ascii="宋体" w:hAnsi="宋体"/>
          <w:b/>
          <w:bCs/>
          <w:color w:val="000000" w:themeColor="text1"/>
          <w14:textFill>
            <w14:solidFill>
              <w14:schemeClr w14:val="tx1"/>
            </w14:solidFill>
          </w14:textFill>
        </w:rPr>
        <w:t>）相应的新环境质量标准发布后，应严格按照表中所列监测因子进行运营期监测。吉庆油田作业区可根据现有工程及其他在建、拟建工程统筹考虑进行地下水监测点位的布设，但须满足本项目监测计划要求。</w:t>
      </w:r>
      <w:bookmarkEnd w:id="744"/>
    </w:p>
    <w:p w14:paraId="4FA4FC2C">
      <w:pPr>
        <w:pStyle w:val="8"/>
        <w:rPr>
          <w:rFonts w:hint="eastAsia"/>
          <w:color w:val="000000" w:themeColor="text1"/>
          <w14:textFill>
            <w14:solidFill>
              <w14:schemeClr w14:val="tx1"/>
            </w14:solidFill>
          </w14:textFill>
        </w:rPr>
      </w:pPr>
      <w:bookmarkStart w:id="746" w:name="_Hlk175259219"/>
      <w:r>
        <w:rPr>
          <w:rFonts w:hint="eastAsia"/>
          <w:color w:val="000000" w:themeColor="text1"/>
          <w14:textFill>
            <w14:solidFill>
              <w14:schemeClr w14:val="tx1"/>
            </w14:solidFill>
          </w14:textFill>
        </w:rPr>
        <w:t>环境设施验收</w:t>
      </w:r>
      <w:r>
        <w:rPr>
          <w:color w:val="000000" w:themeColor="text1"/>
          <w14:textFill>
            <w14:solidFill>
              <w14:schemeClr w14:val="tx1"/>
            </w14:solidFill>
          </w14:textFill>
        </w:rPr>
        <w:t>建议</w:t>
      </w:r>
    </w:p>
    <w:bookmarkEnd w:id="746"/>
    <w:p w14:paraId="076B0F49">
      <w:pPr>
        <w:pStyle w:val="120"/>
        <w:rPr>
          <w:rFonts w:hint="eastAsia"/>
          <w:color w:val="000000" w:themeColor="text1"/>
          <w14:textFill>
            <w14:solidFill>
              <w14:schemeClr w14:val="tx1"/>
            </w14:solidFill>
          </w14:textFill>
        </w:rPr>
      </w:pPr>
      <w:bookmarkStart w:id="747" w:name="_Hlk175259256"/>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验收</w:t>
      </w:r>
      <w:r>
        <w:rPr>
          <w:color w:val="000000" w:themeColor="text1"/>
          <w14:textFill>
            <w14:solidFill>
              <w14:schemeClr w14:val="tx1"/>
            </w14:solidFill>
          </w14:textFill>
        </w:rPr>
        <w:t>范围</w:t>
      </w:r>
    </w:p>
    <w:p w14:paraId="31361B3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与项目有关的各项环保设施，包括为防治污染和保护环境所配套建成的治理工程、设备、装置和监测手段，以及各项生态保护设施等</w:t>
      </w:r>
      <w:r>
        <w:rPr>
          <w:rFonts w:hint="eastAsia"/>
          <w:color w:val="000000" w:themeColor="text1"/>
          <w14:textFill>
            <w14:solidFill>
              <w14:schemeClr w14:val="tx1"/>
            </w14:solidFill>
          </w14:textFill>
        </w:rPr>
        <w:t>。</w:t>
      </w:r>
    </w:p>
    <w:p w14:paraId="03BDFF1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环境影响报告书及批复文件和有关设计文件规定应采取的环保措施。</w:t>
      </w:r>
    </w:p>
    <w:p w14:paraId="2AEF07F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（2）验收内容</w:t>
      </w:r>
    </w:p>
    <w:p w14:paraId="2F1171F0">
      <w:pPr>
        <w:pStyle w:val="120"/>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r>
        <w:rPr>
          <w:color w:val="000000" w:themeColor="text1"/>
          <w14:textFill>
            <w14:solidFill>
              <w14:schemeClr w14:val="tx1"/>
            </w14:solidFill>
          </w14:textFill>
        </w:rPr>
        <w:t>按照《建设项目竣工环境保护验收技术规范  石油天然气开采》</w:t>
      </w:r>
      <w:r>
        <w:rPr>
          <w:rFonts w:hint="eastAsia"/>
          <w:color w:val="000000" w:themeColor="text1"/>
          <w14:textFill>
            <w14:solidFill>
              <w14:schemeClr w14:val="tx1"/>
            </w14:solidFill>
          </w14:textFill>
        </w:rPr>
        <w:t>中有关规定开展验收，根据建设进度分期开展自主环保竣工验收并应当依法向社会公开验收报告。环保验收建议清单见表</w:t>
      </w:r>
      <w:r>
        <w:rPr>
          <w:color w:val="000000" w:themeColor="text1"/>
          <w14:textFill>
            <w14:solidFill>
              <w14:schemeClr w14:val="tx1"/>
            </w14:solidFill>
          </w14:textFill>
        </w:rPr>
        <w:t>7.5-3</w:t>
      </w:r>
      <w:r>
        <w:rPr>
          <w:rFonts w:hint="eastAsia"/>
          <w:color w:val="000000" w:themeColor="text1"/>
          <w14:textFill>
            <w14:solidFill>
              <w14:schemeClr w14:val="tx1"/>
            </w14:solidFill>
          </w14:textFill>
        </w:rPr>
        <w:t>。</w:t>
      </w:r>
      <w:bookmarkStart w:id="748" w:name="_Hlk37704697"/>
      <w:bookmarkStart w:id="749" w:name="_Hlk512504272"/>
    </w:p>
    <w:p w14:paraId="4B4CCA8B">
      <w:pPr>
        <w:pStyle w:val="112"/>
        <w:rPr>
          <w:rFonts w:hint="eastAsia"/>
          <w:color w:val="000000" w:themeColor="text1"/>
          <w14:textFill>
            <w14:solidFill>
              <w14:schemeClr w14:val="tx1"/>
            </w14:solidFill>
          </w14:textFill>
        </w:rPr>
      </w:pPr>
      <w:bookmarkStart w:id="750" w:name="_Hlk147588209"/>
      <w:r>
        <w:rPr>
          <w:rFonts w:hint="eastAsia"/>
          <w:color w:val="000000" w:themeColor="text1"/>
          <w14:textFill>
            <w14:solidFill>
              <w14:schemeClr w14:val="tx1"/>
            </w14:solidFill>
          </w14:textFill>
        </w:rPr>
        <w:t>表</w:t>
      </w:r>
      <w:r>
        <w:rPr>
          <w:color w:val="000000" w:themeColor="text1"/>
          <w14:textFill>
            <w14:solidFill>
              <w14:schemeClr w14:val="tx1"/>
            </w14:solidFill>
          </w14:textFill>
        </w:rPr>
        <w:t xml:space="preserve">7.5-3  </w:t>
      </w:r>
      <w:r>
        <w:rPr>
          <w:rFonts w:hint="eastAsia"/>
          <w:color w:val="000000" w:themeColor="text1"/>
          <w14:textFill>
            <w14:solidFill>
              <w14:schemeClr w14:val="tx1"/>
            </w14:solidFill>
          </w14:textFill>
        </w:rPr>
        <w:t>工程“三同时”竣工验收调查建议</w:t>
      </w:r>
      <w:r>
        <w:rPr>
          <w:color w:val="000000" w:themeColor="text1"/>
          <w14:textFill>
            <w14:solidFill>
              <w14:schemeClr w14:val="tx1"/>
            </w14:solidFill>
          </w14:textFill>
        </w:rPr>
        <w:t>清单</w:t>
      </w:r>
    </w:p>
    <w:tbl>
      <w:tblPr>
        <w:tblStyle w:val="51"/>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04"/>
        <w:gridCol w:w="1193"/>
        <w:gridCol w:w="1212"/>
        <w:gridCol w:w="1394"/>
        <w:gridCol w:w="1526"/>
        <w:gridCol w:w="3827"/>
        <w:gridCol w:w="1019"/>
        <w:gridCol w:w="2766"/>
        <w:gridCol w:w="53"/>
      </w:tblGrid>
      <w:tr w14:paraId="2656EC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8" w:type="pct"/>
          <w:cantSplit/>
          <w:trHeight w:val="284" w:hRule="atLeast"/>
          <w:jc w:val="center"/>
        </w:trPr>
        <w:tc>
          <w:tcPr>
            <w:tcW w:w="785" w:type="pct"/>
            <w:gridSpan w:val="2"/>
            <w:tcMar>
              <w:left w:w="28" w:type="dxa"/>
              <w:right w:w="28" w:type="dxa"/>
            </w:tcMar>
            <w:vAlign w:val="center"/>
          </w:tcPr>
          <w:p w14:paraId="5C0325D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污染源</w:t>
            </w:r>
          </w:p>
        </w:tc>
        <w:tc>
          <w:tcPr>
            <w:tcW w:w="433" w:type="pct"/>
            <w:tcMar>
              <w:left w:w="28" w:type="dxa"/>
              <w:right w:w="28" w:type="dxa"/>
            </w:tcMar>
            <w:vAlign w:val="center"/>
          </w:tcPr>
          <w:p w14:paraId="6028698C">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时段</w:t>
            </w:r>
          </w:p>
        </w:tc>
        <w:tc>
          <w:tcPr>
            <w:tcW w:w="498" w:type="pct"/>
            <w:tcMar>
              <w:left w:w="28" w:type="dxa"/>
              <w:right w:w="28" w:type="dxa"/>
            </w:tcMar>
            <w:vAlign w:val="center"/>
          </w:tcPr>
          <w:p w14:paraId="7FCF7FC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污染因子</w:t>
            </w:r>
          </w:p>
        </w:tc>
        <w:tc>
          <w:tcPr>
            <w:tcW w:w="545" w:type="pct"/>
            <w:tcMar>
              <w:left w:w="28" w:type="dxa"/>
              <w:right w:w="28" w:type="dxa"/>
            </w:tcMar>
            <w:vAlign w:val="center"/>
          </w:tcPr>
          <w:p w14:paraId="566695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位置</w:t>
            </w:r>
          </w:p>
        </w:tc>
        <w:tc>
          <w:tcPr>
            <w:tcW w:w="1367" w:type="pct"/>
            <w:tcMar>
              <w:left w:w="28" w:type="dxa"/>
              <w:right w:w="28" w:type="dxa"/>
            </w:tcMar>
            <w:vAlign w:val="center"/>
          </w:tcPr>
          <w:p w14:paraId="386FA77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防治措施</w:t>
            </w:r>
          </w:p>
        </w:tc>
        <w:tc>
          <w:tcPr>
            <w:tcW w:w="364" w:type="pct"/>
            <w:tcBorders>
              <w:bottom w:val="single" w:color="000000" w:sz="4" w:space="0"/>
            </w:tcBorders>
            <w:tcMar>
              <w:left w:w="28" w:type="dxa"/>
              <w:right w:w="28" w:type="dxa"/>
            </w:tcMar>
            <w:vAlign w:val="center"/>
          </w:tcPr>
          <w:p w14:paraId="2E78B1D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治理要求</w:t>
            </w:r>
          </w:p>
        </w:tc>
        <w:tc>
          <w:tcPr>
            <w:tcW w:w="988" w:type="pct"/>
            <w:tcBorders>
              <w:bottom w:val="single" w:color="000000" w:sz="4" w:space="0"/>
            </w:tcBorders>
            <w:tcMar>
              <w:left w:w="28" w:type="dxa"/>
              <w:right w:w="28" w:type="dxa"/>
            </w:tcMar>
            <w:vAlign w:val="center"/>
          </w:tcPr>
          <w:p w14:paraId="674A3EC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验收标准</w:t>
            </w:r>
          </w:p>
        </w:tc>
      </w:tr>
      <w:tr w14:paraId="2D2A91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tcBorders>
              <w:right w:val="single" w:color="000000" w:sz="4" w:space="0"/>
            </w:tcBorders>
            <w:tcMar>
              <w:left w:w="28" w:type="dxa"/>
              <w:right w:w="28" w:type="dxa"/>
            </w:tcMar>
            <w:vAlign w:val="center"/>
          </w:tcPr>
          <w:p w14:paraId="6FCDEB6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425" w:type="pct"/>
            <w:tcBorders>
              <w:left w:val="single" w:color="000000" w:sz="4" w:space="0"/>
            </w:tcBorders>
            <w:vAlign w:val="center"/>
          </w:tcPr>
          <w:p w14:paraId="49CC3A7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p w14:paraId="3AEC9B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挥发性废气</w:t>
            </w:r>
          </w:p>
        </w:tc>
        <w:tc>
          <w:tcPr>
            <w:tcW w:w="433" w:type="pct"/>
            <w:tcMar>
              <w:left w:w="28" w:type="dxa"/>
              <w:right w:w="28" w:type="dxa"/>
            </w:tcMar>
            <w:vAlign w:val="center"/>
          </w:tcPr>
          <w:p w14:paraId="234CF1F1">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运营期</w:t>
            </w:r>
          </w:p>
        </w:tc>
        <w:tc>
          <w:tcPr>
            <w:tcW w:w="498" w:type="pct"/>
            <w:tcMar>
              <w:left w:w="28" w:type="dxa"/>
              <w:right w:w="28" w:type="dxa"/>
            </w:tcMar>
            <w:vAlign w:val="center"/>
          </w:tcPr>
          <w:p w14:paraId="220D28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MHC</w:t>
            </w:r>
            <w:r>
              <w:rPr>
                <w:rFonts w:hint="eastAsia"/>
                <w:color w:val="000000" w:themeColor="text1"/>
                <w14:textFill>
                  <w14:solidFill>
                    <w14:schemeClr w14:val="tx1"/>
                  </w14:solidFill>
                </w14:textFill>
              </w:rPr>
              <w:t>、硫化氢</w:t>
            </w:r>
          </w:p>
        </w:tc>
        <w:tc>
          <w:tcPr>
            <w:tcW w:w="545" w:type="pct"/>
            <w:tcMar>
              <w:left w:w="28" w:type="dxa"/>
              <w:right w:w="28" w:type="dxa"/>
            </w:tcMar>
            <w:vAlign w:val="center"/>
          </w:tcPr>
          <w:p w14:paraId="6DDBEF9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单井采油井场、2井式平台井场</w:t>
            </w:r>
          </w:p>
        </w:tc>
        <w:tc>
          <w:tcPr>
            <w:tcW w:w="1367" w:type="pct"/>
            <w:tcMar>
              <w:left w:w="28" w:type="dxa"/>
              <w:right w:w="28" w:type="dxa"/>
            </w:tcMar>
            <w:vAlign w:val="center"/>
          </w:tcPr>
          <w:p w14:paraId="29845F6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选用质量可靠的设备、仪表、阀门等；定期对井场内各设备、阀门和管线等检查、检修</w:t>
            </w:r>
          </w:p>
        </w:tc>
        <w:tc>
          <w:tcPr>
            <w:tcW w:w="364" w:type="pct"/>
            <w:tcMar>
              <w:left w:w="28" w:type="dxa"/>
              <w:right w:w="28" w:type="dxa"/>
            </w:tcMar>
            <w:vAlign w:val="center"/>
          </w:tcPr>
          <w:p w14:paraId="564CFEE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达标排放</w:t>
            </w:r>
          </w:p>
        </w:tc>
        <w:tc>
          <w:tcPr>
            <w:tcW w:w="1007" w:type="pct"/>
            <w:gridSpan w:val="2"/>
            <w:tcMar>
              <w:left w:w="28" w:type="dxa"/>
              <w:right w:w="28" w:type="dxa"/>
            </w:tcMar>
            <w:vAlign w:val="center"/>
          </w:tcPr>
          <w:p w14:paraId="62DBFA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《陆上石油天然气开采工业大气污染物排放标准》（GB39728-2020）中企业边界污染控制要求</w:t>
            </w:r>
          </w:p>
          <w:p w14:paraId="2C1B44C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《恶臭污染物排放标准》（GB14554-93）表1二级新改扩建</w:t>
            </w:r>
          </w:p>
        </w:tc>
      </w:tr>
      <w:tr w14:paraId="7091B0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restart"/>
            <w:tcMar>
              <w:left w:w="28" w:type="dxa"/>
              <w:right w:w="28" w:type="dxa"/>
            </w:tcMar>
            <w:vAlign w:val="center"/>
          </w:tcPr>
          <w:p w14:paraId="552E540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425" w:type="pct"/>
            <w:tcBorders>
              <w:left w:val="single" w:color="auto" w:sz="4" w:space="0"/>
            </w:tcBorders>
            <w:vAlign w:val="center"/>
          </w:tcPr>
          <w:p w14:paraId="6D5A32D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洗井废水和井下作业废液</w:t>
            </w:r>
          </w:p>
        </w:tc>
        <w:tc>
          <w:tcPr>
            <w:tcW w:w="433" w:type="pct"/>
            <w:tcMar>
              <w:left w:w="28" w:type="dxa"/>
              <w:right w:w="28" w:type="dxa"/>
            </w:tcMar>
            <w:vAlign w:val="center"/>
          </w:tcPr>
          <w:p w14:paraId="60009B96">
            <w:pPr>
              <w:pStyle w:val="28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运营期</w:t>
            </w:r>
          </w:p>
        </w:tc>
        <w:tc>
          <w:tcPr>
            <w:tcW w:w="498" w:type="pct"/>
            <w:tcMar>
              <w:left w:w="28" w:type="dxa"/>
              <w:right w:w="28" w:type="dxa"/>
            </w:tcMar>
            <w:vAlign w:val="center"/>
          </w:tcPr>
          <w:p w14:paraId="385E031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石油类、COD</w:t>
            </w:r>
          </w:p>
        </w:tc>
        <w:tc>
          <w:tcPr>
            <w:tcW w:w="545" w:type="pct"/>
            <w:tcMar>
              <w:left w:w="28" w:type="dxa"/>
              <w:right w:w="28" w:type="dxa"/>
            </w:tcMar>
            <w:vAlign w:val="center"/>
          </w:tcPr>
          <w:p w14:paraId="09A9EC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单井采油井场、2井式平台井场、注水井场</w:t>
            </w:r>
          </w:p>
        </w:tc>
        <w:tc>
          <w:tcPr>
            <w:tcW w:w="1367" w:type="pct"/>
            <w:tcMar>
              <w:left w:w="28" w:type="dxa"/>
              <w:right w:w="28" w:type="dxa"/>
            </w:tcMar>
            <w:vAlign w:val="center"/>
          </w:tcPr>
          <w:p w14:paraId="56F2992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送至吉祥联合站采出水处理系统处理</w:t>
            </w:r>
          </w:p>
        </w:tc>
        <w:tc>
          <w:tcPr>
            <w:tcW w:w="364" w:type="pct"/>
            <w:tcMar>
              <w:left w:w="28" w:type="dxa"/>
              <w:right w:w="28" w:type="dxa"/>
            </w:tcMar>
            <w:vAlign w:val="center"/>
          </w:tcPr>
          <w:p w14:paraId="33E99C2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处理达标后回注油藏</w:t>
            </w:r>
          </w:p>
        </w:tc>
        <w:tc>
          <w:tcPr>
            <w:tcW w:w="1007" w:type="pct"/>
            <w:gridSpan w:val="2"/>
            <w:tcMar>
              <w:left w:w="28" w:type="dxa"/>
              <w:right w:w="28" w:type="dxa"/>
            </w:tcMar>
            <w:vAlign w:val="center"/>
          </w:tcPr>
          <w:p w14:paraId="2419104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出水水质《碎屑岩油藏注水水质指标技术要求及分析方法》（SY/T5329-2022）相关标准要求后，回注油藏</w:t>
            </w:r>
          </w:p>
        </w:tc>
      </w:tr>
      <w:tr w14:paraId="2EDB40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continue"/>
            <w:tcMar>
              <w:left w:w="28" w:type="dxa"/>
              <w:right w:w="28" w:type="dxa"/>
            </w:tcMar>
            <w:vAlign w:val="center"/>
          </w:tcPr>
          <w:p w14:paraId="27EF1BA1">
            <w:pPr>
              <w:pStyle w:val="280"/>
              <w:rPr>
                <w:rFonts w:hint="eastAsia"/>
                <w:color w:val="000000" w:themeColor="text1"/>
                <w14:textFill>
                  <w14:solidFill>
                    <w14:schemeClr w14:val="tx1"/>
                  </w14:solidFill>
                </w14:textFill>
              </w:rPr>
            </w:pPr>
          </w:p>
        </w:tc>
        <w:tc>
          <w:tcPr>
            <w:tcW w:w="425" w:type="pct"/>
            <w:tcBorders>
              <w:left w:val="single" w:color="auto" w:sz="4" w:space="0"/>
            </w:tcBorders>
            <w:vAlign w:val="center"/>
          </w:tcPr>
          <w:p w14:paraId="706AC2B6">
            <w:pPr>
              <w:pStyle w:val="280"/>
              <w:rPr>
                <w:rFonts w:hint="eastAsia"/>
                <w:color w:val="000000" w:themeColor="text1"/>
                <w14:textFill>
                  <w14:solidFill>
                    <w14:schemeClr w14:val="tx1"/>
                  </w14:solidFill>
                </w14:textFill>
              </w:rPr>
            </w:pPr>
            <w:r>
              <w:rPr>
                <w:color w:val="000000" w:themeColor="text1"/>
                <w:szCs w:val="22"/>
                <w:lang w:bidi="ar"/>
                <w14:textFill>
                  <w14:solidFill>
                    <w14:schemeClr w14:val="tx1"/>
                  </w14:solidFill>
                </w14:textFill>
              </w:rPr>
              <w:t>压裂返排液</w:t>
            </w:r>
          </w:p>
        </w:tc>
        <w:tc>
          <w:tcPr>
            <w:tcW w:w="433" w:type="pct"/>
            <w:tcMar>
              <w:left w:w="28" w:type="dxa"/>
              <w:right w:w="28" w:type="dxa"/>
            </w:tcMar>
            <w:vAlign w:val="center"/>
          </w:tcPr>
          <w:p w14:paraId="4787A64E">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施工期</w:t>
            </w:r>
          </w:p>
        </w:tc>
        <w:tc>
          <w:tcPr>
            <w:tcW w:w="498" w:type="pct"/>
            <w:tcMar>
              <w:left w:w="28" w:type="dxa"/>
              <w:right w:w="28" w:type="dxa"/>
            </w:tcMar>
            <w:vAlign w:val="center"/>
          </w:tcPr>
          <w:p w14:paraId="255198E9">
            <w:pPr>
              <w:pStyle w:val="28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石油类、</w:t>
            </w:r>
            <w:r>
              <w:rPr>
                <w:rFonts w:hint="eastAsia"/>
                <w:color w:val="000000" w:themeColor="text1"/>
                <w:lang w:val="en-US" w:eastAsia="zh-CN"/>
                <w14:textFill>
                  <w14:solidFill>
                    <w14:schemeClr w14:val="tx1"/>
                  </w14:solidFill>
                </w14:textFill>
              </w:rPr>
              <w:t>SS</w:t>
            </w:r>
          </w:p>
        </w:tc>
        <w:tc>
          <w:tcPr>
            <w:tcW w:w="545" w:type="pct"/>
            <w:tcMar>
              <w:left w:w="28" w:type="dxa"/>
              <w:right w:w="28" w:type="dxa"/>
            </w:tcMar>
            <w:vAlign w:val="center"/>
          </w:tcPr>
          <w:p w14:paraId="187F29A0">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钻井井场</w:t>
            </w:r>
          </w:p>
        </w:tc>
        <w:tc>
          <w:tcPr>
            <w:tcW w:w="1367" w:type="pct"/>
            <w:tcMar>
              <w:left w:w="28" w:type="dxa"/>
              <w:right w:w="28" w:type="dxa"/>
            </w:tcMar>
            <w:vAlign w:val="center"/>
          </w:tcPr>
          <w:p w14:paraId="2F82230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送至吉祥联合站采出水处理系统处理</w:t>
            </w:r>
          </w:p>
        </w:tc>
        <w:tc>
          <w:tcPr>
            <w:tcW w:w="364" w:type="pct"/>
            <w:tcMar>
              <w:left w:w="28" w:type="dxa"/>
              <w:right w:w="28" w:type="dxa"/>
            </w:tcMar>
            <w:vAlign w:val="center"/>
          </w:tcPr>
          <w:p w14:paraId="41A981F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处理达标后回注油藏</w:t>
            </w:r>
          </w:p>
        </w:tc>
        <w:tc>
          <w:tcPr>
            <w:tcW w:w="1007" w:type="pct"/>
            <w:gridSpan w:val="2"/>
            <w:tcMar>
              <w:left w:w="28" w:type="dxa"/>
              <w:right w:w="28" w:type="dxa"/>
            </w:tcMar>
            <w:vAlign w:val="center"/>
          </w:tcPr>
          <w:p w14:paraId="7F3D8F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出水水质《碎屑岩油藏注水水质指标技术要求及分析方法》（SY/T5329-2022）相关标准要求后，回注油藏</w:t>
            </w:r>
          </w:p>
        </w:tc>
      </w:tr>
      <w:tr w14:paraId="024CEA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tcMar>
              <w:left w:w="28" w:type="dxa"/>
              <w:right w:w="28" w:type="dxa"/>
            </w:tcMar>
            <w:vAlign w:val="center"/>
          </w:tcPr>
          <w:p w14:paraId="2035E05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425" w:type="pct"/>
            <w:tcBorders>
              <w:left w:val="single" w:color="auto" w:sz="4" w:space="0"/>
            </w:tcBorders>
            <w:vAlign w:val="center"/>
          </w:tcPr>
          <w:p w14:paraId="4DEBF40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各类机泵</w:t>
            </w:r>
          </w:p>
        </w:tc>
        <w:tc>
          <w:tcPr>
            <w:tcW w:w="433" w:type="pct"/>
            <w:tcMar>
              <w:left w:w="28" w:type="dxa"/>
              <w:right w:w="28" w:type="dxa"/>
            </w:tcMar>
            <w:vAlign w:val="center"/>
          </w:tcPr>
          <w:p w14:paraId="3AAEBBD8">
            <w:pPr>
              <w:pStyle w:val="28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运营期</w:t>
            </w:r>
          </w:p>
        </w:tc>
        <w:tc>
          <w:tcPr>
            <w:tcW w:w="498" w:type="pct"/>
            <w:tcMar>
              <w:left w:w="28" w:type="dxa"/>
              <w:right w:w="28" w:type="dxa"/>
            </w:tcMar>
            <w:vAlign w:val="center"/>
          </w:tcPr>
          <w:p w14:paraId="6FFD47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545" w:type="pct"/>
            <w:tcMar>
              <w:left w:w="28" w:type="dxa"/>
              <w:right w:w="28" w:type="dxa"/>
            </w:tcMar>
            <w:vAlign w:val="center"/>
          </w:tcPr>
          <w:p w14:paraId="62A037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单井采油井场、2井式平台井场</w:t>
            </w:r>
          </w:p>
        </w:tc>
        <w:tc>
          <w:tcPr>
            <w:tcW w:w="1367" w:type="pct"/>
            <w:tcBorders>
              <w:right w:val="single" w:color="auto" w:sz="4" w:space="0"/>
            </w:tcBorders>
            <w:tcMar>
              <w:left w:w="28" w:type="dxa"/>
              <w:right w:w="28" w:type="dxa"/>
            </w:tcMar>
            <w:vAlign w:val="center"/>
          </w:tcPr>
          <w:p w14:paraId="377585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隔声、基础减振，采用低噪声设备</w:t>
            </w:r>
          </w:p>
        </w:tc>
        <w:tc>
          <w:tcPr>
            <w:tcW w:w="364" w:type="pct"/>
            <w:tcBorders>
              <w:left w:val="single" w:color="auto" w:sz="4" w:space="0"/>
            </w:tcBorders>
            <w:vAlign w:val="center"/>
          </w:tcPr>
          <w:p w14:paraId="32A1598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厂界噪声达标排放</w:t>
            </w:r>
          </w:p>
        </w:tc>
        <w:tc>
          <w:tcPr>
            <w:tcW w:w="1007" w:type="pct"/>
            <w:gridSpan w:val="2"/>
            <w:tcMar>
              <w:left w:w="28" w:type="dxa"/>
              <w:right w:w="28" w:type="dxa"/>
            </w:tcMar>
            <w:vAlign w:val="center"/>
          </w:tcPr>
          <w:p w14:paraId="72F37E9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《工业企业厂界环境噪声排放标准》（GB12348-</w:t>
            </w:r>
            <w:r>
              <w:rPr>
                <w:color w:val="000000" w:themeColor="text1"/>
                <w14:textFill>
                  <w14:solidFill>
                    <w14:schemeClr w14:val="tx1"/>
                  </w14:solidFill>
                </w14:textFill>
              </w:rPr>
              <w:t>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w:t>
            </w:r>
          </w:p>
        </w:tc>
      </w:tr>
      <w:tr w14:paraId="30B54C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restart"/>
            <w:tcMar>
              <w:left w:w="28" w:type="dxa"/>
              <w:right w:w="28" w:type="dxa"/>
            </w:tcMar>
            <w:vAlign w:val="center"/>
          </w:tcPr>
          <w:p w14:paraId="5BDAB8C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tc>
        <w:tc>
          <w:tcPr>
            <w:tcW w:w="425" w:type="pct"/>
            <w:vMerge w:val="restart"/>
            <w:tcBorders>
              <w:left w:val="single" w:color="auto" w:sz="4" w:space="0"/>
            </w:tcBorders>
            <w:vAlign w:val="center"/>
          </w:tcPr>
          <w:p w14:paraId="70EFE0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废润滑油、废润滑油桶、沾油废防渗材料和废含油抹布、劳保用品</w:t>
            </w:r>
          </w:p>
        </w:tc>
        <w:tc>
          <w:tcPr>
            <w:tcW w:w="433" w:type="pct"/>
            <w:tcBorders>
              <w:left w:val="single" w:color="auto" w:sz="4" w:space="0"/>
            </w:tcBorders>
            <w:shd w:val="clear" w:color="auto" w:fill="auto"/>
            <w:vAlign w:val="center"/>
          </w:tcPr>
          <w:p w14:paraId="5A2B0732">
            <w:pPr>
              <w:jc w:val="center"/>
              <w:rPr>
                <w:rFonts w:hint="eastAsia" w:ascii="Calibri" w:hAnsi="Calibri" w:eastAsia="宋体" w:cs="Times New Roman"/>
                <w:color w:val="000000" w:themeColor="text1"/>
                <w:kern w:val="2"/>
                <w:sz w:val="21"/>
                <w:szCs w:val="22"/>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施工期</w:t>
            </w:r>
          </w:p>
        </w:tc>
        <w:tc>
          <w:tcPr>
            <w:tcW w:w="498" w:type="pct"/>
            <w:shd w:val="clear" w:color="auto" w:fill="auto"/>
            <w:tcMar>
              <w:left w:w="28" w:type="dxa"/>
              <w:right w:w="28" w:type="dxa"/>
            </w:tcMar>
            <w:vAlign w:val="center"/>
          </w:tcPr>
          <w:p w14:paraId="222EF42C">
            <w:pPr>
              <w:jc w:val="center"/>
              <w:rPr>
                <w:rFonts w:hint="eastAsia" w:ascii="Calibri" w:hAnsi="Calibri" w:eastAsia="宋体" w:cs="Times New Roman"/>
                <w:color w:val="000000" w:themeColor="text1"/>
                <w:kern w:val="2"/>
                <w:sz w:val="21"/>
                <w:szCs w:val="22"/>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石油类</w:t>
            </w:r>
          </w:p>
        </w:tc>
        <w:tc>
          <w:tcPr>
            <w:tcW w:w="545" w:type="pct"/>
            <w:shd w:val="clear" w:color="auto" w:fill="auto"/>
            <w:tcMar>
              <w:left w:w="28" w:type="dxa"/>
              <w:right w:w="28" w:type="dxa"/>
            </w:tcMar>
            <w:vAlign w:val="center"/>
          </w:tcPr>
          <w:p w14:paraId="3D73F658">
            <w:pPr>
              <w:jc w:val="center"/>
              <w:rPr>
                <w:rFonts w:hint="eastAsia" w:ascii="Calibri" w:hAnsi="Calibri" w:eastAsia="宋体" w:cs="Times New Roman"/>
                <w:color w:val="000000" w:themeColor="text1"/>
                <w:kern w:val="2"/>
                <w:sz w:val="21"/>
                <w:szCs w:val="22"/>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钻井井场</w:t>
            </w:r>
          </w:p>
        </w:tc>
        <w:tc>
          <w:tcPr>
            <w:tcW w:w="1731" w:type="pct"/>
            <w:gridSpan w:val="2"/>
            <w:shd w:val="clear" w:color="auto" w:fill="auto"/>
            <w:tcMar>
              <w:left w:w="28" w:type="dxa"/>
              <w:right w:w="28" w:type="dxa"/>
            </w:tcMar>
            <w:vAlign w:val="center"/>
          </w:tcPr>
          <w:p w14:paraId="24BE65B6">
            <w:pPr>
              <w:pStyle w:val="280"/>
              <w:rPr>
                <w:rFonts w:hint="eastAsia" w:ascii="宋体" w:hAnsi="宋体" w:eastAsia="宋体" w:cs="Times New Roman"/>
                <w:color w:val="000000" w:themeColor="text1"/>
                <w:kern w:val="0"/>
                <w:sz w:val="21"/>
                <w:szCs w:val="21"/>
                <w:lang w:val="en-US" w:eastAsia="zh-CN" w:bidi="ar"/>
                <w14:textFill>
                  <w14:solidFill>
                    <w14:schemeClr w14:val="tx1"/>
                  </w14:solidFill>
                </w14:textFill>
              </w:rPr>
            </w:pPr>
            <w:r>
              <w:rPr>
                <w:rFonts w:hint="eastAsia"/>
                <w:color w:val="000000" w:themeColor="text1"/>
                <w:lang w:bidi="ar"/>
                <w14:textFill>
                  <w14:solidFill>
                    <w14:schemeClr w14:val="tx1"/>
                  </w14:solidFill>
                </w14:textFill>
              </w:rPr>
              <w:t>单座钻井井场设置1座</w:t>
            </w:r>
            <w:r>
              <w:rPr>
                <w:rFonts w:hint="eastAsia"/>
                <w:color w:val="000000" w:themeColor="text1"/>
                <w:lang w:val="en-US" w:eastAsia="zh-CN" w:bidi="ar"/>
                <w14:textFill>
                  <w14:solidFill>
                    <w14:schemeClr w14:val="tx1"/>
                  </w14:solidFill>
                </w14:textFill>
              </w:rPr>
              <w:t>临时</w:t>
            </w:r>
            <w:r>
              <w:rPr>
                <w:rFonts w:hint="eastAsia"/>
                <w:color w:val="000000" w:themeColor="text1"/>
                <w:lang w:bidi="ar"/>
                <w14:textFill>
                  <w14:solidFill>
                    <w14:schemeClr w14:val="tx1"/>
                  </w14:solidFill>
                </w14:textFill>
              </w:rPr>
              <w:t>危险废物贮存点</w:t>
            </w:r>
            <w:r>
              <w:rPr>
                <w:rFonts w:hint="eastAsia"/>
                <w:color w:val="000000" w:themeColor="text1"/>
                <w:lang w:eastAsia="zh-CN" w:bidi="ar"/>
                <w14:textFill>
                  <w14:solidFill>
                    <w14:schemeClr w14:val="tx1"/>
                  </w14:solidFill>
                </w14:textFill>
              </w:rPr>
              <w:t>，</w:t>
            </w:r>
            <w:r>
              <w:rPr>
                <w:rFonts w:hint="eastAsia"/>
                <w:color w:val="000000" w:themeColor="text1"/>
                <w:lang w:bidi="ar"/>
                <w14:textFill>
                  <w14:solidFill>
                    <w14:schemeClr w14:val="tx1"/>
                  </w14:solidFill>
                </w14:textFill>
              </w:rPr>
              <w:t>施工过程中产生的沾油废防渗材料、废弃含油抹布及劳保用品、设备检修与维护过程中产生的废润滑油及废润滑油桶分区暂存在井场设置的危险废物贮存点，定期由具有相应危险废物处置资质的单位进行接收、转运和处置</w:t>
            </w:r>
            <w:r>
              <w:rPr>
                <w:rFonts w:hint="eastAsia"/>
                <w:color w:val="000000" w:themeColor="text1"/>
                <w:lang w:eastAsia="zh-CN" w:bidi="ar"/>
                <w14:textFill>
                  <w14:solidFill>
                    <w14:schemeClr w14:val="tx1"/>
                  </w14:solidFill>
                </w14:textFill>
              </w:rPr>
              <w:t>。</w:t>
            </w:r>
          </w:p>
        </w:tc>
        <w:tc>
          <w:tcPr>
            <w:tcW w:w="1007" w:type="pct"/>
            <w:gridSpan w:val="2"/>
            <w:shd w:val="clear" w:color="auto" w:fill="auto"/>
            <w:tcMar>
              <w:left w:w="28" w:type="dxa"/>
              <w:right w:w="28" w:type="dxa"/>
            </w:tcMar>
            <w:vAlign w:val="center"/>
          </w:tcPr>
          <w:p w14:paraId="3750C57E">
            <w:pPr>
              <w:pStyle w:val="280"/>
              <w:rPr>
                <w:rFonts w:hint="eastAsia" w:ascii="宋体" w:hAnsi="宋体" w:eastAsia="宋体" w:cs="Times New Roman"/>
                <w:color w:val="000000" w:themeColor="text1"/>
                <w:kern w:val="0"/>
                <w:sz w:val="21"/>
                <w:szCs w:val="21"/>
                <w:lang w:val="en-US" w:eastAsia="zh-CN" w:bidi="ar"/>
                <w14:textFill>
                  <w14:solidFill>
                    <w14:schemeClr w14:val="tx1"/>
                  </w14:solidFill>
                </w14:textFill>
              </w:rPr>
            </w:pPr>
            <w:r>
              <w:rPr>
                <w:rFonts w:hint="eastAsia"/>
                <w:color w:val="000000" w:themeColor="text1"/>
                <w:lang w:bidi="ar"/>
                <w14:textFill>
                  <w14:solidFill>
                    <w14:schemeClr w14:val="tx1"/>
                  </w14:solidFill>
                </w14:textFill>
              </w:rPr>
              <w:t>钻井井场</w:t>
            </w:r>
            <w:r>
              <w:rPr>
                <w:rFonts w:hint="eastAsia"/>
                <w:color w:val="000000" w:themeColor="text1"/>
                <w:lang w:val="en-US" w:eastAsia="zh-CN" w:bidi="ar"/>
                <w14:textFill>
                  <w14:solidFill>
                    <w14:schemeClr w14:val="tx1"/>
                  </w14:solidFill>
                </w14:textFill>
              </w:rPr>
              <w:t>临时</w:t>
            </w:r>
            <w:r>
              <w:rPr>
                <w:rFonts w:hint="eastAsia"/>
                <w:color w:val="000000" w:themeColor="text1"/>
                <w:lang w:bidi="ar"/>
                <w14:textFill>
                  <w14:solidFill>
                    <w14:schemeClr w14:val="tx1"/>
                  </w14:solidFill>
                </w14:textFill>
              </w:rPr>
              <w:t>危险废物贮存点</w:t>
            </w:r>
            <w:r>
              <w:rPr>
                <w:rFonts w:hint="eastAsia"/>
                <w:color w:val="000000" w:themeColor="text1"/>
                <w:lang w:val="en-US" w:eastAsia="zh-CN" w:bidi="ar"/>
                <w14:textFill>
                  <w14:solidFill>
                    <w14:schemeClr w14:val="tx1"/>
                  </w14:solidFill>
                </w14:textFill>
              </w:rPr>
              <w:t>设置情况；</w:t>
            </w:r>
            <w:r>
              <w:rPr>
                <w:rFonts w:hint="eastAsia"/>
                <w:color w:val="000000" w:themeColor="text1"/>
                <w14:textFill>
                  <w14:solidFill>
                    <w14:schemeClr w14:val="tx1"/>
                  </w14:solidFill>
                </w14:textFill>
              </w:rPr>
              <w:t>签订处置协议，落实危险废物转移联单</w:t>
            </w:r>
            <w:r>
              <w:rPr>
                <w:rFonts w:hint="eastAsia"/>
                <w:color w:val="000000" w:themeColor="text1"/>
                <w:lang w:eastAsia="zh-CN"/>
                <w14:textFill>
                  <w14:solidFill>
                    <w14:schemeClr w14:val="tx1"/>
                  </w14:solidFill>
                </w14:textFill>
              </w:rPr>
              <w:t>；</w:t>
            </w:r>
          </w:p>
        </w:tc>
      </w:tr>
      <w:tr w14:paraId="2F0D09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2" w:hRule="atLeast"/>
          <w:jc w:val="center"/>
        </w:trPr>
        <w:tc>
          <w:tcPr>
            <w:tcW w:w="359" w:type="pct"/>
            <w:vMerge w:val="continue"/>
            <w:tcMar>
              <w:left w:w="28" w:type="dxa"/>
              <w:right w:w="28" w:type="dxa"/>
            </w:tcMar>
            <w:vAlign w:val="center"/>
          </w:tcPr>
          <w:p w14:paraId="675AD3DD">
            <w:pPr>
              <w:pStyle w:val="280"/>
              <w:rPr>
                <w:rFonts w:hint="eastAsia"/>
                <w:color w:val="000000" w:themeColor="text1"/>
                <w14:textFill>
                  <w14:solidFill>
                    <w14:schemeClr w14:val="tx1"/>
                  </w14:solidFill>
                </w14:textFill>
              </w:rPr>
            </w:pPr>
          </w:p>
        </w:tc>
        <w:tc>
          <w:tcPr>
            <w:tcW w:w="425" w:type="pct"/>
            <w:vMerge w:val="continue"/>
            <w:tcBorders>
              <w:left w:val="single" w:color="auto" w:sz="4" w:space="0"/>
            </w:tcBorders>
            <w:vAlign w:val="center"/>
          </w:tcPr>
          <w:p w14:paraId="4AF8E2E0">
            <w:pPr>
              <w:pStyle w:val="280"/>
              <w:rPr>
                <w:rFonts w:hint="eastAsia"/>
                <w:color w:val="000000" w:themeColor="text1"/>
                <w14:textFill>
                  <w14:solidFill>
                    <w14:schemeClr w14:val="tx1"/>
                  </w14:solidFill>
                </w14:textFill>
              </w:rPr>
            </w:pPr>
          </w:p>
        </w:tc>
        <w:tc>
          <w:tcPr>
            <w:tcW w:w="433" w:type="pct"/>
            <w:tcBorders>
              <w:left w:val="single" w:color="auto" w:sz="4" w:space="0"/>
            </w:tcBorders>
            <w:shd w:val="clear" w:color="auto" w:fill="auto"/>
            <w:vAlign w:val="center"/>
          </w:tcPr>
          <w:p w14:paraId="42CC75B3">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运营期</w:t>
            </w:r>
          </w:p>
        </w:tc>
        <w:tc>
          <w:tcPr>
            <w:tcW w:w="498" w:type="pct"/>
            <w:shd w:val="clear" w:color="auto" w:fill="auto"/>
            <w:tcMar>
              <w:left w:w="28" w:type="dxa"/>
              <w:right w:w="28" w:type="dxa"/>
            </w:tcMar>
            <w:vAlign w:val="center"/>
          </w:tcPr>
          <w:p w14:paraId="2C62BF74">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石油类</w:t>
            </w:r>
          </w:p>
        </w:tc>
        <w:tc>
          <w:tcPr>
            <w:tcW w:w="545" w:type="pct"/>
            <w:shd w:val="clear" w:color="auto" w:fill="auto"/>
            <w:tcMar>
              <w:left w:w="28" w:type="dxa"/>
              <w:right w:w="28" w:type="dxa"/>
            </w:tcMar>
            <w:vAlign w:val="center"/>
          </w:tcPr>
          <w:p w14:paraId="3DBF5ABE">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单井采油井场、2井式平台井场、注水井场</w:t>
            </w:r>
          </w:p>
        </w:tc>
        <w:tc>
          <w:tcPr>
            <w:tcW w:w="1731" w:type="pct"/>
            <w:gridSpan w:val="2"/>
            <w:shd w:val="clear" w:color="auto" w:fill="auto"/>
            <w:tcMar>
              <w:left w:w="28" w:type="dxa"/>
              <w:right w:w="28" w:type="dxa"/>
            </w:tcMar>
            <w:vAlign w:val="center"/>
          </w:tcPr>
          <w:p w14:paraId="7AFB244E">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s="宋体"/>
                <w:color w:val="000000" w:themeColor="text1"/>
                <w:lang w:val="en-US" w:eastAsia="zh-CN"/>
                <w14:textFill>
                  <w14:solidFill>
                    <w14:schemeClr w14:val="tx1"/>
                  </w14:solidFill>
                </w14:textFill>
              </w:rPr>
              <w:t>运营期</w:t>
            </w:r>
            <w:r>
              <w:rPr>
                <w:rFonts w:hint="eastAsia"/>
                <w:color w:val="000000" w:themeColor="text1"/>
                <w:lang w:bidi="ar"/>
                <w14:textFill>
                  <w14:solidFill>
                    <w14:schemeClr w14:val="tx1"/>
                  </w14:solidFill>
                </w14:textFill>
              </w:rPr>
              <w:t>沾油废防渗材料、废润滑油和废弃的含油抹布、劳保用品</w:t>
            </w:r>
            <w:r>
              <w:rPr>
                <w:rFonts w:hint="eastAsia"/>
                <w:color w:val="000000" w:themeColor="text1"/>
                <w:lang w:val="en-US" w:eastAsia="zh-CN" w:bidi="ar"/>
                <w14:textFill>
                  <w14:solidFill>
                    <w14:schemeClr w14:val="tx1"/>
                  </w14:solidFill>
                </w14:textFill>
              </w:rPr>
              <w:t>集中收集后</w:t>
            </w:r>
            <w:r>
              <w:rPr>
                <w:rFonts w:hint="eastAsia"/>
                <w:color w:val="000000" w:themeColor="text1"/>
                <w:lang w:bidi="ar"/>
                <w14:textFill>
                  <w14:solidFill>
                    <w14:schemeClr w14:val="tx1"/>
                  </w14:solidFill>
                </w14:textFill>
              </w:rPr>
              <w:t>分类暂存在</w:t>
            </w:r>
            <w:r>
              <w:rPr>
                <w:rFonts w:hint="eastAsia"/>
                <w:snapToGrid w:val="0"/>
                <w:color w:val="000000" w:themeColor="text1"/>
                <w14:textFill>
                  <w14:solidFill>
                    <w14:schemeClr w14:val="tx1"/>
                  </w14:solidFill>
                </w14:textFill>
              </w:rPr>
              <w:t>吉祥联合站</w:t>
            </w:r>
            <w:r>
              <w:rPr>
                <w:rFonts w:hint="eastAsia"/>
                <w:snapToGrid w:val="0"/>
                <w:color w:val="000000" w:themeColor="text1"/>
                <w:lang w:val="en-US" w:eastAsia="zh-CN"/>
                <w14:textFill>
                  <w14:solidFill>
                    <w14:schemeClr w14:val="tx1"/>
                  </w14:solidFill>
                </w14:textFill>
              </w:rPr>
              <w:t>危险废物贮存点</w:t>
            </w:r>
            <w:r>
              <w:rPr>
                <w:rFonts w:hint="eastAsia"/>
                <w:snapToGrid w:val="0"/>
                <w:color w:val="000000" w:themeColor="text1"/>
                <w14:textFill>
                  <w14:solidFill>
                    <w14:schemeClr w14:val="tx1"/>
                  </w14:solidFill>
                </w14:textFill>
              </w:rPr>
              <w:t>，</w:t>
            </w:r>
            <w:r>
              <w:rPr>
                <w:rFonts w:hint="eastAsia"/>
                <w:color w:val="000000" w:themeColor="text1"/>
                <w:lang w:bidi="ar"/>
                <w14:textFill>
                  <w14:solidFill>
                    <w14:schemeClr w14:val="tx1"/>
                  </w14:solidFill>
                </w14:textFill>
              </w:rPr>
              <w:t>最终委托有危废处置资质的单位进行无害化处置</w:t>
            </w:r>
            <w:r>
              <w:rPr>
                <w:rFonts w:hint="eastAsia"/>
                <w:color w:val="000000" w:themeColor="text1"/>
                <w:lang w:eastAsia="zh-CN" w:bidi="ar"/>
                <w14:textFill>
                  <w14:solidFill>
                    <w14:schemeClr w14:val="tx1"/>
                  </w14:solidFill>
                </w14:textFill>
              </w:rPr>
              <w:t>。</w:t>
            </w:r>
          </w:p>
        </w:tc>
        <w:tc>
          <w:tcPr>
            <w:tcW w:w="1007" w:type="pct"/>
            <w:gridSpan w:val="2"/>
            <w:shd w:val="clear" w:color="auto" w:fill="auto"/>
            <w:tcMar>
              <w:left w:w="28" w:type="dxa"/>
              <w:right w:w="28" w:type="dxa"/>
            </w:tcMar>
            <w:vAlign w:val="center"/>
          </w:tcPr>
          <w:p w14:paraId="17684A96">
            <w:pPr>
              <w:pStyle w:val="280"/>
              <w:rPr>
                <w:rFonts w:hint="eastAsia" w:ascii="宋体" w:hAnsi="宋体"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签订处置协议，落实危险废物转移联单</w:t>
            </w:r>
            <w:r>
              <w:rPr>
                <w:rFonts w:hint="eastAsia"/>
                <w:color w:val="000000" w:themeColor="text1"/>
                <w:lang w:eastAsia="zh-CN"/>
                <w14:textFill>
                  <w14:solidFill>
                    <w14:schemeClr w14:val="tx1"/>
                  </w14:solidFill>
                </w14:textFill>
              </w:rPr>
              <w:t>；</w:t>
            </w:r>
          </w:p>
        </w:tc>
      </w:tr>
      <w:tr w14:paraId="2B6DCB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continue"/>
            <w:tcMar>
              <w:left w:w="28" w:type="dxa"/>
              <w:right w:w="28" w:type="dxa"/>
            </w:tcMar>
            <w:vAlign w:val="center"/>
          </w:tcPr>
          <w:p w14:paraId="55AF2142">
            <w:pPr>
              <w:pStyle w:val="280"/>
              <w:rPr>
                <w:rFonts w:hint="eastAsia"/>
                <w:color w:val="000000" w:themeColor="text1"/>
                <w14:textFill>
                  <w14:solidFill>
                    <w14:schemeClr w14:val="tx1"/>
                  </w14:solidFill>
                </w14:textFill>
              </w:rPr>
            </w:pPr>
          </w:p>
        </w:tc>
        <w:tc>
          <w:tcPr>
            <w:tcW w:w="425" w:type="pct"/>
            <w:tcBorders>
              <w:left w:val="single" w:color="auto" w:sz="4" w:space="0"/>
            </w:tcBorders>
            <w:vAlign w:val="center"/>
          </w:tcPr>
          <w:p w14:paraId="18C6FC4F">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水基钻井岩屑和废弃水基钻井液</w:t>
            </w:r>
          </w:p>
        </w:tc>
        <w:tc>
          <w:tcPr>
            <w:tcW w:w="433" w:type="pct"/>
            <w:tcBorders>
              <w:left w:val="single" w:color="auto" w:sz="4" w:space="0"/>
            </w:tcBorders>
            <w:vAlign w:val="center"/>
          </w:tcPr>
          <w:p w14:paraId="5C1AB6E8">
            <w:pPr>
              <w:pStyle w:val="28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施工期</w:t>
            </w:r>
          </w:p>
        </w:tc>
        <w:tc>
          <w:tcPr>
            <w:tcW w:w="498" w:type="pct"/>
            <w:tcMar>
              <w:left w:w="28" w:type="dxa"/>
              <w:right w:w="28" w:type="dxa"/>
            </w:tcMar>
            <w:vAlign w:val="center"/>
          </w:tcPr>
          <w:p w14:paraId="33BDF1C0">
            <w:pPr>
              <w:pStyle w:val="2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545" w:type="pct"/>
            <w:tcMar>
              <w:left w:w="28" w:type="dxa"/>
              <w:right w:w="28" w:type="dxa"/>
            </w:tcMar>
            <w:vAlign w:val="center"/>
          </w:tcPr>
          <w:p w14:paraId="021B8348">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钻井井场</w:t>
            </w:r>
          </w:p>
        </w:tc>
        <w:tc>
          <w:tcPr>
            <w:tcW w:w="1731" w:type="pct"/>
            <w:gridSpan w:val="2"/>
            <w:tcMar>
              <w:left w:w="28" w:type="dxa"/>
              <w:right w:w="28" w:type="dxa"/>
            </w:tcMar>
            <w:vAlign w:val="center"/>
          </w:tcPr>
          <w:p w14:paraId="2F11F57F">
            <w:pPr>
              <w:pStyle w:val="280"/>
              <w:rPr>
                <w:rFonts w:hint="eastAsia"/>
                <w:color w:val="000000" w:themeColor="text1"/>
                <w14:textFill>
                  <w14:solidFill>
                    <w14:schemeClr w14:val="tx1"/>
                  </w14:solidFill>
                </w14:textFill>
              </w:rPr>
            </w:pPr>
            <w:r>
              <w:rPr>
                <w:rFonts w:hint="eastAsia" w:cs="宋体"/>
                <w:color w:val="000000" w:themeColor="text1"/>
                <w:lang w:val="en-US" w:eastAsia="zh-CN"/>
                <w14:textFill>
                  <w14:solidFill>
                    <w14:schemeClr w14:val="tx1"/>
                  </w14:solidFill>
                </w14:textFill>
              </w:rPr>
              <w:t>每座</w:t>
            </w:r>
            <w:r>
              <w:rPr>
                <w:rFonts w:hint="eastAsia" w:cs="宋体"/>
                <w:color w:val="000000" w:themeColor="text1"/>
                <w14:textFill>
                  <w14:solidFill>
                    <w14:schemeClr w14:val="tx1"/>
                  </w14:solidFill>
                </w14:textFill>
              </w:rPr>
              <w:t>钻井井场设置1套钻井液不落地设备，钻井过程中分离出的水基钻井岩屑</w:t>
            </w:r>
            <w:r>
              <w:rPr>
                <w:rFonts w:hint="eastAsia"/>
                <w:color w:val="000000" w:themeColor="text1"/>
                <w:lang w:val="en-US" w:eastAsia="zh-CN"/>
                <w14:textFill>
                  <w14:solidFill>
                    <w14:schemeClr w14:val="tx1"/>
                  </w14:solidFill>
                </w14:textFill>
              </w:rPr>
              <w:t>和废弃水基钻井液</w:t>
            </w:r>
            <w:r>
              <w:rPr>
                <w:rFonts w:hint="eastAsia" w:cs="宋体"/>
                <w:color w:val="000000" w:themeColor="text1"/>
                <w14:textFill>
                  <w14:solidFill>
                    <w14:schemeClr w14:val="tx1"/>
                  </w14:solidFill>
                </w14:textFill>
              </w:rPr>
              <w:t>暂存于岩屑储罐区的岩屑储罐中，最终委托岩屑处置单位进行处置。</w:t>
            </w:r>
          </w:p>
        </w:tc>
        <w:tc>
          <w:tcPr>
            <w:tcW w:w="1007" w:type="pct"/>
            <w:gridSpan w:val="2"/>
            <w:tcMar>
              <w:left w:w="28" w:type="dxa"/>
              <w:right w:w="28" w:type="dxa"/>
            </w:tcMar>
            <w:vAlign w:val="center"/>
          </w:tcPr>
          <w:p w14:paraId="2FB8E899">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水基钻井岩屑和废弃水基钻井液清运记录和处置协议</w:t>
            </w:r>
          </w:p>
        </w:tc>
      </w:tr>
      <w:tr w14:paraId="14901E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continue"/>
            <w:tcMar>
              <w:left w:w="28" w:type="dxa"/>
              <w:right w:w="28" w:type="dxa"/>
            </w:tcMar>
            <w:vAlign w:val="center"/>
          </w:tcPr>
          <w:p w14:paraId="38D7D0F8">
            <w:pPr>
              <w:pStyle w:val="280"/>
              <w:rPr>
                <w:rFonts w:hint="eastAsia"/>
                <w:color w:val="000000" w:themeColor="text1"/>
                <w14:textFill>
                  <w14:solidFill>
                    <w14:schemeClr w14:val="tx1"/>
                  </w14:solidFill>
                </w14:textFill>
              </w:rPr>
            </w:pPr>
          </w:p>
        </w:tc>
        <w:tc>
          <w:tcPr>
            <w:tcW w:w="425" w:type="pct"/>
            <w:tcBorders>
              <w:left w:val="single" w:color="auto" w:sz="4" w:space="0"/>
            </w:tcBorders>
            <w:vAlign w:val="center"/>
          </w:tcPr>
          <w:p w14:paraId="5EAE3708">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建筑垃圾</w:t>
            </w:r>
          </w:p>
        </w:tc>
        <w:tc>
          <w:tcPr>
            <w:tcW w:w="433" w:type="pct"/>
            <w:tcBorders>
              <w:left w:val="single" w:color="auto" w:sz="4" w:space="0"/>
            </w:tcBorders>
            <w:vAlign w:val="center"/>
          </w:tcPr>
          <w:p w14:paraId="580DE22F">
            <w:pPr>
              <w:pStyle w:val="28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施工期</w:t>
            </w:r>
          </w:p>
        </w:tc>
        <w:tc>
          <w:tcPr>
            <w:tcW w:w="498" w:type="pct"/>
            <w:tcMar>
              <w:left w:w="28" w:type="dxa"/>
              <w:right w:w="28" w:type="dxa"/>
            </w:tcMar>
            <w:vAlign w:val="center"/>
          </w:tcPr>
          <w:p w14:paraId="3E8DA0F8">
            <w:pPr>
              <w:pStyle w:val="2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545" w:type="pct"/>
            <w:tcMar>
              <w:left w:w="28" w:type="dxa"/>
              <w:right w:w="28" w:type="dxa"/>
            </w:tcMar>
            <w:vAlign w:val="center"/>
          </w:tcPr>
          <w:p w14:paraId="722C2A06">
            <w:pPr>
              <w:pStyle w:val="28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施工场地</w:t>
            </w:r>
          </w:p>
        </w:tc>
        <w:tc>
          <w:tcPr>
            <w:tcW w:w="1731" w:type="pct"/>
            <w:gridSpan w:val="2"/>
            <w:tcMar>
              <w:left w:w="28" w:type="dxa"/>
              <w:right w:w="28" w:type="dxa"/>
            </w:tcMar>
            <w:vAlign w:val="center"/>
          </w:tcPr>
          <w:p w14:paraId="12586B57">
            <w:pPr>
              <w:pStyle w:val="28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建筑垃圾集中收集后交由环卫部门统一处置</w:t>
            </w:r>
          </w:p>
        </w:tc>
        <w:tc>
          <w:tcPr>
            <w:tcW w:w="1007" w:type="pct"/>
            <w:gridSpan w:val="2"/>
            <w:tcMar>
              <w:left w:w="28" w:type="dxa"/>
              <w:right w:w="28" w:type="dxa"/>
            </w:tcMar>
            <w:vAlign w:val="center"/>
          </w:tcPr>
          <w:p w14:paraId="285E51DE">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清运记录及处置协议</w:t>
            </w:r>
          </w:p>
        </w:tc>
      </w:tr>
      <w:tr w14:paraId="5BD65C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restart"/>
            <w:tcMar>
              <w:left w:w="28" w:type="dxa"/>
              <w:right w:w="28" w:type="dxa"/>
            </w:tcMar>
            <w:vAlign w:val="center"/>
          </w:tcPr>
          <w:p w14:paraId="364334F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tc>
        <w:tc>
          <w:tcPr>
            <w:tcW w:w="425" w:type="pct"/>
            <w:vMerge w:val="restart"/>
            <w:tcBorders>
              <w:left w:val="single" w:color="auto" w:sz="4" w:space="0"/>
            </w:tcBorders>
            <w:vAlign w:val="center"/>
          </w:tcPr>
          <w:p w14:paraId="4B53C95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工程占地</w:t>
            </w:r>
          </w:p>
        </w:tc>
        <w:tc>
          <w:tcPr>
            <w:tcW w:w="433" w:type="pct"/>
            <w:vMerge w:val="restart"/>
            <w:tcMar>
              <w:left w:w="28" w:type="dxa"/>
              <w:right w:w="28" w:type="dxa"/>
            </w:tcMar>
            <w:vAlign w:val="center"/>
          </w:tcPr>
          <w:p w14:paraId="6E67F5A6">
            <w:pPr>
              <w:pStyle w:val="28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施工期</w:t>
            </w:r>
          </w:p>
        </w:tc>
        <w:tc>
          <w:tcPr>
            <w:tcW w:w="498" w:type="pct"/>
            <w:vMerge w:val="restart"/>
            <w:tcMar>
              <w:left w:w="28" w:type="dxa"/>
              <w:right w:w="28" w:type="dxa"/>
            </w:tcMar>
            <w:vAlign w:val="center"/>
          </w:tcPr>
          <w:p w14:paraId="6860C24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植被破坏</w:t>
            </w:r>
          </w:p>
          <w:p w14:paraId="6309572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土壤压覆</w:t>
            </w:r>
          </w:p>
          <w:p w14:paraId="7860A88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地表扰动</w:t>
            </w:r>
          </w:p>
          <w:p w14:paraId="2F2E934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水土流失</w:t>
            </w:r>
          </w:p>
        </w:tc>
        <w:tc>
          <w:tcPr>
            <w:tcW w:w="545" w:type="pct"/>
            <w:vMerge w:val="restart"/>
            <w:tcMar>
              <w:left w:w="28" w:type="dxa"/>
              <w:right w:w="28" w:type="dxa"/>
            </w:tcMar>
            <w:vAlign w:val="center"/>
          </w:tcPr>
          <w:p w14:paraId="28D48F8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单井采油井场、2井式平台井场、注水井场、单井采油管线、单井掺水管线、单井注水管线等</w:t>
            </w:r>
          </w:p>
        </w:tc>
        <w:tc>
          <w:tcPr>
            <w:tcW w:w="1731" w:type="pct"/>
            <w:gridSpan w:val="2"/>
            <w:tcMar>
              <w:left w:w="28" w:type="dxa"/>
              <w:right w:w="28" w:type="dxa"/>
            </w:tcMar>
            <w:vAlign w:val="center"/>
          </w:tcPr>
          <w:p w14:paraId="7D927F6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严格控制占地范围，单井采油井场、2井式平台井场、注水井场砾石铺垫或地面硬化</w:t>
            </w:r>
          </w:p>
        </w:tc>
        <w:tc>
          <w:tcPr>
            <w:tcW w:w="1007" w:type="pct"/>
            <w:gridSpan w:val="2"/>
            <w:tcMar>
              <w:left w:w="28" w:type="dxa"/>
              <w:right w:w="28" w:type="dxa"/>
            </w:tcMar>
            <w:vAlign w:val="center"/>
          </w:tcPr>
          <w:p w14:paraId="782FC64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w:t>
            </w:r>
            <w:r>
              <w:rPr>
                <w:rFonts w:hint="eastAsia"/>
                <w:color w:val="000000" w:themeColor="text1"/>
                <w:lang w:val="en-US" w:eastAsia="zh-CN"/>
                <w14:textFill>
                  <w14:solidFill>
                    <w14:schemeClr w14:val="tx1"/>
                  </w14:solidFill>
                </w14:textFill>
              </w:rPr>
              <w:t>永久占地采用</w:t>
            </w:r>
            <w:r>
              <w:rPr>
                <w:rFonts w:hint="eastAsia"/>
                <w:color w:val="000000" w:themeColor="text1"/>
                <w14:textFill>
                  <w14:solidFill>
                    <w14:schemeClr w14:val="tx1"/>
                  </w14:solidFill>
                </w14:textFill>
              </w:rPr>
              <w:t>砾石铺垫或地面硬化</w:t>
            </w:r>
          </w:p>
        </w:tc>
      </w:tr>
      <w:tr w14:paraId="11744D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continue"/>
            <w:tcMar>
              <w:left w:w="28" w:type="dxa"/>
              <w:right w:w="28" w:type="dxa"/>
            </w:tcMar>
            <w:vAlign w:val="center"/>
          </w:tcPr>
          <w:p w14:paraId="49A751B9">
            <w:pPr>
              <w:pStyle w:val="280"/>
              <w:rPr>
                <w:rFonts w:hint="eastAsia"/>
                <w:color w:val="000000" w:themeColor="text1"/>
                <w14:textFill>
                  <w14:solidFill>
                    <w14:schemeClr w14:val="tx1"/>
                  </w14:solidFill>
                </w14:textFill>
              </w:rPr>
            </w:pPr>
          </w:p>
        </w:tc>
        <w:tc>
          <w:tcPr>
            <w:tcW w:w="425" w:type="pct"/>
            <w:vMerge w:val="continue"/>
            <w:tcBorders>
              <w:left w:val="single" w:color="auto" w:sz="4" w:space="0"/>
            </w:tcBorders>
            <w:vAlign w:val="center"/>
          </w:tcPr>
          <w:p w14:paraId="32F6FB07">
            <w:pPr>
              <w:pStyle w:val="280"/>
              <w:rPr>
                <w:rFonts w:hint="eastAsia"/>
                <w:color w:val="000000" w:themeColor="text1"/>
                <w14:textFill>
                  <w14:solidFill>
                    <w14:schemeClr w14:val="tx1"/>
                  </w14:solidFill>
                </w14:textFill>
              </w:rPr>
            </w:pPr>
          </w:p>
        </w:tc>
        <w:tc>
          <w:tcPr>
            <w:tcW w:w="433" w:type="pct"/>
            <w:vMerge w:val="continue"/>
            <w:tcMar>
              <w:left w:w="28" w:type="dxa"/>
              <w:right w:w="28" w:type="dxa"/>
            </w:tcMar>
            <w:vAlign w:val="center"/>
          </w:tcPr>
          <w:p w14:paraId="50AC7F34">
            <w:pPr>
              <w:pStyle w:val="280"/>
              <w:rPr>
                <w:rFonts w:hint="eastAsia"/>
                <w:color w:val="000000" w:themeColor="text1"/>
                <w14:textFill>
                  <w14:solidFill>
                    <w14:schemeClr w14:val="tx1"/>
                  </w14:solidFill>
                </w14:textFill>
              </w:rPr>
            </w:pPr>
          </w:p>
        </w:tc>
        <w:tc>
          <w:tcPr>
            <w:tcW w:w="498" w:type="pct"/>
            <w:vMerge w:val="continue"/>
            <w:tcMar>
              <w:left w:w="28" w:type="dxa"/>
              <w:right w:w="28" w:type="dxa"/>
            </w:tcMar>
            <w:vAlign w:val="center"/>
          </w:tcPr>
          <w:p w14:paraId="198A50D2">
            <w:pPr>
              <w:pStyle w:val="280"/>
              <w:rPr>
                <w:rFonts w:hint="eastAsia"/>
                <w:color w:val="000000" w:themeColor="text1"/>
                <w14:textFill>
                  <w14:solidFill>
                    <w14:schemeClr w14:val="tx1"/>
                  </w14:solidFill>
                </w14:textFill>
              </w:rPr>
            </w:pPr>
          </w:p>
        </w:tc>
        <w:tc>
          <w:tcPr>
            <w:tcW w:w="545" w:type="pct"/>
            <w:vMerge w:val="continue"/>
            <w:tcMar>
              <w:left w:w="28" w:type="dxa"/>
              <w:right w:w="28" w:type="dxa"/>
            </w:tcMar>
            <w:vAlign w:val="center"/>
          </w:tcPr>
          <w:p w14:paraId="1D52BBA0">
            <w:pPr>
              <w:pStyle w:val="280"/>
              <w:rPr>
                <w:rFonts w:hint="eastAsia"/>
                <w:color w:val="000000" w:themeColor="text1"/>
                <w14:textFill>
                  <w14:solidFill>
                    <w14:schemeClr w14:val="tx1"/>
                  </w14:solidFill>
                </w14:textFill>
              </w:rPr>
            </w:pPr>
          </w:p>
        </w:tc>
        <w:tc>
          <w:tcPr>
            <w:tcW w:w="1731" w:type="pct"/>
            <w:gridSpan w:val="2"/>
            <w:tcMar>
              <w:left w:w="28" w:type="dxa"/>
              <w:right w:w="28" w:type="dxa"/>
            </w:tcMar>
            <w:vAlign w:val="center"/>
          </w:tcPr>
          <w:p w14:paraId="09F49E4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管线管沟开挖时</w:t>
            </w:r>
            <w:r>
              <w:rPr>
                <w:rFonts w:hint="eastAsia"/>
                <w:color w:val="000000" w:themeColor="text1"/>
                <w:spacing w:val="-6"/>
                <w14:textFill>
                  <w14:solidFill>
                    <w14:schemeClr w14:val="tx1"/>
                  </w14:solidFill>
                </w14:textFill>
              </w:rPr>
              <w:t>产生的土方</w:t>
            </w:r>
            <w:r>
              <w:rPr>
                <w:color w:val="000000" w:themeColor="text1"/>
                <w14:textFill>
                  <w14:solidFill>
                    <w14:schemeClr w14:val="tx1"/>
                  </w14:solidFill>
                </w14:textFill>
              </w:rPr>
              <w:t>，</w:t>
            </w:r>
            <w:r>
              <w:rPr>
                <w:rFonts w:hint="eastAsia"/>
                <w:color w:val="000000" w:themeColor="text1"/>
                <w:spacing w:val="-6"/>
                <w14:textFill>
                  <w14:solidFill>
                    <w14:schemeClr w14:val="tx1"/>
                  </w14:solidFill>
                </w14:textFill>
              </w:rPr>
              <w:t>采用</w:t>
            </w:r>
            <w:r>
              <w:rPr>
                <w:rFonts w:hint="eastAsia"/>
                <w:color w:val="000000" w:themeColor="text1"/>
                <w14:textFill>
                  <w14:solidFill>
                    <w14:schemeClr w14:val="tx1"/>
                  </w14:solidFill>
                </w14:textFill>
              </w:rPr>
              <w:t>防尘布（或网）进行苫盖。</w:t>
            </w:r>
          </w:p>
        </w:tc>
        <w:tc>
          <w:tcPr>
            <w:tcW w:w="1007" w:type="pct"/>
            <w:gridSpan w:val="2"/>
            <w:tcMar>
              <w:left w:w="28" w:type="dxa"/>
              <w:right w:w="28" w:type="dxa"/>
            </w:tcMar>
            <w:vAlign w:val="center"/>
          </w:tcPr>
          <w:p w14:paraId="0867CEC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临时土方苫盖情况，管沟开挖表层土单独堆放情况</w:t>
            </w:r>
          </w:p>
        </w:tc>
      </w:tr>
      <w:tr w14:paraId="42D238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continue"/>
            <w:tcMar>
              <w:left w:w="28" w:type="dxa"/>
              <w:right w:w="28" w:type="dxa"/>
            </w:tcMar>
            <w:vAlign w:val="center"/>
          </w:tcPr>
          <w:p w14:paraId="35C97F12">
            <w:pPr>
              <w:pStyle w:val="280"/>
              <w:rPr>
                <w:rFonts w:hint="eastAsia"/>
                <w:color w:val="000000" w:themeColor="text1"/>
                <w14:textFill>
                  <w14:solidFill>
                    <w14:schemeClr w14:val="tx1"/>
                  </w14:solidFill>
                </w14:textFill>
              </w:rPr>
            </w:pPr>
          </w:p>
        </w:tc>
        <w:tc>
          <w:tcPr>
            <w:tcW w:w="425" w:type="pct"/>
            <w:vMerge w:val="continue"/>
            <w:tcBorders>
              <w:left w:val="single" w:color="auto" w:sz="4" w:space="0"/>
            </w:tcBorders>
            <w:vAlign w:val="center"/>
          </w:tcPr>
          <w:p w14:paraId="0E1CA08C">
            <w:pPr>
              <w:pStyle w:val="280"/>
              <w:rPr>
                <w:rFonts w:hint="eastAsia"/>
                <w:color w:val="000000" w:themeColor="text1"/>
                <w14:textFill>
                  <w14:solidFill>
                    <w14:schemeClr w14:val="tx1"/>
                  </w14:solidFill>
                </w14:textFill>
              </w:rPr>
            </w:pPr>
          </w:p>
        </w:tc>
        <w:tc>
          <w:tcPr>
            <w:tcW w:w="433" w:type="pct"/>
            <w:vMerge w:val="continue"/>
            <w:tcMar>
              <w:left w:w="28" w:type="dxa"/>
              <w:right w:w="28" w:type="dxa"/>
            </w:tcMar>
            <w:vAlign w:val="center"/>
          </w:tcPr>
          <w:p w14:paraId="1D1E33AA">
            <w:pPr>
              <w:pStyle w:val="280"/>
              <w:rPr>
                <w:rFonts w:hint="eastAsia"/>
                <w:color w:val="000000" w:themeColor="text1"/>
                <w14:textFill>
                  <w14:solidFill>
                    <w14:schemeClr w14:val="tx1"/>
                  </w14:solidFill>
                </w14:textFill>
              </w:rPr>
            </w:pPr>
          </w:p>
        </w:tc>
        <w:tc>
          <w:tcPr>
            <w:tcW w:w="498" w:type="pct"/>
            <w:vMerge w:val="continue"/>
            <w:tcMar>
              <w:left w:w="28" w:type="dxa"/>
              <w:right w:w="28" w:type="dxa"/>
            </w:tcMar>
            <w:vAlign w:val="center"/>
          </w:tcPr>
          <w:p w14:paraId="262CF362">
            <w:pPr>
              <w:pStyle w:val="280"/>
              <w:rPr>
                <w:rFonts w:hint="eastAsia"/>
                <w:color w:val="000000" w:themeColor="text1"/>
                <w14:textFill>
                  <w14:solidFill>
                    <w14:schemeClr w14:val="tx1"/>
                  </w14:solidFill>
                </w14:textFill>
              </w:rPr>
            </w:pPr>
          </w:p>
        </w:tc>
        <w:tc>
          <w:tcPr>
            <w:tcW w:w="545" w:type="pct"/>
            <w:vMerge w:val="continue"/>
            <w:tcMar>
              <w:left w:w="28" w:type="dxa"/>
              <w:right w:w="28" w:type="dxa"/>
            </w:tcMar>
            <w:vAlign w:val="center"/>
          </w:tcPr>
          <w:p w14:paraId="0BBDF6B0">
            <w:pPr>
              <w:pStyle w:val="280"/>
              <w:rPr>
                <w:rFonts w:hint="eastAsia"/>
                <w:color w:val="000000" w:themeColor="text1"/>
                <w14:textFill>
                  <w14:solidFill>
                    <w14:schemeClr w14:val="tx1"/>
                  </w14:solidFill>
                </w14:textFill>
              </w:rPr>
            </w:pPr>
          </w:p>
        </w:tc>
        <w:tc>
          <w:tcPr>
            <w:tcW w:w="1731" w:type="pct"/>
            <w:gridSpan w:val="2"/>
            <w:tcMar>
              <w:left w:w="28" w:type="dxa"/>
              <w:right w:w="28" w:type="dxa"/>
            </w:tcMar>
            <w:vAlign w:val="center"/>
          </w:tcPr>
          <w:p w14:paraId="11AD68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施工结束后对场地进行清理、平整</w:t>
            </w:r>
          </w:p>
        </w:tc>
        <w:tc>
          <w:tcPr>
            <w:tcW w:w="1007" w:type="pct"/>
            <w:gridSpan w:val="2"/>
            <w:tcMar>
              <w:left w:w="28" w:type="dxa"/>
              <w:right w:w="28" w:type="dxa"/>
            </w:tcMar>
            <w:vAlign w:val="center"/>
          </w:tcPr>
          <w:p w14:paraId="448BD0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井场、管线沿线平整情况</w:t>
            </w:r>
          </w:p>
        </w:tc>
      </w:tr>
      <w:tr w14:paraId="052BCC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continue"/>
            <w:tcMar>
              <w:left w:w="28" w:type="dxa"/>
              <w:right w:w="28" w:type="dxa"/>
            </w:tcMar>
            <w:vAlign w:val="center"/>
          </w:tcPr>
          <w:p w14:paraId="15C3AA57">
            <w:pPr>
              <w:pStyle w:val="280"/>
              <w:rPr>
                <w:rFonts w:hint="eastAsia"/>
                <w:color w:val="000000" w:themeColor="text1"/>
                <w14:textFill>
                  <w14:solidFill>
                    <w14:schemeClr w14:val="tx1"/>
                  </w14:solidFill>
                </w14:textFill>
              </w:rPr>
            </w:pPr>
          </w:p>
        </w:tc>
        <w:tc>
          <w:tcPr>
            <w:tcW w:w="425" w:type="pct"/>
            <w:vMerge w:val="continue"/>
            <w:tcBorders>
              <w:left w:val="single" w:color="auto" w:sz="4" w:space="0"/>
            </w:tcBorders>
            <w:vAlign w:val="center"/>
          </w:tcPr>
          <w:p w14:paraId="0E6A97F6">
            <w:pPr>
              <w:pStyle w:val="280"/>
              <w:rPr>
                <w:rFonts w:hint="eastAsia"/>
                <w:color w:val="000000" w:themeColor="text1"/>
                <w14:textFill>
                  <w14:solidFill>
                    <w14:schemeClr w14:val="tx1"/>
                  </w14:solidFill>
                </w14:textFill>
              </w:rPr>
            </w:pPr>
          </w:p>
        </w:tc>
        <w:tc>
          <w:tcPr>
            <w:tcW w:w="433" w:type="pct"/>
            <w:vMerge w:val="continue"/>
            <w:tcMar>
              <w:left w:w="28" w:type="dxa"/>
              <w:right w:w="28" w:type="dxa"/>
            </w:tcMar>
            <w:vAlign w:val="center"/>
          </w:tcPr>
          <w:p w14:paraId="09C0369E">
            <w:pPr>
              <w:pStyle w:val="280"/>
              <w:rPr>
                <w:rFonts w:hint="eastAsia"/>
                <w:color w:val="000000" w:themeColor="text1"/>
                <w14:textFill>
                  <w14:solidFill>
                    <w14:schemeClr w14:val="tx1"/>
                  </w14:solidFill>
                </w14:textFill>
              </w:rPr>
            </w:pPr>
          </w:p>
        </w:tc>
        <w:tc>
          <w:tcPr>
            <w:tcW w:w="498" w:type="pct"/>
            <w:vMerge w:val="continue"/>
            <w:tcMar>
              <w:left w:w="28" w:type="dxa"/>
              <w:right w:w="28" w:type="dxa"/>
            </w:tcMar>
            <w:vAlign w:val="center"/>
          </w:tcPr>
          <w:p w14:paraId="494E441C">
            <w:pPr>
              <w:pStyle w:val="280"/>
              <w:rPr>
                <w:rFonts w:hint="eastAsia"/>
                <w:color w:val="000000" w:themeColor="text1"/>
                <w14:textFill>
                  <w14:solidFill>
                    <w14:schemeClr w14:val="tx1"/>
                  </w14:solidFill>
                </w14:textFill>
              </w:rPr>
            </w:pPr>
          </w:p>
        </w:tc>
        <w:tc>
          <w:tcPr>
            <w:tcW w:w="545" w:type="pct"/>
            <w:vMerge w:val="continue"/>
            <w:tcMar>
              <w:left w:w="28" w:type="dxa"/>
              <w:right w:w="28" w:type="dxa"/>
            </w:tcMar>
            <w:vAlign w:val="center"/>
          </w:tcPr>
          <w:p w14:paraId="04412911">
            <w:pPr>
              <w:pStyle w:val="280"/>
              <w:rPr>
                <w:rFonts w:hint="eastAsia"/>
                <w:color w:val="000000" w:themeColor="text1"/>
                <w14:textFill>
                  <w14:solidFill>
                    <w14:schemeClr w14:val="tx1"/>
                  </w14:solidFill>
                </w14:textFill>
              </w:rPr>
            </w:pPr>
          </w:p>
        </w:tc>
        <w:tc>
          <w:tcPr>
            <w:tcW w:w="1731" w:type="pct"/>
            <w:gridSpan w:val="2"/>
            <w:tcMar>
              <w:left w:w="28" w:type="dxa"/>
              <w:right w:w="28" w:type="dxa"/>
            </w:tcMar>
            <w:vAlign w:val="center"/>
          </w:tcPr>
          <w:p w14:paraId="52D1225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按正式征地文件进行经济补偿</w:t>
            </w:r>
          </w:p>
        </w:tc>
        <w:tc>
          <w:tcPr>
            <w:tcW w:w="1007" w:type="pct"/>
            <w:gridSpan w:val="2"/>
            <w:tcMar>
              <w:left w:w="28" w:type="dxa"/>
              <w:right w:w="28" w:type="dxa"/>
            </w:tcMar>
            <w:vAlign w:val="center"/>
          </w:tcPr>
          <w:p w14:paraId="3C1ED05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是否按征地文件进行经济补偿</w:t>
            </w:r>
          </w:p>
        </w:tc>
      </w:tr>
      <w:tr w14:paraId="33CF9F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vMerge w:val="continue"/>
            <w:tcMar>
              <w:left w:w="28" w:type="dxa"/>
              <w:right w:w="28" w:type="dxa"/>
            </w:tcMar>
            <w:vAlign w:val="center"/>
          </w:tcPr>
          <w:p w14:paraId="7C4CB493">
            <w:pPr>
              <w:pStyle w:val="280"/>
              <w:rPr>
                <w:rFonts w:hint="eastAsia"/>
                <w:color w:val="000000" w:themeColor="text1"/>
                <w14:textFill>
                  <w14:solidFill>
                    <w14:schemeClr w14:val="tx1"/>
                  </w14:solidFill>
                </w14:textFill>
              </w:rPr>
            </w:pPr>
          </w:p>
        </w:tc>
        <w:tc>
          <w:tcPr>
            <w:tcW w:w="425" w:type="pct"/>
            <w:vMerge w:val="continue"/>
            <w:tcBorders>
              <w:left w:val="single" w:color="auto" w:sz="4" w:space="0"/>
            </w:tcBorders>
            <w:vAlign w:val="center"/>
          </w:tcPr>
          <w:p w14:paraId="25B8579A">
            <w:pPr>
              <w:pStyle w:val="280"/>
              <w:rPr>
                <w:rFonts w:hint="eastAsia"/>
                <w:color w:val="000000" w:themeColor="text1"/>
                <w14:textFill>
                  <w14:solidFill>
                    <w14:schemeClr w14:val="tx1"/>
                  </w14:solidFill>
                </w14:textFill>
              </w:rPr>
            </w:pPr>
          </w:p>
        </w:tc>
        <w:tc>
          <w:tcPr>
            <w:tcW w:w="433" w:type="pct"/>
            <w:vMerge w:val="continue"/>
            <w:tcMar>
              <w:left w:w="28" w:type="dxa"/>
              <w:right w:w="28" w:type="dxa"/>
            </w:tcMar>
            <w:vAlign w:val="center"/>
          </w:tcPr>
          <w:p w14:paraId="5D68855F">
            <w:pPr>
              <w:pStyle w:val="280"/>
              <w:rPr>
                <w:rFonts w:hint="eastAsia"/>
                <w:color w:val="000000" w:themeColor="text1"/>
                <w14:textFill>
                  <w14:solidFill>
                    <w14:schemeClr w14:val="tx1"/>
                  </w14:solidFill>
                </w14:textFill>
              </w:rPr>
            </w:pPr>
          </w:p>
        </w:tc>
        <w:tc>
          <w:tcPr>
            <w:tcW w:w="498" w:type="pct"/>
            <w:vMerge w:val="continue"/>
            <w:tcMar>
              <w:left w:w="28" w:type="dxa"/>
              <w:right w:w="28" w:type="dxa"/>
            </w:tcMar>
            <w:vAlign w:val="center"/>
          </w:tcPr>
          <w:p w14:paraId="31A2B413">
            <w:pPr>
              <w:pStyle w:val="280"/>
              <w:rPr>
                <w:rFonts w:hint="eastAsia"/>
                <w:color w:val="000000" w:themeColor="text1"/>
                <w14:textFill>
                  <w14:solidFill>
                    <w14:schemeClr w14:val="tx1"/>
                  </w14:solidFill>
                </w14:textFill>
              </w:rPr>
            </w:pPr>
          </w:p>
        </w:tc>
        <w:tc>
          <w:tcPr>
            <w:tcW w:w="545" w:type="pct"/>
            <w:vMerge w:val="continue"/>
            <w:tcMar>
              <w:left w:w="28" w:type="dxa"/>
              <w:right w:w="28" w:type="dxa"/>
            </w:tcMar>
            <w:vAlign w:val="center"/>
          </w:tcPr>
          <w:p w14:paraId="674707C4">
            <w:pPr>
              <w:pStyle w:val="280"/>
              <w:rPr>
                <w:rFonts w:hint="eastAsia"/>
                <w:color w:val="000000" w:themeColor="text1"/>
                <w14:textFill>
                  <w14:solidFill>
                    <w14:schemeClr w14:val="tx1"/>
                  </w14:solidFill>
                </w14:textFill>
              </w:rPr>
            </w:pPr>
          </w:p>
        </w:tc>
        <w:tc>
          <w:tcPr>
            <w:tcW w:w="1731" w:type="pct"/>
            <w:gridSpan w:val="2"/>
            <w:tcMar>
              <w:left w:w="28" w:type="dxa"/>
              <w:right w:w="28" w:type="dxa"/>
            </w:tcMar>
            <w:vAlign w:val="center"/>
          </w:tcPr>
          <w:p w14:paraId="2B01C77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临时占地范围的植被主要依靠自然恢复</w:t>
            </w:r>
          </w:p>
        </w:tc>
        <w:tc>
          <w:tcPr>
            <w:tcW w:w="1007" w:type="pct"/>
            <w:gridSpan w:val="2"/>
            <w:tcMar>
              <w:left w:w="28" w:type="dxa"/>
              <w:right w:w="28" w:type="dxa"/>
            </w:tcMar>
            <w:vAlign w:val="center"/>
          </w:tcPr>
          <w:p w14:paraId="7E4EE5B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井场、管线和输电线路占地范围内及周边自然植被恢复情况</w:t>
            </w:r>
          </w:p>
        </w:tc>
      </w:tr>
      <w:tr w14:paraId="503460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tcMar>
              <w:left w:w="28" w:type="dxa"/>
              <w:right w:w="28" w:type="dxa"/>
            </w:tcMar>
            <w:vAlign w:val="center"/>
          </w:tcPr>
          <w:p w14:paraId="3F26113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防渗措施</w:t>
            </w:r>
          </w:p>
        </w:tc>
        <w:tc>
          <w:tcPr>
            <w:tcW w:w="4640" w:type="pct"/>
            <w:gridSpan w:val="8"/>
            <w:tcBorders>
              <w:left w:val="single" w:color="auto" w:sz="4" w:space="0"/>
            </w:tcBorders>
            <w:vAlign w:val="center"/>
          </w:tcPr>
          <w:p w14:paraId="247C2F36">
            <w:pPr>
              <w:pStyle w:val="28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单井采油井场、2井式平台井场采用重点防渗区，其余区域为一般防渗区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井场的防渗措施</w:t>
            </w:r>
            <w:r>
              <w:rPr>
                <w:rFonts w:hint="eastAsia"/>
                <w:color w:val="000000" w:themeColor="text1"/>
                <w:lang w:eastAsia="zh-CN"/>
                <w14:textFill>
                  <w14:solidFill>
                    <w14:schemeClr w14:val="tx1"/>
                  </w14:solidFill>
                </w14:textFill>
              </w:rPr>
              <w:t>：采油井井口处为重点防渗区，重点防渗区的防渗性能不应低于6m厚渗透系数为1.0×10</w:t>
            </w:r>
            <w:r>
              <w:rPr>
                <w:rFonts w:hint="eastAsia"/>
                <w:color w:val="000000" w:themeColor="text1"/>
                <w:vertAlign w:val="superscript"/>
                <w:lang w:eastAsia="zh-CN"/>
                <w14:textFill>
                  <w14:solidFill>
                    <w14:schemeClr w14:val="tx1"/>
                  </w14:solidFill>
                </w14:textFill>
              </w:rPr>
              <w:t>-7</w:t>
            </w:r>
            <w:r>
              <w:rPr>
                <w:rFonts w:hint="eastAsia"/>
                <w:color w:val="000000" w:themeColor="text1"/>
                <w:lang w:eastAsia="zh-CN"/>
                <w14:textFill>
                  <w14:solidFill>
                    <w14:schemeClr w14:val="tx1"/>
                  </w14:solidFill>
                </w14:textFill>
              </w:rPr>
              <w:t>cm/s的黏土层的防渗性能。将井场除采油井口处的其他生产区域划分为一般防渗区，一般防渗区防渗性能不应低于1.5m厚渗透系数为1.0×10</w:t>
            </w:r>
            <w:r>
              <w:rPr>
                <w:rFonts w:hint="eastAsia"/>
                <w:color w:val="000000" w:themeColor="text1"/>
                <w:vertAlign w:val="superscript"/>
                <w:lang w:eastAsia="zh-CN"/>
                <w14:textFill>
                  <w14:solidFill>
                    <w14:schemeClr w14:val="tx1"/>
                  </w14:solidFill>
                </w14:textFill>
              </w:rPr>
              <w:t>-7</w:t>
            </w:r>
            <w:r>
              <w:rPr>
                <w:rFonts w:hint="eastAsia"/>
                <w:color w:val="000000" w:themeColor="text1"/>
                <w:lang w:eastAsia="zh-CN"/>
                <w14:textFill>
                  <w14:solidFill>
                    <w14:schemeClr w14:val="tx1"/>
                  </w14:solidFill>
                </w14:textFill>
              </w:rPr>
              <w:t>cm/s的黏土层的防渗性能。采油井场井口处井下作业时防渗措施</w:t>
            </w:r>
            <w:r>
              <w:rPr>
                <w:rFonts w:hint="eastAsia"/>
                <w:color w:val="000000" w:themeColor="text1"/>
                <w:lang w:val="en-US" w:eastAsia="zh-CN"/>
                <w14:textFill>
                  <w14:solidFill>
                    <w14:schemeClr w14:val="tx1"/>
                  </w14:solidFill>
                </w14:textFill>
              </w:rPr>
              <w:t>为</w:t>
            </w:r>
            <w:r>
              <w:rPr>
                <w:rFonts w:hint="eastAsia"/>
                <w:color w:val="000000" w:themeColor="text1"/>
                <w:lang w:eastAsia="zh-CN"/>
                <w14:textFill>
                  <w14:solidFill>
                    <w14:schemeClr w14:val="tx1"/>
                  </w14:solidFill>
                </w14:textFill>
              </w:rPr>
              <w:t>铺设防渗膜。</w:t>
            </w:r>
          </w:p>
        </w:tc>
      </w:tr>
      <w:tr w14:paraId="25C48C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tcMar>
              <w:left w:w="28" w:type="dxa"/>
              <w:right w:w="28" w:type="dxa"/>
            </w:tcMar>
            <w:vAlign w:val="center"/>
          </w:tcPr>
          <w:p w14:paraId="79A3CEBC">
            <w:pPr>
              <w:pStyle w:val="2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环境风险防范措施</w:t>
            </w:r>
          </w:p>
        </w:tc>
        <w:tc>
          <w:tcPr>
            <w:tcW w:w="4640" w:type="pct"/>
            <w:gridSpan w:val="8"/>
            <w:tcBorders>
              <w:left w:val="single" w:color="auto" w:sz="4" w:space="0"/>
            </w:tcBorders>
            <w:vAlign w:val="center"/>
          </w:tcPr>
          <w:p w14:paraId="75211D30">
            <w:pPr>
              <w:pStyle w:val="28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修订现有突发环境事件应急预案，</w:t>
            </w:r>
            <w:r>
              <w:rPr>
                <w:rFonts w:hint="eastAsia"/>
                <w:color w:val="000000" w:themeColor="text1"/>
                <w14:textFill>
                  <w14:solidFill>
                    <w14:schemeClr w14:val="tx1"/>
                  </w14:solidFill>
                </w14:textFill>
              </w:rPr>
              <w:t>项目投产后应纳入《中国石油新疆油田分公司吉庆油田作业区突发环境污染事件应急预案》</w:t>
            </w:r>
            <w:r>
              <w:rPr>
                <w:rFonts w:hint="eastAsia"/>
                <w:color w:val="000000" w:themeColor="text1"/>
                <w:lang w:eastAsia="zh-CN"/>
                <w14:textFill>
                  <w14:solidFill>
                    <w14:schemeClr w14:val="tx1"/>
                  </w14:solidFill>
                </w14:textFill>
              </w:rPr>
              <w:t>。</w:t>
            </w:r>
          </w:p>
        </w:tc>
      </w:tr>
      <w:tr w14:paraId="6B90E7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9" w:type="pct"/>
            <w:tcBorders>
              <w:right w:val="single" w:color="auto" w:sz="4" w:space="0"/>
            </w:tcBorders>
            <w:tcMar>
              <w:left w:w="28" w:type="dxa"/>
              <w:right w:w="28" w:type="dxa"/>
            </w:tcMar>
            <w:vAlign w:val="center"/>
          </w:tcPr>
          <w:p w14:paraId="0D05F4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环境管理</w:t>
            </w:r>
          </w:p>
        </w:tc>
        <w:tc>
          <w:tcPr>
            <w:tcW w:w="4640" w:type="pct"/>
            <w:gridSpan w:val="8"/>
            <w:tcBorders>
              <w:left w:val="single" w:color="auto" w:sz="4" w:space="0"/>
            </w:tcBorders>
            <w:vAlign w:val="center"/>
          </w:tcPr>
          <w:p w14:paraId="7330260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环境管理制度是否建立并完善，环保机构及人员是否设置到位；施工期是否有环境监理报告或施工环保检查记录，是否保留必要的影像资料</w:t>
            </w:r>
          </w:p>
        </w:tc>
      </w:tr>
      <w:bookmarkEnd w:id="747"/>
      <w:bookmarkEnd w:id="748"/>
      <w:bookmarkEnd w:id="749"/>
      <w:bookmarkEnd w:id="750"/>
    </w:tbl>
    <w:p w14:paraId="75146CB3">
      <w:pPr>
        <w:pStyle w:val="120"/>
        <w:rPr>
          <w:rFonts w:hint="eastAsia"/>
          <w:color w:val="000000" w:themeColor="text1"/>
          <w14:textFill>
            <w14:solidFill>
              <w14:schemeClr w14:val="tx1"/>
            </w14:solidFill>
          </w14:textFill>
        </w:rPr>
        <w:sectPr>
          <w:pgSz w:w="16838" w:h="11906" w:orient="landscape"/>
          <w:pgMar w:top="1588" w:right="1418" w:bottom="1588" w:left="1418" w:header="1020" w:footer="1020" w:gutter="0"/>
          <w:cols w:space="720" w:num="1"/>
          <w:docGrid w:type="lines" w:linePitch="312" w:charSpace="0"/>
        </w:sectPr>
      </w:pPr>
    </w:p>
    <w:p w14:paraId="4744CF8E">
      <w:pPr>
        <w:pStyle w:val="6"/>
        <w:rPr>
          <w:rFonts w:hint="eastAsia"/>
          <w:color w:val="000000" w:themeColor="text1"/>
          <w14:textFill>
            <w14:solidFill>
              <w14:schemeClr w14:val="tx1"/>
            </w14:solidFill>
          </w14:textFill>
        </w:rPr>
      </w:pPr>
      <w:bookmarkStart w:id="751" w:name="_Toc2138"/>
      <w:r>
        <w:rPr>
          <w:color w:val="000000" w:themeColor="text1"/>
          <w14:textFill>
            <w14:solidFill>
              <w14:schemeClr w14:val="tx1"/>
            </w14:solidFill>
          </w14:textFill>
        </w:rPr>
        <w:t>环境影响经济损益分析</w:t>
      </w:r>
      <w:bookmarkEnd w:id="751"/>
    </w:p>
    <w:p w14:paraId="35DB4C55">
      <w:pPr>
        <w:pStyle w:val="7"/>
        <w:rPr>
          <w:rFonts w:hint="eastAsia"/>
          <w:color w:val="000000" w:themeColor="text1"/>
          <w14:textFill>
            <w14:solidFill>
              <w14:schemeClr w14:val="tx1"/>
            </w14:solidFill>
          </w14:textFill>
        </w:rPr>
      </w:pPr>
      <w:bookmarkStart w:id="752" w:name="_Toc27787"/>
      <w:r>
        <w:rPr>
          <w:rFonts w:hint="eastAsia"/>
          <w:color w:val="000000" w:themeColor="text1"/>
          <w14:textFill>
            <w14:solidFill>
              <w14:schemeClr w14:val="tx1"/>
            </w14:solidFill>
          </w14:textFill>
        </w:rPr>
        <w:t>环境社会效益分析</w:t>
      </w:r>
      <w:bookmarkEnd w:id="752"/>
    </w:p>
    <w:p w14:paraId="390C393D">
      <w:pPr>
        <w:pStyle w:val="8"/>
        <w:rPr>
          <w:rFonts w:hint="eastAsia"/>
          <w:color w:val="000000" w:themeColor="text1"/>
          <w14:textFill>
            <w14:solidFill>
              <w14:schemeClr w14:val="tx1"/>
            </w14:solidFill>
          </w14:textFill>
        </w:rPr>
      </w:pPr>
      <w:bookmarkStart w:id="753" w:name="_Toc26611"/>
      <w:bookmarkStart w:id="754" w:name="_Toc445996515"/>
      <w:bookmarkStart w:id="755" w:name="_Toc445842208"/>
      <w:r>
        <w:rPr>
          <w:color w:val="000000" w:themeColor="text1"/>
          <w14:textFill>
            <w14:solidFill>
              <w14:schemeClr w14:val="tx1"/>
            </w14:solidFill>
          </w14:textFill>
        </w:rPr>
        <w:t>环境效益分析</w:t>
      </w:r>
      <w:bookmarkEnd w:id="753"/>
      <w:bookmarkEnd w:id="754"/>
      <w:bookmarkEnd w:id="755"/>
    </w:p>
    <w:p w14:paraId="24FCA344">
      <w:pPr>
        <w:pStyle w:val="120"/>
        <w:spacing w:line="48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项目开发建设对环境造成的损失主要表现在：工程占地造成的环境损失，突发事故污染造成的环境损失和其他环境损失。</w:t>
      </w:r>
    </w:p>
    <w:p w14:paraId="0B1033D5">
      <w:pPr>
        <w:pStyle w:val="120"/>
        <w:spacing w:line="48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占地主要为井场、</w:t>
      </w:r>
      <w:r>
        <w:rPr>
          <w:rFonts w:hint="eastAsia"/>
          <w:color w:val="000000" w:themeColor="text1"/>
          <w:lang w:val="en-US"/>
          <w14:textFill>
            <w14:solidFill>
              <w14:schemeClr w14:val="tx1"/>
            </w14:solidFill>
          </w14:textFill>
        </w:rPr>
        <w:t>巡检道路</w:t>
      </w:r>
      <w:r>
        <w:rPr>
          <w:rFonts w:hint="eastAsia"/>
          <w:color w:val="000000" w:themeColor="text1"/>
          <w14:textFill>
            <w14:solidFill>
              <w14:schemeClr w14:val="tx1"/>
            </w14:solidFill>
          </w14:textFill>
        </w:rPr>
        <w:t>、管线</w:t>
      </w:r>
      <w:r>
        <w:rPr>
          <w:rFonts w:hint="eastAsia"/>
          <w:color w:val="000000" w:themeColor="text1"/>
          <w:lang w:val="en-US"/>
          <w14:textFill>
            <w14:solidFill>
              <w14:schemeClr w14:val="tx1"/>
            </w14:solidFill>
          </w14:textFill>
        </w:rPr>
        <w:t>和架空线路</w:t>
      </w:r>
      <w:r>
        <w:rPr>
          <w:rFonts w:hint="eastAsia"/>
          <w:color w:val="000000" w:themeColor="text1"/>
          <w14:textFill>
            <w14:solidFill>
              <w14:schemeClr w14:val="tx1"/>
            </w14:solidFill>
          </w14:textFill>
        </w:rPr>
        <w:t>等工程占地，对生态环境的影响包括破坏原有地表构造，使地表裸露，加剧水土流失。但在加强施工管理和采取生态恢复措施后，对生态环境的影响是可以接受的。</w:t>
      </w:r>
    </w:p>
    <w:p w14:paraId="07A13AD7">
      <w:pPr>
        <w:pStyle w:val="120"/>
        <w:spacing w:line="48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本项目施工期较短，施工“三废”和噪声影响较小；</w:t>
      </w:r>
      <w:r>
        <w:rPr>
          <w:color w:val="000000" w:themeColor="text1"/>
          <w14:textFill>
            <w14:solidFill>
              <w14:schemeClr w14:val="tx1"/>
            </w14:solidFill>
          </w14:textFill>
        </w:rPr>
        <w:t>在初期的3～5年内，植被破坏后不易恢复</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当临时性占地的植被得到初步恢复后，这种损失将会逐渐减少</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施工期的各种污染物排放均属于短期污染，会随着施工期的结束而消失</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不会对周边环境产生影响。</w:t>
      </w:r>
      <w:r>
        <w:rPr>
          <w:rFonts w:hint="eastAsia"/>
          <w:color w:val="000000" w:themeColor="text1"/>
          <w14:textFill>
            <w14:solidFill>
              <w14:schemeClr w14:val="tx1"/>
            </w14:solidFill>
          </w14:textFill>
        </w:rPr>
        <w:t>运营期废气、噪声均可实现达标排放，废水及固体废物均可实现妥善处置，正常情况下不会对周围环境产生明显影响。</w:t>
      </w:r>
    </w:p>
    <w:p w14:paraId="4F5AF005">
      <w:pPr>
        <w:pStyle w:val="120"/>
        <w:spacing w:line="48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本项目建成投产后，对该地区的资源开发、经济结构的优化及其它相关产业的带动发展都具有非常重要的意义。</w:t>
      </w:r>
    </w:p>
    <w:p w14:paraId="6EB6C635">
      <w:pPr>
        <w:pStyle w:val="8"/>
        <w:rPr>
          <w:rFonts w:hint="eastAsia"/>
          <w:color w:val="000000" w:themeColor="text1"/>
          <w14:textFill>
            <w14:solidFill>
              <w14:schemeClr w14:val="tx1"/>
            </w14:solidFill>
          </w14:textFill>
        </w:rPr>
      </w:pPr>
      <w:bookmarkStart w:id="756" w:name="_Toc445842209"/>
      <w:bookmarkStart w:id="757" w:name="_Toc116"/>
      <w:bookmarkStart w:id="758" w:name="_Toc445996516"/>
      <w:r>
        <w:rPr>
          <w:color w:val="000000" w:themeColor="text1"/>
          <w14:textFill>
            <w14:solidFill>
              <w14:schemeClr w14:val="tx1"/>
            </w14:solidFill>
          </w14:textFill>
        </w:rPr>
        <w:t>社会</w:t>
      </w:r>
      <w:r>
        <w:rPr>
          <w:rFonts w:hint="eastAsia"/>
          <w:color w:val="000000" w:themeColor="text1"/>
          <w14:textFill>
            <w14:solidFill>
              <w14:schemeClr w14:val="tx1"/>
            </w14:solidFill>
          </w14:textFill>
        </w:rPr>
        <w:t>经济</w:t>
      </w:r>
      <w:r>
        <w:rPr>
          <w:color w:val="000000" w:themeColor="text1"/>
          <w14:textFill>
            <w14:solidFill>
              <w14:schemeClr w14:val="tx1"/>
            </w14:solidFill>
          </w14:textFill>
        </w:rPr>
        <w:t>效益分析</w:t>
      </w:r>
      <w:bookmarkEnd w:id="756"/>
      <w:bookmarkEnd w:id="757"/>
      <w:bookmarkEnd w:id="758"/>
    </w:p>
    <w:p w14:paraId="74DEC9A6">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本项目开发的社会效益主要体现在</w:t>
      </w:r>
      <w:r>
        <w:rPr>
          <w:rFonts w:hint="eastAsia"/>
          <w:color w:val="000000" w:themeColor="text1"/>
          <w14:textFill>
            <w14:solidFill>
              <w14:schemeClr w14:val="tx1"/>
            </w14:solidFill>
          </w14:textFill>
        </w:rPr>
        <w:t>油田</w:t>
      </w:r>
      <w:r>
        <w:rPr>
          <w:color w:val="000000" w:themeColor="text1"/>
          <w14:textFill>
            <w14:solidFill>
              <w14:schemeClr w14:val="tx1"/>
            </w14:solidFill>
          </w14:textFill>
        </w:rPr>
        <w:t>开发对当地工业和经济的发展</w:t>
      </w:r>
      <w:r>
        <w:rPr>
          <w:rFonts w:hint="eastAsia"/>
          <w:color w:val="000000" w:themeColor="text1"/>
          <w14:textFill>
            <w14:solidFill>
              <w14:schemeClr w14:val="tx1"/>
            </w14:solidFill>
          </w14:textFill>
        </w:rPr>
        <w:t>以及人民生活水平的提高</w:t>
      </w:r>
      <w:r>
        <w:rPr>
          <w:color w:val="000000" w:themeColor="text1"/>
          <w14:textFill>
            <w14:solidFill>
              <w14:schemeClr w14:val="tx1"/>
            </w14:solidFill>
          </w14:textFill>
        </w:rPr>
        <w:t>具有明显的促进作用，能够带动一批相关工业、第三产业的发展，给当地经济发展注入新的活力。</w:t>
      </w:r>
      <w:r>
        <w:rPr>
          <w:rFonts w:hint="eastAsia"/>
          <w:color w:val="000000" w:themeColor="text1"/>
          <w14:textFill>
            <w14:solidFill>
              <w14:schemeClr w14:val="tx1"/>
            </w14:solidFill>
          </w14:textFill>
        </w:rPr>
        <w:t>油田开发</w:t>
      </w:r>
      <w:r>
        <w:rPr>
          <w:color w:val="000000" w:themeColor="text1"/>
          <w14:textFill>
            <w14:solidFill>
              <w14:schemeClr w14:val="tx1"/>
            </w14:solidFill>
          </w14:textFill>
        </w:rPr>
        <w:t>是支持</w:t>
      </w:r>
      <w:r>
        <w:rPr>
          <w:rFonts w:hint="eastAsia"/>
          <w:color w:val="000000" w:themeColor="text1"/>
          <w14:textFill>
            <w14:solidFill>
              <w14:schemeClr w14:val="tx1"/>
            </w14:solidFill>
          </w14:textFill>
        </w:rPr>
        <w:t>当地</w:t>
      </w:r>
      <w:r>
        <w:rPr>
          <w:color w:val="000000" w:themeColor="text1"/>
          <w14:textFill>
            <w14:solidFill>
              <w14:schemeClr w14:val="tx1"/>
            </w14:solidFill>
          </w14:textFill>
        </w:rPr>
        <w:t>经济发展的一项重大举措</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对于提供就业机会，增加部分人员收入，</w:t>
      </w:r>
      <w:r>
        <w:rPr>
          <w:rFonts w:hint="eastAsia"/>
          <w:color w:val="000000" w:themeColor="text1"/>
          <w14:textFill>
            <w14:solidFill>
              <w14:schemeClr w14:val="tx1"/>
            </w14:solidFill>
          </w14:textFill>
        </w:rPr>
        <w:t>提高当地的GDP，</w:t>
      </w:r>
      <w:r>
        <w:rPr>
          <w:color w:val="000000" w:themeColor="text1"/>
          <w14:textFill>
            <w14:solidFill>
              <w14:schemeClr w14:val="tx1"/>
            </w14:solidFill>
          </w14:textFill>
        </w:rPr>
        <w:t>提高当地</w:t>
      </w:r>
      <w:r>
        <w:rPr>
          <w:rFonts w:hint="eastAsia"/>
          <w:color w:val="000000" w:themeColor="text1"/>
          <w14:textFill>
            <w14:solidFill>
              <w14:schemeClr w14:val="tx1"/>
            </w14:solidFill>
          </w14:textFill>
        </w:rPr>
        <w:t>税收</w:t>
      </w:r>
      <w:r>
        <w:rPr>
          <w:color w:val="000000" w:themeColor="text1"/>
          <w14:textFill>
            <w14:solidFill>
              <w14:schemeClr w14:val="tx1"/>
            </w14:solidFill>
          </w14:textFill>
        </w:rPr>
        <w:t>有着积极的作用。</w:t>
      </w:r>
    </w:p>
    <w:p w14:paraId="21EAE2D0">
      <w:pPr>
        <w:pStyle w:val="7"/>
        <w:rPr>
          <w:rFonts w:hint="eastAsia"/>
          <w:color w:val="000000" w:themeColor="text1"/>
          <w14:textFill>
            <w14:solidFill>
              <w14:schemeClr w14:val="tx1"/>
            </w14:solidFill>
          </w14:textFill>
        </w:rPr>
      </w:pPr>
      <w:bookmarkStart w:id="759" w:name="_Toc468307966"/>
      <w:bookmarkStart w:id="760" w:name="_Toc445842210"/>
      <w:bookmarkStart w:id="761" w:name="_Toc29051"/>
      <w:bookmarkStart w:id="762" w:name="_Toc16528"/>
      <w:bookmarkStart w:id="763" w:name="_Toc1312"/>
      <w:bookmarkStart w:id="764" w:name="_Toc448413638"/>
      <w:bookmarkStart w:id="765" w:name="_Toc445996517"/>
      <w:bookmarkStart w:id="766" w:name="_Toc445840446"/>
      <w:bookmarkStart w:id="767" w:name="_Toc459026614"/>
      <w:bookmarkStart w:id="768" w:name="_Toc445829836"/>
      <w:bookmarkStart w:id="769" w:name="_Toc5988"/>
      <w:bookmarkStart w:id="770" w:name="_Toc471933683"/>
      <w:r>
        <w:rPr>
          <w:color w:val="000000" w:themeColor="text1"/>
          <w14:textFill>
            <w14:solidFill>
              <w14:schemeClr w14:val="tx1"/>
            </w14:solidFill>
          </w14:textFill>
        </w:rPr>
        <w:t>环境经济损益分析结论</w:t>
      </w:r>
      <w:bookmarkEnd w:id="759"/>
      <w:bookmarkEnd w:id="760"/>
      <w:bookmarkEnd w:id="761"/>
      <w:bookmarkEnd w:id="762"/>
      <w:bookmarkEnd w:id="763"/>
      <w:bookmarkEnd w:id="764"/>
      <w:bookmarkEnd w:id="765"/>
      <w:bookmarkEnd w:id="766"/>
      <w:bookmarkEnd w:id="767"/>
      <w:bookmarkEnd w:id="768"/>
      <w:bookmarkEnd w:id="769"/>
      <w:bookmarkEnd w:id="770"/>
    </w:p>
    <w:p w14:paraId="4B0C02A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综上所述，</w:t>
      </w:r>
      <w:bookmarkStart w:id="771" w:name="_Hlk482045515"/>
      <w:r>
        <w:rPr>
          <w:rFonts w:hint="eastAsia"/>
          <w:color w:val="000000" w:themeColor="text1"/>
          <w14:textFill>
            <w14:solidFill>
              <w14:schemeClr w14:val="tx1"/>
            </w14:solidFill>
          </w14:textFill>
        </w:rPr>
        <w:t>在建设过程中，由于工程占地会带来一定的环境损失。因而在油田开发过程中，需要投入必要的资金用于污染防治和生态恢复等，实施相应的环保措施后，不但能够起到保护环境的效果，同时节约经济开支，为企业带来双赢。</w:t>
      </w:r>
      <w:bookmarkEnd w:id="771"/>
    </w:p>
    <w:p w14:paraId="26CDB5C1">
      <w:pPr>
        <w:pStyle w:val="6"/>
        <w:rPr>
          <w:rFonts w:hint="eastAsia"/>
          <w:color w:val="000000" w:themeColor="text1"/>
          <w14:textFill>
            <w14:solidFill>
              <w14:schemeClr w14:val="tx1"/>
            </w14:solidFill>
          </w14:textFill>
        </w:rPr>
      </w:pPr>
      <w:r>
        <w:rPr>
          <w:color w:val="000000" w:themeColor="text1"/>
          <w14:textFill>
            <w14:solidFill>
              <w14:schemeClr w14:val="tx1"/>
            </w14:solidFill>
          </w14:textFill>
        </w:rPr>
        <w:br w:type="page"/>
      </w:r>
      <w:bookmarkStart w:id="772" w:name="_Toc5334"/>
      <w:r>
        <w:rPr>
          <w:rFonts w:hint="eastAsia"/>
          <w:color w:val="000000" w:themeColor="text1"/>
          <w14:textFill>
            <w14:solidFill>
              <w14:schemeClr w14:val="tx1"/>
            </w14:solidFill>
          </w14:textFill>
        </w:rPr>
        <w:t>环境影响评价结论</w:t>
      </w:r>
      <w:bookmarkEnd w:id="772"/>
    </w:p>
    <w:p w14:paraId="3CC269BB">
      <w:pPr>
        <w:pStyle w:val="7"/>
        <w:rPr>
          <w:rFonts w:hint="eastAsia"/>
          <w:color w:val="000000" w:themeColor="text1"/>
          <w14:textFill>
            <w14:solidFill>
              <w14:schemeClr w14:val="tx1"/>
            </w14:solidFill>
          </w14:textFill>
        </w:rPr>
      </w:pPr>
      <w:bookmarkStart w:id="773" w:name="_Toc53"/>
      <w:r>
        <w:rPr>
          <w:rFonts w:hint="eastAsia"/>
          <w:color w:val="000000" w:themeColor="text1"/>
          <w14:textFill>
            <w14:solidFill>
              <w14:schemeClr w14:val="tx1"/>
            </w14:solidFill>
          </w14:textFill>
        </w:rPr>
        <w:t>建设项目概况</w:t>
      </w:r>
      <w:bookmarkEnd w:id="773"/>
    </w:p>
    <w:p w14:paraId="095F02C1">
      <w:pPr>
        <w:pStyle w:val="193"/>
        <w:rPr>
          <w:rFonts w:hint="eastAsia"/>
          <w:color w:val="000000" w:themeColor="text1"/>
          <w14:textFill>
            <w14:solidFill>
              <w14:schemeClr w14:val="tx1"/>
            </w14:solidFill>
          </w14:textFill>
        </w:rPr>
      </w:pPr>
      <w:bookmarkStart w:id="774" w:name="_Hlk481486445"/>
      <w:r>
        <w:rPr>
          <w:rFonts w:hint="eastAsia"/>
          <w:color w:val="000000" w:themeColor="text1"/>
          <w14:textFill>
            <w14:solidFill>
              <w14:schemeClr w14:val="tx1"/>
            </w14:solidFill>
          </w14:textFill>
        </w:rPr>
        <w:t>在吉7井区拟部署采油井6口，2口注水井，钻井总进尺14411m，新建采油井口装置6座，新建单井采油井场1座，2井式</w:t>
      </w:r>
      <w:r>
        <w:rPr>
          <w:color w:val="000000" w:themeColor="text1"/>
          <w14:textFill>
            <w14:solidFill>
              <w14:schemeClr w14:val="tx1"/>
            </w14:solidFill>
          </w14:textFill>
        </w:rPr>
        <w:t>平台井场</w:t>
      </w:r>
      <w:r>
        <w:rPr>
          <w:rFonts w:hint="eastAsia"/>
          <w:color w:val="000000" w:themeColor="text1"/>
          <w14:textFill>
            <w14:solidFill>
              <w14:schemeClr w14:val="tx1"/>
            </w14:solidFill>
          </w14:textFill>
        </w:rPr>
        <w:t>3座（其中2井式采油平台井场2座，注水井、采油井合建2井式平台井场1座），注水井场1座，新建单井采油管线1.82km，单井掺热水管道1.82km，单井注水管线1.92km。配套建设给排水、供电等公用工程，井口采出液就近接入已建计量站。本次新建产能0.64</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。项目总投资925.37万元，环保投资约123万元，占总投资的13.29%。</w:t>
      </w:r>
    </w:p>
    <w:bookmarkEnd w:id="774"/>
    <w:p w14:paraId="1CF95519">
      <w:pPr>
        <w:pStyle w:val="7"/>
        <w:rPr>
          <w:rFonts w:hint="eastAsia"/>
          <w:color w:val="000000" w:themeColor="text1"/>
          <w14:textFill>
            <w14:solidFill>
              <w14:schemeClr w14:val="tx1"/>
            </w14:solidFill>
          </w14:textFill>
        </w:rPr>
      </w:pPr>
      <w:bookmarkStart w:id="775" w:name="_Toc1709"/>
      <w:bookmarkStart w:id="776" w:name="_Toc445996539"/>
      <w:bookmarkStart w:id="777" w:name="_Toc445842227"/>
      <w:bookmarkStart w:id="778" w:name="_Toc14835"/>
      <w:r>
        <w:rPr>
          <w:color w:val="000000" w:themeColor="text1"/>
          <w14:textFill>
            <w14:solidFill>
              <w14:schemeClr w14:val="tx1"/>
            </w14:solidFill>
          </w14:textFill>
        </w:rPr>
        <w:t>环境质量现状</w:t>
      </w:r>
      <w:bookmarkEnd w:id="775"/>
      <w:bookmarkEnd w:id="776"/>
      <w:bookmarkEnd w:id="777"/>
      <w:bookmarkEnd w:id="778"/>
    </w:p>
    <w:p w14:paraId="24424F4A">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（1）环境空气</w:t>
      </w:r>
    </w:p>
    <w:p w14:paraId="1EE88DFF">
      <w:pPr>
        <w:spacing w:line="480" w:lineRule="exact"/>
        <w:ind w:firstLine="480" w:firstLineChars="200"/>
        <w:contextualSpacing/>
        <w:jc w:val="left"/>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项目区环境空气质量基本污染物中除了</w:t>
      </w:r>
      <w:r>
        <w:rPr>
          <w:rFonts w:ascii="宋体" w:hAnsi="宋体"/>
          <w:color w:val="000000" w:themeColor="text1"/>
          <w:sz w:val="24"/>
          <w:szCs w:val="24"/>
          <w14:textFill>
            <w14:solidFill>
              <w14:schemeClr w14:val="tx1"/>
            </w14:solidFill>
          </w14:textFill>
        </w:rPr>
        <w:t>PM</w:t>
      </w:r>
      <w:r>
        <w:rPr>
          <w:rFonts w:ascii="宋体" w:hAnsi="宋体"/>
          <w:color w:val="000000" w:themeColor="text1"/>
          <w:sz w:val="24"/>
          <w:szCs w:val="24"/>
          <w:vertAlign w:val="subscript"/>
          <w14:textFill>
            <w14:solidFill>
              <w14:schemeClr w14:val="tx1"/>
            </w14:solidFill>
          </w14:textFill>
        </w:rPr>
        <w:t>2.5</w:t>
      </w:r>
      <w:r>
        <w:rPr>
          <w:rFonts w:ascii="宋体" w:hAnsi="宋体"/>
          <w:color w:val="000000" w:themeColor="text1"/>
          <w:sz w:val="24"/>
          <w:szCs w:val="24"/>
          <w14:textFill>
            <w14:solidFill>
              <w14:schemeClr w14:val="tx1"/>
            </w14:solidFill>
          </w14:textFill>
        </w:rPr>
        <w:t>、PM</w:t>
      </w:r>
      <w:r>
        <w:rPr>
          <w:rFonts w:ascii="宋体" w:hAnsi="宋体"/>
          <w:color w:val="000000" w:themeColor="text1"/>
          <w:sz w:val="24"/>
          <w:szCs w:val="24"/>
          <w:vertAlign w:val="subscript"/>
          <w14:textFill>
            <w14:solidFill>
              <w14:schemeClr w14:val="tx1"/>
            </w14:solidFill>
          </w14:textFill>
        </w:rPr>
        <w:t>10</w:t>
      </w:r>
      <w:r>
        <w:rPr>
          <w:rFonts w:hint="eastAsia" w:ascii="宋体" w:hAnsi="宋体"/>
          <w:color w:val="000000" w:themeColor="text1"/>
          <w:sz w:val="24"/>
          <w:szCs w:val="24"/>
          <w14:textFill>
            <w14:solidFill>
              <w14:schemeClr w14:val="tx1"/>
            </w14:solidFill>
          </w14:textFill>
        </w:rPr>
        <w:t>超标外，其余监测因子均满足《环境空气质量标准》（G</w:t>
      </w:r>
      <w:r>
        <w:rPr>
          <w:rFonts w:ascii="宋体" w:hAnsi="宋体"/>
          <w:color w:val="000000" w:themeColor="text1"/>
          <w:sz w:val="24"/>
          <w:szCs w:val="24"/>
          <w14:textFill>
            <w14:solidFill>
              <w14:schemeClr w14:val="tx1"/>
            </w14:solidFill>
          </w14:textFill>
        </w:rPr>
        <w:t>B3095-20</w:t>
      </w:r>
      <w:r>
        <w:rPr>
          <w:rFonts w:hint="eastAsia" w:ascii="宋体" w:hAnsi="宋体"/>
          <w:color w:val="000000" w:themeColor="text1"/>
          <w:sz w:val="24"/>
          <w:szCs w:val="24"/>
          <w14:textFill>
            <w14:solidFill>
              <w14:schemeClr w14:val="tx1"/>
            </w14:solidFill>
          </w14:textFill>
        </w:rPr>
        <w:t>26</w:t>
      </w:r>
      <w:r>
        <w:rPr>
          <w:rFonts w:ascii="宋体" w:hAnsi="宋体"/>
          <w:color w:val="000000" w:themeColor="text1"/>
          <w:sz w:val="24"/>
          <w:szCs w:val="24"/>
          <w14:textFill>
            <w14:solidFill>
              <w14:schemeClr w14:val="tx1"/>
            </w14:solidFill>
          </w14:textFill>
        </w:rPr>
        <w:t>）</w:t>
      </w:r>
      <w:r>
        <w:rPr>
          <w:rFonts w:hint="eastAsia" w:ascii="宋体" w:hAnsi="宋体"/>
          <w:color w:val="000000" w:themeColor="text1"/>
          <w:sz w:val="24"/>
          <w:szCs w:val="24"/>
          <w14:textFill>
            <w14:solidFill>
              <w14:schemeClr w14:val="tx1"/>
            </w14:solidFill>
          </w14:textFill>
        </w:rPr>
        <w:t>中过渡阶段二级标准限值要求，超标原因主要与当地风沙季有一定的原因；NMHC满足《〈大气污染物综合排放标准〉详解》中推荐值2.0mg/m</w:t>
      </w:r>
      <w:r>
        <w:rPr>
          <w:rFonts w:hint="eastAsia" w:ascii="宋体" w:hAnsi="宋体"/>
          <w:color w:val="000000" w:themeColor="text1"/>
          <w:sz w:val="24"/>
          <w:szCs w:val="24"/>
          <w:vertAlign w:val="superscript"/>
          <w14:textFill>
            <w14:solidFill>
              <w14:schemeClr w14:val="tx1"/>
            </w14:solidFill>
          </w14:textFill>
        </w:rPr>
        <w:t>3</w:t>
      </w:r>
      <w:r>
        <w:rPr>
          <w:rFonts w:hint="eastAsia" w:ascii="宋体" w:hAnsi="宋体"/>
          <w:color w:val="000000" w:themeColor="text1"/>
          <w:sz w:val="24"/>
          <w:szCs w:val="24"/>
          <w14:textFill>
            <w14:solidFill>
              <w14:schemeClr w14:val="tx1"/>
            </w14:solidFill>
          </w14:textFill>
        </w:rPr>
        <w:t>要求，H</w:t>
      </w:r>
      <w:r>
        <w:rPr>
          <w:rFonts w:hint="eastAsia" w:ascii="宋体" w:hAnsi="宋体"/>
          <w:color w:val="000000" w:themeColor="text1"/>
          <w:sz w:val="24"/>
          <w:szCs w:val="24"/>
          <w:vertAlign w:val="subscript"/>
          <w14:textFill>
            <w14:solidFill>
              <w14:schemeClr w14:val="tx1"/>
            </w14:solidFill>
          </w14:textFill>
        </w:rPr>
        <w:t>2</w:t>
      </w:r>
      <w:r>
        <w:rPr>
          <w:rFonts w:hint="eastAsia" w:ascii="宋体" w:hAnsi="宋体"/>
          <w:color w:val="000000" w:themeColor="text1"/>
          <w:sz w:val="24"/>
          <w:szCs w:val="24"/>
          <w14:textFill>
            <w14:solidFill>
              <w14:schemeClr w14:val="tx1"/>
            </w14:solidFill>
          </w14:textFill>
        </w:rPr>
        <w:t>S监测浓度满足《环境影响评价技术导则大气环境》（</w:t>
      </w:r>
      <w:r>
        <w:rPr>
          <w:rFonts w:ascii="宋体" w:hAnsi="宋体"/>
          <w:color w:val="000000" w:themeColor="text1"/>
          <w:sz w:val="24"/>
          <w:szCs w:val="24"/>
          <w14:textFill>
            <w14:solidFill>
              <w14:schemeClr w14:val="tx1"/>
            </w14:solidFill>
          </w14:textFill>
        </w:rPr>
        <w:t>HJ2.2-2018）附录D中</w:t>
      </w:r>
      <w:r>
        <w:rPr>
          <w:rFonts w:hint="eastAsia" w:ascii="宋体" w:hAnsi="宋体"/>
          <w:color w:val="000000" w:themeColor="text1"/>
          <w:sz w:val="24"/>
          <w:szCs w:val="24"/>
          <w14:textFill>
            <w14:solidFill>
              <w14:schemeClr w14:val="tx1"/>
            </w14:solidFill>
          </w14:textFill>
        </w:rPr>
        <w:t>推荐值要求。</w:t>
      </w:r>
    </w:p>
    <w:p w14:paraId="5A9C276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地下水</w:t>
      </w:r>
    </w:p>
    <w:p w14:paraId="339FB9D6">
      <w:pPr>
        <w:pStyle w:val="193"/>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地下水各监测因子中石油类满足《地表水环境质量标准》（GB3838-2002）中的Ⅲ类标准限值，其余各点、各监测因子均可满足《地下水质量标准》（GB/T14848-2017）Ⅲ类标准。</w:t>
      </w:r>
    </w:p>
    <w:p w14:paraId="11A91B6A">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（3）声环境</w:t>
      </w:r>
    </w:p>
    <w:p w14:paraId="1F8D6EBA">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各噪声监测点位均满足《声环境质量标准》（GB3096-2008）2类声功能区标准限值。</w:t>
      </w:r>
    </w:p>
    <w:p w14:paraId="0FDD9869">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）土壤</w:t>
      </w:r>
    </w:p>
    <w:p w14:paraId="432CA88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占地范围内土壤各监测因子和占地范围外石油烃监测浓度均满足《土壤环境质量  建设用地土壤污染风险管控标准（试行）》（GB36600-2018）中第二类用地筛选值要求，占地范围外其余监测因子监测浓度满足《土壤环境质量 农用地土壤污染风险管控标准（试行）》（GB15618-2018）。</w:t>
      </w:r>
    </w:p>
    <w:p w14:paraId="2349CEE2">
      <w:pPr>
        <w:pStyle w:val="7"/>
        <w:rPr>
          <w:rFonts w:hint="eastAsia"/>
          <w:color w:val="000000" w:themeColor="text1"/>
          <w14:textFill>
            <w14:solidFill>
              <w14:schemeClr w14:val="tx1"/>
            </w14:solidFill>
          </w14:textFill>
        </w:rPr>
      </w:pPr>
      <w:bookmarkStart w:id="779" w:name="_Toc25751"/>
      <w:bookmarkStart w:id="780" w:name="_Toc445996540"/>
      <w:bookmarkStart w:id="781" w:name="_Toc13052"/>
      <w:bookmarkStart w:id="782" w:name="_Toc445842228"/>
      <w:r>
        <w:rPr>
          <w:rFonts w:hint="eastAsia"/>
          <w:color w:val="000000" w:themeColor="text1"/>
          <w14:textFill>
            <w14:solidFill>
              <w14:schemeClr w14:val="tx1"/>
            </w14:solidFill>
          </w14:textFill>
        </w:rPr>
        <w:t>主要环境影响及环保措施</w:t>
      </w:r>
      <w:bookmarkEnd w:id="779"/>
    </w:p>
    <w:p w14:paraId="61928266">
      <w:pPr>
        <w:pStyle w:val="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主要环境影响</w:t>
      </w:r>
    </w:p>
    <w:p w14:paraId="4CA17C23">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（1）生态环境</w:t>
      </w:r>
    </w:p>
    <w:p w14:paraId="6A2438EF">
      <w:pPr>
        <w:pStyle w:val="193"/>
        <w:rPr>
          <w:rStyle w:val="192"/>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对生态环境的影响主要表现在工程占地，</w:t>
      </w:r>
      <w:r>
        <w:rPr>
          <w:color w:val="000000" w:themeColor="text1"/>
          <w14:textFill>
            <w14:solidFill>
              <w14:schemeClr w14:val="tx1"/>
            </w14:solidFill>
          </w14:textFill>
        </w:rPr>
        <w:t>施工活动和工程占地对植物、野生动物</w:t>
      </w:r>
      <w:r>
        <w:rPr>
          <w:rFonts w:hint="eastAsia"/>
          <w:color w:val="000000" w:themeColor="text1"/>
          <w14:textFill>
            <w14:solidFill>
              <w14:schemeClr w14:val="tx1"/>
            </w14:solidFill>
          </w14:textFill>
        </w:rPr>
        <w:t>、生态系统功能和结构</w:t>
      </w:r>
      <w:r>
        <w:rPr>
          <w:color w:val="000000" w:themeColor="text1"/>
          <w14:textFill>
            <w14:solidFill>
              <w14:schemeClr w14:val="tx1"/>
            </w14:solidFill>
          </w14:textFill>
        </w:rPr>
        <w:t>等各生态要素产生不同程度的影响，同时也对原有景观结构和生态系统产生一定程度影响。</w:t>
      </w:r>
      <w:r>
        <w:rPr>
          <w:rFonts w:hint="eastAsia"/>
          <w:color w:val="000000" w:themeColor="text1"/>
          <w14:textFill>
            <w14:solidFill>
              <w14:schemeClr w14:val="tx1"/>
            </w14:solidFill>
          </w14:textFill>
        </w:rPr>
        <w:t>油</w:t>
      </w:r>
      <w:r>
        <w:rPr>
          <w:color w:val="000000" w:themeColor="text1"/>
          <w14:textFill>
            <w14:solidFill>
              <w14:schemeClr w14:val="tx1"/>
            </w14:solidFill>
          </w14:textFill>
        </w:rPr>
        <w:t>田开发的大部分区域地表植被稀疏，由工程造成的生物量损失较小，不会造成区域的生物多样性下降。由于本区域的野生动物种类少，项目</w:t>
      </w:r>
      <w:r>
        <w:rPr>
          <w:rFonts w:hint="eastAsia"/>
          <w:color w:val="000000" w:themeColor="text1"/>
          <w14:textFill>
            <w14:solidFill>
              <w14:schemeClr w14:val="tx1"/>
            </w14:solidFill>
          </w14:textFill>
        </w:rPr>
        <w:t>建设</w:t>
      </w:r>
      <w:r>
        <w:rPr>
          <w:color w:val="000000" w:themeColor="text1"/>
          <w14:textFill>
            <w14:solidFill>
              <w14:schemeClr w14:val="tx1"/>
            </w14:solidFill>
          </w14:textFill>
        </w:rPr>
        <w:t>对野生动物的影响较小。因此总体上</w:t>
      </w:r>
      <w:r>
        <w:rPr>
          <w:rStyle w:val="192"/>
          <w:rFonts w:hint="eastAsia"/>
          <w:color w:val="000000" w:themeColor="text1"/>
          <w14:textFill>
            <w14:solidFill>
              <w14:schemeClr w14:val="tx1"/>
            </w14:solidFill>
          </w14:textFill>
        </w:rPr>
        <w:t>对生态环境影响较小。</w:t>
      </w:r>
    </w:p>
    <w:p w14:paraId="0AA90A16">
      <w:pPr>
        <w:pStyle w:val="193"/>
        <w:rPr>
          <w:rStyle w:val="192"/>
          <w:rFonts w:hint="eastAsia"/>
          <w:color w:val="000000" w:themeColor="text1"/>
          <w14:textFill>
            <w14:solidFill>
              <w14:schemeClr w14:val="tx1"/>
            </w14:solidFill>
          </w14:textFill>
        </w:rPr>
      </w:pPr>
      <w:r>
        <w:rPr>
          <w:rStyle w:val="192"/>
          <w:rFonts w:hint="eastAsia"/>
          <w:color w:val="000000" w:themeColor="text1"/>
          <w14:textFill>
            <w14:solidFill>
              <w14:schemeClr w14:val="tx1"/>
            </w14:solidFill>
          </w14:textFill>
        </w:rPr>
        <w:t>（2）大气环境</w:t>
      </w:r>
    </w:p>
    <w:p w14:paraId="11F498A1">
      <w:pPr>
        <w:pStyle w:val="120"/>
        <w:rPr>
          <w:rStyle w:val="192"/>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施工废气主要为柴油机、发电机燃料燃烧烟气、施工机械及施工车辆尾气、施工扬尘、柴油储存卸车无组织废气、水基钻井岩屑暂存扬尘、焊接烟尘和储层改造过程中的无组织废气。</w:t>
      </w:r>
      <w:r>
        <w:rPr>
          <w:rStyle w:val="192"/>
          <w:rFonts w:hint="eastAsia"/>
          <w:color w:val="000000" w:themeColor="text1"/>
          <w14:textFill>
            <w14:solidFill>
              <w14:schemeClr w14:val="tx1"/>
            </w14:solidFill>
          </w14:textFill>
        </w:rPr>
        <w:t>施工期短暂，</w:t>
      </w:r>
      <w:r>
        <w:rPr>
          <w:rStyle w:val="192"/>
          <w:rFonts w:hint="eastAsia"/>
          <w:color w:val="000000" w:themeColor="text1"/>
          <w:lang w:val="zh-CN"/>
          <w14:textFill>
            <w14:solidFill>
              <w14:schemeClr w14:val="tx1"/>
            </w14:solidFill>
          </w14:textFill>
        </w:rPr>
        <w:t>施工期的废气污染随施工的结束而消失</w:t>
      </w:r>
      <w:r>
        <w:rPr>
          <w:rStyle w:val="192"/>
          <w:rFonts w:hint="eastAsia"/>
          <w:color w:val="000000" w:themeColor="text1"/>
          <w14:textFill>
            <w14:solidFill>
              <w14:schemeClr w14:val="tx1"/>
            </w14:solidFill>
          </w14:textFill>
        </w:rPr>
        <w:t>。运营期废气主要为无组织挥发烃类和硫化氢，</w:t>
      </w:r>
      <w:bookmarkStart w:id="783" w:name="_Hlk80532764"/>
      <w:r>
        <w:rPr>
          <w:rStyle w:val="192"/>
          <w:rFonts w:hint="eastAsia"/>
          <w:color w:val="000000" w:themeColor="text1"/>
          <w14:textFill>
            <w14:solidFill>
              <w14:schemeClr w14:val="tx1"/>
            </w14:solidFill>
          </w14:textFill>
        </w:rPr>
        <w:t>各井场厂界</w:t>
      </w:r>
      <w:bookmarkEnd w:id="783"/>
      <w:r>
        <w:rPr>
          <w:rFonts w:hint="eastAsia"/>
          <w:color w:val="000000" w:themeColor="text1"/>
          <w14:textFill>
            <w14:solidFill>
              <w14:schemeClr w14:val="tx1"/>
            </w14:solidFill>
          </w14:textFill>
        </w:rPr>
        <w:t>无组织非甲烷总烃排放浓度满足《陆上石油天然气开采工业大气污染物排放标准》（GB39728-2020）中企业边界污染控制要求，硫化氢排放浓度满足《恶臭污染物排放标准》（GB14554-93）表1二级新改扩建浓度</w:t>
      </w:r>
      <w:r>
        <w:rPr>
          <w:rStyle w:val="192"/>
          <w:rFonts w:hint="eastAsia"/>
          <w:color w:val="000000" w:themeColor="text1"/>
          <w14:textFill>
            <w14:solidFill>
              <w14:schemeClr w14:val="tx1"/>
            </w14:solidFill>
          </w14:textFill>
        </w:rPr>
        <w:t>；项目区地域空旷，各污染物预测贡献值较低，运营期对区域大气环境的影响可以保持在环境可接受的范围之内。</w:t>
      </w:r>
    </w:p>
    <w:p w14:paraId="6F901986">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）水环境</w:t>
      </w:r>
    </w:p>
    <w:p w14:paraId="06301D00">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施工期废水主要为管道试压废水、混凝土养护废水</w:t>
      </w:r>
      <w:r>
        <w:rPr>
          <w:rFonts w:hint="eastAsia"/>
          <w:color w:val="000000" w:themeColor="text1"/>
          <w:lang w:val="en-US"/>
          <w14:textFill>
            <w14:solidFill>
              <w14:schemeClr w14:val="tx1"/>
            </w14:solidFill>
          </w14:textFill>
        </w:rPr>
        <w:t>和压裂返排液</w:t>
      </w:r>
      <w:r>
        <w:rPr>
          <w:rFonts w:hint="eastAsia"/>
          <w:color w:val="000000" w:themeColor="text1"/>
          <w14:textFill>
            <w14:solidFill>
              <w14:schemeClr w14:val="tx1"/>
            </w14:solidFill>
          </w14:textFill>
        </w:rPr>
        <w:t>。管道试压采用清水试压，管道试压废水产生量较小，主要污染物为悬浮物，</w:t>
      </w:r>
      <w:r>
        <w:rPr>
          <w:rFonts w:hint="eastAsia"/>
          <w:color w:val="000000" w:themeColor="text1"/>
          <w:lang w:bidi="ar"/>
          <w14:textFill>
            <w14:solidFill>
              <w14:schemeClr w14:val="tx1"/>
            </w14:solidFill>
          </w14:textFill>
        </w:rPr>
        <w:t>试压结束后，用于项目区洒水抑尘，混凝土养护废水自然蒸发处理。</w:t>
      </w:r>
      <w:r>
        <w:rPr>
          <w:rFonts w:hint="eastAsia"/>
          <w:color w:val="000000" w:themeColor="text1"/>
          <w:lang w:val="en-US"/>
          <w14:textFill>
            <w14:solidFill>
              <w14:schemeClr w14:val="tx1"/>
            </w14:solidFill>
          </w14:textFill>
        </w:rPr>
        <w:t>压裂返排液</w:t>
      </w:r>
      <w:r>
        <w:rPr>
          <w:rFonts w:hint="eastAsia"/>
          <w:color w:val="000000" w:themeColor="text1"/>
          <w:lang w:bidi="ar"/>
          <w14:textFill>
            <w14:solidFill>
              <w14:schemeClr w14:val="tx1"/>
            </w14:solidFill>
          </w14:textFill>
        </w:rPr>
        <w:t>由罐车拉运至吉祥联合站采出水处理系统</w:t>
      </w:r>
      <w:r>
        <w:rPr>
          <w:rFonts w:hint="eastAsia"/>
          <w:color w:val="000000" w:themeColor="text1"/>
          <w:lang w:val="en-US" w:bidi="ar"/>
          <w14:textFill>
            <w14:solidFill>
              <w14:schemeClr w14:val="tx1"/>
            </w14:solidFill>
          </w14:textFill>
        </w:rPr>
        <w:t>处理达标后回注油藏；</w:t>
      </w:r>
      <w:r>
        <w:rPr>
          <w:rFonts w:hint="eastAsia"/>
          <w:color w:val="000000" w:themeColor="text1"/>
          <w:lang w:bidi="ar"/>
          <w14:textFill>
            <w14:solidFill>
              <w14:schemeClr w14:val="tx1"/>
            </w14:solidFill>
          </w14:textFill>
        </w:rPr>
        <w:t>运营期洗井废水和井下作业废液由罐车拉运至吉祥联合站采出水处理系统</w:t>
      </w:r>
      <w:r>
        <w:rPr>
          <w:rFonts w:hint="eastAsia"/>
          <w:color w:val="000000" w:themeColor="text1"/>
          <w:lang w:val="en-US" w:bidi="ar"/>
          <w14:textFill>
            <w14:solidFill>
              <w14:schemeClr w14:val="tx1"/>
            </w14:solidFill>
          </w14:textFill>
        </w:rPr>
        <w:t>处理达标后回注油藏</w:t>
      </w:r>
      <w:r>
        <w:rPr>
          <w:rFonts w:hint="eastAsia"/>
          <w:color w:val="000000" w:themeColor="text1"/>
          <w14:textFill>
            <w14:solidFill>
              <w14:schemeClr w14:val="tx1"/>
            </w14:solidFill>
          </w14:textFill>
        </w:rPr>
        <w:t>；各类废水均得到妥善处置，</w:t>
      </w:r>
      <w:r>
        <w:rPr>
          <w:rFonts w:hint="eastAsia" w:cs="宋体"/>
          <w:color w:val="000000" w:themeColor="text1"/>
          <w:lang w:bidi="ar"/>
          <w14:textFill>
            <w14:solidFill>
              <w14:schemeClr w14:val="tx1"/>
            </w14:solidFill>
          </w14:textFill>
        </w:rPr>
        <w:t>正常情况下不会对周围水环境产生明显影响。</w:t>
      </w:r>
    </w:p>
    <w:p w14:paraId="7ED52B17">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事故状态下对地下水的污染主要为</w:t>
      </w:r>
      <w:r>
        <w:rPr>
          <w:rFonts w:hint="eastAsia"/>
          <w:color w:val="000000" w:themeColor="text1"/>
          <w:lang w:val="en-US"/>
          <w14:textFill>
            <w14:solidFill>
              <w14:schemeClr w14:val="tx1"/>
            </w14:solidFill>
          </w14:textFill>
        </w:rPr>
        <w:t>单井采油管线</w:t>
      </w:r>
      <w:r>
        <w:rPr>
          <w:rFonts w:hint="eastAsia"/>
          <w:color w:val="000000" w:themeColor="text1"/>
          <w14:textFill>
            <w14:solidFill>
              <w14:schemeClr w14:val="tx1"/>
            </w14:solidFill>
          </w14:textFill>
        </w:rPr>
        <w:t>泄漏，泄漏是以点源形式污染地下水，其污染迁移途径为地表以下的包气带和含水层。事故发生后，及时采取相应的措施，不会对地下水环境产生明显影响。</w:t>
      </w:r>
    </w:p>
    <w:p w14:paraId="52E303FF">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噪声</w:t>
      </w:r>
    </w:p>
    <w:p w14:paraId="6A1D242D">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噪声</w:t>
      </w:r>
      <w:r>
        <w:rPr>
          <w:rFonts w:hint="eastAsia"/>
          <w:color w:val="000000" w:themeColor="text1"/>
          <w14:textFill>
            <w14:solidFill>
              <w14:schemeClr w14:val="tx1"/>
            </w14:solidFill>
          </w14:textFill>
        </w:rPr>
        <w:t>源主要为施工机械和施工车辆，施工短暂</w:t>
      </w:r>
      <w:r>
        <w:rPr>
          <w:color w:val="000000" w:themeColor="text1"/>
          <w14:textFill>
            <w14:solidFill>
              <w14:schemeClr w14:val="tx1"/>
            </w14:solidFill>
          </w14:textFill>
        </w:rPr>
        <w:t>，只对局部环境造成影响，待施工结束后这种影响也随之消失，施工期噪声</w:t>
      </w:r>
      <w:r>
        <w:rPr>
          <w:rFonts w:hint="eastAsia"/>
          <w:color w:val="000000" w:themeColor="text1"/>
          <w14:textFill>
            <w14:solidFill>
              <w14:schemeClr w14:val="tx1"/>
            </w14:solidFill>
          </w14:textFill>
        </w:rPr>
        <w:t>仅</w:t>
      </w:r>
      <w:r>
        <w:rPr>
          <w:color w:val="000000" w:themeColor="text1"/>
          <w14:textFill>
            <w14:solidFill>
              <w14:schemeClr w14:val="tx1"/>
            </w14:solidFill>
          </w14:textFill>
        </w:rPr>
        <w:t>对施工人员产生影响</w:t>
      </w:r>
      <w:r>
        <w:rPr>
          <w:rFonts w:hint="eastAsia"/>
          <w:color w:val="000000" w:themeColor="text1"/>
          <w14:textFill>
            <w14:solidFill>
              <w14:schemeClr w14:val="tx1"/>
            </w14:solidFill>
          </w14:textFill>
        </w:rPr>
        <w:t>；运营期噪声主要为各类机泵及巡检车辆等</w:t>
      </w:r>
      <w:r>
        <w:rPr>
          <w:rFonts w:hint="eastAsia" w:cs="宋体"/>
          <w:color w:val="000000" w:themeColor="text1"/>
          <w14:textFill>
            <w14:solidFill>
              <w14:schemeClr w14:val="tx1"/>
            </w14:solidFill>
          </w14:textFill>
        </w:rPr>
        <w:t>，源强</w:t>
      </w:r>
      <w:r>
        <w:rPr>
          <w:rFonts w:cs="宋体"/>
          <w:color w:val="000000" w:themeColor="text1"/>
          <w14:textFill>
            <w14:solidFill>
              <w14:schemeClr w14:val="tx1"/>
            </w14:solidFill>
          </w14:textFill>
        </w:rPr>
        <w:t>80</w:t>
      </w:r>
      <w:r>
        <w:rPr>
          <w:rFonts w:hint="eastAsia" w:cs="宋体"/>
          <w:color w:val="000000" w:themeColor="text1"/>
          <w14:textFill>
            <w14:solidFill>
              <w14:schemeClr w14:val="tx1"/>
            </w14:solidFill>
          </w14:textFill>
        </w:rPr>
        <w:t>～</w:t>
      </w:r>
      <w:r>
        <w:rPr>
          <w:rFonts w:cs="宋体"/>
          <w:color w:val="000000" w:themeColor="text1"/>
          <w14:textFill>
            <w14:solidFill>
              <w14:schemeClr w14:val="tx1"/>
            </w14:solidFill>
          </w14:textFill>
        </w:rPr>
        <w:t>95dB</w:t>
      </w:r>
      <w:r>
        <w:rPr>
          <w:rFonts w:hint="eastAsia" w:cs="宋体"/>
          <w:color w:val="000000" w:themeColor="text1"/>
          <w14:textFill>
            <w14:solidFill>
              <w14:schemeClr w14:val="tx1"/>
            </w14:solidFill>
          </w14:textFill>
        </w:rPr>
        <w:t>（A）</w:t>
      </w:r>
      <w:r>
        <w:rPr>
          <w:rFonts w:hint="eastAsia"/>
          <w:color w:val="000000" w:themeColor="text1"/>
          <w14:textFill>
            <w14:solidFill>
              <w14:schemeClr w14:val="tx1"/>
            </w14:solidFill>
          </w14:textFill>
        </w:rPr>
        <w:t>，根据预测各井场厂界</w:t>
      </w:r>
      <w:r>
        <w:rPr>
          <w:color w:val="000000" w:themeColor="text1"/>
          <w14:textFill>
            <w14:solidFill>
              <w14:schemeClr w14:val="tx1"/>
            </w14:solidFill>
          </w14:textFill>
        </w:rPr>
        <w:t>昼夜噪声均能满足《工业企业厂界环境噪声排放标准》（GB12348-2008）中的2类区标准</w:t>
      </w:r>
      <w:r>
        <w:rPr>
          <w:rFonts w:hint="eastAsia"/>
          <w:color w:val="000000" w:themeColor="text1"/>
          <w14:textFill>
            <w14:solidFill>
              <w14:schemeClr w14:val="tx1"/>
            </w14:solidFill>
          </w14:textFill>
        </w:rPr>
        <w:t>要求</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评价范围内</w:t>
      </w:r>
      <w:r>
        <w:rPr>
          <w:color w:val="000000" w:themeColor="text1"/>
          <w14:textFill>
            <w14:solidFill>
              <w14:schemeClr w14:val="tx1"/>
            </w14:solidFill>
          </w14:textFill>
        </w:rPr>
        <w:t>无</w:t>
      </w:r>
      <w:r>
        <w:rPr>
          <w:rFonts w:hint="eastAsia"/>
          <w:color w:val="000000" w:themeColor="text1"/>
          <w14:textFill>
            <w14:solidFill>
              <w14:schemeClr w14:val="tx1"/>
            </w14:solidFill>
          </w14:textFill>
        </w:rPr>
        <w:t>声环境敏感目标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不会出现扰民影响，对声</w:t>
      </w:r>
      <w:r>
        <w:rPr>
          <w:color w:val="000000" w:themeColor="text1"/>
          <w14:textFill>
            <w14:solidFill>
              <w14:schemeClr w14:val="tx1"/>
            </w14:solidFill>
          </w14:textFill>
        </w:rPr>
        <w:t>环境</w:t>
      </w:r>
      <w:r>
        <w:rPr>
          <w:rFonts w:hint="eastAsia"/>
          <w:color w:val="000000" w:themeColor="text1"/>
          <w14:textFill>
            <w14:solidFill>
              <w14:schemeClr w14:val="tx1"/>
            </w14:solidFill>
          </w14:textFill>
        </w:rPr>
        <w:t>质量影响不大</w:t>
      </w:r>
      <w:r>
        <w:rPr>
          <w:color w:val="000000" w:themeColor="text1"/>
          <w14:textFill>
            <w14:solidFill>
              <w14:schemeClr w14:val="tx1"/>
            </w14:solidFill>
          </w14:textFill>
        </w:rPr>
        <w:t>。</w:t>
      </w:r>
    </w:p>
    <w:p w14:paraId="7B01CAAE">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（5）固体废物</w:t>
      </w:r>
    </w:p>
    <w:p w14:paraId="0EC96A7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固体废物主要为建筑垃圾，集中收集后交由环卫部门统一处置。施工过程中产生的沾油废防渗材料、废弃含油抹布及劳保用品、设备检修与维护过程中产生的废润滑油及废润滑油桶均属于危险废物，分区暂存在井场设置的</w:t>
      </w:r>
      <w:r>
        <w:rPr>
          <w:rFonts w:hint="eastAsia"/>
          <w:color w:val="000000" w:themeColor="text1"/>
          <w:lang w:val="en-US" w:eastAsia="zh-CN"/>
          <w14:textFill>
            <w14:solidFill>
              <w14:schemeClr w14:val="tx1"/>
            </w14:solidFill>
          </w14:textFill>
        </w:rPr>
        <w:t>临时</w:t>
      </w:r>
      <w:r>
        <w:rPr>
          <w:rFonts w:hint="eastAsia"/>
          <w:color w:val="000000" w:themeColor="text1"/>
          <w14:textFill>
            <w14:solidFill>
              <w14:schemeClr w14:val="tx1"/>
            </w14:solidFill>
          </w14:textFill>
        </w:rPr>
        <w:t>危险废物贮存点，</w:t>
      </w:r>
      <w:r>
        <w:rPr>
          <w:rFonts w:hint="eastAsia"/>
          <w:color w:val="000000" w:themeColor="text1"/>
          <w:lang w:val="en-US" w:eastAsia="zh-CN"/>
          <w14:textFill>
            <w14:solidFill>
              <w14:schemeClr w14:val="tx1"/>
            </w14:solidFill>
          </w14:textFill>
        </w:rPr>
        <w:t>最终交由</w:t>
      </w:r>
      <w:r>
        <w:rPr>
          <w:rFonts w:hint="eastAsia"/>
          <w:color w:val="000000" w:themeColor="text1"/>
          <w14:textFill>
            <w14:solidFill>
              <w14:schemeClr w14:val="tx1"/>
            </w14:solidFill>
          </w14:textFill>
        </w:rPr>
        <w:t>具有相应危险废物处置资质的单位进行接收、转运和处置。运营期固体废物主要为废润滑油、废润滑油桶、废含油抹布、劳保用品，均属于危险废物，集中收集后</w:t>
      </w:r>
      <w:r>
        <w:rPr>
          <w:rFonts w:hint="eastAsia"/>
          <w:color w:val="000000" w:themeColor="text1"/>
          <w:lang w:bidi="ar"/>
          <w14:textFill>
            <w14:solidFill>
              <w14:schemeClr w14:val="tx1"/>
            </w14:solidFill>
          </w14:textFill>
        </w:rPr>
        <w:t>分类暂存在</w:t>
      </w:r>
      <w:r>
        <w:rPr>
          <w:rFonts w:hint="eastAsia"/>
          <w:snapToGrid w:val="0"/>
          <w:color w:val="000000" w:themeColor="text1"/>
          <w14:textFill>
            <w14:solidFill>
              <w14:schemeClr w14:val="tx1"/>
            </w14:solidFill>
          </w14:textFill>
        </w:rPr>
        <w:t>吉祥联合站</w:t>
      </w:r>
      <w:r>
        <w:rPr>
          <w:rFonts w:hint="eastAsia"/>
          <w:snapToGrid w:val="0"/>
          <w:color w:val="000000" w:themeColor="text1"/>
          <w:lang w:val="en-US" w:eastAsia="zh-CN"/>
          <w14:textFill>
            <w14:solidFill>
              <w14:schemeClr w14:val="tx1"/>
            </w14:solidFill>
          </w14:textFill>
        </w:rPr>
        <w:t>危险废物贮存点，</w:t>
      </w:r>
      <w:r>
        <w:rPr>
          <w:rFonts w:hint="eastAsia"/>
          <w:color w:val="000000" w:themeColor="text1"/>
          <w:lang w:val="en-US" w:eastAsia="zh-CN"/>
          <w14:textFill>
            <w14:solidFill>
              <w14:schemeClr w14:val="tx1"/>
            </w14:solidFill>
          </w14:textFill>
        </w:rPr>
        <w:t>最终</w:t>
      </w:r>
      <w:r>
        <w:rPr>
          <w:rFonts w:hint="eastAsia"/>
          <w:color w:val="000000" w:themeColor="text1"/>
          <w14:textFill>
            <w14:solidFill>
              <w14:schemeClr w14:val="tx1"/>
            </w14:solidFill>
          </w14:textFill>
        </w:rPr>
        <w:t>由有相应危险废物处置资质的单位回收处置；固体废物得到妥善处置</w:t>
      </w:r>
      <w:r>
        <w:rPr>
          <w:color w:val="000000" w:themeColor="text1"/>
          <w14:textFill>
            <w14:solidFill>
              <w14:schemeClr w14:val="tx1"/>
            </w14:solidFill>
          </w14:textFill>
        </w:rPr>
        <w:t>，不会对区域环境造成不利影响</w:t>
      </w:r>
      <w:r>
        <w:rPr>
          <w:rFonts w:hint="eastAsia"/>
          <w:color w:val="000000" w:themeColor="text1"/>
          <w14:textFill>
            <w14:solidFill>
              <w14:schemeClr w14:val="tx1"/>
            </w14:solidFill>
          </w14:textFill>
        </w:rPr>
        <w:t>。</w:t>
      </w:r>
    </w:p>
    <w:p w14:paraId="60068822">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（6）土壤环境</w:t>
      </w:r>
    </w:p>
    <w:p w14:paraId="75A17AEE">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按规定的施工范围进行作业，可有效减少土壤扰动，建筑垃圾及时清运，可避免污染物进入土壤环境造成污染。运营期加强废水和固体废物管理，井场采用砾石铺垫，加强井场设备、阀门、法兰、管线的巡检</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避免因</w:t>
      </w:r>
      <w:r>
        <w:rPr>
          <w:color w:val="000000" w:themeColor="text1"/>
          <w14:textFill>
            <w14:solidFill>
              <w14:schemeClr w14:val="tx1"/>
            </w14:solidFill>
          </w14:textFill>
        </w:rPr>
        <w:t>“跑、冒、滴、漏”</w:t>
      </w:r>
      <w:r>
        <w:rPr>
          <w:rFonts w:hint="eastAsia"/>
          <w:color w:val="000000" w:themeColor="text1"/>
          <w14:textFill>
            <w14:solidFill>
              <w14:schemeClr w14:val="tx1"/>
            </w14:solidFill>
          </w14:textFill>
        </w:rPr>
        <w:t>或泄漏事故发生造成原油进入土壤，发生泄漏事故时应</w:t>
      </w:r>
      <w:r>
        <w:rPr>
          <w:color w:val="000000" w:themeColor="text1"/>
          <w14:textFill>
            <w14:solidFill>
              <w14:schemeClr w14:val="tx1"/>
            </w14:solidFill>
          </w14:textFill>
        </w:rPr>
        <w:t>及时清理落地油，</w:t>
      </w:r>
      <w:r>
        <w:rPr>
          <w:rFonts w:hint="eastAsia"/>
          <w:color w:val="000000" w:themeColor="text1"/>
          <w14:textFill>
            <w14:solidFill>
              <w14:schemeClr w14:val="tx1"/>
            </w14:solidFill>
          </w14:textFill>
        </w:rPr>
        <w:t>受浸染的土壤交由具备相应危废处置资质的单位进行回收处置，可</w:t>
      </w:r>
      <w:r>
        <w:rPr>
          <w:color w:val="000000" w:themeColor="text1"/>
          <w14:textFill>
            <w14:solidFill>
              <w14:schemeClr w14:val="tx1"/>
            </w14:solidFill>
          </w14:textFill>
        </w:rPr>
        <w:t>降低</w:t>
      </w:r>
      <w:r>
        <w:rPr>
          <w:rFonts w:hint="eastAsia"/>
          <w:color w:val="000000" w:themeColor="text1"/>
          <w14:textFill>
            <w14:solidFill>
              <w14:schemeClr w14:val="tx1"/>
            </w14:solidFill>
          </w14:textFill>
        </w:rPr>
        <w:t>对</w:t>
      </w:r>
      <w:r>
        <w:rPr>
          <w:color w:val="000000" w:themeColor="text1"/>
          <w14:textFill>
            <w14:solidFill>
              <w14:schemeClr w14:val="tx1"/>
            </w14:solidFill>
          </w14:textFill>
        </w:rPr>
        <w:t>土壤</w:t>
      </w:r>
      <w:r>
        <w:rPr>
          <w:rFonts w:hint="eastAsia"/>
          <w:color w:val="000000" w:themeColor="text1"/>
          <w14:textFill>
            <w14:solidFill>
              <w14:schemeClr w14:val="tx1"/>
            </w14:solidFill>
          </w14:textFill>
        </w:rPr>
        <w:t>环境质量的影响程度</w:t>
      </w:r>
      <w:r>
        <w:rPr>
          <w:color w:val="000000" w:themeColor="text1"/>
          <w14:textFill>
            <w14:solidFill>
              <w14:schemeClr w14:val="tx1"/>
            </w14:solidFill>
          </w14:textFill>
        </w:rPr>
        <w:t>。</w:t>
      </w:r>
    </w:p>
    <w:p w14:paraId="4EF602F5">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（7）环境风险</w:t>
      </w:r>
    </w:p>
    <w:bookmarkEnd w:id="780"/>
    <w:bookmarkEnd w:id="781"/>
    <w:bookmarkEnd w:id="782"/>
    <w:p w14:paraId="4EDC4CA4">
      <w:pPr>
        <w:pStyle w:val="120"/>
        <w:rPr>
          <w:rFonts w:hint="eastAsia"/>
          <w:color w:val="000000" w:themeColor="text1"/>
          <w14:textFill>
            <w14:solidFill>
              <w14:schemeClr w14:val="tx1"/>
            </w14:solidFill>
          </w14:textFill>
        </w:rPr>
      </w:pPr>
      <w:r>
        <w:rPr>
          <w:rFonts w:hint="eastAsia"/>
          <w:color w:val="000000" w:themeColor="text1"/>
          <w:lang w:bidi="ar"/>
          <w14:textFill>
            <w14:solidFill>
              <w14:schemeClr w14:val="tx1"/>
            </w14:solidFill>
          </w14:textFill>
        </w:rPr>
        <w:t>项目涉及的危险物质为原油和伴生气，</w:t>
      </w:r>
      <w:r>
        <w:rPr>
          <w:rFonts w:hint="eastAsia"/>
          <w:color w:val="000000" w:themeColor="text1"/>
          <w14:textFill>
            <w14:solidFill>
              <w14:schemeClr w14:val="tx1"/>
            </w14:solidFill>
          </w14:textFill>
        </w:rPr>
        <w:t>风险潜势为Ⅰ，</w:t>
      </w:r>
      <w:r>
        <w:rPr>
          <w:rFonts w:hint="eastAsia"/>
          <w:color w:val="000000" w:themeColor="text1"/>
          <w:lang w:bidi="ar"/>
          <w14:textFill>
            <w14:solidFill>
              <w14:schemeClr w14:val="tx1"/>
            </w14:solidFill>
          </w14:textFill>
        </w:rPr>
        <w:t>可能发生的风险事故类型主要包括原油泄漏事故和</w:t>
      </w:r>
      <w:r>
        <w:rPr>
          <w:color w:val="000000" w:themeColor="text1"/>
          <w14:textFill>
            <w14:solidFill>
              <w14:schemeClr w14:val="tx1"/>
            </w14:solidFill>
          </w14:textFill>
        </w:rPr>
        <w:t>火灾</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爆炸</w:t>
      </w:r>
      <w:r>
        <w:rPr>
          <w:rFonts w:hint="eastAsia"/>
          <w:color w:val="000000" w:themeColor="text1"/>
          <w14:textFill>
            <w14:solidFill>
              <w14:schemeClr w14:val="tx1"/>
            </w14:solidFill>
          </w14:textFill>
        </w:rPr>
        <w:t>等引发的伴生/次生污染物排放。</w:t>
      </w:r>
      <w:r>
        <w:rPr>
          <w:rFonts w:hint="eastAsia"/>
          <w:color w:val="000000" w:themeColor="text1"/>
          <w:lang w:bidi="ar"/>
          <w14:textFill>
            <w14:solidFill>
              <w14:schemeClr w14:val="tx1"/>
            </w14:solidFill>
          </w14:textFill>
        </w:rPr>
        <w:t>发生泄漏时，泄漏的油气对周围大气环境产生一定的影响，对土壤、地下水及植被影响较小，泄漏的原油对土壤、植被、地下水会产生一定的影响；</w:t>
      </w:r>
      <w:r>
        <w:rPr>
          <w:rFonts w:hint="eastAsia"/>
          <w:color w:val="000000" w:themeColor="text1"/>
          <w14:textFill>
            <w14:solidFill>
              <w14:schemeClr w14:val="tx1"/>
            </w14:solidFill>
          </w14:textFill>
        </w:rPr>
        <w:t>包气带对石油类污染物的截留能力较强，泄漏事故发生时，及时、彻底清除泄漏油品、被污染的土壤，污染物不会进入地下水中，对地下水水质没有不良影响。</w:t>
      </w:r>
      <w:r>
        <w:rPr>
          <w:rFonts w:hint="eastAsia"/>
          <w:color w:val="000000" w:themeColor="text1"/>
          <w:lang w:bidi="ar"/>
          <w14:textFill>
            <w14:solidFill>
              <w14:schemeClr w14:val="tx1"/>
            </w14:solidFill>
          </w14:textFill>
        </w:rPr>
        <w:t>发生事故后，在严格落实本报告提出的风险防范措施的前提下，不会对周围环境产生明显影响。</w:t>
      </w:r>
    </w:p>
    <w:p w14:paraId="74750F09">
      <w:pPr>
        <w:pStyle w:val="8"/>
        <w:rPr>
          <w:rFonts w:hint="eastAsia"/>
          <w:color w:val="000000" w:themeColor="text1"/>
          <w14:textFill>
            <w14:solidFill>
              <w14:schemeClr w14:val="tx1"/>
            </w14:solidFill>
          </w14:textFill>
        </w:rPr>
      </w:pPr>
      <w:bookmarkStart w:id="784" w:name="_Toc445996541"/>
      <w:bookmarkStart w:id="785" w:name="_Toc149456097"/>
      <w:bookmarkStart w:id="786" w:name="_Toc9849"/>
      <w:bookmarkStart w:id="787" w:name="_Toc146344873"/>
      <w:bookmarkStart w:id="788" w:name="_Toc445842229"/>
      <w:bookmarkStart w:id="789" w:name="_Toc169342380"/>
      <w:bookmarkStart w:id="790" w:name="_Hlk92205646"/>
      <w:r>
        <w:rPr>
          <w:color w:val="000000" w:themeColor="text1"/>
          <w14:textFill>
            <w14:solidFill>
              <w14:schemeClr w14:val="tx1"/>
            </w14:solidFill>
          </w14:textFill>
        </w:rPr>
        <w:t>环境保护措施</w:t>
      </w:r>
      <w:bookmarkEnd w:id="784"/>
      <w:bookmarkEnd w:id="785"/>
      <w:bookmarkEnd w:id="786"/>
      <w:bookmarkEnd w:id="787"/>
      <w:bookmarkEnd w:id="788"/>
      <w:bookmarkEnd w:id="789"/>
    </w:p>
    <w:p w14:paraId="49CEB5D8">
      <w:pPr>
        <w:pStyle w:val="120"/>
        <w:rPr>
          <w:rFonts w:hint="eastAsia"/>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生态环境</w:t>
      </w:r>
    </w:p>
    <w:p w14:paraId="1A22F6C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合理规划永久占地和临时占地，井场尽量采用平台井方式布置，在保证正常施工和安全的前提下，严格控制临时占地面积，减少工程占地面积。单井采油管线和集油干支线选线过程中在满足设计需求的前提下，尽量避开植被密集区域；施工过程中尽量</w:t>
      </w:r>
      <w:r>
        <w:rPr>
          <w:rFonts w:hint="eastAsia" w:ascii="等线" w:hAnsi="等线"/>
          <w:color w:val="000000" w:themeColor="text1"/>
          <w14:textFill>
            <w14:solidFill>
              <w14:schemeClr w14:val="tx1"/>
            </w14:solidFill>
          </w14:textFill>
        </w:rPr>
        <w:t>避免破坏野生植物，最大限度避免破坏野生动物的活动场所和生存环境</w:t>
      </w:r>
      <w:r>
        <w:rPr>
          <w:rFonts w:hint="eastAsia"/>
          <w:color w:val="000000" w:themeColor="text1"/>
          <w14:textFill>
            <w14:solidFill>
              <w14:schemeClr w14:val="tx1"/>
            </w14:solidFill>
          </w14:textFill>
        </w:rPr>
        <w:t>；施工结束后，站场采用砾石铺垫；管沟开挖分层开挖、分层堆放和分层回填；施工过程中严格规定车辆和各类工作人员的活动范围，使之限于在施工区范围内活动，不随意</w:t>
      </w:r>
      <w:r>
        <w:rPr>
          <w:color w:val="000000" w:themeColor="text1"/>
          <w14:textFill>
            <w14:solidFill>
              <w14:schemeClr w14:val="tx1"/>
            </w14:solidFill>
          </w14:textFill>
        </w:rPr>
        <w:t>踩踏砍伐野生植被</w:t>
      </w:r>
      <w:r>
        <w:rPr>
          <w:rFonts w:hint="eastAsia"/>
          <w:color w:val="000000" w:themeColor="text1"/>
          <w14:textFill>
            <w14:solidFill>
              <w14:schemeClr w14:val="tx1"/>
            </w14:solidFill>
          </w14:textFill>
        </w:rPr>
        <w:t>，尽量不侵扰野生动物的栖息地；施工结束后，及时对施工场地进行平整，以便后期自然恢复，并按相关规定对植被损失进行生态经济补偿；加强施工期环境监理。</w:t>
      </w:r>
    </w:p>
    <w:p w14:paraId="4A6161C5">
      <w:pPr>
        <w:pStyle w:val="193"/>
        <w:rPr>
          <w:rStyle w:val="192"/>
          <w:rFonts w:hint="eastAsia"/>
          <w:color w:val="000000" w:themeColor="text1"/>
          <w14:textFill>
            <w14:solidFill>
              <w14:schemeClr w14:val="tx1"/>
            </w14:solidFill>
          </w14:textFill>
        </w:rPr>
      </w:pPr>
      <w:r>
        <w:rPr>
          <w:rStyle w:val="192"/>
          <w:rFonts w:hint="eastAsia"/>
          <w:color w:val="000000" w:themeColor="text1"/>
          <w14:textFill>
            <w14:solidFill>
              <w14:schemeClr w14:val="tx1"/>
            </w14:solidFill>
          </w14:textFill>
        </w:rPr>
        <w:t>（2）大气环境</w:t>
      </w:r>
    </w:p>
    <w:p w14:paraId="14F08E9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定期对设备进行保养维护；合理规划运输道路线路，尽量利用油田现有的公路网，施工车辆严格按照规定线路行驶，严禁乱碾乱压。严禁在大风天气进行土方作业；逸散性材料运输采用苫布遮盖；优化施工组织，管线分段施工，缩短施工时间；施工结束后尽快对施工场地进行整理和平整，减少风蚀量。</w:t>
      </w:r>
    </w:p>
    <w:p w14:paraId="6B9C2B3F">
      <w:pPr>
        <w:spacing w:line="520" w:lineRule="exact"/>
        <w:ind w:firstLine="480" w:firstLineChars="200"/>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选用质量可靠的设备、仪表、阀门等，定期巡检，对站场的设备、阀门、法兰、管线等检查、检修，以防止跑、冒、漏现象的发生。</w:t>
      </w:r>
    </w:p>
    <w:p w14:paraId="613406A5">
      <w:pPr>
        <w:pStyle w:val="193"/>
        <w:rPr>
          <w:rStyle w:val="192"/>
          <w:rFonts w:hint="eastAsia"/>
          <w:color w:val="000000" w:themeColor="text1"/>
          <w14:textFill>
            <w14:solidFill>
              <w14:schemeClr w14:val="tx1"/>
            </w14:solidFill>
          </w14:textFill>
        </w:rPr>
      </w:pPr>
      <w:r>
        <w:rPr>
          <w:rStyle w:val="192"/>
          <w:rFonts w:hint="eastAsia"/>
          <w:color w:val="000000" w:themeColor="text1"/>
          <w14:textFill>
            <w14:solidFill>
              <w14:schemeClr w14:val="tx1"/>
            </w14:solidFill>
          </w14:textFill>
        </w:rPr>
        <w:t>（3）水环境</w:t>
      </w:r>
    </w:p>
    <w:p w14:paraId="23EFE46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施工期废水主要为管道试压废水、混凝土养护废水</w:t>
      </w:r>
      <w:r>
        <w:rPr>
          <w:rFonts w:hint="eastAsia"/>
          <w:color w:val="000000" w:themeColor="text1"/>
          <w:lang w:val="en-US"/>
          <w14:textFill>
            <w14:solidFill>
              <w14:schemeClr w14:val="tx1"/>
            </w14:solidFill>
          </w14:textFill>
        </w:rPr>
        <w:t>和压裂返排液</w:t>
      </w:r>
      <w:r>
        <w:rPr>
          <w:rFonts w:hint="eastAsia"/>
          <w:color w:val="000000" w:themeColor="text1"/>
          <w14:textFill>
            <w14:solidFill>
              <w14:schemeClr w14:val="tx1"/>
            </w14:solidFill>
          </w14:textFill>
        </w:rPr>
        <w:t>。管道试压采用清水试压，管道试压废水产生量较小，主要污染物为悬浮物，</w:t>
      </w:r>
      <w:r>
        <w:rPr>
          <w:rFonts w:hint="eastAsia"/>
          <w:color w:val="000000" w:themeColor="text1"/>
          <w:lang w:bidi="ar"/>
          <w14:textFill>
            <w14:solidFill>
              <w14:schemeClr w14:val="tx1"/>
            </w14:solidFill>
          </w14:textFill>
        </w:rPr>
        <w:t>试压结束后，用于项目区洒水抑尘，混凝土养护废水用于项目区洒水抑尘。</w:t>
      </w:r>
      <w:r>
        <w:rPr>
          <w:rFonts w:hint="eastAsia"/>
          <w:color w:val="000000" w:themeColor="text1"/>
          <w:lang w:val="en-US"/>
          <w14:textFill>
            <w14:solidFill>
              <w14:schemeClr w14:val="tx1"/>
            </w14:solidFill>
          </w14:textFill>
        </w:rPr>
        <w:t>压裂返排液</w:t>
      </w:r>
      <w:r>
        <w:rPr>
          <w:rFonts w:hint="eastAsia"/>
          <w:color w:val="000000" w:themeColor="text1"/>
          <w:lang w:bidi="ar"/>
          <w14:textFill>
            <w14:solidFill>
              <w14:schemeClr w14:val="tx1"/>
            </w14:solidFill>
          </w14:textFill>
        </w:rPr>
        <w:t>由罐车拉运至吉祥联合站采出水处理系统</w:t>
      </w:r>
      <w:r>
        <w:rPr>
          <w:rFonts w:hint="eastAsia"/>
          <w:color w:val="000000" w:themeColor="text1"/>
          <w:lang w:val="en-US" w:bidi="ar"/>
          <w14:textFill>
            <w14:solidFill>
              <w14:schemeClr w14:val="tx1"/>
            </w14:solidFill>
          </w14:textFill>
        </w:rPr>
        <w:t>处理达标后回注油藏；</w:t>
      </w:r>
      <w:r>
        <w:rPr>
          <w:rFonts w:hint="eastAsia"/>
          <w:color w:val="000000" w:themeColor="text1"/>
          <w:lang w:bidi="ar"/>
          <w14:textFill>
            <w14:solidFill>
              <w14:schemeClr w14:val="tx1"/>
            </w14:solidFill>
          </w14:textFill>
        </w:rPr>
        <w:t>运营期洗井废水和井下作业废液由罐车拉运至吉祥联合站采出水处理系统</w:t>
      </w:r>
      <w:r>
        <w:rPr>
          <w:rFonts w:hint="eastAsia"/>
          <w:color w:val="000000" w:themeColor="text1"/>
          <w:lang w:val="en-US" w:bidi="ar"/>
          <w14:textFill>
            <w14:solidFill>
              <w14:schemeClr w14:val="tx1"/>
            </w14:solidFill>
          </w14:textFill>
        </w:rPr>
        <w:t>处理达标后回注油藏</w:t>
      </w:r>
      <w:r>
        <w:rPr>
          <w:rFonts w:hint="eastAsia" w:cs="宋体"/>
          <w:color w:val="000000" w:themeColor="text1"/>
          <w:lang w:bidi="ar"/>
          <w14:textFill>
            <w14:solidFill>
              <w14:schemeClr w14:val="tx1"/>
            </w14:solidFill>
          </w14:textFill>
        </w:rPr>
        <w:t>。</w:t>
      </w:r>
    </w:p>
    <w:p w14:paraId="4519EB9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（4）噪声</w:t>
      </w:r>
    </w:p>
    <w:p w14:paraId="0E6F746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施工期设备选型上采用低噪声的设备，施工设备要经常检查维修，对噪声</w:t>
      </w:r>
      <w:r>
        <w:rPr>
          <w:color w:val="000000" w:themeColor="text1"/>
          <w14:textFill>
            <w14:solidFill>
              <w14:schemeClr w14:val="tx1"/>
            </w14:solidFill>
          </w14:textFill>
        </w:rPr>
        <w:t>较大的设备采取</w:t>
      </w:r>
      <w:r>
        <w:rPr>
          <w:rFonts w:hint="eastAsia"/>
          <w:color w:val="000000" w:themeColor="text1"/>
          <w14:textFill>
            <w14:solidFill>
              <w14:schemeClr w14:val="tx1"/>
            </w14:solidFill>
          </w14:textFill>
        </w:rPr>
        <w:t>基础减振措施；</w:t>
      </w:r>
      <w:r>
        <w:rPr>
          <w:rFonts w:hint="eastAsia"/>
          <w:color w:val="000000" w:themeColor="text1"/>
          <w:spacing w:val="-6"/>
          <w14:textFill>
            <w14:solidFill>
              <w14:schemeClr w14:val="tx1"/>
            </w14:solidFill>
          </w14:textFill>
        </w:rPr>
        <w:t>加强施工场地管理，合理疏导进入施工区的车辆，禁止运输车辆随意鸣笛。</w:t>
      </w:r>
    </w:p>
    <w:p w14:paraId="64D1022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运营期尽量选用低噪声设备，对噪声强度较大的设备进行减噪处理；定期给机泵等设备加润滑油和减振垫，对各种机械设备定期保养；加强噪声防范，做好个人防护工作。</w:t>
      </w:r>
    </w:p>
    <w:p w14:paraId="414DA77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（5）固体废物</w:t>
      </w:r>
    </w:p>
    <w:p w14:paraId="328CA8E6">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期固体废物主要为建筑垃圾，集中收集后交由环卫部门统一处置。施工过程中产生的沾油废防渗材料、废弃含油抹布及劳保用品、设备检修与维护过程中产生的废润滑油及废润滑油桶均属于危险废物，分区暂存在井场设置的</w:t>
      </w:r>
      <w:r>
        <w:rPr>
          <w:rFonts w:hint="eastAsia"/>
          <w:color w:val="000000" w:themeColor="text1"/>
          <w:lang w:val="en-US" w:eastAsia="zh-CN"/>
          <w14:textFill>
            <w14:solidFill>
              <w14:schemeClr w14:val="tx1"/>
            </w14:solidFill>
          </w14:textFill>
        </w:rPr>
        <w:t>临时</w:t>
      </w:r>
      <w:r>
        <w:rPr>
          <w:rFonts w:hint="eastAsia"/>
          <w:color w:val="000000" w:themeColor="text1"/>
          <w14:textFill>
            <w14:solidFill>
              <w14:schemeClr w14:val="tx1"/>
            </w14:solidFill>
          </w14:textFill>
        </w:rPr>
        <w:t>危险废物贮存点，</w:t>
      </w:r>
      <w:r>
        <w:rPr>
          <w:rFonts w:hint="eastAsia"/>
          <w:color w:val="000000" w:themeColor="text1"/>
          <w:lang w:val="en-US" w:eastAsia="zh-CN"/>
          <w14:textFill>
            <w14:solidFill>
              <w14:schemeClr w14:val="tx1"/>
            </w14:solidFill>
          </w14:textFill>
        </w:rPr>
        <w:t>最终交由</w:t>
      </w:r>
      <w:r>
        <w:rPr>
          <w:rFonts w:hint="eastAsia"/>
          <w:color w:val="000000" w:themeColor="text1"/>
          <w14:textFill>
            <w14:solidFill>
              <w14:schemeClr w14:val="tx1"/>
            </w14:solidFill>
          </w14:textFill>
        </w:rPr>
        <w:t>具有相应危险废物处置资质的单位进行接收、转运和处置。</w:t>
      </w:r>
    </w:p>
    <w:p w14:paraId="5B1DF9EF">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运营期固体废物主要为废润滑油、废润滑油桶、废含油抹布、劳保用品，均属于危险废物，集中收集后</w:t>
      </w:r>
      <w:r>
        <w:rPr>
          <w:rFonts w:hint="eastAsia"/>
          <w:color w:val="000000" w:themeColor="text1"/>
          <w:lang w:bidi="ar"/>
          <w14:textFill>
            <w14:solidFill>
              <w14:schemeClr w14:val="tx1"/>
            </w14:solidFill>
          </w14:textFill>
        </w:rPr>
        <w:t>分类暂存在</w:t>
      </w:r>
      <w:r>
        <w:rPr>
          <w:rFonts w:hint="eastAsia"/>
          <w:snapToGrid w:val="0"/>
          <w:color w:val="000000" w:themeColor="text1"/>
          <w14:textFill>
            <w14:solidFill>
              <w14:schemeClr w14:val="tx1"/>
            </w14:solidFill>
          </w14:textFill>
        </w:rPr>
        <w:t>吉祥联合站</w:t>
      </w:r>
      <w:r>
        <w:rPr>
          <w:rFonts w:hint="eastAsia"/>
          <w:snapToGrid w:val="0"/>
          <w:color w:val="000000" w:themeColor="text1"/>
          <w:lang w:val="en-US" w:eastAsia="zh-CN"/>
          <w14:textFill>
            <w14:solidFill>
              <w14:schemeClr w14:val="tx1"/>
            </w14:solidFill>
          </w14:textFill>
        </w:rPr>
        <w:t>危险废物贮存点，</w:t>
      </w:r>
      <w:r>
        <w:rPr>
          <w:rFonts w:hint="eastAsia"/>
          <w:color w:val="000000" w:themeColor="text1"/>
          <w:lang w:val="en-US" w:eastAsia="zh-CN"/>
          <w14:textFill>
            <w14:solidFill>
              <w14:schemeClr w14:val="tx1"/>
            </w14:solidFill>
          </w14:textFill>
        </w:rPr>
        <w:t>最终</w:t>
      </w:r>
      <w:r>
        <w:rPr>
          <w:rFonts w:hint="eastAsia"/>
          <w:color w:val="000000" w:themeColor="text1"/>
          <w14:textFill>
            <w14:solidFill>
              <w14:schemeClr w14:val="tx1"/>
            </w14:solidFill>
          </w14:textFill>
        </w:rPr>
        <w:t>由有相应危险废物处置资质的单位回收处置。</w:t>
      </w:r>
    </w:p>
    <w:p w14:paraId="280A3C23">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（6）土壤环境</w:t>
      </w:r>
    </w:p>
    <w:p w14:paraId="2BB1DD4A">
      <w:pPr>
        <w:spacing w:line="480" w:lineRule="exact"/>
        <w:ind w:firstLine="480" w:firstLineChars="200"/>
        <w:rPr>
          <w:rFonts w:hint="eastAsia"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施工期应严格控制施工期临时占地面积，按设计及规划的施工范围进行施工作业，减少土壤扰动；施工机械及运输车辆应按规定的道路行驶，减少对土壤的碾压，减少碾压造成的土壤紧实度增加及养分流失；施工产生的建筑垃圾不得随意抛洒，应集中收集并及时清运，防止污染物进入土壤环境造成污染。</w:t>
      </w:r>
    </w:p>
    <w:p w14:paraId="618319CD">
      <w:pPr>
        <w:pStyle w:val="120"/>
        <w:rPr>
          <w:rFonts w:hint="eastAsia" w:cs="宋体"/>
          <w:color w:val="000000" w:themeColor="text1"/>
          <w14:textFill>
            <w14:solidFill>
              <w14:schemeClr w14:val="tx1"/>
            </w14:solidFill>
          </w14:textFill>
        </w:rPr>
      </w:pPr>
      <w:r>
        <w:rPr>
          <w:rFonts w:hint="eastAsia"/>
          <w:color w:val="000000" w:themeColor="text1"/>
          <w14:textFill>
            <w14:solidFill>
              <w14:schemeClr w14:val="tx1"/>
            </w14:solidFill>
          </w14:textFill>
        </w:rPr>
        <w:t>运营期加强废水和固体废物管理，井场采用砾石铺垫，加强井场设备、阀门、法兰、管线的巡检</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避免因</w:t>
      </w:r>
      <w:r>
        <w:rPr>
          <w:color w:val="000000" w:themeColor="text1"/>
          <w14:textFill>
            <w14:solidFill>
              <w14:schemeClr w14:val="tx1"/>
            </w14:solidFill>
          </w14:textFill>
        </w:rPr>
        <w:t>“跑、冒、滴、漏”</w:t>
      </w:r>
      <w:r>
        <w:rPr>
          <w:rFonts w:hint="eastAsia"/>
          <w:color w:val="000000" w:themeColor="text1"/>
          <w14:textFill>
            <w14:solidFill>
              <w14:schemeClr w14:val="tx1"/>
            </w14:solidFill>
          </w14:textFill>
        </w:rPr>
        <w:t>或泄漏事故发生造成原油进入土壤，发生泄漏事故时应</w:t>
      </w:r>
      <w:r>
        <w:rPr>
          <w:color w:val="000000" w:themeColor="text1"/>
          <w14:textFill>
            <w14:solidFill>
              <w14:schemeClr w14:val="tx1"/>
            </w14:solidFill>
          </w14:textFill>
        </w:rPr>
        <w:t>及时清理落地油，</w:t>
      </w:r>
      <w:r>
        <w:rPr>
          <w:rFonts w:hint="eastAsia"/>
          <w:color w:val="000000" w:themeColor="text1"/>
          <w14:textFill>
            <w14:solidFill>
              <w14:schemeClr w14:val="tx1"/>
            </w14:solidFill>
          </w14:textFill>
        </w:rPr>
        <w:t>受浸染的土壤交由具备相应危废处置资质的单位进行回收处置。</w:t>
      </w:r>
    </w:p>
    <w:p w14:paraId="7D81B6F8">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（7）环境风险</w:t>
      </w:r>
    </w:p>
    <w:p w14:paraId="74553EB4">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井场井控严格执行《新疆油田钻井井控实施细则》，防止井喷、井喷失控和井喷着火；井控操作实行持证上岗，各岗位的钻井人员有明确的分工，并且应经过井控专业培训；井场设置明显的禁止烟火标志；在井架、井场路口等处设置风向标，发生事故时人员迅速向上风向疏散；按消防规定配备灭火器、消防铁锹和其他消防器材。井场设置明显的禁止烟火标志；</w:t>
      </w:r>
      <w:r>
        <w:rPr>
          <w:rFonts w:hint="eastAsia" w:cs="宋体"/>
          <w:color w:val="000000" w:themeColor="text1"/>
          <w:kern w:val="0"/>
          <w14:textFill>
            <w14:solidFill>
              <w14:schemeClr w14:val="tx1"/>
            </w14:solidFill>
          </w14:textFill>
        </w:rPr>
        <w:t>井下作业时应至少配备</w:t>
      </w:r>
      <w:r>
        <w:rPr>
          <w:rFonts w:hint="eastAsia" w:ascii="宋体" w:hAnsi="宋体" w:eastAsia="宋体" w:cs="宋体"/>
          <w:color w:val="000000" w:themeColor="text1"/>
          <w:kern w:val="0"/>
          <w14:textFill>
            <w14:solidFill>
              <w14:schemeClr w14:val="tx1"/>
            </w14:solidFill>
          </w14:textFill>
        </w:rPr>
        <w:t>1</w:t>
      </w:r>
      <w:r>
        <w:rPr>
          <w:rFonts w:hint="eastAsia" w:cs="宋体"/>
          <w:color w:val="000000" w:themeColor="text1"/>
          <w:kern w:val="0"/>
          <w14:textFill>
            <w14:solidFill>
              <w14:schemeClr w14:val="tx1"/>
            </w14:solidFill>
          </w14:textFill>
        </w:rPr>
        <w:t>套便携式硫化氢监测仪做好硫化氢检测工作，制定防硫化氢应急预案；</w:t>
      </w:r>
      <w:r>
        <w:rPr>
          <w:rFonts w:hint="eastAsia"/>
          <w:color w:val="000000" w:themeColor="text1"/>
          <w14:textFill>
            <w14:solidFill>
              <w14:schemeClr w14:val="tx1"/>
            </w14:solidFill>
          </w14:textFill>
        </w:rPr>
        <w:t>定期对管线进行巡检，</w:t>
      </w:r>
      <w:r>
        <w:rPr>
          <w:color w:val="000000" w:themeColor="text1"/>
          <w14:textFill>
            <w14:solidFill>
              <w14:schemeClr w14:val="tx1"/>
            </w14:solidFill>
          </w14:textFill>
        </w:rPr>
        <w:t>严格按照管道施工、验收等规范进行设计、施工和验收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管线敷设前，应加强对管材和焊接质量的检查，严禁使用不合格产品</w:t>
      </w:r>
      <w:r>
        <w:rPr>
          <w:rFonts w:hint="eastAsia"/>
          <w:color w:val="000000" w:themeColor="text1"/>
          <w14:textFill>
            <w14:solidFill>
              <w14:schemeClr w14:val="tx1"/>
            </w14:solidFill>
          </w14:textFill>
        </w:rPr>
        <w:t>；严禁在管线两侧各5m范围内修筑工程，在管线上方及近旁严禁动土开挖和修建超过管道负荷的建筑物；项目投产后应纳入《中国石油新疆油田分公司吉庆油田作业区突发环境污染事件应急预案》。</w:t>
      </w:r>
    </w:p>
    <w:p w14:paraId="05536DEA">
      <w:pPr>
        <w:pStyle w:val="7"/>
        <w:rPr>
          <w:rFonts w:hint="eastAsia"/>
          <w:color w:val="000000" w:themeColor="text1"/>
          <w14:textFill>
            <w14:solidFill>
              <w14:schemeClr w14:val="tx1"/>
            </w14:solidFill>
          </w14:textFill>
        </w:rPr>
      </w:pPr>
      <w:bookmarkStart w:id="791" w:name="_Toc92876296"/>
      <w:bookmarkStart w:id="792" w:name="_Toc15046"/>
      <w:r>
        <w:rPr>
          <w:rFonts w:hint="eastAsia"/>
          <w:color w:val="000000" w:themeColor="text1"/>
          <w14:textFill>
            <w14:solidFill>
              <w14:schemeClr w14:val="tx1"/>
            </w14:solidFill>
          </w14:textFill>
        </w:rPr>
        <w:t>经济损益性分析</w:t>
      </w:r>
      <w:r>
        <w:rPr>
          <w:rFonts w:hint="eastAsia"/>
          <w:color w:val="000000" w:themeColor="text1"/>
          <w:lang w:eastAsia="zh-Hans"/>
          <w14:textFill>
            <w14:solidFill>
              <w14:schemeClr w14:val="tx1"/>
            </w14:solidFill>
          </w14:textFill>
        </w:rPr>
        <w:t>结论</w:t>
      </w:r>
      <w:bookmarkEnd w:id="791"/>
      <w:bookmarkEnd w:id="792"/>
    </w:p>
    <w:p w14:paraId="6CAC5A7C">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在建设过程中，由于井场、管线都占用一定量的土地，因此带来一定的环境损失。因而在油田开发过程中，需要投入必要的资金用于污染防治和生态恢复等，实施相应的环保措施后，不但能够起到保护环境的效果，同时节约经济开支，为企业带来双赢。</w:t>
      </w:r>
    </w:p>
    <w:bookmarkEnd w:id="790"/>
    <w:p w14:paraId="2B1834E5">
      <w:pPr>
        <w:pStyle w:val="7"/>
        <w:rPr>
          <w:rFonts w:hint="eastAsia"/>
          <w:color w:val="000000" w:themeColor="text1"/>
          <w14:textFill>
            <w14:solidFill>
              <w14:schemeClr w14:val="tx1"/>
            </w14:solidFill>
          </w14:textFill>
        </w:rPr>
      </w:pPr>
      <w:bookmarkStart w:id="793" w:name="_Toc23761"/>
      <w:bookmarkStart w:id="794" w:name="_Toc92876297"/>
      <w:bookmarkStart w:id="795" w:name="_Hlk521698622"/>
      <w:r>
        <w:rPr>
          <w:rFonts w:hint="eastAsia"/>
          <w:color w:val="000000" w:themeColor="text1"/>
          <w14:textFill>
            <w14:solidFill>
              <w14:schemeClr w14:val="tx1"/>
            </w14:solidFill>
          </w14:textFill>
        </w:rPr>
        <w:t>环境管理</w:t>
      </w:r>
      <w:r>
        <w:rPr>
          <w:color w:val="000000" w:themeColor="text1"/>
          <w14:textFill>
            <w14:solidFill>
              <w14:schemeClr w14:val="tx1"/>
            </w14:solidFill>
          </w14:textFill>
        </w:rPr>
        <w:t>与</w:t>
      </w:r>
      <w:r>
        <w:rPr>
          <w:rFonts w:hint="eastAsia"/>
          <w:color w:val="000000" w:themeColor="text1"/>
          <w14:textFill>
            <w14:solidFill>
              <w14:schemeClr w14:val="tx1"/>
            </w14:solidFill>
          </w14:textFill>
        </w:rPr>
        <w:t>监测计划</w:t>
      </w:r>
      <w:r>
        <w:rPr>
          <w:rFonts w:hint="eastAsia"/>
          <w:color w:val="000000" w:themeColor="text1"/>
          <w:lang w:eastAsia="zh-Hans"/>
          <w14:textFill>
            <w14:solidFill>
              <w14:schemeClr w14:val="tx1"/>
            </w14:solidFill>
          </w14:textFill>
        </w:rPr>
        <w:t>结论</w:t>
      </w:r>
      <w:bookmarkEnd w:id="793"/>
      <w:bookmarkEnd w:id="794"/>
    </w:p>
    <w:p w14:paraId="5AB1F3C1">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本次评价根据工程的特点，提出了相关的环境管理要求和监测计划，要求建设单位务必按照环评要求落实各项措施。</w:t>
      </w:r>
    </w:p>
    <w:p w14:paraId="77E126A6">
      <w:pPr>
        <w:pStyle w:val="7"/>
        <w:rPr>
          <w:rFonts w:hint="eastAsia"/>
          <w:color w:val="000000" w:themeColor="text1"/>
          <w14:textFill>
            <w14:solidFill>
              <w14:schemeClr w14:val="tx1"/>
            </w14:solidFill>
          </w14:textFill>
        </w:rPr>
      </w:pPr>
      <w:bookmarkStart w:id="796" w:name="_Toc21525"/>
      <w:r>
        <w:rPr>
          <w:rFonts w:hint="eastAsia"/>
          <w:color w:val="000000" w:themeColor="text1"/>
          <w14:textFill>
            <w14:solidFill>
              <w14:schemeClr w14:val="tx1"/>
            </w14:solidFill>
          </w14:textFill>
        </w:rPr>
        <w:t>公众参与</w:t>
      </w:r>
      <w:bookmarkEnd w:id="796"/>
    </w:p>
    <w:p w14:paraId="1394B1F5">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建设单位根据《环境影响评价公众参与办法》的要求，项目进行了三次网上公示、1次张贴公告、2次报纸公示，公示期间均未收到公众反馈意见。</w:t>
      </w:r>
    </w:p>
    <w:bookmarkEnd w:id="795"/>
    <w:p w14:paraId="4A7BBD06">
      <w:pPr>
        <w:pStyle w:val="7"/>
        <w:rPr>
          <w:rFonts w:hint="eastAsia"/>
          <w:color w:val="000000" w:themeColor="text1"/>
          <w14:textFill>
            <w14:solidFill>
              <w14:schemeClr w14:val="tx1"/>
            </w14:solidFill>
          </w14:textFill>
        </w:rPr>
      </w:pPr>
      <w:bookmarkStart w:id="797" w:name="_Toc13451"/>
      <w:bookmarkStart w:id="798" w:name="_Toc445842230"/>
      <w:bookmarkStart w:id="799" w:name="_Toc475624505"/>
      <w:bookmarkStart w:id="800" w:name="_Toc389771014"/>
      <w:bookmarkStart w:id="801" w:name="_Toc395781973"/>
      <w:bookmarkStart w:id="802" w:name="_Toc391973566"/>
      <w:bookmarkStart w:id="803" w:name="_Toc280955047"/>
      <w:bookmarkStart w:id="804" w:name="_Toc445840455"/>
      <w:bookmarkStart w:id="805" w:name="_Toc280954970"/>
      <w:bookmarkStart w:id="806" w:name="_Toc395781500"/>
      <w:bookmarkStart w:id="807" w:name="_Toc445996542"/>
      <w:bookmarkStart w:id="808" w:name="_Toc14130"/>
      <w:bookmarkStart w:id="809" w:name="_Toc459026626"/>
      <w:bookmarkStart w:id="810" w:name="_Toc396754544"/>
      <w:r>
        <w:rPr>
          <w:rFonts w:hint="eastAsia"/>
          <w:color w:val="000000" w:themeColor="text1"/>
          <w14:textFill>
            <w14:solidFill>
              <w14:schemeClr w14:val="tx1"/>
            </w14:solidFill>
          </w14:textFill>
        </w:rPr>
        <w:t>总结论</w:t>
      </w:r>
      <w:bookmarkEnd w:id="797"/>
    </w:p>
    <w:bookmarkEnd w:id="798"/>
    <w:bookmarkEnd w:id="799"/>
    <w:bookmarkEnd w:id="800"/>
    <w:bookmarkEnd w:id="801"/>
    <w:bookmarkEnd w:id="802"/>
    <w:bookmarkEnd w:id="803"/>
    <w:bookmarkEnd w:id="804"/>
    <w:bookmarkEnd w:id="805"/>
    <w:bookmarkEnd w:id="806"/>
    <w:bookmarkEnd w:id="807"/>
    <w:bookmarkEnd w:id="808"/>
    <w:bookmarkEnd w:id="809"/>
    <w:bookmarkEnd w:id="810"/>
    <w:p w14:paraId="080F71CA">
      <w:pPr>
        <w:pStyle w:val="1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符合国家相关规划、环保政策及“三线一单”的要求，选址选线合理。运营期废气能实现“达标排放”，工业废水零排放，固体废物实现“无害化”处置；建成后区域环境质量仍可以满足相应功能区要求；开发活动对生态环境的影响较小，不会对区域生态系统或生物多样性产生较大影响；项目在运行过程中存在一定的环境风险，但采取相应的环境风险防范措施后，其影响是可防可控的；项目进行了三次网上公示、1次张贴公告、2次报纸公示，公示期间均未收到公众反馈意见。从环境保护角度论证建设可行。</w:t>
      </w:r>
    </w:p>
    <w:p w14:paraId="538D075B">
      <w:pPr>
        <w:pStyle w:val="120"/>
        <w:rPr>
          <w:rFonts w:hint="eastAsia"/>
          <w:color w:val="000000" w:themeColor="text1"/>
          <w14:textFill>
            <w14:solidFill>
              <w14:schemeClr w14:val="tx1"/>
            </w14:solidFill>
          </w14:textFill>
        </w:rPr>
      </w:pPr>
    </w:p>
    <w:p w14:paraId="64601801">
      <w:pPr>
        <w:pStyle w:val="120"/>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p>
    <w:p w14:paraId="5585D86C">
      <w:pPr>
        <w:pStyle w:val="6"/>
        <w:numPr>
          <w:ilvl w:val="0"/>
          <w:numId w:val="0"/>
        </w:numPr>
        <w:rPr>
          <w:rFonts w:hint="eastAsia"/>
          <w:color w:val="000000" w:themeColor="text1"/>
          <w14:textFill>
            <w14:solidFill>
              <w14:schemeClr w14:val="tx1"/>
            </w14:solidFill>
          </w14:textFill>
        </w:rPr>
      </w:pPr>
      <w:bookmarkStart w:id="811" w:name="_Toc25878"/>
      <w:r>
        <w:rPr>
          <w:rFonts w:hint="eastAsia"/>
          <w:color w:val="000000" w:themeColor="text1"/>
          <w14:textFill>
            <w14:solidFill>
              <w14:schemeClr w14:val="tx1"/>
            </w14:solidFill>
          </w14:textFill>
        </w:rPr>
        <w:t>附件1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环评委托书</w:t>
      </w:r>
      <w:bookmarkEnd w:id="811"/>
    </w:p>
    <w:p w14:paraId="0ACC7CF5">
      <w:pPr>
        <w:pStyle w:val="120"/>
        <w:spacing w:line="240" w:lineRule="auto"/>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678805" cy="8032115"/>
            <wp:effectExtent l="0" t="0" r="17145" b="6985"/>
            <wp:docPr id="27" name="图片 27" descr="吉7井区梧桐沟组油藏2026年更新补钻产能建设项目—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吉7井区梧桐沟组油藏2026年更新补钻产能建设项目—委托书"/>
                    <pic:cNvPicPr>
                      <a:picLocks noChangeAspect="1"/>
                    </pic:cNvPicPr>
                  </pic:nvPicPr>
                  <pic:blipFill>
                    <a:blip r:embed="rId101"/>
                    <a:stretch>
                      <a:fillRect/>
                    </a:stretch>
                  </pic:blipFill>
                  <pic:spPr>
                    <a:xfrm>
                      <a:off x="0" y="0"/>
                      <a:ext cx="5678805" cy="8032115"/>
                    </a:xfrm>
                    <a:prstGeom prst="rect">
                      <a:avLst/>
                    </a:prstGeom>
                  </pic:spPr>
                </pic:pic>
              </a:graphicData>
            </a:graphic>
          </wp:inline>
        </w:drawing>
      </w:r>
    </w:p>
    <w:p w14:paraId="62465DD1">
      <w:pPr>
        <w:pStyle w:val="6"/>
        <w:numPr>
          <w:ilvl w:val="0"/>
          <w:numId w:val="0"/>
        </w:numPr>
        <w:rPr>
          <w:rFonts w:hint="eastAsia"/>
          <w:color w:val="000000" w:themeColor="text1"/>
          <w14:textFill>
            <w14:solidFill>
              <w14:schemeClr w14:val="tx1"/>
            </w14:solidFill>
          </w14:textFill>
        </w:rPr>
      </w:pPr>
      <w:bookmarkStart w:id="812" w:name="_Toc12194"/>
      <w:r>
        <w:rPr>
          <w:rFonts w:hint="eastAsia"/>
          <w:color w:val="000000" w:themeColor="text1"/>
          <w14:textFill>
            <w14:solidFill>
              <w14:schemeClr w14:val="tx1"/>
            </w14:solidFill>
          </w14:textFill>
        </w:rPr>
        <w:t>附件2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现有工程环保手续</w:t>
      </w:r>
      <w:bookmarkEnd w:id="812"/>
    </w:p>
    <w:p w14:paraId="408A0EEA">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26380" cy="7477125"/>
            <wp:effectExtent l="0" t="0" r="7620" b="952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102"/>
                    <a:stretch>
                      <a:fillRect/>
                    </a:stretch>
                  </pic:blipFill>
                  <pic:spPr>
                    <a:xfrm>
                      <a:off x="0" y="0"/>
                      <a:ext cx="5326380" cy="7477125"/>
                    </a:xfrm>
                    <a:prstGeom prst="rect">
                      <a:avLst/>
                    </a:prstGeom>
                    <a:noFill/>
                    <a:ln>
                      <a:noFill/>
                    </a:ln>
                  </pic:spPr>
                </pic:pic>
              </a:graphicData>
            </a:graphic>
          </wp:inline>
        </w:drawing>
      </w:r>
    </w:p>
    <w:p w14:paraId="0B6B07BE">
      <w:pPr>
        <w:pStyle w:val="280"/>
        <w:rPr>
          <w:rFonts w:hint="eastAsia"/>
          <w:color w:val="000000" w:themeColor="text1"/>
          <w14:textFill>
            <w14:solidFill>
              <w14:schemeClr w14:val="tx1"/>
            </w14:solidFill>
          </w14:textFill>
        </w:rPr>
      </w:pPr>
    </w:p>
    <w:p w14:paraId="2414CA9C">
      <w:pPr>
        <w:pStyle w:val="280"/>
        <w:rPr>
          <w:rFonts w:hint="eastAsia"/>
          <w:color w:val="000000" w:themeColor="text1"/>
          <w14:textFill>
            <w14:solidFill>
              <w14:schemeClr w14:val="tx1"/>
            </w14:solidFill>
          </w14:textFill>
        </w:rPr>
      </w:pPr>
    </w:p>
    <w:p w14:paraId="4CAD7A31">
      <w:pPr>
        <w:pStyle w:val="280"/>
        <w:rPr>
          <w:rFonts w:hint="eastAsia"/>
          <w:color w:val="000000" w:themeColor="text1"/>
          <w14:textFill>
            <w14:solidFill>
              <w14:schemeClr w14:val="tx1"/>
            </w14:solidFill>
          </w14:textFill>
        </w:rPr>
      </w:pPr>
    </w:p>
    <w:p w14:paraId="36359A7E">
      <w:pPr>
        <w:pStyle w:val="280"/>
        <w:rPr>
          <w:rFonts w:hint="eastAsia"/>
          <w:color w:val="000000" w:themeColor="text1"/>
          <w14:textFill>
            <w14:solidFill>
              <w14:schemeClr w14:val="tx1"/>
            </w14:solidFill>
          </w14:textFill>
        </w:rPr>
      </w:pPr>
    </w:p>
    <w:p w14:paraId="4174B4CE">
      <w:pPr>
        <w:pStyle w:val="280"/>
        <w:rPr>
          <w:rFonts w:hint="eastAsia"/>
          <w:color w:val="000000" w:themeColor="text1"/>
          <w14:textFill>
            <w14:solidFill>
              <w14:schemeClr w14:val="tx1"/>
            </w14:solidFill>
          </w14:textFill>
        </w:rPr>
      </w:pPr>
    </w:p>
    <w:p w14:paraId="3549254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570855" cy="7980045"/>
            <wp:effectExtent l="0" t="0" r="10795" b="190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103"/>
                    <a:stretch>
                      <a:fillRect/>
                    </a:stretch>
                  </pic:blipFill>
                  <pic:spPr>
                    <a:xfrm>
                      <a:off x="0" y="0"/>
                      <a:ext cx="5570855" cy="7980045"/>
                    </a:xfrm>
                    <a:prstGeom prst="rect">
                      <a:avLst/>
                    </a:prstGeom>
                    <a:noFill/>
                    <a:ln>
                      <a:noFill/>
                    </a:ln>
                  </pic:spPr>
                </pic:pic>
              </a:graphicData>
            </a:graphic>
          </wp:inline>
        </w:drawing>
      </w:r>
    </w:p>
    <w:p w14:paraId="52287BA5">
      <w:pPr>
        <w:pStyle w:val="280"/>
        <w:rPr>
          <w:rFonts w:hint="eastAsia"/>
          <w:color w:val="000000" w:themeColor="text1"/>
          <w14:textFill>
            <w14:solidFill>
              <w14:schemeClr w14:val="tx1"/>
            </w14:solidFill>
          </w14:textFill>
        </w:rPr>
      </w:pPr>
    </w:p>
    <w:p w14:paraId="761C5B21">
      <w:pPr>
        <w:pStyle w:val="280"/>
        <w:rPr>
          <w:rFonts w:hint="eastAsia"/>
          <w:color w:val="000000" w:themeColor="text1"/>
          <w14:textFill>
            <w14:solidFill>
              <w14:schemeClr w14:val="tx1"/>
            </w14:solidFill>
          </w14:textFill>
        </w:rPr>
      </w:pPr>
    </w:p>
    <w:p w14:paraId="38E0FA4C">
      <w:pPr>
        <w:pStyle w:val="280"/>
        <w:rPr>
          <w:rFonts w:hint="eastAsia"/>
          <w:color w:val="000000" w:themeColor="text1"/>
          <w14:textFill>
            <w14:solidFill>
              <w14:schemeClr w14:val="tx1"/>
            </w14:solidFill>
          </w14:textFill>
        </w:rPr>
      </w:pPr>
    </w:p>
    <w:p w14:paraId="29EF1272">
      <w:pPr>
        <w:pStyle w:val="280"/>
        <w:rPr>
          <w:rFonts w:hint="eastAsia"/>
          <w:color w:val="000000" w:themeColor="text1"/>
          <w14:textFill>
            <w14:solidFill>
              <w14:schemeClr w14:val="tx1"/>
            </w14:solidFill>
          </w14:textFill>
        </w:rPr>
      </w:pPr>
    </w:p>
    <w:p w14:paraId="53A37B46">
      <w:pPr>
        <w:pStyle w:val="280"/>
        <w:rPr>
          <w:rFonts w:hint="eastAsia"/>
          <w:color w:val="000000" w:themeColor="text1"/>
          <w14:textFill>
            <w14:solidFill>
              <w14:schemeClr w14:val="tx1"/>
            </w14:solidFill>
          </w14:textFill>
        </w:rPr>
      </w:pPr>
    </w:p>
    <w:p w14:paraId="41BD20C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91150" cy="7419975"/>
            <wp:effectExtent l="0" t="0" r="0" b="9525"/>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104"/>
                    <a:stretch>
                      <a:fillRect/>
                    </a:stretch>
                  </pic:blipFill>
                  <pic:spPr>
                    <a:xfrm>
                      <a:off x="0" y="0"/>
                      <a:ext cx="5391150" cy="7419975"/>
                    </a:xfrm>
                    <a:prstGeom prst="rect">
                      <a:avLst/>
                    </a:prstGeom>
                    <a:noFill/>
                    <a:ln>
                      <a:noFill/>
                    </a:ln>
                  </pic:spPr>
                </pic:pic>
              </a:graphicData>
            </a:graphic>
          </wp:inline>
        </w:drawing>
      </w:r>
    </w:p>
    <w:p w14:paraId="0F9FE8F6">
      <w:pPr>
        <w:pStyle w:val="280"/>
        <w:rPr>
          <w:rFonts w:hint="eastAsia"/>
          <w:color w:val="000000" w:themeColor="text1"/>
          <w14:textFill>
            <w14:solidFill>
              <w14:schemeClr w14:val="tx1"/>
            </w14:solidFill>
          </w14:textFill>
        </w:rPr>
      </w:pPr>
    </w:p>
    <w:p w14:paraId="04B8D759">
      <w:pPr>
        <w:pStyle w:val="280"/>
        <w:rPr>
          <w:rFonts w:hint="eastAsia"/>
          <w:color w:val="000000" w:themeColor="text1"/>
          <w14:textFill>
            <w14:solidFill>
              <w14:schemeClr w14:val="tx1"/>
            </w14:solidFill>
          </w14:textFill>
        </w:rPr>
      </w:pPr>
    </w:p>
    <w:p w14:paraId="422A2ABA">
      <w:pPr>
        <w:pStyle w:val="280"/>
        <w:rPr>
          <w:rFonts w:hint="eastAsia"/>
          <w:color w:val="000000" w:themeColor="text1"/>
          <w14:textFill>
            <w14:solidFill>
              <w14:schemeClr w14:val="tx1"/>
            </w14:solidFill>
          </w14:textFill>
        </w:rPr>
      </w:pPr>
    </w:p>
    <w:p w14:paraId="66B600A7">
      <w:pPr>
        <w:pStyle w:val="280"/>
        <w:rPr>
          <w:rFonts w:hint="eastAsia"/>
          <w:color w:val="000000" w:themeColor="text1"/>
          <w14:textFill>
            <w14:solidFill>
              <w14:schemeClr w14:val="tx1"/>
            </w14:solidFill>
          </w14:textFill>
        </w:rPr>
      </w:pPr>
    </w:p>
    <w:p w14:paraId="6F43F3C3">
      <w:pPr>
        <w:pStyle w:val="280"/>
        <w:rPr>
          <w:rFonts w:hint="eastAsia"/>
          <w:color w:val="000000" w:themeColor="text1"/>
          <w14:textFill>
            <w14:solidFill>
              <w14:schemeClr w14:val="tx1"/>
            </w14:solidFill>
          </w14:textFill>
        </w:rPr>
      </w:pPr>
    </w:p>
    <w:p w14:paraId="1CEB6BAA">
      <w:pPr>
        <w:pStyle w:val="280"/>
        <w:rPr>
          <w:rFonts w:hint="eastAsia"/>
          <w:color w:val="000000" w:themeColor="text1"/>
          <w14:textFill>
            <w14:solidFill>
              <w14:schemeClr w14:val="tx1"/>
            </w14:solidFill>
          </w14:textFill>
        </w:rPr>
      </w:pPr>
    </w:p>
    <w:p w14:paraId="0E8E1AEC">
      <w:pPr>
        <w:pStyle w:val="280"/>
        <w:rPr>
          <w:rFonts w:hint="eastAsia"/>
          <w:color w:val="000000" w:themeColor="text1"/>
          <w14:textFill>
            <w14:solidFill>
              <w14:schemeClr w14:val="tx1"/>
            </w14:solidFill>
          </w14:textFill>
        </w:rPr>
      </w:pPr>
    </w:p>
    <w:p w14:paraId="7CAB921E">
      <w:pPr>
        <w:pStyle w:val="280"/>
        <w:rPr>
          <w:rFonts w:hint="eastAsia"/>
          <w:color w:val="000000" w:themeColor="text1"/>
          <w14:textFill>
            <w14:solidFill>
              <w14:schemeClr w14:val="tx1"/>
            </w14:solidFill>
          </w14:textFill>
        </w:rPr>
      </w:pPr>
    </w:p>
    <w:p w14:paraId="5D11868D">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886325" cy="7372350"/>
            <wp:effectExtent l="0" t="0" r="9525" b="0"/>
            <wp:docPr id="1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2"/>
                    <pic:cNvPicPr>
                      <a:picLocks noChangeAspect="1"/>
                    </pic:cNvPicPr>
                  </pic:nvPicPr>
                  <pic:blipFill>
                    <a:blip r:embed="rId105"/>
                    <a:stretch>
                      <a:fillRect/>
                    </a:stretch>
                  </pic:blipFill>
                  <pic:spPr>
                    <a:xfrm>
                      <a:off x="0" y="0"/>
                      <a:ext cx="4886325" cy="7372350"/>
                    </a:xfrm>
                    <a:prstGeom prst="rect">
                      <a:avLst/>
                    </a:prstGeom>
                    <a:noFill/>
                    <a:ln>
                      <a:noFill/>
                    </a:ln>
                  </pic:spPr>
                </pic:pic>
              </a:graphicData>
            </a:graphic>
          </wp:inline>
        </w:drawing>
      </w:r>
    </w:p>
    <w:p w14:paraId="0463C098">
      <w:pPr>
        <w:pStyle w:val="280"/>
        <w:rPr>
          <w:rFonts w:hint="eastAsia"/>
          <w:color w:val="000000" w:themeColor="text1"/>
          <w14:textFill>
            <w14:solidFill>
              <w14:schemeClr w14:val="tx1"/>
            </w14:solidFill>
          </w14:textFill>
        </w:rPr>
      </w:pPr>
    </w:p>
    <w:p w14:paraId="01E033E1">
      <w:pPr>
        <w:pStyle w:val="280"/>
        <w:rPr>
          <w:rFonts w:hint="eastAsia"/>
          <w:color w:val="000000" w:themeColor="text1"/>
          <w14:textFill>
            <w14:solidFill>
              <w14:schemeClr w14:val="tx1"/>
            </w14:solidFill>
          </w14:textFill>
        </w:rPr>
      </w:pPr>
    </w:p>
    <w:p w14:paraId="1132FC1C">
      <w:pPr>
        <w:pStyle w:val="280"/>
        <w:rPr>
          <w:rFonts w:hint="eastAsia"/>
          <w:color w:val="000000" w:themeColor="text1"/>
          <w14:textFill>
            <w14:solidFill>
              <w14:schemeClr w14:val="tx1"/>
            </w14:solidFill>
          </w14:textFill>
        </w:rPr>
      </w:pPr>
    </w:p>
    <w:p w14:paraId="6BFE6895">
      <w:pPr>
        <w:pStyle w:val="280"/>
        <w:rPr>
          <w:rFonts w:hint="eastAsia"/>
          <w:color w:val="000000" w:themeColor="text1"/>
          <w14:textFill>
            <w14:solidFill>
              <w14:schemeClr w14:val="tx1"/>
            </w14:solidFill>
          </w14:textFill>
        </w:rPr>
      </w:pPr>
    </w:p>
    <w:p w14:paraId="19FF05A1">
      <w:pPr>
        <w:pStyle w:val="280"/>
        <w:rPr>
          <w:rFonts w:hint="eastAsia"/>
          <w:color w:val="000000" w:themeColor="text1"/>
          <w14:textFill>
            <w14:solidFill>
              <w14:schemeClr w14:val="tx1"/>
            </w14:solidFill>
          </w14:textFill>
        </w:rPr>
      </w:pPr>
    </w:p>
    <w:p w14:paraId="6787C1BC">
      <w:pPr>
        <w:pStyle w:val="280"/>
        <w:rPr>
          <w:rFonts w:hint="eastAsia"/>
          <w:color w:val="000000" w:themeColor="text1"/>
          <w14:textFill>
            <w14:solidFill>
              <w14:schemeClr w14:val="tx1"/>
            </w14:solidFill>
          </w14:textFill>
        </w:rPr>
      </w:pPr>
    </w:p>
    <w:p w14:paraId="5E2037BD">
      <w:pPr>
        <w:pStyle w:val="280"/>
        <w:rPr>
          <w:rFonts w:hint="eastAsia"/>
          <w:color w:val="000000" w:themeColor="text1"/>
          <w14:textFill>
            <w14:solidFill>
              <w14:schemeClr w14:val="tx1"/>
            </w14:solidFill>
          </w14:textFill>
        </w:rPr>
      </w:pPr>
    </w:p>
    <w:p w14:paraId="150743D3">
      <w:pPr>
        <w:pStyle w:val="280"/>
        <w:rPr>
          <w:rFonts w:hint="eastAsia"/>
          <w:color w:val="000000" w:themeColor="text1"/>
          <w14:textFill>
            <w14:solidFill>
              <w14:schemeClr w14:val="tx1"/>
            </w14:solidFill>
          </w14:textFill>
        </w:rPr>
      </w:pPr>
    </w:p>
    <w:p w14:paraId="6D146B0B">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69560" cy="7989570"/>
            <wp:effectExtent l="0" t="0" r="2540" b="11430"/>
            <wp:docPr id="1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
                    <pic:cNvPicPr>
                      <a:picLocks noChangeAspect="1"/>
                    </pic:cNvPicPr>
                  </pic:nvPicPr>
                  <pic:blipFill>
                    <a:blip r:embed="rId106"/>
                    <a:stretch>
                      <a:fillRect/>
                    </a:stretch>
                  </pic:blipFill>
                  <pic:spPr>
                    <a:xfrm>
                      <a:off x="0" y="0"/>
                      <a:ext cx="5369560" cy="7989570"/>
                    </a:xfrm>
                    <a:prstGeom prst="rect">
                      <a:avLst/>
                    </a:prstGeom>
                    <a:noFill/>
                    <a:ln>
                      <a:noFill/>
                    </a:ln>
                  </pic:spPr>
                </pic:pic>
              </a:graphicData>
            </a:graphic>
          </wp:inline>
        </w:drawing>
      </w:r>
    </w:p>
    <w:p w14:paraId="435B6DBF">
      <w:pPr>
        <w:pStyle w:val="280"/>
        <w:rPr>
          <w:rFonts w:hint="eastAsia"/>
          <w:color w:val="000000" w:themeColor="text1"/>
          <w14:textFill>
            <w14:solidFill>
              <w14:schemeClr w14:val="tx1"/>
            </w14:solidFill>
          </w14:textFill>
        </w:rPr>
      </w:pPr>
    </w:p>
    <w:p w14:paraId="258E0FD4">
      <w:pPr>
        <w:pStyle w:val="280"/>
        <w:rPr>
          <w:rFonts w:hint="eastAsia"/>
          <w:color w:val="000000" w:themeColor="text1"/>
          <w14:textFill>
            <w14:solidFill>
              <w14:schemeClr w14:val="tx1"/>
            </w14:solidFill>
          </w14:textFill>
        </w:rPr>
      </w:pPr>
    </w:p>
    <w:p w14:paraId="560210E1">
      <w:pPr>
        <w:pStyle w:val="280"/>
        <w:rPr>
          <w:rFonts w:hint="eastAsia"/>
          <w:color w:val="000000" w:themeColor="text1"/>
          <w14:textFill>
            <w14:solidFill>
              <w14:schemeClr w14:val="tx1"/>
            </w14:solidFill>
          </w14:textFill>
        </w:rPr>
      </w:pPr>
    </w:p>
    <w:p w14:paraId="284E71EA">
      <w:pPr>
        <w:pStyle w:val="280"/>
        <w:rPr>
          <w:rFonts w:hint="eastAsia"/>
          <w:color w:val="000000" w:themeColor="text1"/>
          <w14:textFill>
            <w14:solidFill>
              <w14:schemeClr w14:val="tx1"/>
            </w14:solidFill>
          </w14:textFill>
        </w:rPr>
      </w:pPr>
    </w:p>
    <w:p w14:paraId="6474E03E">
      <w:pPr>
        <w:pStyle w:val="280"/>
        <w:rPr>
          <w:rFonts w:hint="eastAsia"/>
          <w:color w:val="000000" w:themeColor="text1"/>
          <w14:textFill>
            <w14:solidFill>
              <w14:schemeClr w14:val="tx1"/>
            </w14:solidFill>
          </w14:textFill>
        </w:rPr>
      </w:pPr>
    </w:p>
    <w:p w14:paraId="72CB9A3D">
      <w:pPr>
        <w:pStyle w:val="280"/>
        <w:rPr>
          <w:rFonts w:hint="eastAsia"/>
          <w:color w:val="000000" w:themeColor="text1"/>
          <w14:textFill>
            <w14:solidFill>
              <w14:schemeClr w14:val="tx1"/>
            </w14:solidFill>
          </w14:textFill>
        </w:rPr>
      </w:pPr>
    </w:p>
    <w:p w14:paraId="07E90FB3">
      <w:pPr>
        <w:pStyle w:val="280"/>
        <w:rPr>
          <w:rFonts w:hint="eastAsia"/>
          <w:color w:val="000000" w:themeColor="text1"/>
          <w14:textFill>
            <w14:solidFill>
              <w14:schemeClr w14:val="tx1"/>
            </w14:solidFill>
          </w14:textFill>
        </w:rPr>
      </w:pPr>
    </w:p>
    <w:p w14:paraId="130BEB1F">
      <w:pPr>
        <w:pStyle w:val="280"/>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286375" cy="8029575"/>
            <wp:effectExtent l="0" t="0" r="9525" b="9525"/>
            <wp:docPr id="1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4"/>
                    <pic:cNvPicPr>
                      <a:picLocks noChangeAspect="1"/>
                    </pic:cNvPicPr>
                  </pic:nvPicPr>
                  <pic:blipFill>
                    <a:blip r:embed="rId107"/>
                    <a:stretch>
                      <a:fillRect/>
                    </a:stretch>
                  </pic:blipFill>
                  <pic:spPr>
                    <a:xfrm>
                      <a:off x="0" y="0"/>
                      <a:ext cx="5286375" cy="8029575"/>
                    </a:xfrm>
                    <a:prstGeom prst="rect">
                      <a:avLst/>
                    </a:prstGeom>
                    <a:noFill/>
                    <a:ln>
                      <a:noFill/>
                    </a:ln>
                  </pic:spPr>
                </pic:pic>
              </a:graphicData>
            </a:graphic>
          </wp:inline>
        </w:drawing>
      </w:r>
    </w:p>
    <w:p w14:paraId="4B47B45E">
      <w:pPr>
        <w:pStyle w:val="280"/>
        <w:rPr>
          <w:rFonts w:hint="eastAsia"/>
          <w:color w:val="000000" w:themeColor="text1"/>
          <w14:textFill>
            <w14:solidFill>
              <w14:schemeClr w14:val="tx1"/>
            </w14:solidFill>
          </w14:textFill>
        </w:rPr>
      </w:pPr>
    </w:p>
    <w:p w14:paraId="18DF4528">
      <w:pPr>
        <w:pStyle w:val="280"/>
        <w:rPr>
          <w:rFonts w:hint="eastAsia"/>
          <w:color w:val="000000" w:themeColor="text1"/>
          <w14:textFill>
            <w14:solidFill>
              <w14:schemeClr w14:val="tx1"/>
            </w14:solidFill>
          </w14:textFill>
        </w:rPr>
      </w:pPr>
    </w:p>
    <w:p w14:paraId="486CBC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542915" cy="7838440"/>
            <wp:effectExtent l="0" t="0" r="635" b="10160"/>
            <wp:docPr id="139" name="图片 139" descr="昌州环评[2023]1号-吉7井区梧桐沟组、八道湾组油藏2023年水平井开发建设工程竣工环境保护验收意见-2024.10.10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昌州环评[2023]1号-吉7井区梧桐沟组、八道湾组油藏2023年水平井开发建设工程竣工环境保护验收意见-2024.10.10_页面_1"/>
                    <pic:cNvPicPr>
                      <a:picLocks noChangeAspect="1"/>
                    </pic:cNvPicPr>
                  </pic:nvPicPr>
                  <pic:blipFill>
                    <a:blip r:embed="rId108"/>
                    <a:stretch>
                      <a:fillRect/>
                    </a:stretch>
                  </pic:blipFill>
                  <pic:spPr>
                    <a:xfrm>
                      <a:off x="0" y="0"/>
                      <a:ext cx="5542915" cy="783844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542915" cy="7838440"/>
            <wp:effectExtent l="0" t="0" r="635" b="10160"/>
            <wp:docPr id="138" name="图片 138" descr="昌州环评[2023]1号-吉7井区梧桐沟组、八道湾组油藏2023年水平井开发建设工程竣工环境保护验收意见-2024.10.10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昌州环评[2023]1号-吉7井区梧桐沟组、八道湾组油藏2023年水平井开发建设工程竣工环境保护验收意见-2024.10.10_页面_2"/>
                    <pic:cNvPicPr>
                      <a:picLocks noChangeAspect="1"/>
                    </pic:cNvPicPr>
                  </pic:nvPicPr>
                  <pic:blipFill>
                    <a:blip r:embed="rId109"/>
                    <a:stretch>
                      <a:fillRect/>
                    </a:stretch>
                  </pic:blipFill>
                  <pic:spPr>
                    <a:xfrm>
                      <a:off x="0" y="0"/>
                      <a:ext cx="5542915" cy="783844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542915" cy="7838440"/>
            <wp:effectExtent l="0" t="0" r="635" b="10160"/>
            <wp:docPr id="137" name="图片 137" descr="昌州环评[2023]1号-吉7井区梧桐沟组、八道湾组油藏2023年水平井开发建设工程竣工环境保护验收意见-2024.10.10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昌州环评[2023]1号-吉7井区梧桐沟组、八道湾组油藏2023年水平井开发建设工程竣工环境保护验收意见-2024.10.10_页面_3"/>
                    <pic:cNvPicPr>
                      <a:picLocks noChangeAspect="1"/>
                    </pic:cNvPicPr>
                  </pic:nvPicPr>
                  <pic:blipFill>
                    <a:blip r:embed="rId110"/>
                    <a:stretch>
                      <a:fillRect/>
                    </a:stretch>
                  </pic:blipFill>
                  <pic:spPr>
                    <a:xfrm>
                      <a:off x="0" y="0"/>
                      <a:ext cx="5542915" cy="783844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542915" cy="7838440"/>
            <wp:effectExtent l="0" t="0" r="635" b="10160"/>
            <wp:docPr id="136" name="图片 136" descr="昌州环评[2023]1号-吉7井区梧桐沟组、八道湾组油藏2023年水平井开发建设工程竣工环境保护验收意见-2024.10.10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昌州环评[2023]1号-吉7井区梧桐沟组、八道湾组油藏2023年水平井开发建设工程竣工环境保护验收意见-2024.10.10_页面_4"/>
                    <pic:cNvPicPr>
                      <a:picLocks noChangeAspect="1"/>
                    </pic:cNvPicPr>
                  </pic:nvPicPr>
                  <pic:blipFill>
                    <a:blip r:embed="rId111"/>
                    <a:stretch>
                      <a:fillRect/>
                    </a:stretch>
                  </pic:blipFill>
                  <pic:spPr>
                    <a:xfrm>
                      <a:off x="0" y="0"/>
                      <a:ext cx="5542915" cy="783844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538470" cy="7829550"/>
            <wp:effectExtent l="0" t="0" r="5080" b="0"/>
            <wp:docPr id="135" name="图片 135" descr="昌州环评[2023]1号-吉7井区梧桐沟组、八道湾组油藏2023年水平井开发建设工程竣工环境保护验收意见-2024.10.10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昌州环评[2023]1号-吉7井区梧桐沟组、八道湾组油藏2023年水平井开发建设工程竣工环境保护验收意见-2024.10.10_页面_5"/>
                    <pic:cNvPicPr>
                      <a:picLocks noChangeAspect="1"/>
                    </pic:cNvPicPr>
                  </pic:nvPicPr>
                  <pic:blipFill>
                    <a:blip r:embed="rId112"/>
                    <a:stretch>
                      <a:fillRect/>
                    </a:stretch>
                  </pic:blipFill>
                  <pic:spPr>
                    <a:xfrm>
                      <a:off x="0" y="0"/>
                      <a:ext cx="5538470" cy="7829550"/>
                    </a:xfrm>
                    <a:prstGeom prst="rect">
                      <a:avLst/>
                    </a:prstGeom>
                  </pic:spPr>
                </pic:pic>
              </a:graphicData>
            </a:graphic>
          </wp:inline>
        </w:drawing>
      </w:r>
    </w:p>
    <w:p w14:paraId="0E7C612C">
      <w:pPr>
        <w:pStyle w:val="280"/>
        <w:rPr>
          <w:rFonts w:hint="eastAsia"/>
          <w:color w:val="000000" w:themeColor="text1"/>
          <w14:textFill>
            <w14:solidFill>
              <w14:schemeClr w14:val="tx1"/>
            </w14:solidFill>
          </w14:textFill>
        </w:rPr>
      </w:pPr>
    </w:p>
    <w:p w14:paraId="54A87F65">
      <w:pPr>
        <w:pStyle w:val="280"/>
        <w:rPr>
          <w:rFonts w:hint="eastAsia"/>
          <w:color w:val="000000" w:themeColor="text1"/>
          <w14:textFill>
            <w14:solidFill>
              <w14:schemeClr w14:val="tx1"/>
            </w14:solidFill>
          </w14:textFill>
        </w:rPr>
      </w:pPr>
    </w:p>
    <w:p w14:paraId="5F2C1830">
      <w:pPr>
        <w:pStyle w:val="280"/>
        <w:rPr>
          <w:rFonts w:hint="eastAsia"/>
          <w:color w:val="000000" w:themeColor="text1"/>
          <w14:textFill>
            <w14:solidFill>
              <w14:schemeClr w14:val="tx1"/>
            </w14:solidFill>
          </w14:textFill>
        </w:rPr>
      </w:pPr>
    </w:p>
    <w:p w14:paraId="39A8C2C1">
      <w:pPr>
        <w:pStyle w:val="280"/>
        <w:rPr>
          <w:rFonts w:hint="eastAsia"/>
          <w:color w:val="000000" w:themeColor="text1"/>
          <w14:textFill>
            <w14:solidFill>
              <w14:schemeClr w14:val="tx1"/>
            </w14:solidFill>
          </w14:textFill>
        </w:rPr>
      </w:pPr>
    </w:p>
    <w:p w14:paraId="1A442D5F">
      <w:pPr>
        <w:pStyle w:val="280"/>
        <w:rPr>
          <w:rFonts w:hint="eastAsia"/>
          <w:color w:val="000000" w:themeColor="text1"/>
          <w14:textFill>
            <w14:solidFill>
              <w14:schemeClr w14:val="tx1"/>
            </w14:solidFill>
          </w14:textFill>
        </w:rPr>
      </w:pPr>
    </w:p>
    <w:p w14:paraId="448D6563">
      <w:pPr>
        <w:pStyle w:val="280"/>
        <w:rPr>
          <w:rFonts w:hint="eastAsia"/>
          <w:color w:val="000000" w:themeColor="text1"/>
          <w14:textFill>
            <w14:solidFill>
              <w14:schemeClr w14:val="tx1"/>
            </w14:solidFill>
          </w14:textFill>
        </w:rPr>
      </w:pPr>
    </w:p>
    <w:p w14:paraId="19BE23B4">
      <w:pPr>
        <w:pStyle w:val="6"/>
        <w:numPr>
          <w:ilvl w:val="0"/>
          <w:numId w:val="0"/>
        </w:numPr>
        <w:rPr>
          <w:rFonts w:hint="eastAsia"/>
          <w:color w:val="000000" w:themeColor="text1"/>
          <w14:textFill>
            <w14:solidFill>
              <w14:schemeClr w14:val="tx1"/>
            </w14:solidFill>
          </w14:textFill>
        </w:rPr>
      </w:pPr>
      <w:bookmarkStart w:id="813" w:name="_Toc1446"/>
      <w:r>
        <w:rPr>
          <w:rFonts w:hint="eastAsia"/>
          <w:color w:val="000000" w:themeColor="text1"/>
          <w14:textFill>
            <w14:solidFill>
              <w14:schemeClr w14:val="tx1"/>
            </w14:solidFill>
          </w14:textFill>
        </w:rPr>
        <w:t>附件3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排污许可登记回执及应急预案备案意见</w:t>
      </w:r>
      <w:bookmarkEnd w:id="813"/>
    </w:p>
    <w:p w14:paraId="2E6C5D33">
      <w:pPr>
        <w:pStyle w:val="280"/>
        <w:rPr>
          <w:rFonts w:hint="eastAsia"/>
          <w:b/>
          <w:bCs/>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41010" cy="7833995"/>
            <wp:effectExtent l="0" t="0" r="254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541010" cy="783399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0" distR="0">
            <wp:extent cx="5541010" cy="7833995"/>
            <wp:effectExtent l="0" t="0" r="2540" b="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9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541010" cy="7833995"/>
                    </a:xfrm>
                    <a:prstGeom prst="rect">
                      <a:avLst/>
                    </a:prstGeom>
                    <a:noFill/>
                    <a:ln>
                      <a:noFill/>
                    </a:ln>
                  </pic:spPr>
                </pic:pic>
              </a:graphicData>
            </a:graphic>
          </wp:inline>
        </w:drawing>
      </w:r>
    </w:p>
    <w:p w14:paraId="0E4038D5">
      <w:pPr>
        <w:pStyle w:val="280"/>
        <w:rPr>
          <w:rFonts w:hint="eastAsia"/>
          <w:color w:val="000000" w:themeColor="text1"/>
          <w14:textFill>
            <w14:solidFill>
              <w14:schemeClr w14:val="tx1"/>
            </w14:solidFill>
          </w14:textFill>
        </w:rPr>
      </w:pPr>
    </w:p>
    <w:p w14:paraId="50D10BE9">
      <w:pPr>
        <w:pStyle w:val="120"/>
        <w:rPr>
          <w:rFonts w:hint="eastAsia"/>
          <w:color w:val="000000" w:themeColor="text1"/>
          <w14:textFill>
            <w14:solidFill>
              <w14:schemeClr w14:val="tx1"/>
            </w14:solidFill>
          </w14:textFill>
        </w:rPr>
      </w:pPr>
    </w:p>
    <w:p w14:paraId="7EC2BCE3">
      <w:pPr>
        <w:pStyle w:val="120"/>
        <w:rPr>
          <w:rFonts w:hint="eastAsia"/>
          <w:color w:val="000000" w:themeColor="text1"/>
          <w14:textFill>
            <w14:solidFill>
              <w14:schemeClr w14:val="tx1"/>
            </w14:solidFill>
          </w14:textFill>
        </w:rPr>
      </w:pPr>
    </w:p>
    <w:p w14:paraId="0FD5491A">
      <w:pPr>
        <w:pStyle w:val="120"/>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p>
    <w:p w14:paraId="04622F02">
      <w:pPr>
        <w:pStyle w:val="6"/>
        <w:numPr>
          <w:ilvl w:val="0"/>
          <w:numId w:val="0"/>
        </w:numPr>
        <w:rPr>
          <w:rFonts w:hint="eastAsia"/>
          <w:color w:val="000000" w:themeColor="text1"/>
          <w14:textFill>
            <w14:solidFill>
              <w14:schemeClr w14:val="tx1"/>
            </w14:solidFill>
          </w14:textFill>
        </w:rPr>
      </w:pPr>
      <w:bookmarkStart w:id="814" w:name="_Toc17423"/>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 xml:space="preserve">4  </w:t>
      </w:r>
      <w:r>
        <w:rPr>
          <w:rFonts w:hint="eastAsia"/>
          <w:color w:val="000000" w:themeColor="text1"/>
          <w14:textFill>
            <w14:solidFill>
              <w14:schemeClr w14:val="tx1"/>
            </w14:solidFill>
          </w14:textFill>
        </w:rPr>
        <w:t>环境质量现状监测报告</w:t>
      </w:r>
      <w:bookmarkEnd w:id="814"/>
    </w:p>
    <w:p w14:paraId="45B21AE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7842250" cy="5542915"/>
            <wp:effectExtent l="0" t="0" r="635" b="6350"/>
            <wp:docPr id="83" name="图片 83" descr="2026-01-0368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026-01-0368_页面_01"/>
                    <pic:cNvPicPr>
                      <a:picLocks noChangeAspect="1"/>
                    </pic:cNvPicPr>
                  </pic:nvPicPr>
                  <pic:blipFill>
                    <a:blip r:embed="rId115"/>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82" name="图片 82" descr="2026-01-0368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026-01-0368_页面_02"/>
                    <pic:cNvPicPr>
                      <a:picLocks noChangeAspect="1"/>
                    </pic:cNvPicPr>
                  </pic:nvPicPr>
                  <pic:blipFill>
                    <a:blip r:embed="rId116"/>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81" name="图片 81" descr="2026-01-0368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026-01-0368_页面_03"/>
                    <pic:cNvPicPr>
                      <a:picLocks noChangeAspect="1"/>
                    </pic:cNvPicPr>
                  </pic:nvPicPr>
                  <pic:blipFill>
                    <a:blip r:embed="rId117"/>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80" name="图片 80" descr="2026-01-0368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026-01-0368_页面_04"/>
                    <pic:cNvPicPr>
                      <a:picLocks noChangeAspect="1"/>
                    </pic:cNvPicPr>
                  </pic:nvPicPr>
                  <pic:blipFill>
                    <a:blip r:embed="rId118"/>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9" name="图片 79" descr="2026-01-0368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026-01-0368_页面_05"/>
                    <pic:cNvPicPr>
                      <a:picLocks noChangeAspect="1"/>
                    </pic:cNvPicPr>
                  </pic:nvPicPr>
                  <pic:blipFill>
                    <a:blip r:embed="rId119"/>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8" name="图片 78" descr="2026-01-0368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026-01-0368_页面_06"/>
                    <pic:cNvPicPr>
                      <a:picLocks noChangeAspect="1"/>
                    </pic:cNvPicPr>
                  </pic:nvPicPr>
                  <pic:blipFill>
                    <a:blip r:embed="rId120"/>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7" name="图片 77" descr="2026-01-0368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26-01-0368_页面_07"/>
                    <pic:cNvPicPr>
                      <a:picLocks noChangeAspect="1"/>
                    </pic:cNvPicPr>
                  </pic:nvPicPr>
                  <pic:blipFill>
                    <a:blip r:embed="rId121"/>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6" name="图片 76" descr="2026-01-0368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26-01-0368_页面_08"/>
                    <pic:cNvPicPr>
                      <a:picLocks noChangeAspect="1"/>
                    </pic:cNvPicPr>
                  </pic:nvPicPr>
                  <pic:blipFill>
                    <a:blip r:embed="rId122"/>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5" name="图片 75" descr="2026-01-0368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026-01-0368_页面_09"/>
                    <pic:cNvPicPr>
                      <a:picLocks noChangeAspect="1"/>
                    </pic:cNvPicPr>
                  </pic:nvPicPr>
                  <pic:blipFill>
                    <a:blip r:embed="rId123"/>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4" name="图片 74" descr="2026-01-0368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026-01-0368_页面_10"/>
                    <pic:cNvPicPr>
                      <a:picLocks noChangeAspect="1"/>
                    </pic:cNvPicPr>
                  </pic:nvPicPr>
                  <pic:blipFill>
                    <a:blip r:embed="rId124"/>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3" name="图片 73" descr="2026-01-0368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26-01-0368_页面_11"/>
                    <pic:cNvPicPr>
                      <a:picLocks noChangeAspect="1"/>
                    </pic:cNvPicPr>
                  </pic:nvPicPr>
                  <pic:blipFill>
                    <a:blip r:embed="rId125"/>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2" name="图片 72" descr="2026-01-0368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026-01-0368_页面_12"/>
                    <pic:cNvPicPr>
                      <a:picLocks noChangeAspect="1"/>
                    </pic:cNvPicPr>
                  </pic:nvPicPr>
                  <pic:blipFill>
                    <a:blip r:embed="rId126"/>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1" name="图片 71" descr="2026-01-0368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26-01-0368_页面_13"/>
                    <pic:cNvPicPr>
                      <a:picLocks noChangeAspect="1"/>
                    </pic:cNvPicPr>
                  </pic:nvPicPr>
                  <pic:blipFill>
                    <a:blip r:embed="rId127"/>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70" name="图片 70" descr="2026-01-0368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26-01-0368_页面_14"/>
                    <pic:cNvPicPr>
                      <a:picLocks noChangeAspect="1"/>
                    </pic:cNvPicPr>
                  </pic:nvPicPr>
                  <pic:blipFill>
                    <a:blip r:embed="rId128"/>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9" name="图片 69" descr="2026-01-0368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26-01-0368_页面_15"/>
                    <pic:cNvPicPr>
                      <a:picLocks noChangeAspect="1"/>
                    </pic:cNvPicPr>
                  </pic:nvPicPr>
                  <pic:blipFill>
                    <a:blip r:embed="rId129"/>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8" name="图片 68" descr="2026-01-0368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26-01-0368_页面_16"/>
                    <pic:cNvPicPr>
                      <a:picLocks noChangeAspect="1"/>
                    </pic:cNvPicPr>
                  </pic:nvPicPr>
                  <pic:blipFill>
                    <a:blip r:embed="rId130"/>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7" name="图片 67" descr="2026-01-0368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6-01-0368_页面_17"/>
                    <pic:cNvPicPr>
                      <a:picLocks noChangeAspect="1"/>
                    </pic:cNvPicPr>
                  </pic:nvPicPr>
                  <pic:blipFill>
                    <a:blip r:embed="rId131"/>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6" name="图片 66" descr="2026-01-0368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6-01-0368_页面_18"/>
                    <pic:cNvPicPr>
                      <a:picLocks noChangeAspect="1"/>
                    </pic:cNvPicPr>
                  </pic:nvPicPr>
                  <pic:blipFill>
                    <a:blip r:embed="rId132"/>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5" name="图片 65" descr="2026-01-0368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6-01-0368_页面_19"/>
                    <pic:cNvPicPr>
                      <a:picLocks noChangeAspect="1"/>
                    </pic:cNvPicPr>
                  </pic:nvPicPr>
                  <pic:blipFill>
                    <a:blip r:embed="rId133"/>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4" name="图片 64" descr="2026-01-0368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026-01-0368_页面_20"/>
                    <pic:cNvPicPr>
                      <a:picLocks noChangeAspect="1"/>
                    </pic:cNvPicPr>
                  </pic:nvPicPr>
                  <pic:blipFill>
                    <a:blip r:embed="rId134"/>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3" name="图片 63" descr="2026-01-0368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6-01-0368_页面_21"/>
                    <pic:cNvPicPr>
                      <a:picLocks noChangeAspect="1"/>
                    </pic:cNvPicPr>
                  </pic:nvPicPr>
                  <pic:blipFill>
                    <a:blip r:embed="rId135"/>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2" name="图片 62" descr="2026-01-0368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026-01-0368_页面_22"/>
                    <pic:cNvPicPr>
                      <a:picLocks noChangeAspect="1"/>
                    </pic:cNvPicPr>
                  </pic:nvPicPr>
                  <pic:blipFill>
                    <a:blip r:embed="rId136"/>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1" name="图片 61" descr="2026-01-0368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6-01-0368_页面_23"/>
                    <pic:cNvPicPr>
                      <a:picLocks noChangeAspect="1"/>
                    </pic:cNvPicPr>
                  </pic:nvPicPr>
                  <pic:blipFill>
                    <a:blip r:embed="rId137"/>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60" name="图片 60" descr="2026-01-0368_页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26-01-0368_页面_24"/>
                    <pic:cNvPicPr>
                      <a:picLocks noChangeAspect="1"/>
                    </pic:cNvPicPr>
                  </pic:nvPicPr>
                  <pic:blipFill>
                    <a:blip r:embed="rId138"/>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59" name="图片 59" descr="2026-01-0368_页面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6-01-0368_页面_25"/>
                    <pic:cNvPicPr>
                      <a:picLocks noChangeAspect="1"/>
                    </pic:cNvPicPr>
                  </pic:nvPicPr>
                  <pic:blipFill>
                    <a:blip r:embed="rId139"/>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58" name="图片 58" descr="2026-01-0368_页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026-01-0368_页面_26"/>
                    <pic:cNvPicPr>
                      <a:picLocks noChangeAspect="1"/>
                    </pic:cNvPicPr>
                  </pic:nvPicPr>
                  <pic:blipFill>
                    <a:blip r:embed="rId140"/>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57" name="图片 57" descr="2026-01-0368_页面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026-01-0368_页面_27"/>
                    <pic:cNvPicPr>
                      <a:picLocks noChangeAspect="1"/>
                    </pic:cNvPicPr>
                  </pic:nvPicPr>
                  <pic:blipFill>
                    <a:blip r:embed="rId141"/>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49" name="图片 49" descr="2026-01-0368_页面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026-01-0368_页面_28"/>
                    <pic:cNvPicPr>
                      <a:picLocks noChangeAspect="1"/>
                    </pic:cNvPicPr>
                  </pic:nvPicPr>
                  <pic:blipFill>
                    <a:blip r:embed="rId142"/>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48" name="图片 48" descr="2026-01-0368_页面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26-01-0368_页面_29"/>
                    <pic:cNvPicPr>
                      <a:picLocks noChangeAspect="1"/>
                    </pic:cNvPicPr>
                  </pic:nvPicPr>
                  <pic:blipFill>
                    <a:blip r:embed="rId143"/>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47" name="图片 47" descr="2026-01-0368_页面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6-01-0368_页面_30"/>
                    <pic:cNvPicPr>
                      <a:picLocks noChangeAspect="1"/>
                    </pic:cNvPicPr>
                  </pic:nvPicPr>
                  <pic:blipFill>
                    <a:blip r:embed="rId144"/>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46" name="图片 46" descr="2026-01-0368_页面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26-01-0368_页面_31"/>
                    <pic:cNvPicPr>
                      <a:picLocks noChangeAspect="1"/>
                    </pic:cNvPicPr>
                  </pic:nvPicPr>
                  <pic:blipFill>
                    <a:blip r:embed="rId145"/>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45" name="图片 45" descr="2026-01-0368_页面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6-01-0368_页面_32"/>
                    <pic:cNvPicPr>
                      <a:picLocks noChangeAspect="1"/>
                    </pic:cNvPicPr>
                  </pic:nvPicPr>
                  <pic:blipFill>
                    <a:blip r:embed="rId146"/>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43" name="图片 43" descr="2026-01-0368_页面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6-01-0368_页面_33"/>
                    <pic:cNvPicPr>
                      <a:picLocks noChangeAspect="1"/>
                    </pic:cNvPicPr>
                  </pic:nvPicPr>
                  <pic:blipFill>
                    <a:blip r:embed="rId147"/>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40" name="图片 40" descr="2026-01-0368_页面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6-01-0368_页面_34"/>
                    <pic:cNvPicPr>
                      <a:picLocks noChangeAspect="1"/>
                    </pic:cNvPicPr>
                  </pic:nvPicPr>
                  <pic:blipFill>
                    <a:blip r:embed="rId148"/>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39" name="图片 39" descr="2026-01-0368_页面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6-01-0368_页面_35"/>
                    <pic:cNvPicPr>
                      <a:picLocks noChangeAspect="1"/>
                    </pic:cNvPicPr>
                  </pic:nvPicPr>
                  <pic:blipFill>
                    <a:blip r:embed="rId149"/>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38" name="图片 38" descr="2026-01-0368_页面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6-01-0368_页面_36"/>
                    <pic:cNvPicPr>
                      <a:picLocks noChangeAspect="1"/>
                    </pic:cNvPicPr>
                  </pic:nvPicPr>
                  <pic:blipFill>
                    <a:blip r:embed="rId150"/>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37" name="图片 37" descr="2026-01-0368_页面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6-01-0368_页面_37"/>
                    <pic:cNvPicPr>
                      <a:picLocks noChangeAspect="1"/>
                    </pic:cNvPicPr>
                  </pic:nvPicPr>
                  <pic:blipFill>
                    <a:blip r:embed="rId151"/>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36" name="图片 36" descr="2026-01-0368_页面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6-01-0368_页面_38"/>
                    <pic:cNvPicPr>
                      <a:picLocks noChangeAspect="1"/>
                    </pic:cNvPicPr>
                  </pic:nvPicPr>
                  <pic:blipFill>
                    <a:blip r:embed="rId152"/>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33" name="图片 33" descr="2026-01-0368_页面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6-01-0368_页面_39"/>
                    <pic:cNvPicPr>
                      <a:picLocks noChangeAspect="1"/>
                    </pic:cNvPicPr>
                  </pic:nvPicPr>
                  <pic:blipFill>
                    <a:blip r:embed="rId153"/>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28" name="图片 28" descr="2026-01-0368_页面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26-01-0368_页面_40"/>
                    <pic:cNvPicPr>
                      <a:picLocks noChangeAspect="1"/>
                    </pic:cNvPicPr>
                  </pic:nvPicPr>
                  <pic:blipFill>
                    <a:blip r:embed="rId154"/>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24" name="图片 24" descr="2026-01-0368_页面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6-01-0368_页面_41"/>
                    <pic:cNvPicPr>
                      <a:picLocks noChangeAspect="1"/>
                    </pic:cNvPicPr>
                  </pic:nvPicPr>
                  <pic:blipFill>
                    <a:blip r:embed="rId155"/>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19" name="图片 19" descr="2026-01-0368_页面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6-01-0368_页面_42"/>
                    <pic:cNvPicPr>
                      <a:picLocks noChangeAspect="1"/>
                    </pic:cNvPicPr>
                  </pic:nvPicPr>
                  <pic:blipFill>
                    <a:blip r:embed="rId156"/>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5" name="图片 5" descr="2026-01-0368_页面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6-01-0368_页面_43"/>
                    <pic:cNvPicPr>
                      <a:picLocks noChangeAspect="1"/>
                    </pic:cNvPicPr>
                  </pic:nvPicPr>
                  <pic:blipFill>
                    <a:blip r:embed="rId157"/>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4" name="图片 4" descr="2026-01-0368_页面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6-01-0368_页面_44"/>
                    <pic:cNvPicPr>
                      <a:picLocks noChangeAspect="1"/>
                    </pic:cNvPicPr>
                  </pic:nvPicPr>
                  <pic:blipFill>
                    <a:blip r:embed="rId158"/>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3" name="图片 3" descr="2026-01-0368_页面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6-01-0368_页面_45"/>
                    <pic:cNvPicPr>
                      <a:picLocks noChangeAspect="1"/>
                    </pic:cNvPicPr>
                  </pic:nvPicPr>
                  <pic:blipFill>
                    <a:blip r:embed="rId159"/>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2" name="图片 2" descr="2026-01-0368_页面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6-01-0368_页面_46"/>
                    <pic:cNvPicPr>
                      <a:picLocks noChangeAspect="1"/>
                    </pic:cNvPicPr>
                  </pic:nvPicPr>
                  <pic:blipFill>
                    <a:blip r:embed="rId160"/>
                    <a:stretch>
                      <a:fillRect/>
                    </a:stretch>
                  </pic:blipFill>
                  <pic:spPr>
                    <a:xfrm rot="16200000">
                      <a:off x="0" y="0"/>
                      <a:ext cx="7842250" cy="5542915"/>
                    </a:xfrm>
                    <a:prstGeom prst="rect">
                      <a:avLst/>
                    </a:prstGeom>
                  </pic:spPr>
                </pic:pic>
              </a:graphicData>
            </a:graphic>
          </wp:inline>
        </w:drawing>
      </w:r>
    </w:p>
    <w:p w14:paraId="5CBF963E">
      <w:pPr>
        <w:ind w:firstLine="480"/>
        <w:rPr>
          <w:color w:val="000000" w:themeColor="text1"/>
          <w14:textFill>
            <w14:solidFill>
              <w14:schemeClr w14:val="tx1"/>
            </w14:solidFill>
          </w14:textFill>
        </w:rPr>
      </w:pPr>
    </w:p>
    <w:p w14:paraId="3CF39F71">
      <w:pPr>
        <w:ind w:firstLine="480"/>
        <w:rPr>
          <w:color w:val="000000" w:themeColor="text1"/>
          <w14:textFill>
            <w14:solidFill>
              <w14:schemeClr w14:val="tx1"/>
            </w14:solidFill>
          </w14:textFill>
        </w:rPr>
      </w:pPr>
    </w:p>
    <w:p w14:paraId="69388080">
      <w:pPr>
        <w:ind w:firstLine="480"/>
        <w:rPr>
          <w:color w:val="000000" w:themeColor="text1"/>
          <w14:textFill>
            <w14:solidFill>
              <w14:schemeClr w14:val="tx1"/>
            </w14:solidFill>
          </w14:textFill>
        </w:rPr>
      </w:pPr>
    </w:p>
    <w:p w14:paraId="37A68F29">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7842250" cy="5542915"/>
            <wp:effectExtent l="0" t="0" r="635" b="6350"/>
            <wp:docPr id="89" name="图片 89" descr="吉7井区梧桐沟组油藏2026年更新补钻产能建设项目YNJC-2026-01-0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吉7井区梧桐沟组油藏2026年更新补钻产能建设项目YNJC-2026-01-0368(1)"/>
                    <pic:cNvPicPr>
                      <a:picLocks noChangeAspect="1"/>
                    </pic:cNvPicPr>
                  </pic:nvPicPr>
                  <pic:blipFill>
                    <a:blip r:embed="rId161"/>
                    <a:stretch>
                      <a:fillRect/>
                    </a:stretch>
                  </pic:blipFill>
                  <pic:spPr>
                    <a:xfrm rot="16200000">
                      <a:off x="0" y="0"/>
                      <a:ext cx="7842250" cy="5542915"/>
                    </a:xfrm>
                    <a:prstGeom prst="rect">
                      <a:avLst/>
                    </a:prstGeom>
                  </pic:spPr>
                </pic:pic>
              </a:graphicData>
            </a:graphic>
          </wp:inline>
        </w:drawing>
      </w:r>
    </w:p>
    <w:p w14:paraId="0BCED783">
      <w:pPr>
        <w:rPr>
          <w:color w:val="000000" w:themeColor="text1"/>
          <w14:textFill>
            <w14:solidFill>
              <w14:schemeClr w14:val="tx1"/>
            </w14:solidFill>
          </w14:textFill>
        </w:rPr>
      </w:pPr>
    </w:p>
    <w:p w14:paraId="192E783C">
      <w:pPr>
        <w:rPr>
          <w:color w:val="000000" w:themeColor="text1"/>
          <w14:textFill>
            <w14:solidFill>
              <w14:schemeClr w14:val="tx1"/>
            </w14:solidFill>
          </w14:textFill>
        </w:rPr>
      </w:pPr>
    </w:p>
    <w:p w14:paraId="26C75FC1">
      <w:pPr>
        <w:rPr>
          <w:color w:val="000000" w:themeColor="text1"/>
          <w14:textFill>
            <w14:solidFill>
              <w14:schemeClr w14:val="tx1"/>
            </w14:solidFill>
          </w14:textFill>
        </w:rPr>
      </w:pPr>
    </w:p>
    <w:p w14:paraId="49B12D4E">
      <w:pPr>
        <w:rPr>
          <w:color w:val="000000" w:themeColor="text1"/>
          <w14:textFill>
            <w14:solidFill>
              <w14:schemeClr w14:val="tx1"/>
            </w14:solidFill>
          </w14:textFill>
        </w:rPr>
      </w:pPr>
    </w:p>
    <w:p w14:paraId="2D23DA09">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7842250" cy="5542915"/>
            <wp:effectExtent l="0" t="0" r="635" b="6350"/>
            <wp:docPr id="114" name="图片 114" descr="2026-01-0408(3)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2026-01-0408(3)_页面_1"/>
                    <pic:cNvPicPr>
                      <a:picLocks noChangeAspect="1"/>
                    </pic:cNvPicPr>
                  </pic:nvPicPr>
                  <pic:blipFill>
                    <a:blip r:embed="rId162"/>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113" name="图片 113" descr="2026-01-0408(3)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026-01-0408(3)_页面_2"/>
                    <pic:cNvPicPr>
                      <a:picLocks noChangeAspect="1"/>
                    </pic:cNvPicPr>
                  </pic:nvPicPr>
                  <pic:blipFill>
                    <a:blip r:embed="rId163"/>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112" name="图片 112" descr="2026-01-0408(3)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026-01-0408(3)_页面_3"/>
                    <pic:cNvPicPr>
                      <a:picLocks noChangeAspect="1"/>
                    </pic:cNvPicPr>
                  </pic:nvPicPr>
                  <pic:blipFill>
                    <a:blip r:embed="rId164"/>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111" name="图片 111" descr="2026-01-0408(3)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026-01-0408(3)_页面_4"/>
                    <pic:cNvPicPr>
                      <a:picLocks noChangeAspect="1"/>
                    </pic:cNvPicPr>
                  </pic:nvPicPr>
                  <pic:blipFill>
                    <a:blip r:embed="rId165"/>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105" name="图片 105" descr="2026-01-0408(3)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026-01-0408(3)_页面_5"/>
                    <pic:cNvPicPr>
                      <a:picLocks noChangeAspect="1"/>
                    </pic:cNvPicPr>
                  </pic:nvPicPr>
                  <pic:blipFill>
                    <a:blip r:embed="rId166"/>
                    <a:stretch>
                      <a:fillRect/>
                    </a:stretch>
                  </pic:blipFill>
                  <pic:spPr>
                    <a:xfrm rot="16200000">
                      <a:off x="0" y="0"/>
                      <a:ext cx="7842250" cy="55429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7842250" cy="5542915"/>
            <wp:effectExtent l="0" t="0" r="635" b="6350"/>
            <wp:docPr id="90" name="图片 90" descr="2026-01-0408(3)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026-01-0408(3)_页面_6"/>
                    <pic:cNvPicPr>
                      <a:picLocks noChangeAspect="1"/>
                    </pic:cNvPicPr>
                  </pic:nvPicPr>
                  <pic:blipFill>
                    <a:blip r:embed="rId167"/>
                    <a:stretch>
                      <a:fillRect/>
                    </a:stretch>
                  </pic:blipFill>
                  <pic:spPr>
                    <a:xfrm rot="16200000">
                      <a:off x="0" y="0"/>
                      <a:ext cx="7842250" cy="5542915"/>
                    </a:xfrm>
                    <a:prstGeom prst="rect">
                      <a:avLst/>
                    </a:prstGeom>
                  </pic:spPr>
                </pic:pic>
              </a:graphicData>
            </a:graphic>
          </wp:inline>
        </w:drawing>
      </w:r>
    </w:p>
    <w:p w14:paraId="537056CC">
      <w:pPr>
        <w:rPr>
          <w:color w:val="000000" w:themeColor="text1"/>
          <w14:textFill>
            <w14:solidFill>
              <w14:schemeClr w14:val="tx1"/>
            </w14:solidFill>
          </w14:textFill>
        </w:rPr>
      </w:pPr>
    </w:p>
    <w:p w14:paraId="17BEAD8C">
      <w:pPr>
        <w:rPr>
          <w:color w:val="000000" w:themeColor="text1"/>
          <w14:textFill>
            <w14:solidFill>
              <w14:schemeClr w14:val="tx1"/>
            </w14:solidFill>
          </w14:textFill>
        </w:rPr>
      </w:pPr>
    </w:p>
    <w:p w14:paraId="09149ABF">
      <w:pPr>
        <w:rPr>
          <w:color w:val="000000" w:themeColor="text1"/>
          <w14:textFill>
            <w14:solidFill>
              <w14:schemeClr w14:val="tx1"/>
            </w14:solidFill>
          </w14:textFill>
        </w:rPr>
      </w:pPr>
    </w:p>
    <w:p w14:paraId="76813E6A">
      <w:pPr>
        <w:rPr>
          <w:color w:val="000000" w:themeColor="text1"/>
          <w14:textFill>
            <w14:solidFill>
              <w14:schemeClr w14:val="tx1"/>
            </w14:solidFill>
          </w14:textFill>
        </w:rPr>
      </w:pPr>
    </w:p>
    <w:p w14:paraId="57446F14">
      <w:pPr>
        <w:rPr>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p>
    <w:p w14:paraId="776634CB">
      <w:pPr>
        <w:pStyle w:val="6"/>
        <w:numPr>
          <w:ilvl w:val="0"/>
          <w:numId w:val="0"/>
        </w:numPr>
        <w:rPr>
          <w:rFonts w:hint="eastAsia"/>
          <w:color w:val="000000" w:themeColor="text1"/>
          <w14:textFill>
            <w14:solidFill>
              <w14:schemeClr w14:val="tx1"/>
            </w14:solidFill>
          </w14:textFill>
        </w:rPr>
      </w:pPr>
      <w:bookmarkStart w:id="815" w:name="_Toc25386"/>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 xml:space="preserve">5  </w:t>
      </w:r>
      <w:r>
        <w:rPr>
          <w:rFonts w:hint="eastAsia"/>
          <w:color w:val="000000" w:themeColor="text1"/>
          <w14:textFill>
            <w14:solidFill>
              <w14:schemeClr w14:val="tx1"/>
            </w14:solidFill>
          </w14:textFill>
        </w:rPr>
        <w:t>大气环境影响自查表</w:t>
      </w:r>
      <w:bookmarkEnd w:id="815"/>
    </w:p>
    <w:tbl>
      <w:tblPr>
        <w:tblStyle w:val="51"/>
        <w:tblW w:w="8946" w:type="dxa"/>
        <w:tblInd w:w="1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70"/>
        <w:gridCol w:w="1361"/>
        <w:gridCol w:w="821"/>
        <w:gridCol w:w="574"/>
        <w:gridCol w:w="666"/>
        <w:gridCol w:w="144"/>
        <w:gridCol w:w="482"/>
        <w:gridCol w:w="254"/>
        <w:gridCol w:w="112"/>
        <w:gridCol w:w="701"/>
        <w:gridCol w:w="200"/>
        <w:gridCol w:w="305"/>
        <w:gridCol w:w="151"/>
        <w:gridCol w:w="331"/>
        <w:gridCol w:w="155"/>
        <w:gridCol w:w="369"/>
        <w:gridCol w:w="289"/>
        <w:gridCol w:w="137"/>
        <w:gridCol w:w="924"/>
      </w:tblGrid>
      <w:tr w14:paraId="1A7C47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2331" w:type="dxa"/>
            <w:gridSpan w:val="2"/>
            <w:vAlign w:val="center"/>
          </w:tcPr>
          <w:p w14:paraId="27044A7B">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工作内容</w:t>
            </w:r>
          </w:p>
        </w:tc>
        <w:tc>
          <w:tcPr>
            <w:tcW w:w="6615" w:type="dxa"/>
            <w:gridSpan w:val="17"/>
            <w:vAlign w:val="center"/>
          </w:tcPr>
          <w:p w14:paraId="6AAA188A">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自查项目</w:t>
            </w:r>
          </w:p>
        </w:tc>
      </w:tr>
      <w:tr w14:paraId="7752E6D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2CCB9854">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评价等级与范围</w:t>
            </w:r>
          </w:p>
        </w:tc>
        <w:tc>
          <w:tcPr>
            <w:tcW w:w="1361" w:type="dxa"/>
            <w:vAlign w:val="center"/>
          </w:tcPr>
          <w:p w14:paraId="199F8F8E">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评价等级</w:t>
            </w:r>
          </w:p>
        </w:tc>
        <w:tc>
          <w:tcPr>
            <w:tcW w:w="2205" w:type="dxa"/>
            <w:gridSpan w:val="4"/>
            <w:vAlign w:val="center"/>
          </w:tcPr>
          <w:p w14:paraId="1953078A">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一级□</w:t>
            </w:r>
          </w:p>
        </w:tc>
        <w:tc>
          <w:tcPr>
            <w:tcW w:w="2205" w:type="dxa"/>
            <w:gridSpan w:val="7"/>
            <w:vAlign w:val="center"/>
          </w:tcPr>
          <w:p w14:paraId="21550184">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二级</w:t>
            </w:r>
            <w:r>
              <w:rPr>
                <w:rFonts w:hint="eastAsia" w:ascii="宋体" w:hAnsi="宋体" w:cs="宋体"/>
                <w:color w:val="000000" w:themeColor="text1"/>
                <w:sz w:val="18"/>
                <w:szCs w:val="18"/>
                <w14:textFill>
                  <w14:solidFill>
                    <w14:schemeClr w14:val="tx1"/>
                  </w14:solidFill>
                </w14:textFill>
              </w:rPr>
              <w:sym w:font="Wingdings 2" w:char="0052"/>
            </w:r>
          </w:p>
        </w:tc>
        <w:tc>
          <w:tcPr>
            <w:tcW w:w="2205" w:type="dxa"/>
            <w:gridSpan w:val="6"/>
            <w:vAlign w:val="center"/>
          </w:tcPr>
          <w:p w14:paraId="5527EA43">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三级□</w:t>
            </w:r>
          </w:p>
        </w:tc>
      </w:tr>
      <w:tr w14:paraId="46355B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426F2338">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3CA6F615">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评价范围</w:t>
            </w:r>
          </w:p>
        </w:tc>
        <w:tc>
          <w:tcPr>
            <w:tcW w:w="2205" w:type="dxa"/>
            <w:gridSpan w:val="4"/>
            <w:vAlign w:val="center"/>
          </w:tcPr>
          <w:p w14:paraId="6C3B5C31">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边长=50km□</w:t>
            </w:r>
          </w:p>
        </w:tc>
        <w:tc>
          <w:tcPr>
            <w:tcW w:w="2205" w:type="dxa"/>
            <w:gridSpan w:val="7"/>
            <w:vAlign w:val="center"/>
          </w:tcPr>
          <w:p w14:paraId="3C4CB877">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边长5～50km□</w:t>
            </w:r>
          </w:p>
        </w:tc>
        <w:tc>
          <w:tcPr>
            <w:tcW w:w="2205" w:type="dxa"/>
            <w:gridSpan w:val="6"/>
            <w:vAlign w:val="center"/>
          </w:tcPr>
          <w:p w14:paraId="664D800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边长=5km</w:t>
            </w:r>
            <w:r>
              <w:rPr>
                <w:rFonts w:hint="eastAsia" w:ascii="宋体" w:hAnsi="宋体" w:cs="宋体"/>
                <w:color w:val="000000" w:themeColor="text1"/>
                <w:sz w:val="18"/>
                <w:szCs w:val="18"/>
                <w14:textFill>
                  <w14:solidFill>
                    <w14:schemeClr w14:val="tx1"/>
                  </w14:solidFill>
                </w14:textFill>
              </w:rPr>
              <w:sym w:font="Wingdings 2" w:char="0052"/>
            </w:r>
          </w:p>
        </w:tc>
      </w:tr>
      <w:tr w14:paraId="063968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07FF024A">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评价因子</w:t>
            </w:r>
          </w:p>
        </w:tc>
        <w:tc>
          <w:tcPr>
            <w:tcW w:w="1361" w:type="dxa"/>
            <w:vAlign w:val="center"/>
          </w:tcPr>
          <w:p w14:paraId="5D077BE4">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SO</w:t>
            </w:r>
            <w:r>
              <w:rPr>
                <w:rFonts w:hint="eastAsia" w:ascii="宋体" w:hAnsi="宋体" w:cs="宋体"/>
                <w:color w:val="000000" w:themeColor="text1"/>
                <w:sz w:val="18"/>
                <w:szCs w:val="18"/>
                <w:vertAlign w:val="subscript"/>
                <w14:textFill>
                  <w14:solidFill>
                    <w14:schemeClr w14:val="tx1"/>
                  </w14:solidFill>
                </w14:textFill>
              </w:rPr>
              <w:t>2</w:t>
            </w:r>
            <w:r>
              <w:rPr>
                <w:rFonts w:hint="eastAsia" w:ascii="宋体" w:hAnsi="宋体" w:cs="宋体"/>
                <w:color w:val="000000" w:themeColor="text1"/>
                <w:sz w:val="18"/>
                <w:szCs w:val="18"/>
                <w14:textFill>
                  <w14:solidFill>
                    <w14:schemeClr w14:val="tx1"/>
                  </w14:solidFill>
                </w14:textFill>
              </w:rPr>
              <w:t>+NO</w:t>
            </w:r>
            <w:r>
              <w:rPr>
                <w:rFonts w:hint="eastAsia" w:ascii="宋体" w:hAnsi="宋体" w:cs="宋体"/>
                <w:color w:val="000000" w:themeColor="text1"/>
                <w:sz w:val="18"/>
                <w:szCs w:val="18"/>
                <w:vertAlign w:val="subscript"/>
                <w14:textFill>
                  <w14:solidFill>
                    <w14:schemeClr w14:val="tx1"/>
                  </w14:solidFill>
                </w14:textFill>
              </w:rPr>
              <w:t>x</w:t>
            </w:r>
            <w:r>
              <w:rPr>
                <w:rFonts w:hint="eastAsia" w:ascii="宋体" w:hAnsi="宋体" w:cs="宋体"/>
                <w:color w:val="000000" w:themeColor="text1"/>
                <w:sz w:val="18"/>
                <w:szCs w:val="18"/>
                <w14:textFill>
                  <w14:solidFill>
                    <w14:schemeClr w14:val="tx1"/>
                  </w14:solidFill>
                </w14:textFill>
              </w:rPr>
              <w:t>排放量</w:t>
            </w:r>
          </w:p>
        </w:tc>
        <w:tc>
          <w:tcPr>
            <w:tcW w:w="2205" w:type="dxa"/>
            <w:gridSpan w:val="4"/>
            <w:vAlign w:val="center"/>
          </w:tcPr>
          <w:p w14:paraId="0328BDB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≥2000t/a□</w:t>
            </w:r>
          </w:p>
        </w:tc>
        <w:tc>
          <w:tcPr>
            <w:tcW w:w="2205" w:type="dxa"/>
            <w:gridSpan w:val="7"/>
            <w:vAlign w:val="center"/>
          </w:tcPr>
          <w:p w14:paraId="4D02A77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500～2000t/a□</w:t>
            </w:r>
          </w:p>
        </w:tc>
        <w:tc>
          <w:tcPr>
            <w:tcW w:w="2205" w:type="dxa"/>
            <w:gridSpan w:val="6"/>
            <w:vAlign w:val="center"/>
          </w:tcPr>
          <w:p w14:paraId="79DF4A7C">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＜500t/a□</w:t>
            </w:r>
          </w:p>
        </w:tc>
      </w:tr>
      <w:tr w14:paraId="15B6D7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635BFE1E">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5B30C014">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评价因子</w:t>
            </w:r>
          </w:p>
        </w:tc>
        <w:tc>
          <w:tcPr>
            <w:tcW w:w="3954" w:type="dxa"/>
            <w:gridSpan w:val="9"/>
            <w:vAlign w:val="center"/>
          </w:tcPr>
          <w:p w14:paraId="7845B0C7">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基本污染物（SO</w:t>
            </w:r>
            <w:r>
              <w:rPr>
                <w:rFonts w:hint="eastAsia" w:ascii="宋体" w:hAnsi="宋体" w:cs="宋体"/>
                <w:color w:val="000000" w:themeColor="text1"/>
                <w:sz w:val="18"/>
                <w:szCs w:val="18"/>
                <w:vertAlign w:val="subscript"/>
                <w14:textFill>
                  <w14:solidFill>
                    <w14:schemeClr w14:val="tx1"/>
                  </w14:solidFill>
                </w14:textFill>
              </w:rPr>
              <w:t>2</w:t>
            </w:r>
            <w:r>
              <w:rPr>
                <w:rFonts w:hint="eastAsia" w:ascii="宋体" w:hAnsi="宋体" w:cs="宋体"/>
                <w:color w:val="000000" w:themeColor="text1"/>
                <w:sz w:val="18"/>
                <w:szCs w:val="18"/>
                <w14:textFill>
                  <w14:solidFill>
                    <w14:schemeClr w14:val="tx1"/>
                  </w14:solidFill>
                </w14:textFill>
              </w:rPr>
              <w:t>、NO</w:t>
            </w:r>
            <w:r>
              <w:rPr>
                <w:rFonts w:hint="eastAsia" w:ascii="宋体" w:hAnsi="宋体" w:cs="宋体"/>
                <w:color w:val="000000" w:themeColor="text1"/>
                <w:sz w:val="18"/>
                <w:szCs w:val="18"/>
                <w:vertAlign w:val="subscript"/>
                <w14:textFill>
                  <w14:solidFill>
                    <w14:schemeClr w14:val="tx1"/>
                  </w14:solidFill>
                </w14:textFill>
              </w:rPr>
              <w:t>2</w:t>
            </w:r>
            <w:r>
              <w:rPr>
                <w:rFonts w:hint="eastAsia" w:ascii="宋体" w:hAnsi="宋体" w:cs="宋体"/>
                <w:color w:val="000000" w:themeColor="text1"/>
                <w:sz w:val="18"/>
                <w:szCs w:val="18"/>
                <w14:textFill>
                  <w14:solidFill>
                    <w14:schemeClr w14:val="tx1"/>
                  </w14:solidFill>
                </w14:textFill>
              </w:rPr>
              <w:t>、O</w:t>
            </w:r>
            <w:r>
              <w:rPr>
                <w:rFonts w:hint="eastAsia" w:ascii="宋体" w:hAnsi="宋体" w:cs="宋体"/>
                <w:color w:val="000000" w:themeColor="text1"/>
                <w:sz w:val="18"/>
                <w:szCs w:val="18"/>
                <w:vertAlign w:val="subscript"/>
                <w14:textFill>
                  <w14:solidFill>
                    <w14:schemeClr w14:val="tx1"/>
                  </w14:solidFill>
                </w14:textFill>
              </w:rPr>
              <w:t>3</w:t>
            </w:r>
            <w:r>
              <w:rPr>
                <w:rFonts w:hint="eastAsia" w:ascii="宋体" w:hAnsi="宋体" w:cs="宋体"/>
                <w:color w:val="000000" w:themeColor="text1"/>
                <w:sz w:val="18"/>
                <w:szCs w:val="18"/>
                <w14:textFill>
                  <w14:solidFill>
                    <w14:schemeClr w14:val="tx1"/>
                  </w14:solidFill>
                </w14:textFill>
              </w:rPr>
              <w:t>、CO、PM</w:t>
            </w:r>
            <w:r>
              <w:rPr>
                <w:rFonts w:hint="eastAsia" w:ascii="宋体" w:hAnsi="宋体" w:cs="宋体"/>
                <w:color w:val="000000" w:themeColor="text1"/>
                <w:sz w:val="18"/>
                <w:szCs w:val="18"/>
                <w:vertAlign w:val="subscript"/>
                <w14:textFill>
                  <w14:solidFill>
                    <w14:schemeClr w14:val="tx1"/>
                  </w14:solidFill>
                </w14:textFill>
              </w:rPr>
              <w:t>10</w:t>
            </w:r>
            <w:r>
              <w:rPr>
                <w:rFonts w:hint="eastAsia" w:ascii="宋体" w:hAnsi="宋体" w:cs="宋体"/>
                <w:color w:val="000000" w:themeColor="text1"/>
                <w:sz w:val="18"/>
                <w:szCs w:val="18"/>
                <w14:textFill>
                  <w14:solidFill>
                    <w14:schemeClr w14:val="tx1"/>
                  </w14:solidFill>
                </w14:textFill>
              </w:rPr>
              <w:t>、PM</w:t>
            </w:r>
            <w:r>
              <w:rPr>
                <w:rFonts w:hint="eastAsia" w:ascii="宋体" w:hAnsi="宋体" w:cs="宋体"/>
                <w:color w:val="000000" w:themeColor="text1"/>
                <w:sz w:val="18"/>
                <w:szCs w:val="18"/>
                <w:vertAlign w:val="subscript"/>
                <w14:textFill>
                  <w14:solidFill>
                    <w14:schemeClr w14:val="tx1"/>
                  </w14:solidFill>
                </w14:textFill>
              </w:rPr>
              <w:t>2.5</w:t>
            </w:r>
            <w:r>
              <w:rPr>
                <w:rFonts w:hint="eastAsia" w:ascii="宋体" w:hAnsi="宋体" w:cs="宋体"/>
                <w:color w:val="000000" w:themeColor="text1"/>
                <w:sz w:val="18"/>
                <w:szCs w:val="18"/>
                <w14:textFill>
                  <w14:solidFill>
                    <w14:schemeClr w14:val="tx1"/>
                  </w14:solidFill>
                </w14:textFill>
              </w:rPr>
              <w:t>）</w:t>
            </w:r>
          </w:p>
          <w:p w14:paraId="249BC99E">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其他污染物（NMHC和H</w:t>
            </w:r>
            <w:r>
              <w:rPr>
                <w:rFonts w:hint="eastAsia" w:ascii="宋体" w:hAnsi="宋体" w:cs="宋体"/>
                <w:color w:val="000000" w:themeColor="text1"/>
                <w:sz w:val="18"/>
                <w:szCs w:val="18"/>
                <w:vertAlign w:val="subscript"/>
                <w14:textFill>
                  <w14:solidFill>
                    <w14:schemeClr w14:val="tx1"/>
                  </w14:solidFill>
                </w14:textFill>
              </w:rPr>
              <w:t>2</w:t>
            </w:r>
            <w:r>
              <w:rPr>
                <w:rFonts w:hint="eastAsia" w:ascii="宋体" w:hAnsi="宋体" w:cs="宋体"/>
                <w:color w:val="000000" w:themeColor="text1"/>
                <w:sz w:val="18"/>
                <w:szCs w:val="18"/>
                <w14:textFill>
                  <w14:solidFill>
                    <w14:schemeClr w14:val="tx1"/>
                  </w14:solidFill>
                </w14:textFill>
              </w:rPr>
              <w:t>S）</w:t>
            </w:r>
          </w:p>
        </w:tc>
        <w:tc>
          <w:tcPr>
            <w:tcW w:w="2661" w:type="dxa"/>
            <w:gridSpan w:val="8"/>
            <w:vAlign w:val="center"/>
          </w:tcPr>
          <w:p w14:paraId="079267AD">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包括二次PM2.5□</w:t>
            </w:r>
          </w:p>
          <w:p w14:paraId="16A010F2">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不包括二次PM2.5</w:t>
            </w:r>
            <w:r>
              <w:rPr>
                <w:rFonts w:hint="eastAsia" w:ascii="宋体" w:hAnsi="宋体" w:cs="宋体"/>
                <w:color w:val="000000" w:themeColor="text1"/>
                <w:sz w:val="18"/>
                <w:szCs w:val="18"/>
                <w14:textFill>
                  <w14:solidFill>
                    <w14:schemeClr w14:val="tx1"/>
                  </w14:solidFill>
                </w14:textFill>
              </w:rPr>
              <w:sym w:font="Wingdings 2" w:char="0052"/>
            </w:r>
          </w:p>
        </w:tc>
      </w:tr>
      <w:tr w14:paraId="3A6787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Align w:val="center"/>
          </w:tcPr>
          <w:p w14:paraId="2267BDD8">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评价标准</w:t>
            </w:r>
          </w:p>
        </w:tc>
        <w:tc>
          <w:tcPr>
            <w:tcW w:w="1361" w:type="dxa"/>
            <w:vAlign w:val="center"/>
          </w:tcPr>
          <w:p w14:paraId="00EACB6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评价标准</w:t>
            </w:r>
          </w:p>
        </w:tc>
        <w:tc>
          <w:tcPr>
            <w:tcW w:w="2061" w:type="dxa"/>
            <w:gridSpan w:val="3"/>
            <w:vAlign w:val="center"/>
          </w:tcPr>
          <w:p w14:paraId="4A8B0B22">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国家标准</w:t>
            </w:r>
            <w:r>
              <w:rPr>
                <w:rFonts w:hint="eastAsia" w:ascii="宋体" w:hAnsi="宋体" w:cs="宋体"/>
                <w:color w:val="000000" w:themeColor="text1"/>
                <w:sz w:val="18"/>
                <w:szCs w:val="18"/>
                <w14:textFill>
                  <w14:solidFill>
                    <w14:schemeClr w14:val="tx1"/>
                  </w14:solidFill>
                </w14:textFill>
              </w:rPr>
              <w:sym w:font="Wingdings 2" w:char="0052"/>
            </w:r>
          </w:p>
        </w:tc>
        <w:tc>
          <w:tcPr>
            <w:tcW w:w="1693" w:type="dxa"/>
            <w:gridSpan w:val="5"/>
            <w:vAlign w:val="center"/>
          </w:tcPr>
          <w:p w14:paraId="5336FED4">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地方标准□</w:t>
            </w:r>
          </w:p>
        </w:tc>
        <w:tc>
          <w:tcPr>
            <w:tcW w:w="1511" w:type="dxa"/>
            <w:gridSpan w:val="6"/>
            <w:vAlign w:val="center"/>
          </w:tcPr>
          <w:p w14:paraId="7FDAEA65">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附录D□</w:t>
            </w:r>
          </w:p>
        </w:tc>
        <w:tc>
          <w:tcPr>
            <w:tcW w:w="1350" w:type="dxa"/>
            <w:gridSpan w:val="3"/>
            <w:vAlign w:val="center"/>
          </w:tcPr>
          <w:p w14:paraId="0C5F2DAA">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其他标准</w:t>
            </w:r>
            <w:r>
              <w:rPr>
                <w:rFonts w:hint="eastAsia" w:ascii="宋体" w:hAnsi="宋体" w:cs="宋体"/>
                <w:color w:val="000000" w:themeColor="text1"/>
                <w:sz w:val="18"/>
                <w:szCs w:val="18"/>
                <w14:textFill>
                  <w14:solidFill>
                    <w14:schemeClr w14:val="tx1"/>
                  </w14:solidFill>
                </w14:textFill>
              </w:rPr>
              <w:sym w:font="Wingdings 2" w:char="0052"/>
            </w:r>
          </w:p>
        </w:tc>
      </w:tr>
      <w:tr w14:paraId="27CAE75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30CEFAE2">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现状评价</w:t>
            </w:r>
          </w:p>
        </w:tc>
        <w:tc>
          <w:tcPr>
            <w:tcW w:w="1361" w:type="dxa"/>
            <w:vAlign w:val="center"/>
          </w:tcPr>
          <w:p w14:paraId="0F7B83CD">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环境功能区</w:t>
            </w:r>
          </w:p>
        </w:tc>
        <w:tc>
          <w:tcPr>
            <w:tcW w:w="2205" w:type="dxa"/>
            <w:gridSpan w:val="4"/>
            <w:vAlign w:val="center"/>
          </w:tcPr>
          <w:p w14:paraId="107BFED5">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一类区□</w:t>
            </w:r>
          </w:p>
        </w:tc>
        <w:tc>
          <w:tcPr>
            <w:tcW w:w="2205" w:type="dxa"/>
            <w:gridSpan w:val="7"/>
            <w:vAlign w:val="center"/>
          </w:tcPr>
          <w:p w14:paraId="7FEBDD0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二类区</w:t>
            </w:r>
            <w:r>
              <w:rPr>
                <w:rFonts w:hint="eastAsia" w:ascii="宋体" w:hAnsi="宋体" w:cs="宋体"/>
                <w:color w:val="000000" w:themeColor="text1"/>
                <w:sz w:val="18"/>
                <w:szCs w:val="18"/>
                <w14:textFill>
                  <w14:solidFill>
                    <w14:schemeClr w14:val="tx1"/>
                  </w14:solidFill>
                </w14:textFill>
              </w:rPr>
              <w:sym w:font="Wingdings 2" w:char="0052"/>
            </w:r>
          </w:p>
        </w:tc>
        <w:tc>
          <w:tcPr>
            <w:tcW w:w="2205" w:type="dxa"/>
            <w:gridSpan w:val="6"/>
            <w:vAlign w:val="center"/>
          </w:tcPr>
          <w:p w14:paraId="168C84A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一类区和二类区□</w:t>
            </w:r>
          </w:p>
        </w:tc>
      </w:tr>
      <w:tr w14:paraId="4A68F0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2E19F688">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351397E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评价基准年</w:t>
            </w:r>
          </w:p>
        </w:tc>
        <w:tc>
          <w:tcPr>
            <w:tcW w:w="6615" w:type="dxa"/>
            <w:gridSpan w:val="17"/>
            <w:vAlign w:val="center"/>
          </w:tcPr>
          <w:p w14:paraId="4BB719E3">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（20</w:t>
            </w:r>
            <w:r>
              <w:rPr>
                <w:rFonts w:ascii="宋体" w:hAnsi="宋体" w:cs="宋体"/>
                <w:color w:val="000000" w:themeColor="text1"/>
                <w:sz w:val="18"/>
                <w:szCs w:val="18"/>
                <w14:textFill>
                  <w14:solidFill>
                    <w14:schemeClr w14:val="tx1"/>
                  </w14:solidFill>
                </w14:textFill>
              </w:rPr>
              <w:t>2</w:t>
            </w:r>
            <w:r>
              <w:rPr>
                <w:rFonts w:hint="eastAsia" w:ascii="宋体" w:hAnsi="宋体" w:cs="宋体"/>
                <w:color w:val="000000" w:themeColor="text1"/>
                <w:sz w:val="18"/>
                <w:szCs w:val="18"/>
                <w14:textFill>
                  <w14:solidFill>
                    <w14:schemeClr w14:val="tx1"/>
                  </w14:solidFill>
                </w14:textFill>
              </w:rPr>
              <w:t>4）年</w:t>
            </w:r>
          </w:p>
        </w:tc>
      </w:tr>
      <w:tr w14:paraId="0A0D04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36D7CE2F">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100D9F7E">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环境空气质量现状调查数据来源</w:t>
            </w:r>
          </w:p>
        </w:tc>
        <w:tc>
          <w:tcPr>
            <w:tcW w:w="2205" w:type="dxa"/>
            <w:gridSpan w:val="4"/>
            <w:vAlign w:val="center"/>
          </w:tcPr>
          <w:p w14:paraId="75AC6403">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长期例行监测数据□</w:t>
            </w:r>
          </w:p>
        </w:tc>
        <w:tc>
          <w:tcPr>
            <w:tcW w:w="2205" w:type="dxa"/>
            <w:gridSpan w:val="7"/>
            <w:vAlign w:val="center"/>
          </w:tcPr>
          <w:p w14:paraId="7185AC9D">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主管部门发布的数据</w:t>
            </w:r>
            <w:r>
              <w:rPr>
                <w:rFonts w:hint="eastAsia" w:ascii="宋体" w:hAnsi="宋体" w:cs="宋体"/>
                <w:color w:val="000000" w:themeColor="text1"/>
                <w:sz w:val="18"/>
                <w:szCs w:val="18"/>
                <w14:textFill>
                  <w14:solidFill>
                    <w14:schemeClr w14:val="tx1"/>
                  </w14:solidFill>
                </w14:textFill>
              </w:rPr>
              <w:sym w:font="Wingdings 2" w:char="0052"/>
            </w:r>
          </w:p>
        </w:tc>
        <w:tc>
          <w:tcPr>
            <w:tcW w:w="2205" w:type="dxa"/>
            <w:gridSpan w:val="6"/>
            <w:vAlign w:val="center"/>
          </w:tcPr>
          <w:p w14:paraId="303C0809">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现状补充监测</w:t>
            </w:r>
            <w:r>
              <w:rPr>
                <w:rFonts w:hint="eastAsia" w:ascii="宋体" w:hAnsi="宋体" w:cs="宋体"/>
                <w:color w:val="000000" w:themeColor="text1"/>
                <w:sz w:val="18"/>
                <w:szCs w:val="18"/>
                <w14:textFill>
                  <w14:solidFill>
                    <w14:schemeClr w14:val="tx1"/>
                  </w14:solidFill>
                </w14:textFill>
              </w:rPr>
              <w:sym w:font="Wingdings 2" w:char="0052"/>
            </w:r>
          </w:p>
        </w:tc>
      </w:tr>
      <w:tr w14:paraId="7C9835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307779A5">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72826AA8">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现状评价</w:t>
            </w:r>
          </w:p>
        </w:tc>
        <w:tc>
          <w:tcPr>
            <w:tcW w:w="3754" w:type="dxa"/>
            <w:gridSpan w:val="8"/>
            <w:vAlign w:val="center"/>
          </w:tcPr>
          <w:p w14:paraId="1042A652">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达标区□</w:t>
            </w:r>
          </w:p>
        </w:tc>
        <w:tc>
          <w:tcPr>
            <w:tcW w:w="2861" w:type="dxa"/>
            <w:gridSpan w:val="9"/>
            <w:vAlign w:val="center"/>
          </w:tcPr>
          <w:p w14:paraId="67F351DB">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不达标区</w:t>
            </w:r>
            <w:r>
              <w:rPr>
                <w:rFonts w:hint="eastAsia" w:ascii="宋体" w:hAnsi="宋体" w:cs="宋体"/>
                <w:color w:val="000000" w:themeColor="text1"/>
                <w:sz w:val="18"/>
                <w:szCs w:val="18"/>
                <w14:textFill>
                  <w14:solidFill>
                    <w14:schemeClr w14:val="tx1"/>
                  </w14:solidFill>
                </w14:textFill>
              </w:rPr>
              <w:sym w:font="Wingdings 2" w:char="0052"/>
            </w:r>
          </w:p>
        </w:tc>
      </w:tr>
      <w:tr w14:paraId="172543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Align w:val="center"/>
          </w:tcPr>
          <w:p w14:paraId="765C3FA4">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污染源</w:t>
            </w:r>
          </w:p>
          <w:p w14:paraId="4C0265D9">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调查</w:t>
            </w:r>
          </w:p>
        </w:tc>
        <w:tc>
          <w:tcPr>
            <w:tcW w:w="1361" w:type="dxa"/>
            <w:vAlign w:val="center"/>
          </w:tcPr>
          <w:p w14:paraId="130A05A2">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调查内容</w:t>
            </w:r>
          </w:p>
        </w:tc>
        <w:tc>
          <w:tcPr>
            <w:tcW w:w="2061" w:type="dxa"/>
            <w:gridSpan w:val="3"/>
            <w:vAlign w:val="center"/>
          </w:tcPr>
          <w:p w14:paraId="0286DC7D">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本工程正常排放源</w:t>
            </w:r>
            <w:r>
              <w:rPr>
                <w:rFonts w:hint="eastAsia" w:ascii="宋体" w:hAnsi="宋体" w:cs="宋体"/>
                <w:color w:val="000000" w:themeColor="text1"/>
                <w:sz w:val="18"/>
                <w:szCs w:val="18"/>
                <w14:textFill>
                  <w14:solidFill>
                    <w14:schemeClr w14:val="tx1"/>
                  </w14:solidFill>
                </w14:textFill>
              </w:rPr>
              <w:sym w:font="Wingdings 2" w:char="0052"/>
            </w:r>
          </w:p>
          <w:p w14:paraId="0AC56993">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本工程非正常排放源□</w:t>
            </w:r>
          </w:p>
          <w:p w14:paraId="526FEECA">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现有污染源□</w:t>
            </w:r>
          </w:p>
        </w:tc>
        <w:tc>
          <w:tcPr>
            <w:tcW w:w="1693" w:type="dxa"/>
            <w:gridSpan w:val="5"/>
            <w:vAlign w:val="center"/>
          </w:tcPr>
          <w:p w14:paraId="2B28A9AB">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拟替代的污染源□</w:t>
            </w:r>
          </w:p>
        </w:tc>
        <w:tc>
          <w:tcPr>
            <w:tcW w:w="1511" w:type="dxa"/>
            <w:gridSpan w:val="6"/>
            <w:vAlign w:val="center"/>
          </w:tcPr>
          <w:p w14:paraId="5201DE0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其他在建、拟建项目污染源□</w:t>
            </w:r>
          </w:p>
        </w:tc>
        <w:tc>
          <w:tcPr>
            <w:tcW w:w="1350" w:type="dxa"/>
            <w:gridSpan w:val="3"/>
            <w:vAlign w:val="center"/>
          </w:tcPr>
          <w:p w14:paraId="2CB0D698">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区域污染源□</w:t>
            </w:r>
          </w:p>
        </w:tc>
      </w:tr>
      <w:tr w14:paraId="7281B9C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0B9503FA">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大气环境影响预测与评价</w:t>
            </w:r>
          </w:p>
        </w:tc>
        <w:tc>
          <w:tcPr>
            <w:tcW w:w="1361" w:type="dxa"/>
            <w:vAlign w:val="center"/>
          </w:tcPr>
          <w:p w14:paraId="6EC6371A">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预测模型</w:t>
            </w:r>
          </w:p>
        </w:tc>
        <w:tc>
          <w:tcPr>
            <w:tcW w:w="821" w:type="dxa"/>
            <w:vAlign w:val="center"/>
          </w:tcPr>
          <w:p w14:paraId="453CE3D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AERMOD□</w:t>
            </w:r>
          </w:p>
        </w:tc>
        <w:tc>
          <w:tcPr>
            <w:tcW w:w="574" w:type="dxa"/>
            <w:vAlign w:val="center"/>
          </w:tcPr>
          <w:p w14:paraId="4BFEAC91">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ADMS</w:t>
            </w:r>
          </w:p>
          <w:p w14:paraId="042F0641">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w:t>
            </w:r>
          </w:p>
        </w:tc>
        <w:tc>
          <w:tcPr>
            <w:tcW w:w="1292" w:type="dxa"/>
            <w:gridSpan w:val="3"/>
            <w:vAlign w:val="center"/>
          </w:tcPr>
          <w:p w14:paraId="1B0F9B58">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AUSTAL2000□</w:t>
            </w:r>
          </w:p>
        </w:tc>
        <w:tc>
          <w:tcPr>
            <w:tcW w:w="1067" w:type="dxa"/>
            <w:gridSpan w:val="3"/>
            <w:vAlign w:val="center"/>
          </w:tcPr>
          <w:p w14:paraId="40C74D7E">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EDMS/AEDT□</w:t>
            </w:r>
          </w:p>
        </w:tc>
        <w:tc>
          <w:tcPr>
            <w:tcW w:w="987" w:type="dxa"/>
            <w:gridSpan w:val="4"/>
            <w:vAlign w:val="center"/>
          </w:tcPr>
          <w:p w14:paraId="38F4C26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CALPUFF□</w:t>
            </w:r>
          </w:p>
        </w:tc>
        <w:tc>
          <w:tcPr>
            <w:tcW w:w="950" w:type="dxa"/>
            <w:gridSpan w:val="4"/>
            <w:vAlign w:val="center"/>
          </w:tcPr>
          <w:p w14:paraId="20D2A4EA">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网格模型□</w:t>
            </w:r>
          </w:p>
        </w:tc>
        <w:tc>
          <w:tcPr>
            <w:tcW w:w="924" w:type="dxa"/>
            <w:vAlign w:val="center"/>
          </w:tcPr>
          <w:p w14:paraId="4C0D610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其他</w:t>
            </w:r>
          </w:p>
          <w:p w14:paraId="38500FFA">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sym w:font="Wingdings 2" w:char="0052"/>
            </w:r>
          </w:p>
        </w:tc>
      </w:tr>
      <w:tr w14:paraId="2469A8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75C08D22">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76F35825">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预测范围</w:t>
            </w:r>
          </w:p>
        </w:tc>
        <w:tc>
          <w:tcPr>
            <w:tcW w:w="1395" w:type="dxa"/>
            <w:gridSpan w:val="2"/>
            <w:vAlign w:val="center"/>
          </w:tcPr>
          <w:p w14:paraId="70897AF3">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边长≥50km□</w:t>
            </w:r>
          </w:p>
        </w:tc>
        <w:tc>
          <w:tcPr>
            <w:tcW w:w="2559" w:type="dxa"/>
            <w:gridSpan w:val="7"/>
            <w:vAlign w:val="center"/>
          </w:tcPr>
          <w:p w14:paraId="653EB1B0">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边长5～50km□</w:t>
            </w:r>
          </w:p>
        </w:tc>
        <w:tc>
          <w:tcPr>
            <w:tcW w:w="2661" w:type="dxa"/>
            <w:gridSpan w:val="8"/>
            <w:vAlign w:val="center"/>
          </w:tcPr>
          <w:p w14:paraId="31339F0E">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边长=5km</w:t>
            </w:r>
            <w:r>
              <w:rPr>
                <w:rFonts w:hint="eastAsia" w:ascii="宋体" w:hAnsi="宋体" w:cs="宋体"/>
                <w:color w:val="000000" w:themeColor="text1"/>
                <w:sz w:val="18"/>
                <w:szCs w:val="18"/>
                <w14:textFill>
                  <w14:solidFill>
                    <w14:schemeClr w14:val="tx1"/>
                  </w14:solidFill>
                </w14:textFill>
              </w:rPr>
              <w:sym w:font="Wingdings 2" w:char="0052"/>
            </w:r>
          </w:p>
        </w:tc>
      </w:tr>
      <w:tr w14:paraId="0C187F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04614EB3">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2414D72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预测因子</w:t>
            </w:r>
          </w:p>
        </w:tc>
        <w:tc>
          <w:tcPr>
            <w:tcW w:w="3954" w:type="dxa"/>
            <w:gridSpan w:val="9"/>
            <w:vAlign w:val="center"/>
          </w:tcPr>
          <w:p w14:paraId="4E8FFBB7">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预测因子（NMHC）</w:t>
            </w:r>
          </w:p>
        </w:tc>
        <w:tc>
          <w:tcPr>
            <w:tcW w:w="2661" w:type="dxa"/>
            <w:gridSpan w:val="8"/>
            <w:vAlign w:val="center"/>
          </w:tcPr>
          <w:p w14:paraId="04B88CED">
            <w:pPr>
              <w:jc w:val="center"/>
              <w:rPr>
                <w:rFonts w:hint="eastAsia" w:ascii="宋体" w:hAnsi="宋体" w:cs="宋体"/>
                <w:b/>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包括二次PM</w:t>
            </w:r>
            <w:r>
              <w:rPr>
                <w:rFonts w:hint="eastAsia" w:ascii="宋体" w:hAnsi="宋体" w:cs="宋体"/>
                <w:color w:val="000000" w:themeColor="text1"/>
                <w:sz w:val="18"/>
                <w:szCs w:val="18"/>
                <w:vertAlign w:val="subscript"/>
                <w14:textFill>
                  <w14:solidFill>
                    <w14:schemeClr w14:val="tx1"/>
                  </w14:solidFill>
                </w14:textFill>
              </w:rPr>
              <w:t>2.5</w:t>
            </w:r>
            <w:r>
              <w:rPr>
                <w:rFonts w:hint="eastAsia" w:ascii="宋体" w:hAnsi="宋体" w:cs="宋体"/>
                <w:color w:val="000000" w:themeColor="text1"/>
                <w:sz w:val="18"/>
                <w:szCs w:val="18"/>
                <w14:textFill>
                  <w14:solidFill>
                    <w14:schemeClr w14:val="tx1"/>
                  </w14:solidFill>
                </w14:textFill>
              </w:rPr>
              <w:t>□</w:t>
            </w:r>
          </w:p>
          <w:p w14:paraId="370313B9">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不包括二次PM</w:t>
            </w:r>
            <w:r>
              <w:rPr>
                <w:rFonts w:hint="eastAsia" w:ascii="宋体" w:hAnsi="宋体" w:cs="宋体"/>
                <w:color w:val="000000" w:themeColor="text1"/>
                <w:sz w:val="18"/>
                <w:szCs w:val="18"/>
                <w:vertAlign w:val="subscript"/>
                <w14:textFill>
                  <w14:solidFill>
                    <w14:schemeClr w14:val="tx1"/>
                  </w14:solidFill>
                </w14:textFill>
              </w:rPr>
              <w:t>2.5</w:t>
            </w:r>
            <w:r>
              <w:rPr>
                <w:rFonts w:hint="eastAsia" w:ascii="宋体" w:hAnsi="宋体" w:cs="宋体"/>
                <w:color w:val="000000" w:themeColor="text1"/>
                <w:sz w:val="18"/>
                <w:szCs w:val="18"/>
                <w14:textFill>
                  <w14:solidFill>
                    <w14:schemeClr w14:val="tx1"/>
                  </w14:solidFill>
                </w14:textFill>
              </w:rPr>
              <w:sym w:font="Wingdings 2" w:char="0052"/>
            </w:r>
          </w:p>
        </w:tc>
      </w:tr>
      <w:tr w14:paraId="508FE1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22EC4613">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5D4915E0">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正常排放短期浓度贡献值</w:t>
            </w:r>
          </w:p>
        </w:tc>
        <w:tc>
          <w:tcPr>
            <w:tcW w:w="3954" w:type="dxa"/>
            <w:gridSpan w:val="9"/>
            <w:vAlign w:val="center"/>
          </w:tcPr>
          <w:p w14:paraId="57D91D72">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本工程</w:t>
            </w:r>
            <w:r>
              <w:rPr>
                <w:rFonts w:hint="eastAsia" w:ascii="宋体" w:hAnsi="宋体" w:cs="宋体"/>
                <w:color w:val="000000" w:themeColor="text1"/>
                <w:sz w:val="18"/>
                <w:szCs w:val="18"/>
                <w14:textFill>
                  <w14:solidFill>
                    <w14:schemeClr w14:val="tx1"/>
                  </w14:solidFill>
                </w14:textFill>
              </w:rPr>
              <w:t>最大占标率≤100%</w:t>
            </w:r>
            <w:r>
              <w:rPr>
                <w:rFonts w:hint="eastAsia" w:ascii="宋体" w:hAnsi="宋体" w:cs="宋体"/>
                <w:color w:val="000000" w:themeColor="text1"/>
                <w:sz w:val="18"/>
                <w:szCs w:val="18"/>
                <w14:textFill>
                  <w14:solidFill>
                    <w14:schemeClr w14:val="tx1"/>
                  </w14:solidFill>
                </w14:textFill>
              </w:rPr>
              <w:sym w:font="Wingdings 2" w:char="0052"/>
            </w:r>
          </w:p>
        </w:tc>
        <w:tc>
          <w:tcPr>
            <w:tcW w:w="2661" w:type="dxa"/>
            <w:gridSpan w:val="8"/>
            <w:vAlign w:val="center"/>
          </w:tcPr>
          <w:p w14:paraId="3F4B8DE8">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本工程</w:t>
            </w:r>
            <w:r>
              <w:rPr>
                <w:rFonts w:hint="eastAsia" w:ascii="宋体" w:hAnsi="宋体" w:cs="宋体"/>
                <w:color w:val="000000" w:themeColor="text1"/>
                <w:sz w:val="18"/>
                <w:szCs w:val="18"/>
                <w14:textFill>
                  <w14:solidFill>
                    <w14:schemeClr w14:val="tx1"/>
                  </w14:solidFill>
                </w14:textFill>
              </w:rPr>
              <w:t>最大占标率＞100%□</w:t>
            </w:r>
          </w:p>
        </w:tc>
      </w:tr>
      <w:tr w14:paraId="1B6F508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3ADA7F50">
            <w:pPr>
              <w:jc w:val="center"/>
              <w:rPr>
                <w:rFonts w:hint="eastAsia" w:ascii="宋体" w:hAnsi="宋体" w:cs="宋体"/>
                <w:color w:val="000000" w:themeColor="text1"/>
                <w:sz w:val="18"/>
                <w:szCs w:val="18"/>
                <w14:textFill>
                  <w14:solidFill>
                    <w14:schemeClr w14:val="tx1"/>
                  </w14:solidFill>
                </w14:textFill>
              </w:rPr>
            </w:pPr>
          </w:p>
        </w:tc>
        <w:tc>
          <w:tcPr>
            <w:tcW w:w="1361" w:type="dxa"/>
            <w:vMerge w:val="restart"/>
            <w:vAlign w:val="center"/>
          </w:tcPr>
          <w:p w14:paraId="6B52E778">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正常排放年均浓度贡献值</w:t>
            </w:r>
          </w:p>
        </w:tc>
        <w:tc>
          <w:tcPr>
            <w:tcW w:w="821" w:type="dxa"/>
            <w:vAlign w:val="center"/>
          </w:tcPr>
          <w:p w14:paraId="6686C467">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一类区</w:t>
            </w:r>
          </w:p>
        </w:tc>
        <w:tc>
          <w:tcPr>
            <w:tcW w:w="3133" w:type="dxa"/>
            <w:gridSpan w:val="8"/>
            <w:vAlign w:val="center"/>
          </w:tcPr>
          <w:p w14:paraId="5B298D24">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本工程</w:t>
            </w:r>
            <w:r>
              <w:rPr>
                <w:rFonts w:hint="eastAsia" w:ascii="宋体" w:hAnsi="宋体" w:cs="宋体"/>
                <w:color w:val="000000" w:themeColor="text1"/>
                <w:sz w:val="18"/>
                <w:szCs w:val="18"/>
                <w14:textFill>
                  <w14:solidFill>
                    <w14:schemeClr w14:val="tx1"/>
                  </w14:solidFill>
                </w14:textFill>
              </w:rPr>
              <w:t>最大占标率≤10%□</w:t>
            </w:r>
          </w:p>
        </w:tc>
        <w:tc>
          <w:tcPr>
            <w:tcW w:w="2661" w:type="dxa"/>
            <w:gridSpan w:val="8"/>
            <w:vAlign w:val="center"/>
          </w:tcPr>
          <w:p w14:paraId="6418833B">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本工程</w:t>
            </w:r>
            <w:r>
              <w:rPr>
                <w:rFonts w:hint="eastAsia" w:ascii="宋体" w:hAnsi="宋体" w:cs="宋体"/>
                <w:color w:val="000000" w:themeColor="text1"/>
                <w:sz w:val="18"/>
                <w:szCs w:val="18"/>
                <w14:textFill>
                  <w14:solidFill>
                    <w14:schemeClr w14:val="tx1"/>
                  </w14:solidFill>
                </w14:textFill>
              </w:rPr>
              <w:t>最大占标率＞10%□</w:t>
            </w:r>
          </w:p>
        </w:tc>
      </w:tr>
      <w:tr w14:paraId="7BB288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1870A8E1">
            <w:pPr>
              <w:jc w:val="center"/>
              <w:rPr>
                <w:rFonts w:hint="eastAsia" w:ascii="宋体" w:hAnsi="宋体" w:cs="宋体"/>
                <w:color w:val="000000" w:themeColor="text1"/>
                <w:sz w:val="18"/>
                <w:szCs w:val="18"/>
                <w14:textFill>
                  <w14:solidFill>
                    <w14:schemeClr w14:val="tx1"/>
                  </w14:solidFill>
                </w14:textFill>
              </w:rPr>
            </w:pPr>
          </w:p>
        </w:tc>
        <w:tc>
          <w:tcPr>
            <w:tcW w:w="1361" w:type="dxa"/>
            <w:vMerge w:val="continue"/>
            <w:vAlign w:val="center"/>
          </w:tcPr>
          <w:p w14:paraId="350B79CF">
            <w:pPr>
              <w:jc w:val="center"/>
              <w:rPr>
                <w:rFonts w:hint="eastAsia" w:ascii="宋体" w:hAnsi="宋体" w:cs="宋体"/>
                <w:color w:val="000000" w:themeColor="text1"/>
                <w:sz w:val="18"/>
                <w:szCs w:val="18"/>
                <w14:textFill>
                  <w14:solidFill>
                    <w14:schemeClr w14:val="tx1"/>
                  </w14:solidFill>
                </w14:textFill>
              </w:rPr>
            </w:pPr>
          </w:p>
        </w:tc>
        <w:tc>
          <w:tcPr>
            <w:tcW w:w="821" w:type="dxa"/>
            <w:vAlign w:val="center"/>
          </w:tcPr>
          <w:p w14:paraId="144CCB4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二类区</w:t>
            </w:r>
          </w:p>
        </w:tc>
        <w:tc>
          <w:tcPr>
            <w:tcW w:w="3133" w:type="dxa"/>
            <w:gridSpan w:val="8"/>
            <w:vAlign w:val="center"/>
          </w:tcPr>
          <w:p w14:paraId="611F046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本工程</w:t>
            </w:r>
            <w:r>
              <w:rPr>
                <w:rFonts w:hint="eastAsia" w:ascii="宋体" w:hAnsi="宋体" w:cs="宋体"/>
                <w:color w:val="000000" w:themeColor="text1"/>
                <w:sz w:val="18"/>
                <w:szCs w:val="18"/>
                <w14:textFill>
                  <w14:solidFill>
                    <w14:schemeClr w14:val="tx1"/>
                  </w14:solidFill>
                </w14:textFill>
              </w:rPr>
              <w:t>最大占标率≤30%□</w:t>
            </w:r>
          </w:p>
        </w:tc>
        <w:tc>
          <w:tcPr>
            <w:tcW w:w="2661" w:type="dxa"/>
            <w:gridSpan w:val="8"/>
            <w:vAlign w:val="center"/>
          </w:tcPr>
          <w:p w14:paraId="7DFA0584">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本工程</w:t>
            </w:r>
            <w:r>
              <w:rPr>
                <w:rFonts w:hint="eastAsia" w:ascii="宋体" w:hAnsi="宋体" w:cs="宋体"/>
                <w:color w:val="000000" w:themeColor="text1"/>
                <w:sz w:val="18"/>
                <w:szCs w:val="18"/>
                <w14:textFill>
                  <w14:solidFill>
                    <w14:schemeClr w14:val="tx1"/>
                  </w14:solidFill>
                </w14:textFill>
              </w:rPr>
              <w:t>最大占标率＞30%□</w:t>
            </w:r>
          </w:p>
        </w:tc>
      </w:tr>
      <w:tr w14:paraId="025F16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0B1B02C5">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2645E628">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非正常排放1h浓度贡献值</w:t>
            </w:r>
          </w:p>
        </w:tc>
        <w:tc>
          <w:tcPr>
            <w:tcW w:w="1395" w:type="dxa"/>
            <w:gridSpan w:val="2"/>
            <w:vAlign w:val="center"/>
          </w:tcPr>
          <w:p w14:paraId="629B54E9">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非正常持续时长</w:t>
            </w:r>
          </w:p>
          <w:p w14:paraId="7C155A50">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（）h</w:t>
            </w:r>
          </w:p>
        </w:tc>
        <w:tc>
          <w:tcPr>
            <w:tcW w:w="2559" w:type="dxa"/>
            <w:gridSpan w:val="7"/>
            <w:vAlign w:val="center"/>
          </w:tcPr>
          <w:p w14:paraId="5A36AFF0">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非正常</w:t>
            </w:r>
            <w:r>
              <w:rPr>
                <w:rFonts w:hint="eastAsia" w:ascii="宋体" w:hAnsi="宋体" w:cs="宋体"/>
                <w:color w:val="000000" w:themeColor="text1"/>
                <w:sz w:val="18"/>
                <w:szCs w:val="18"/>
                <w14:textFill>
                  <w14:solidFill>
                    <w14:schemeClr w14:val="tx1"/>
                  </w14:solidFill>
                </w14:textFill>
              </w:rPr>
              <w:t>占标率≤100%□</w:t>
            </w:r>
          </w:p>
        </w:tc>
        <w:tc>
          <w:tcPr>
            <w:tcW w:w="2661" w:type="dxa"/>
            <w:gridSpan w:val="8"/>
            <w:vAlign w:val="center"/>
          </w:tcPr>
          <w:p w14:paraId="7F087435">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非正常</w:t>
            </w:r>
            <w:r>
              <w:rPr>
                <w:rFonts w:hint="eastAsia" w:ascii="宋体" w:hAnsi="宋体" w:cs="宋体"/>
                <w:color w:val="000000" w:themeColor="text1"/>
                <w:sz w:val="18"/>
                <w:szCs w:val="18"/>
                <w14:textFill>
                  <w14:solidFill>
                    <w14:schemeClr w14:val="tx1"/>
                  </w14:solidFill>
                </w14:textFill>
              </w:rPr>
              <w:t>占标率＞100%□</w:t>
            </w:r>
          </w:p>
        </w:tc>
      </w:tr>
      <w:tr w14:paraId="15C249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14E699E8">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6DAB1347">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保证率日平均浓度和年平均浓度叠加值</w:t>
            </w:r>
          </w:p>
        </w:tc>
        <w:tc>
          <w:tcPr>
            <w:tcW w:w="3954" w:type="dxa"/>
            <w:gridSpan w:val="9"/>
            <w:vAlign w:val="center"/>
          </w:tcPr>
          <w:p w14:paraId="570F6BE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叠加</w:t>
            </w:r>
            <w:r>
              <w:rPr>
                <w:rFonts w:hint="eastAsia" w:ascii="宋体" w:hAnsi="宋体" w:cs="宋体"/>
                <w:color w:val="000000" w:themeColor="text1"/>
                <w:sz w:val="18"/>
                <w:szCs w:val="18"/>
                <w14:textFill>
                  <w14:solidFill>
                    <w14:schemeClr w14:val="tx1"/>
                  </w14:solidFill>
                </w14:textFill>
              </w:rPr>
              <w:t>达标□</w:t>
            </w:r>
          </w:p>
        </w:tc>
        <w:tc>
          <w:tcPr>
            <w:tcW w:w="2661" w:type="dxa"/>
            <w:gridSpan w:val="8"/>
            <w:vAlign w:val="center"/>
          </w:tcPr>
          <w:p w14:paraId="05AB3FFC">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w:t>
            </w:r>
            <w:r>
              <w:rPr>
                <w:rFonts w:hint="eastAsia" w:ascii="宋体" w:hAnsi="宋体" w:cs="宋体"/>
                <w:color w:val="000000" w:themeColor="text1"/>
                <w:sz w:val="18"/>
                <w:szCs w:val="18"/>
                <w:vertAlign w:val="subscript"/>
                <w14:textFill>
                  <w14:solidFill>
                    <w14:schemeClr w14:val="tx1"/>
                  </w14:solidFill>
                </w14:textFill>
              </w:rPr>
              <w:t>叠加</w:t>
            </w:r>
            <w:r>
              <w:rPr>
                <w:rFonts w:hint="eastAsia" w:ascii="宋体" w:hAnsi="宋体" w:cs="宋体"/>
                <w:color w:val="000000" w:themeColor="text1"/>
                <w:sz w:val="18"/>
                <w:szCs w:val="18"/>
                <w14:textFill>
                  <w14:solidFill>
                    <w14:schemeClr w14:val="tx1"/>
                  </w14:solidFill>
                </w14:textFill>
              </w:rPr>
              <w:t>不达标□</w:t>
            </w:r>
          </w:p>
        </w:tc>
      </w:tr>
      <w:tr w14:paraId="7234D21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5989266E">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7D943FB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区域环境质量整体变化情况</w:t>
            </w:r>
          </w:p>
        </w:tc>
        <w:tc>
          <w:tcPr>
            <w:tcW w:w="3954" w:type="dxa"/>
            <w:gridSpan w:val="9"/>
            <w:vAlign w:val="center"/>
          </w:tcPr>
          <w:p w14:paraId="3B5E70E8">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k≤-20%□</w:t>
            </w:r>
          </w:p>
        </w:tc>
        <w:tc>
          <w:tcPr>
            <w:tcW w:w="2661" w:type="dxa"/>
            <w:gridSpan w:val="8"/>
            <w:vAlign w:val="center"/>
          </w:tcPr>
          <w:p w14:paraId="311E4B20">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k＞-20%□</w:t>
            </w:r>
          </w:p>
        </w:tc>
      </w:tr>
      <w:tr w14:paraId="4E4E404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6F6D3A9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环境监测计划</w:t>
            </w:r>
          </w:p>
        </w:tc>
        <w:tc>
          <w:tcPr>
            <w:tcW w:w="1361" w:type="dxa"/>
            <w:vAlign w:val="center"/>
          </w:tcPr>
          <w:p w14:paraId="4C6D722B">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污染源监测</w:t>
            </w:r>
          </w:p>
        </w:tc>
        <w:tc>
          <w:tcPr>
            <w:tcW w:w="3053" w:type="dxa"/>
            <w:gridSpan w:val="7"/>
            <w:vAlign w:val="center"/>
          </w:tcPr>
          <w:p w14:paraId="1DC1C832">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监测因子：（NMHC和H</w:t>
            </w:r>
            <w:r>
              <w:rPr>
                <w:rFonts w:hint="eastAsia" w:ascii="宋体" w:hAnsi="宋体" w:cs="宋体"/>
                <w:color w:val="000000" w:themeColor="text1"/>
                <w:sz w:val="18"/>
                <w:szCs w:val="18"/>
                <w:vertAlign w:val="superscript"/>
                <w14:textFill>
                  <w14:solidFill>
                    <w14:schemeClr w14:val="tx1"/>
                  </w14:solidFill>
                </w14:textFill>
              </w:rPr>
              <w:t>2</w:t>
            </w:r>
            <w:r>
              <w:rPr>
                <w:rFonts w:hint="eastAsia" w:ascii="宋体" w:hAnsi="宋体" w:cs="宋体"/>
                <w:color w:val="000000" w:themeColor="text1"/>
                <w:sz w:val="18"/>
                <w:szCs w:val="18"/>
                <w14:textFill>
                  <w14:solidFill>
                    <w14:schemeClr w14:val="tx1"/>
                  </w14:solidFill>
                </w14:textFill>
              </w:rPr>
              <w:t>S）</w:t>
            </w:r>
          </w:p>
        </w:tc>
        <w:tc>
          <w:tcPr>
            <w:tcW w:w="1843" w:type="dxa"/>
            <w:gridSpan w:val="6"/>
            <w:vAlign w:val="center"/>
          </w:tcPr>
          <w:p w14:paraId="2E29E135">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有组织废气监测□</w:t>
            </w:r>
          </w:p>
          <w:p w14:paraId="17B18D31">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无组织废气监测</w:t>
            </w:r>
            <w:r>
              <w:rPr>
                <w:rFonts w:hint="eastAsia" w:ascii="宋体" w:hAnsi="宋体" w:cs="宋体"/>
                <w:color w:val="000000" w:themeColor="text1"/>
                <w:sz w:val="18"/>
                <w:szCs w:val="18"/>
                <w14:textFill>
                  <w14:solidFill>
                    <w14:schemeClr w14:val="tx1"/>
                  </w14:solidFill>
                </w14:textFill>
              </w:rPr>
              <w:sym w:font="Wingdings 2" w:char="0052"/>
            </w:r>
          </w:p>
        </w:tc>
        <w:tc>
          <w:tcPr>
            <w:tcW w:w="1719" w:type="dxa"/>
            <w:gridSpan w:val="4"/>
            <w:vAlign w:val="center"/>
          </w:tcPr>
          <w:p w14:paraId="11824999">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无监测□</w:t>
            </w:r>
          </w:p>
        </w:tc>
      </w:tr>
      <w:tr w14:paraId="2D1787F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2B04F1DC">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77BF4761">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环境质量监测</w:t>
            </w:r>
          </w:p>
        </w:tc>
        <w:tc>
          <w:tcPr>
            <w:tcW w:w="3053" w:type="dxa"/>
            <w:gridSpan w:val="7"/>
            <w:vAlign w:val="center"/>
          </w:tcPr>
          <w:p w14:paraId="002258DE">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监测因子：（             ）</w:t>
            </w:r>
          </w:p>
        </w:tc>
        <w:tc>
          <w:tcPr>
            <w:tcW w:w="1843" w:type="dxa"/>
            <w:gridSpan w:val="6"/>
            <w:vAlign w:val="center"/>
          </w:tcPr>
          <w:p w14:paraId="40B7DD3E">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监测点位数（   ）</w:t>
            </w:r>
          </w:p>
        </w:tc>
        <w:tc>
          <w:tcPr>
            <w:tcW w:w="1719" w:type="dxa"/>
            <w:gridSpan w:val="4"/>
            <w:vAlign w:val="center"/>
          </w:tcPr>
          <w:p w14:paraId="68AF6DE3">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无监测</w:t>
            </w:r>
            <w:r>
              <w:rPr>
                <w:rFonts w:hint="eastAsia" w:ascii="宋体" w:hAnsi="宋体" w:cs="宋体"/>
                <w:color w:val="000000" w:themeColor="text1"/>
                <w:sz w:val="18"/>
                <w:szCs w:val="18"/>
                <w14:textFill>
                  <w14:solidFill>
                    <w14:schemeClr w14:val="tx1"/>
                  </w14:solidFill>
                </w14:textFill>
              </w:rPr>
              <w:sym w:font="Wingdings 2" w:char="0052"/>
            </w:r>
          </w:p>
        </w:tc>
      </w:tr>
      <w:tr w14:paraId="01BABB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7AC6E04B">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评价结论</w:t>
            </w:r>
          </w:p>
        </w:tc>
        <w:tc>
          <w:tcPr>
            <w:tcW w:w="1361" w:type="dxa"/>
            <w:vAlign w:val="center"/>
          </w:tcPr>
          <w:p w14:paraId="3A97A2D8">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环境影响</w:t>
            </w:r>
          </w:p>
        </w:tc>
        <w:tc>
          <w:tcPr>
            <w:tcW w:w="6615" w:type="dxa"/>
            <w:gridSpan w:val="17"/>
            <w:vAlign w:val="center"/>
          </w:tcPr>
          <w:p w14:paraId="664F0D36">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可以接受</w:t>
            </w:r>
            <w:r>
              <w:rPr>
                <w:rFonts w:hint="eastAsia" w:ascii="宋体" w:hAnsi="宋体" w:cs="宋体"/>
                <w:color w:val="000000" w:themeColor="text1"/>
                <w:sz w:val="18"/>
                <w:szCs w:val="18"/>
                <w14:textFill>
                  <w14:solidFill>
                    <w14:schemeClr w14:val="tx1"/>
                  </w14:solidFill>
                </w14:textFill>
              </w:rPr>
              <w:sym w:font="Wingdings 2" w:char="0052"/>
            </w:r>
            <w:r>
              <w:rPr>
                <w:rFonts w:hint="eastAsia" w:ascii="宋体" w:hAnsi="宋体" w:cs="宋体"/>
                <w:color w:val="000000" w:themeColor="text1"/>
                <w:sz w:val="18"/>
                <w:szCs w:val="18"/>
                <w14:textFill>
                  <w14:solidFill>
                    <w14:schemeClr w14:val="tx1"/>
                  </w14:solidFill>
                </w14:textFill>
              </w:rPr>
              <w:t xml:space="preserve">    不可以接受□</w:t>
            </w:r>
          </w:p>
        </w:tc>
      </w:tr>
      <w:tr w14:paraId="6EFF7E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73AB1F55">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06DE015C">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大气环境防护距离</w:t>
            </w:r>
          </w:p>
        </w:tc>
        <w:tc>
          <w:tcPr>
            <w:tcW w:w="6615" w:type="dxa"/>
            <w:gridSpan w:val="17"/>
            <w:vAlign w:val="center"/>
          </w:tcPr>
          <w:p w14:paraId="0DE6EC2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距厂界最远（0）m</w:t>
            </w:r>
          </w:p>
        </w:tc>
      </w:tr>
      <w:tr w14:paraId="2A5955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5AAB5DC8">
            <w:pPr>
              <w:jc w:val="center"/>
              <w:rPr>
                <w:rFonts w:hint="eastAsia" w:ascii="宋体" w:hAnsi="宋体" w:cs="宋体"/>
                <w:color w:val="000000" w:themeColor="text1"/>
                <w:sz w:val="18"/>
                <w:szCs w:val="18"/>
                <w14:textFill>
                  <w14:solidFill>
                    <w14:schemeClr w14:val="tx1"/>
                  </w14:solidFill>
                </w14:textFill>
              </w:rPr>
            </w:pPr>
          </w:p>
        </w:tc>
        <w:tc>
          <w:tcPr>
            <w:tcW w:w="1361" w:type="dxa"/>
            <w:vAlign w:val="center"/>
          </w:tcPr>
          <w:p w14:paraId="7B399EA4">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污染源</w:t>
            </w:r>
          </w:p>
          <w:p w14:paraId="6C87E360">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年排放量</w:t>
            </w:r>
          </w:p>
        </w:tc>
        <w:tc>
          <w:tcPr>
            <w:tcW w:w="1395" w:type="dxa"/>
            <w:gridSpan w:val="2"/>
            <w:vAlign w:val="center"/>
          </w:tcPr>
          <w:p w14:paraId="342AC5FF">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SO</w:t>
            </w:r>
            <w:r>
              <w:rPr>
                <w:rFonts w:hint="eastAsia" w:ascii="宋体" w:hAnsi="宋体" w:cs="宋体"/>
                <w:color w:val="000000" w:themeColor="text1"/>
                <w:sz w:val="18"/>
                <w:szCs w:val="18"/>
                <w:vertAlign w:val="subscript"/>
                <w14:textFill>
                  <w14:solidFill>
                    <w14:schemeClr w14:val="tx1"/>
                  </w14:solidFill>
                </w14:textFill>
              </w:rPr>
              <w:t>2</w:t>
            </w:r>
            <w:r>
              <w:rPr>
                <w:rFonts w:hint="eastAsia" w:ascii="宋体" w:hAnsi="宋体" w:cs="宋体"/>
                <w:color w:val="000000" w:themeColor="text1"/>
                <w:sz w:val="18"/>
                <w:szCs w:val="18"/>
                <w14:textFill>
                  <w14:solidFill>
                    <w14:schemeClr w14:val="tx1"/>
                  </w14:solidFill>
                </w14:textFill>
              </w:rPr>
              <w:t>：（</w:t>
            </w:r>
            <w:r>
              <w:rPr>
                <w:rFonts w:ascii="宋体" w:hAnsi="宋体" w:cs="宋体"/>
                <w:color w:val="000000" w:themeColor="text1"/>
                <w:sz w:val="18"/>
                <w:szCs w:val="18"/>
                <w14:textFill>
                  <w14:solidFill>
                    <w14:schemeClr w14:val="tx1"/>
                  </w14:solidFill>
                </w14:textFill>
              </w:rPr>
              <w:t>0</w:t>
            </w:r>
            <w:r>
              <w:rPr>
                <w:rFonts w:hint="eastAsia" w:ascii="宋体" w:hAnsi="宋体" w:cs="宋体"/>
                <w:color w:val="000000" w:themeColor="text1"/>
                <w:sz w:val="18"/>
                <w:szCs w:val="18"/>
                <w14:textFill>
                  <w14:solidFill>
                    <w14:schemeClr w14:val="tx1"/>
                  </w14:solidFill>
                </w14:textFill>
              </w:rPr>
              <w:t>）t/a</w:t>
            </w:r>
          </w:p>
        </w:tc>
        <w:tc>
          <w:tcPr>
            <w:tcW w:w="1546" w:type="dxa"/>
            <w:gridSpan w:val="4"/>
            <w:vAlign w:val="center"/>
          </w:tcPr>
          <w:p w14:paraId="67FAA5AB">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NO</w:t>
            </w:r>
            <w:r>
              <w:rPr>
                <w:rFonts w:hint="eastAsia" w:ascii="宋体" w:hAnsi="宋体" w:cs="宋体"/>
                <w:color w:val="000000" w:themeColor="text1"/>
                <w:sz w:val="18"/>
                <w:szCs w:val="18"/>
                <w:vertAlign w:val="subscript"/>
                <w14:textFill>
                  <w14:solidFill>
                    <w14:schemeClr w14:val="tx1"/>
                  </w14:solidFill>
                </w14:textFill>
              </w:rPr>
              <w:t>x</w:t>
            </w:r>
            <w:r>
              <w:rPr>
                <w:rFonts w:hint="eastAsia" w:ascii="宋体" w:hAnsi="宋体" w:cs="宋体"/>
                <w:color w:val="000000" w:themeColor="text1"/>
                <w:sz w:val="18"/>
                <w:szCs w:val="18"/>
                <w14:textFill>
                  <w14:solidFill>
                    <w14:schemeClr w14:val="tx1"/>
                  </w14:solidFill>
                </w14:textFill>
              </w:rPr>
              <w:t>：（</w:t>
            </w:r>
            <w:r>
              <w:rPr>
                <w:rFonts w:ascii="宋体" w:hAnsi="宋体" w:cs="宋体"/>
                <w:color w:val="000000" w:themeColor="text1"/>
                <w:sz w:val="18"/>
                <w:szCs w:val="18"/>
                <w14:textFill>
                  <w14:solidFill>
                    <w14:schemeClr w14:val="tx1"/>
                  </w14:solidFill>
                </w14:textFill>
              </w:rPr>
              <w:t>0</w:t>
            </w:r>
            <w:r>
              <w:rPr>
                <w:rFonts w:hint="eastAsia" w:ascii="宋体" w:hAnsi="宋体" w:cs="宋体"/>
                <w:color w:val="000000" w:themeColor="text1"/>
                <w:sz w:val="18"/>
                <w:szCs w:val="18"/>
                <w14:textFill>
                  <w14:solidFill>
                    <w14:schemeClr w14:val="tx1"/>
                  </w14:solidFill>
                </w14:textFill>
              </w:rPr>
              <w:t>）t/a</w:t>
            </w:r>
          </w:p>
        </w:tc>
        <w:tc>
          <w:tcPr>
            <w:tcW w:w="1318" w:type="dxa"/>
            <w:gridSpan w:val="4"/>
            <w:vAlign w:val="center"/>
          </w:tcPr>
          <w:p w14:paraId="15B28FC1">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颗粒物：（</w:t>
            </w:r>
            <w:r>
              <w:rPr>
                <w:rFonts w:ascii="宋体" w:hAnsi="宋体" w:cs="宋体"/>
                <w:color w:val="000000" w:themeColor="text1"/>
                <w:sz w:val="18"/>
                <w:szCs w:val="18"/>
                <w14:textFill>
                  <w14:solidFill>
                    <w14:schemeClr w14:val="tx1"/>
                  </w14:solidFill>
                </w14:textFill>
              </w:rPr>
              <w:t>0</w:t>
            </w:r>
            <w:r>
              <w:rPr>
                <w:rFonts w:hint="eastAsia" w:ascii="宋体" w:hAnsi="宋体" w:cs="宋体"/>
                <w:color w:val="000000" w:themeColor="text1"/>
                <w:sz w:val="18"/>
                <w:szCs w:val="18"/>
                <w14:textFill>
                  <w14:solidFill>
                    <w14:schemeClr w14:val="tx1"/>
                  </w14:solidFill>
                </w14:textFill>
              </w:rPr>
              <w:t>）t/a</w:t>
            </w:r>
          </w:p>
        </w:tc>
        <w:tc>
          <w:tcPr>
            <w:tcW w:w="1295" w:type="dxa"/>
            <w:gridSpan w:val="5"/>
            <w:tcBorders>
              <w:right w:val="single" w:color="auto" w:sz="4" w:space="0"/>
            </w:tcBorders>
            <w:vAlign w:val="center"/>
          </w:tcPr>
          <w:p w14:paraId="7E419189">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VOCs：（0.4062）t/a</w:t>
            </w:r>
          </w:p>
        </w:tc>
        <w:tc>
          <w:tcPr>
            <w:tcW w:w="1061" w:type="dxa"/>
            <w:gridSpan w:val="2"/>
            <w:tcBorders>
              <w:left w:val="single" w:color="auto" w:sz="4" w:space="0"/>
            </w:tcBorders>
            <w:vAlign w:val="center"/>
          </w:tcPr>
          <w:p w14:paraId="34793E57">
            <w:pPr>
              <w:jc w:val="center"/>
              <w:rPr>
                <w:rFonts w:hint="eastAsia"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H</w:t>
            </w:r>
            <w:r>
              <w:rPr>
                <w:rFonts w:hint="eastAsia" w:ascii="宋体" w:hAnsi="宋体" w:cs="宋体"/>
                <w:color w:val="000000" w:themeColor="text1"/>
                <w:sz w:val="18"/>
                <w:szCs w:val="18"/>
                <w:vertAlign w:val="subscript"/>
                <w14:textFill>
                  <w14:solidFill>
                    <w14:schemeClr w14:val="tx1"/>
                  </w14:solidFill>
                </w14:textFill>
              </w:rPr>
              <w:t>2</w:t>
            </w:r>
            <w:r>
              <w:rPr>
                <w:rFonts w:hint="eastAsia" w:ascii="宋体" w:hAnsi="宋体" w:cs="宋体"/>
                <w:color w:val="000000" w:themeColor="text1"/>
                <w:sz w:val="18"/>
                <w:szCs w:val="18"/>
                <w14:textFill>
                  <w14:solidFill>
                    <w14:schemeClr w14:val="tx1"/>
                  </w14:solidFill>
                </w14:textFill>
              </w:rPr>
              <w:t>S：（</w:t>
            </w:r>
            <w:r>
              <w:rPr>
                <w:rFonts w:hint="eastAsia" w:ascii="宋体" w:hAnsi="宋体" w:cs="宋体"/>
                <w:color w:val="000000" w:themeColor="text1"/>
                <w:sz w:val="18"/>
                <w:szCs w:val="18"/>
                <w:lang w:eastAsia="zh-CN"/>
                <w14:textFill>
                  <w14:solidFill>
                    <w14:schemeClr w14:val="tx1"/>
                  </w14:solidFill>
                </w14:textFill>
              </w:rPr>
              <w:t>0.0653</w:t>
            </w:r>
            <w:r>
              <w:rPr>
                <w:rFonts w:hint="eastAsia" w:ascii="宋体" w:hAnsi="宋体" w:cs="宋体"/>
                <w:color w:val="000000" w:themeColor="text1"/>
                <w:sz w:val="18"/>
                <w:szCs w:val="18"/>
                <w14:textFill>
                  <w14:solidFill>
                    <w14:schemeClr w14:val="tx1"/>
                  </w14:solidFill>
                </w14:textFill>
              </w:rPr>
              <w:t>）kg/a</w:t>
            </w:r>
          </w:p>
        </w:tc>
      </w:tr>
    </w:tbl>
    <w:p w14:paraId="6BC1E61B">
      <w:pPr>
        <w:pStyle w:val="6"/>
        <w:numPr>
          <w:ilvl w:val="0"/>
          <w:numId w:val="0"/>
        </w:numPr>
        <w:rPr>
          <w:rFonts w:hint="eastAsia"/>
          <w:color w:val="000000" w:themeColor="text1"/>
          <w14:textFill>
            <w14:solidFill>
              <w14:schemeClr w14:val="tx1"/>
            </w14:solidFill>
          </w14:textFill>
        </w:rPr>
      </w:pPr>
      <w:bookmarkStart w:id="816" w:name="_Toc25542"/>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 xml:space="preserve">6  </w:t>
      </w:r>
      <w:r>
        <w:rPr>
          <w:rFonts w:hint="eastAsia"/>
          <w:color w:val="000000" w:themeColor="text1"/>
          <w14:textFill>
            <w14:solidFill>
              <w14:schemeClr w14:val="tx1"/>
            </w14:solidFill>
          </w14:textFill>
        </w:rPr>
        <w:t>声环境影响自查表</w:t>
      </w:r>
      <w:bookmarkEnd w:id="816"/>
    </w:p>
    <w:tbl>
      <w:tblPr>
        <w:tblStyle w:val="51"/>
        <w:tblW w:w="5000"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0"/>
        <w:gridCol w:w="7"/>
        <w:gridCol w:w="1604"/>
        <w:gridCol w:w="800"/>
        <w:gridCol w:w="527"/>
        <w:gridCol w:w="307"/>
        <w:gridCol w:w="215"/>
        <w:gridCol w:w="1050"/>
        <w:gridCol w:w="24"/>
        <w:gridCol w:w="1053"/>
        <w:gridCol w:w="534"/>
        <w:gridCol w:w="485"/>
        <w:gridCol w:w="37"/>
        <w:gridCol w:w="1104"/>
        <w:gridCol w:w="23"/>
      </w:tblGrid>
      <w:tr w14:paraId="1364A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1468" w:type="pct"/>
            <w:gridSpan w:val="3"/>
            <w:tcMar>
              <w:left w:w="0" w:type="dxa"/>
              <w:right w:w="0" w:type="dxa"/>
            </w:tcMar>
            <w:vAlign w:val="center"/>
          </w:tcPr>
          <w:p w14:paraId="08A586D5">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工作内容</w:t>
            </w:r>
          </w:p>
        </w:tc>
        <w:tc>
          <w:tcPr>
            <w:tcW w:w="3517" w:type="pct"/>
            <w:gridSpan w:val="11"/>
            <w:tcMar>
              <w:left w:w="0" w:type="dxa"/>
              <w:right w:w="0" w:type="dxa"/>
            </w:tcMar>
            <w:vAlign w:val="center"/>
          </w:tcPr>
          <w:p w14:paraId="513257F1">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自查项目</w:t>
            </w:r>
          </w:p>
        </w:tc>
      </w:tr>
      <w:tr w14:paraId="2C569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restart"/>
            <w:tcMar>
              <w:left w:w="0" w:type="dxa"/>
              <w:right w:w="0" w:type="dxa"/>
            </w:tcMar>
            <w:vAlign w:val="center"/>
          </w:tcPr>
          <w:p w14:paraId="182ACBA5">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评价等级与范围</w:t>
            </w:r>
          </w:p>
        </w:tc>
        <w:tc>
          <w:tcPr>
            <w:tcW w:w="924" w:type="pct"/>
            <w:gridSpan w:val="2"/>
            <w:tcMar>
              <w:left w:w="0" w:type="dxa"/>
              <w:right w:w="0" w:type="dxa"/>
            </w:tcMar>
            <w:vAlign w:val="center"/>
          </w:tcPr>
          <w:p w14:paraId="3CD331E3">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评价等级</w:t>
            </w:r>
          </w:p>
        </w:tc>
        <w:tc>
          <w:tcPr>
            <w:tcW w:w="3517" w:type="pct"/>
            <w:gridSpan w:val="11"/>
            <w:tcMar>
              <w:left w:w="0" w:type="dxa"/>
              <w:right w:w="0" w:type="dxa"/>
            </w:tcMar>
            <w:vAlign w:val="center"/>
          </w:tcPr>
          <w:p w14:paraId="0D2DAD1B">
            <w:pPr>
              <w:tabs>
                <w:tab w:val="left" w:pos="2103"/>
                <w:tab w:val="left" w:pos="3635"/>
              </w:tabs>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一级□          二级</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三级□</w:t>
            </w:r>
          </w:p>
        </w:tc>
      </w:tr>
      <w:tr w14:paraId="210B1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continue"/>
            <w:tcMar>
              <w:left w:w="0" w:type="dxa"/>
              <w:right w:w="0" w:type="dxa"/>
            </w:tcMar>
            <w:vAlign w:val="center"/>
          </w:tcPr>
          <w:p w14:paraId="11F4907F">
            <w:pPr>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p>
        </w:tc>
        <w:tc>
          <w:tcPr>
            <w:tcW w:w="924" w:type="pct"/>
            <w:gridSpan w:val="2"/>
            <w:tcMar>
              <w:left w:w="0" w:type="dxa"/>
              <w:right w:w="0" w:type="dxa"/>
            </w:tcMar>
            <w:vAlign w:val="center"/>
          </w:tcPr>
          <w:p w14:paraId="6E5808FD">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评价范围</w:t>
            </w:r>
          </w:p>
        </w:tc>
        <w:tc>
          <w:tcPr>
            <w:tcW w:w="3517" w:type="pct"/>
            <w:gridSpan w:val="11"/>
            <w:tcMar>
              <w:left w:w="0" w:type="dxa"/>
              <w:right w:w="0" w:type="dxa"/>
            </w:tcMar>
            <w:vAlign w:val="center"/>
          </w:tcPr>
          <w:p w14:paraId="425DBC3C">
            <w:pPr>
              <w:tabs>
                <w:tab w:val="left" w:pos="2384"/>
                <w:tab w:val="left" w:pos="5315"/>
              </w:tabs>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200m</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大于200m□          小于200m□</w:t>
            </w:r>
          </w:p>
        </w:tc>
      </w:tr>
      <w:tr w14:paraId="53374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tcMar>
              <w:left w:w="0" w:type="dxa"/>
              <w:right w:w="0" w:type="dxa"/>
            </w:tcMar>
            <w:vAlign w:val="center"/>
          </w:tcPr>
          <w:p w14:paraId="41F30671">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评价因子</w:t>
            </w:r>
          </w:p>
        </w:tc>
        <w:tc>
          <w:tcPr>
            <w:tcW w:w="924" w:type="pct"/>
            <w:gridSpan w:val="2"/>
            <w:tcMar>
              <w:left w:w="0" w:type="dxa"/>
              <w:right w:w="0" w:type="dxa"/>
            </w:tcMar>
            <w:vAlign w:val="center"/>
          </w:tcPr>
          <w:p w14:paraId="234AECDA">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评价因子</w:t>
            </w:r>
          </w:p>
        </w:tc>
        <w:tc>
          <w:tcPr>
            <w:tcW w:w="3517" w:type="pct"/>
            <w:gridSpan w:val="11"/>
            <w:tcMar>
              <w:left w:w="0" w:type="dxa"/>
              <w:right w:w="0" w:type="dxa"/>
            </w:tcMar>
            <w:vAlign w:val="center"/>
          </w:tcPr>
          <w:p w14:paraId="0C6D2BD5">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等效连续A声级</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最大A声级□ 计权等效连续感觉噪声级□</w:t>
            </w:r>
          </w:p>
        </w:tc>
      </w:tr>
      <w:tr w14:paraId="0E55C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tcMar>
              <w:left w:w="0" w:type="dxa"/>
              <w:right w:w="0" w:type="dxa"/>
            </w:tcMar>
            <w:vAlign w:val="center"/>
          </w:tcPr>
          <w:p w14:paraId="0B8032E3">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评价标准</w:t>
            </w:r>
          </w:p>
        </w:tc>
        <w:tc>
          <w:tcPr>
            <w:tcW w:w="924" w:type="pct"/>
            <w:gridSpan w:val="2"/>
            <w:tcMar>
              <w:left w:w="0" w:type="dxa"/>
              <w:right w:w="0" w:type="dxa"/>
            </w:tcMar>
            <w:vAlign w:val="center"/>
          </w:tcPr>
          <w:p w14:paraId="502CDF64">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评价标准</w:t>
            </w:r>
          </w:p>
        </w:tc>
        <w:tc>
          <w:tcPr>
            <w:tcW w:w="3517" w:type="pct"/>
            <w:gridSpan w:val="11"/>
            <w:tcMar>
              <w:left w:w="0" w:type="dxa"/>
              <w:right w:w="0" w:type="dxa"/>
            </w:tcMar>
            <w:vAlign w:val="center"/>
          </w:tcPr>
          <w:p w14:paraId="6482F09E">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国家标准</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地方标准□     国外标准□</w:t>
            </w:r>
          </w:p>
        </w:tc>
      </w:tr>
      <w:tr w14:paraId="66C20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restart"/>
            <w:tcMar>
              <w:left w:w="0" w:type="dxa"/>
              <w:right w:w="0" w:type="dxa"/>
            </w:tcMar>
            <w:vAlign w:val="center"/>
          </w:tcPr>
          <w:p w14:paraId="0D12466B">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现状评价</w:t>
            </w:r>
          </w:p>
        </w:tc>
        <w:tc>
          <w:tcPr>
            <w:tcW w:w="924" w:type="pct"/>
            <w:gridSpan w:val="2"/>
            <w:tcMar>
              <w:left w:w="0" w:type="dxa"/>
              <w:right w:w="0" w:type="dxa"/>
            </w:tcMar>
            <w:vAlign w:val="center"/>
          </w:tcPr>
          <w:p w14:paraId="112420E9">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环境功能区</w:t>
            </w:r>
          </w:p>
        </w:tc>
        <w:tc>
          <w:tcPr>
            <w:tcW w:w="459" w:type="pct"/>
            <w:tcMar>
              <w:left w:w="0" w:type="dxa"/>
              <w:right w:w="0" w:type="dxa"/>
            </w:tcMar>
            <w:vAlign w:val="center"/>
          </w:tcPr>
          <w:p w14:paraId="320F3A4D">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0类区□</w:t>
            </w:r>
          </w:p>
        </w:tc>
        <w:tc>
          <w:tcPr>
            <w:tcW w:w="601" w:type="pct"/>
            <w:gridSpan w:val="3"/>
            <w:tcMar>
              <w:left w:w="0" w:type="dxa"/>
              <w:right w:w="0" w:type="dxa"/>
            </w:tcMar>
            <w:vAlign w:val="center"/>
          </w:tcPr>
          <w:p w14:paraId="0D3C6388">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1类区□</w:t>
            </w:r>
          </w:p>
        </w:tc>
        <w:tc>
          <w:tcPr>
            <w:tcW w:w="602" w:type="pct"/>
            <w:tcMar>
              <w:left w:w="0" w:type="dxa"/>
              <w:right w:w="0" w:type="dxa"/>
            </w:tcMar>
            <w:vAlign w:val="center"/>
          </w:tcPr>
          <w:p w14:paraId="60C31DCA">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2类区</w:t>
            </w:r>
            <w:r>
              <w:rPr>
                <w:rFonts w:ascii="Segoe UI Symbol" w:hAnsi="Segoe UI Symbol" w:cs="Segoe UI Symbol"/>
                <w:color w:val="000000" w:themeColor="text1"/>
                <w:spacing w:val="-10"/>
                <w:kern w:val="0"/>
                <w:szCs w:val="21"/>
                <w14:textFill>
                  <w14:solidFill>
                    <w14:schemeClr w14:val="tx1"/>
                  </w14:solidFill>
                </w14:textFill>
              </w:rPr>
              <w:t>☑</w:t>
            </w:r>
          </w:p>
        </w:tc>
        <w:tc>
          <w:tcPr>
            <w:tcW w:w="618" w:type="pct"/>
            <w:gridSpan w:val="2"/>
            <w:tcMar>
              <w:left w:w="0" w:type="dxa"/>
              <w:right w:w="0" w:type="dxa"/>
            </w:tcMar>
            <w:vAlign w:val="center"/>
          </w:tcPr>
          <w:p w14:paraId="385AAFDE">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3类区□</w:t>
            </w:r>
          </w:p>
        </w:tc>
        <w:tc>
          <w:tcPr>
            <w:tcW w:w="584" w:type="pct"/>
            <w:gridSpan w:val="2"/>
            <w:tcMar>
              <w:left w:w="0" w:type="dxa"/>
              <w:right w:w="0" w:type="dxa"/>
            </w:tcMar>
            <w:vAlign w:val="center"/>
          </w:tcPr>
          <w:p w14:paraId="0A199731">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4a类区□</w:t>
            </w:r>
          </w:p>
        </w:tc>
        <w:tc>
          <w:tcPr>
            <w:tcW w:w="653" w:type="pct"/>
            <w:gridSpan w:val="2"/>
            <w:tcMar>
              <w:left w:w="0" w:type="dxa"/>
              <w:right w:w="0" w:type="dxa"/>
            </w:tcMar>
            <w:vAlign w:val="center"/>
          </w:tcPr>
          <w:p w14:paraId="12C9E77A">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4b类区□</w:t>
            </w:r>
          </w:p>
        </w:tc>
      </w:tr>
      <w:tr w14:paraId="46CDD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continue"/>
            <w:tcMar>
              <w:left w:w="0" w:type="dxa"/>
              <w:right w:w="0" w:type="dxa"/>
            </w:tcMar>
            <w:vAlign w:val="center"/>
          </w:tcPr>
          <w:p w14:paraId="3BBC63DF">
            <w:pPr>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p>
        </w:tc>
        <w:tc>
          <w:tcPr>
            <w:tcW w:w="924" w:type="pct"/>
            <w:gridSpan w:val="2"/>
            <w:tcMar>
              <w:left w:w="0" w:type="dxa"/>
              <w:right w:w="0" w:type="dxa"/>
            </w:tcMar>
            <w:vAlign w:val="center"/>
          </w:tcPr>
          <w:p w14:paraId="4550363B">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评价年度</w:t>
            </w:r>
          </w:p>
        </w:tc>
        <w:tc>
          <w:tcPr>
            <w:tcW w:w="761" w:type="pct"/>
            <w:gridSpan w:val="2"/>
            <w:tcMar>
              <w:left w:w="0" w:type="dxa"/>
              <w:right w:w="0" w:type="dxa"/>
            </w:tcMar>
            <w:vAlign w:val="center"/>
          </w:tcPr>
          <w:p w14:paraId="313D5591">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初期□</w:t>
            </w:r>
          </w:p>
        </w:tc>
        <w:tc>
          <w:tcPr>
            <w:tcW w:w="900" w:type="pct"/>
            <w:gridSpan w:val="3"/>
            <w:tcMar>
              <w:left w:w="0" w:type="dxa"/>
              <w:right w:w="0" w:type="dxa"/>
            </w:tcMar>
            <w:vAlign w:val="center"/>
          </w:tcPr>
          <w:p w14:paraId="1908773E">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近期</w:t>
            </w:r>
            <w:r>
              <w:rPr>
                <w:rFonts w:ascii="Segoe UI Symbol" w:hAnsi="Segoe UI Symbol" w:cs="Segoe UI Symbol"/>
                <w:color w:val="000000" w:themeColor="text1"/>
                <w:spacing w:val="-10"/>
                <w:kern w:val="0"/>
                <w:szCs w:val="21"/>
                <w14:textFill>
                  <w14:solidFill>
                    <w14:schemeClr w14:val="tx1"/>
                  </w14:solidFill>
                </w14:textFill>
              </w:rPr>
              <w:t>☑</w:t>
            </w:r>
          </w:p>
        </w:tc>
        <w:tc>
          <w:tcPr>
            <w:tcW w:w="924" w:type="pct"/>
            <w:gridSpan w:val="3"/>
            <w:tcMar>
              <w:left w:w="0" w:type="dxa"/>
              <w:right w:w="0" w:type="dxa"/>
            </w:tcMar>
            <w:vAlign w:val="center"/>
          </w:tcPr>
          <w:p w14:paraId="74D337A6">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中期□</w:t>
            </w:r>
          </w:p>
        </w:tc>
        <w:tc>
          <w:tcPr>
            <w:tcW w:w="931" w:type="pct"/>
            <w:gridSpan w:val="3"/>
            <w:tcMar>
              <w:left w:w="0" w:type="dxa"/>
              <w:right w:w="0" w:type="dxa"/>
            </w:tcMar>
            <w:vAlign w:val="center"/>
          </w:tcPr>
          <w:p w14:paraId="660AC8FF">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远期□</w:t>
            </w:r>
          </w:p>
        </w:tc>
      </w:tr>
      <w:tr w14:paraId="284E1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continue"/>
            <w:tcMar>
              <w:left w:w="0" w:type="dxa"/>
              <w:right w:w="0" w:type="dxa"/>
            </w:tcMar>
            <w:vAlign w:val="center"/>
          </w:tcPr>
          <w:p w14:paraId="6277B4F3">
            <w:pPr>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p>
        </w:tc>
        <w:tc>
          <w:tcPr>
            <w:tcW w:w="924" w:type="pct"/>
            <w:gridSpan w:val="2"/>
            <w:tcMar>
              <w:left w:w="0" w:type="dxa"/>
              <w:right w:w="0" w:type="dxa"/>
            </w:tcMar>
            <w:vAlign w:val="center"/>
          </w:tcPr>
          <w:p w14:paraId="2565B30F">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现状调查方法</w:t>
            </w:r>
          </w:p>
        </w:tc>
        <w:tc>
          <w:tcPr>
            <w:tcW w:w="3517" w:type="pct"/>
            <w:gridSpan w:val="11"/>
            <w:tcMar>
              <w:left w:w="0" w:type="dxa"/>
              <w:right w:w="0" w:type="dxa"/>
            </w:tcMar>
            <w:vAlign w:val="center"/>
          </w:tcPr>
          <w:p w14:paraId="499305B0">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现场实测法</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现场实测加模型计算法□   收集资料□</w:t>
            </w:r>
          </w:p>
        </w:tc>
      </w:tr>
      <w:tr w14:paraId="7618D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continue"/>
            <w:tcMar>
              <w:left w:w="0" w:type="dxa"/>
              <w:right w:w="0" w:type="dxa"/>
            </w:tcMar>
            <w:vAlign w:val="center"/>
          </w:tcPr>
          <w:p w14:paraId="56C0B1CA">
            <w:pPr>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p>
        </w:tc>
        <w:tc>
          <w:tcPr>
            <w:tcW w:w="924" w:type="pct"/>
            <w:gridSpan w:val="2"/>
            <w:tcMar>
              <w:left w:w="0" w:type="dxa"/>
              <w:right w:w="0" w:type="dxa"/>
            </w:tcMar>
            <w:vAlign w:val="center"/>
          </w:tcPr>
          <w:p w14:paraId="39717510">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现状评价</w:t>
            </w:r>
          </w:p>
        </w:tc>
        <w:tc>
          <w:tcPr>
            <w:tcW w:w="937" w:type="pct"/>
            <w:gridSpan w:val="3"/>
            <w:tcMar>
              <w:left w:w="0" w:type="dxa"/>
              <w:right w:w="0" w:type="dxa"/>
            </w:tcMar>
            <w:vAlign w:val="center"/>
          </w:tcPr>
          <w:p w14:paraId="50A4C91E">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达标百分比</w:t>
            </w:r>
          </w:p>
        </w:tc>
        <w:tc>
          <w:tcPr>
            <w:tcW w:w="2581" w:type="pct"/>
            <w:gridSpan w:val="8"/>
            <w:tcMar>
              <w:left w:w="0" w:type="dxa"/>
              <w:right w:w="0" w:type="dxa"/>
            </w:tcMar>
            <w:vAlign w:val="center"/>
          </w:tcPr>
          <w:p w14:paraId="5CC469B9">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100</w:t>
            </w:r>
          </w:p>
        </w:tc>
      </w:tr>
      <w:tr w14:paraId="069F2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tcMar>
              <w:left w:w="0" w:type="dxa"/>
              <w:right w:w="0" w:type="dxa"/>
            </w:tcMar>
            <w:vAlign w:val="center"/>
          </w:tcPr>
          <w:p w14:paraId="323BDDC7">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噪声源</w:t>
            </w:r>
          </w:p>
          <w:p w14:paraId="3DB7D8CF">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调查</w:t>
            </w:r>
          </w:p>
        </w:tc>
        <w:tc>
          <w:tcPr>
            <w:tcW w:w="919" w:type="pct"/>
            <w:tcMar>
              <w:left w:w="0" w:type="dxa"/>
              <w:right w:w="0" w:type="dxa"/>
            </w:tcMar>
            <w:vAlign w:val="center"/>
          </w:tcPr>
          <w:p w14:paraId="51055BE8">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噪声源调查方法</w:t>
            </w:r>
          </w:p>
        </w:tc>
        <w:tc>
          <w:tcPr>
            <w:tcW w:w="3532" w:type="pct"/>
            <w:gridSpan w:val="12"/>
            <w:tcMar>
              <w:left w:w="0" w:type="dxa"/>
              <w:right w:w="0" w:type="dxa"/>
            </w:tcMar>
            <w:vAlign w:val="center"/>
          </w:tcPr>
          <w:p w14:paraId="55A3C3E6">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现场实测□     已有资料</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研究成果□</w:t>
            </w:r>
          </w:p>
        </w:tc>
      </w:tr>
      <w:tr w14:paraId="5C877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restart"/>
            <w:tcMar>
              <w:left w:w="0" w:type="dxa"/>
              <w:right w:w="0" w:type="dxa"/>
            </w:tcMar>
            <w:vAlign w:val="center"/>
          </w:tcPr>
          <w:p w14:paraId="22E61BFA">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ascii="宋体" w:hAnsi="宋体" w:cs="宋体"/>
                <w:color w:val="000000" w:themeColor="text1"/>
                <w:kern w:val="0"/>
                <w:szCs w:val="21"/>
                <w14:textFill>
                  <w14:solidFill>
                    <w14:schemeClr w14:val="tx1"/>
                  </w14:solidFill>
                </w14:textFill>
              </w:rPr>
              <w:br w:type="page"/>
            </w:r>
            <w:r>
              <w:rPr>
                <w:rFonts w:hint="eastAsia" w:ascii="宋体" w:hAnsi="宋体" w:cs="宋体"/>
                <w:color w:val="000000" w:themeColor="text1"/>
                <w:spacing w:val="-10"/>
                <w:kern w:val="0"/>
                <w:szCs w:val="21"/>
                <w14:textFill>
                  <w14:solidFill>
                    <w14:schemeClr w14:val="tx1"/>
                  </w14:solidFill>
                </w14:textFill>
              </w:rPr>
              <w:t>声环境影响预测与评价</w:t>
            </w:r>
          </w:p>
        </w:tc>
        <w:tc>
          <w:tcPr>
            <w:tcW w:w="919" w:type="pct"/>
            <w:tcMar>
              <w:left w:w="0" w:type="dxa"/>
              <w:right w:w="0" w:type="dxa"/>
            </w:tcMar>
            <w:vAlign w:val="center"/>
          </w:tcPr>
          <w:p w14:paraId="70CC12D8">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预测模型</w:t>
            </w:r>
          </w:p>
        </w:tc>
        <w:tc>
          <w:tcPr>
            <w:tcW w:w="3532" w:type="pct"/>
            <w:gridSpan w:val="12"/>
            <w:tcMar>
              <w:left w:w="0" w:type="dxa"/>
              <w:right w:w="0" w:type="dxa"/>
            </w:tcMar>
            <w:vAlign w:val="center"/>
          </w:tcPr>
          <w:p w14:paraId="5FFBDE2E">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导则推荐模型□          其他□</w:t>
            </w:r>
          </w:p>
        </w:tc>
      </w:tr>
      <w:tr w14:paraId="780CE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533A2F19">
            <w:pPr>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p>
        </w:tc>
        <w:tc>
          <w:tcPr>
            <w:tcW w:w="919" w:type="pct"/>
            <w:tcMar>
              <w:left w:w="0" w:type="dxa"/>
              <w:right w:w="0" w:type="dxa"/>
            </w:tcMar>
            <w:vAlign w:val="center"/>
          </w:tcPr>
          <w:p w14:paraId="7A2DB476">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预测范围</w:t>
            </w:r>
          </w:p>
        </w:tc>
        <w:tc>
          <w:tcPr>
            <w:tcW w:w="3532" w:type="pct"/>
            <w:gridSpan w:val="12"/>
            <w:tcMar>
              <w:left w:w="0" w:type="dxa"/>
              <w:right w:w="0" w:type="dxa"/>
            </w:tcMar>
            <w:vAlign w:val="center"/>
          </w:tcPr>
          <w:p w14:paraId="4670FFAA">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200m</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大于200m□     小于200m□</w:t>
            </w:r>
          </w:p>
        </w:tc>
      </w:tr>
      <w:tr w14:paraId="435EF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22E1AE54">
            <w:pPr>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p>
        </w:tc>
        <w:tc>
          <w:tcPr>
            <w:tcW w:w="919" w:type="pct"/>
            <w:tcMar>
              <w:left w:w="0" w:type="dxa"/>
              <w:right w:w="0" w:type="dxa"/>
            </w:tcMar>
            <w:vAlign w:val="center"/>
          </w:tcPr>
          <w:p w14:paraId="46E98696">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预测因子</w:t>
            </w:r>
          </w:p>
        </w:tc>
        <w:tc>
          <w:tcPr>
            <w:tcW w:w="3532" w:type="pct"/>
            <w:gridSpan w:val="12"/>
            <w:tcMar>
              <w:left w:w="0" w:type="dxa"/>
              <w:right w:w="0" w:type="dxa"/>
            </w:tcMar>
            <w:vAlign w:val="center"/>
          </w:tcPr>
          <w:p w14:paraId="07DCF991">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等效连续A声级</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最大A声级□ 计权等效连续感觉噪声级□</w:t>
            </w:r>
          </w:p>
        </w:tc>
      </w:tr>
      <w:tr w14:paraId="06B6F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2D50BD68">
            <w:pPr>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p>
        </w:tc>
        <w:tc>
          <w:tcPr>
            <w:tcW w:w="919" w:type="pct"/>
            <w:tcMar>
              <w:left w:w="0" w:type="dxa"/>
              <w:right w:w="0" w:type="dxa"/>
            </w:tcMar>
            <w:vAlign w:val="center"/>
          </w:tcPr>
          <w:p w14:paraId="0D7F078A">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厂界噪声贡献值</w:t>
            </w:r>
          </w:p>
        </w:tc>
        <w:tc>
          <w:tcPr>
            <w:tcW w:w="3532" w:type="pct"/>
            <w:gridSpan w:val="12"/>
            <w:tcMar>
              <w:left w:w="0" w:type="dxa"/>
              <w:right w:w="0" w:type="dxa"/>
            </w:tcMar>
            <w:vAlign w:val="center"/>
          </w:tcPr>
          <w:p w14:paraId="5D50FAEB">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达标</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不达标□</w:t>
            </w:r>
          </w:p>
        </w:tc>
      </w:tr>
      <w:tr w14:paraId="215D7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33FA807A">
            <w:pPr>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p>
        </w:tc>
        <w:tc>
          <w:tcPr>
            <w:tcW w:w="919" w:type="pct"/>
            <w:tcMar>
              <w:left w:w="0" w:type="dxa"/>
              <w:right w:w="0" w:type="dxa"/>
            </w:tcMar>
            <w:vAlign w:val="center"/>
          </w:tcPr>
          <w:p w14:paraId="2C1F9160">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声环境保护目标处噪声值</w:t>
            </w:r>
          </w:p>
        </w:tc>
        <w:tc>
          <w:tcPr>
            <w:tcW w:w="3532" w:type="pct"/>
            <w:gridSpan w:val="12"/>
            <w:tcMar>
              <w:left w:w="0" w:type="dxa"/>
              <w:right w:w="0" w:type="dxa"/>
            </w:tcMar>
            <w:vAlign w:val="center"/>
          </w:tcPr>
          <w:p w14:paraId="5218ED89">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达标□          不达标□</w:t>
            </w:r>
          </w:p>
        </w:tc>
      </w:tr>
      <w:tr w14:paraId="67D00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restart"/>
            <w:tcMar>
              <w:left w:w="0" w:type="dxa"/>
              <w:right w:w="0" w:type="dxa"/>
            </w:tcMar>
            <w:vAlign w:val="center"/>
          </w:tcPr>
          <w:p w14:paraId="1A8040FC">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环境监测计划</w:t>
            </w:r>
          </w:p>
        </w:tc>
        <w:tc>
          <w:tcPr>
            <w:tcW w:w="919" w:type="pct"/>
            <w:tcMar>
              <w:left w:w="0" w:type="dxa"/>
              <w:right w:w="0" w:type="dxa"/>
            </w:tcMar>
            <w:vAlign w:val="center"/>
          </w:tcPr>
          <w:p w14:paraId="4549BE84">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排放监测</w:t>
            </w:r>
          </w:p>
        </w:tc>
        <w:tc>
          <w:tcPr>
            <w:tcW w:w="3532" w:type="pct"/>
            <w:gridSpan w:val="12"/>
            <w:tcMar>
              <w:left w:w="0" w:type="dxa"/>
              <w:right w:w="0" w:type="dxa"/>
            </w:tcMar>
            <w:vAlign w:val="center"/>
          </w:tcPr>
          <w:p w14:paraId="391EA5EB">
            <w:pPr>
              <w:tabs>
                <w:tab w:val="left" w:pos="1621"/>
              </w:tabs>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厂界监测</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固定位置监测□ 自动监测□ 手动监测□ 无监测□</w:t>
            </w:r>
          </w:p>
        </w:tc>
      </w:tr>
      <w:tr w14:paraId="1333B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335BD2FF">
            <w:pPr>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p>
        </w:tc>
        <w:tc>
          <w:tcPr>
            <w:tcW w:w="919" w:type="pct"/>
            <w:tcMar>
              <w:left w:w="0" w:type="dxa"/>
              <w:right w:w="0" w:type="dxa"/>
            </w:tcMar>
            <w:vAlign w:val="center"/>
          </w:tcPr>
          <w:p w14:paraId="64BA457E">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声环境保护目标处噪声监测</w:t>
            </w:r>
          </w:p>
        </w:tc>
        <w:tc>
          <w:tcPr>
            <w:tcW w:w="1676" w:type="pct"/>
            <w:gridSpan w:val="6"/>
            <w:tcMar>
              <w:left w:w="0" w:type="dxa"/>
              <w:right w:w="0" w:type="dxa"/>
            </w:tcMar>
            <w:vAlign w:val="center"/>
          </w:tcPr>
          <w:p w14:paraId="5908F034">
            <w:pPr>
              <w:tabs>
                <w:tab w:val="left" w:pos="2252"/>
              </w:tabs>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监测因子：（）</w:t>
            </w:r>
          </w:p>
        </w:tc>
        <w:tc>
          <w:tcPr>
            <w:tcW w:w="1209" w:type="pct"/>
            <w:gridSpan w:val="4"/>
            <w:tcMar>
              <w:left w:w="0" w:type="dxa"/>
              <w:right w:w="0" w:type="dxa"/>
            </w:tcMar>
            <w:vAlign w:val="center"/>
          </w:tcPr>
          <w:p w14:paraId="46F3D747">
            <w:pPr>
              <w:tabs>
                <w:tab w:val="left" w:pos="1735"/>
              </w:tabs>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监测点位数（）</w:t>
            </w:r>
          </w:p>
        </w:tc>
        <w:tc>
          <w:tcPr>
            <w:tcW w:w="647" w:type="pct"/>
            <w:gridSpan w:val="2"/>
            <w:tcMar>
              <w:left w:w="0" w:type="dxa"/>
              <w:right w:w="0" w:type="dxa"/>
            </w:tcMar>
            <w:vAlign w:val="center"/>
          </w:tcPr>
          <w:p w14:paraId="13969736">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无监测□</w:t>
            </w:r>
          </w:p>
        </w:tc>
      </w:tr>
      <w:tr w14:paraId="18634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tcMar>
              <w:left w:w="0" w:type="dxa"/>
              <w:right w:w="0" w:type="dxa"/>
            </w:tcMar>
            <w:vAlign w:val="center"/>
          </w:tcPr>
          <w:p w14:paraId="41662226">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评价结论</w:t>
            </w:r>
          </w:p>
        </w:tc>
        <w:tc>
          <w:tcPr>
            <w:tcW w:w="919" w:type="pct"/>
            <w:tcMar>
              <w:left w:w="0" w:type="dxa"/>
              <w:right w:w="0" w:type="dxa"/>
            </w:tcMar>
            <w:vAlign w:val="center"/>
          </w:tcPr>
          <w:p w14:paraId="0638D2EA">
            <w:pPr>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环境影响</w:t>
            </w:r>
          </w:p>
        </w:tc>
        <w:tc>
          <w:tcPr>
            <w:tcW w:w="3532" w:type="pct"/>
            <w:gridSpan w:val="12"/>
            <w:tcMar>
              <w:left w:w="0" w:type="dxa"/>
              <w:right w:w="0" w:type="dxa"/>
            </w:tcMar>
            <w:vAlign w:val="center"/>
          </w:tcPr>
          <w:p w14:paraId="4D001CF2">
            <w:pPr>
              <w:tabs>
                <w:tab w:val="left" w:pos="1202"/>
              </w:tabs>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可行</w:t>
            </w:r>
            <w:r>
              <w:rPr>
                <w:rFonts w:ascii="Segoe UI Symbol" w:hAnsi="Segoe UI Symbol" w:cs="Segoe UI Symbol"/>
                <w:color w:val="000000" w:themeColor="text1"/>
                <w:spacing w:val="-10"/>
                <w:kern w:val="0"/>
                <w:szCs w:val="21"/>
                <w14:textFill>
                  <w14:solidFill>
                    <w14:schemeClr w14:val="tx1"/>
                  </w14:solidFill>
                </w14:textFill>
              </w:rPr>
              <w:t>☑</w:t>
            </w:r>
            <w:r>
              <w:rPr>
                <w:rFonts w:hint="eastAsia" w:ascii="宋体" w:hAnsi="宋体" w:cs="宋体"/>
                <w:color w:val="000000" w:themeColor="text1"/>
                <w:spacing w:val="-10"/>
                <w:kern w:val="0"/>
                <w:szCs w:val="21"/>
                <w14:textFill>
                  <w14:solidFill>
                    <w14:schemeClr w14:val="tx1"/>
                  </w14:solidFill>
                </w14:textFill>
              </w:rPr>
              <w:t xml:space="preserve">    不可行□</w:t>
            </w:r>
          </w:p>
        </w:tc>
      </w:tr>
      <w:tr w14:paraId="1F3AD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000" w:type="pct"/>
            <w:gridSpan w:val="15"/>
            <w:tcMar>
              <w:left w:w="0" w:type="dxa"/>
              <w:right w:w="0" w:type="dxa"/>
            </w:tcMar>
            <w:vAlign w:val="center"/>
          </w:tcPr>
          <w:p w14:paraId="332B4D22">
            <w:pPr>
              <w:tabs>
                <w:tab w:val="left" w:pos="3079"/>
              </w:tabs>
              <w:autoSpaceDE w:val="0"/>
              <w:autoSpaceDN w:val="0"/>
              <w:adjustRightInd w:val="0"/>
              <w:snapToGrid w:val="0"/>
              <w:spacing w:line="300" w:lineRule="exact"/>
              <w:jc w:val="center"/>
              <w:rPr>
                <w:rFonts w:hint="eastAsia" w:ascii="宋体" w:hAnsi="宋体" w:cs="宋体"/>
                <w:color w:val="000000" w:themeColor="text1"/>
                <w:spacing w:val="-10"/>
                <w:kern w:val="0"/>
                <w:szCs w:val="21"/>
                <w14:textFill>
                  <w14:solidFill>
                    <w14:schemeClr w14:val="tx1"/>
                  </w14:solidFill>
                </w14:textFill>
              </w:rPr>
            </w:pPr>
            <w:r>
              <w:rPr>
                <w:rFonts w:hint="eastAsia" w:ascii="宋体" w:hAnsi="宋体" w:cs="宋体"/>
                <w:color w:val="000000" w:themeColor="text1"/>
                <w:spacing w:val="-10"/>
                <w:kern w:val="0"/>
                <w:szCs w:val="21"/>
                <w14:textFill>
                  <w14:solidFill>
                    <w14:schemeClr w14:val="tx1"/>
                  </w14:solidFill>
                </w14:textFill>
              </w:rPr>
              <w:t>注：“□”为勾选项，可√；“()”为内容填写项。</w:t>
            </w:r>
          </w:p>
        </w:tc>
      </w:tr>
    </w:tbl>
    <w:p w14:paraId="2FF66426">
      <w:pPr>
        <w:pStyle w:val="120"/>
        <w:rPr>
          <w:rFonts w:hint="eastAsia"/>
          <w:color w:val="000000" w:themeColor="text1"/>
          <w14:textFill>
            <w14:solidFill>
              <w14:schemeClr w14:val="tx1"/>
            </w14:solidFill>
          </w14:textFill>
        </w:rPr>
      </w:pPr>
    </w:p>
    <w:p w14:paraId="1A6CDEBF">
      <w:pPr>
        <w:pStyle w:val="120"/>
        <w:rPr>
          <w:rFonts w:hint="eastAsia"/>
          <w:color w:val="000000" w:themeColor="text1"/>
          <w14:textFill>
            <w14:solidFill>
              <w14:schemeClr w14:val="tx1"/>
            </w14:solidFill>
          </w14:textFill>
        </w:rPr>
      </w:pPr>
    </w:p>
    <w:p w14:paraId="5DAA102A">
      <w:pPr>
        <w:pStyle w:val="120"/>
        <w:rPr>
          <w:rFonts w:hint="eastAsia"/>
          <w:color w:val="000000" w:themeColor="text1"/>
          <w14:textFill>
            <w14:solidFill>
              <w14:schemeClr w14:val="tx1"/>
            </w14:solidFill>
          </w14:textFill>
        </w:rPr>
      </w:pPr>
    </w:p>
    <w:p w14:paraId="603AFFBC">
      <w:pPr>
        <w:pStyle w:val="120"/>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p>
    <w:p w14:paraId="5271BF64">
      <w:pPr>
        <w:pStyle w:val="6"/>
        <w:numPr>
          <w:ilvl w:val="0"/>
          <w:numId w:val="0"/>
        </w:numPr>
        <w:rPr>
          <w:rFonts w:hint="eastAsia"/>
          <w:color w:val="000000" w:themeColor="text1"/>
          <w14:textFill>
            <w14:solidFill>
              <w14:schemeClr w14:val="tx1"/>
            </w14:solidFill>
          </w14:textFill>
        </w:rPr>
      </w:pPr>
      <w:bookmarkStart w:id="817" w:name="_Toc16730"/>
      <w:bookmarkStart w:id="818" w:name="_Hlk175259415"/>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 xml:space="preserve">7  </w:t>
      </w:r>
      <w:r>
        <w:rPr>
          <w:rFonts w:hint="eastAsia"/>
          <w:color w:val="000000" w:themeColor="text1"/>
          <w14:textFill>
            <w14:solidFill>
              <w14:schemeClr w14:val="tx1"/>
            </w14:solidFill>
          </w14:textFill>
        </w:rPr>
        <w:t>土壤环境影响自查表</w:t>
      </w:r>
      <w:bookmarkEnd w:id="817"/>
    </w:p>
    <w:tbl>
      <w:tblPr>
        <w:tblStyle w:val="51"/>
        <w:tblW w:w="8946"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95"/>
        <w:gridCol w:w="1729"/>
        <w:gridCol w:w="1296"/>
        <w:gridCol w:w="449"/>
        <w:gridCol w:w="897"/>
        <w:gridCol w:w="898"/>
        <w:gridCol w:w="448"/>
        <w:gridCol w:w="1540"/>
        <w:gridCol w:w="1294"/>
      </w:tblGrid>
      <w:tr w14:paraId="58AC15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124" w:type="dxa"/>
            <w:gridSpan w:val="2"/>
            <w:vAlign w:val="center"/>
          </w:tcPr>
          <w:p w14:paraId="70C82EF9">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工作内容</w:t>
            </w:r>
          </w:p>
        </w:tc>
        <w:tc>
          <w:tcPr>
            <w:tcW w:w="5528" w:type="dxa"/>
            <w:gridSpan w:val="6"/>
            <w:tcBorders>
              <w:right w:val="single" w:color="000000" w:sz="2" w:space="0"/>
            </w:tcBorders>
            <w:vAlign w:val="center"/>
          </w:tcPr>
          <w:p w14:paraId="4ABF09E2">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完成情况</w:t>
            </w:r>
          </w:p>
        </w:tc>
        <w:tc>
          <w:tcPr>
            <w:tcW w:w="1294" w:type="dxa"/>
            <w:tcBorders>
              <w:left w:val="single" w:color="000000" w:sz="2" w:space="0"/>
            </w:tcBorders>
            <w:vAlign w:val="center"/>
          </w:tcPr>
          <w:p w14:paraId="1DEAEDA8">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备注</w:t>
            </w:r>
          </w:p>
        </w:tc>
      </w:tr>
      <w:tr w14:paraId="7F979D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5CC5B166">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影</w:t>
            </w:r>
          </w:p>
          <w:p w14:paraId="27338AF2">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响</w:t>
            </w:r>
          </w:p>
          <w:p w14:paraId="7F66272C">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识</w:t>
            </w:r>
          </w:p>
          <w:p w14:paraId="0CF9CB35">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别</w:t>
            </w:r>
          </w:p>
        </w:tc>
        <w:tc>
          <w:tcPr>
            <w:tcW w:w="1729" w:type="dxa"/>
            <w:vAlign w:val="center"/>
          </w:tcPr>
          <w:p w14:paraId="65F56C6B">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影响类型</w:t>
            </w:r>
          </w:p>
        </w:tc>
        <w:tc>
          <w:tcPr>
            <w:tcW w:w="5528" w:type="dxa"/>
            <w:gridSpan w:val="6"/>
            <w:vAlign w:val="center"/>
          </w:tcPr>
          <w:p w14:paraId="134D3F9B">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污染影响型□；生态影响型□；两种兼有</w:t>
            </w:r>
            <w:r>
              <w:rPr>
                <w:rFonts w:hint="eastAsia" w:ascii="宋体" w:hAnsi="宋体" w:cs="宋体"/>
                <w:color w:val="000000" w:themeColor="text1"/>
                <w:szCs w:val="21"/>
                <w14:textFill>
                  <w14:solidFill>
                    <w14:schemeClr w14:val="tx1"/>
                  </w14:solidFill>
                </w14:textFill>
              </w:rPr>
              <w:sym w:font="Wingdings 2" w:char="0052"/>
            </w:r>
          </w:p>
        </w:tc>
        <w:tc>
          <w:tcPr>
            <w:tcW w:w="1294" w:type="dxa"/>
            <w:vAlign w:val="center"/>
          </w:tcPr>
          <w:p w14:paraId="158DE505">
            <w:pPr>
              <w:spacing w:line="240" w:lineRule="atLeast"/>
              <w:jc w:val="center"/>
              <w:rPr>
                <w:rFonts w:hint="eastAsia" w:ascii="宋体" w:hAnsi="宋体" w:cs="宋体"/>
                <w:color w:val="000000" w:themeColor="text1"/>
                <w:szCs w:val="21"/>
                <w14:textFill>
                  <w14:solidFill>
                    <w14:schemeClr w14:val="tx1"/>
                  </w14:solidFill>
                </w14:textFill>
              </w:rPr>
            </w:pPr>
          </w:p>
        </w:tc>
      </w:tr>
      <w:tr w14:paraId="66321F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768C8E2B">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0936EE5A">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土地利用类型</w:t>
            </w:r>
          </w:p>
        </w:tc>
        <w:tc>
          <w:tcPr>
            <w:tcW w:w="5528" w:type="dxa"/>
            <w:gridSpan w:val="6"/>
            <w:vAlign w:val="center"/>
          </w:tcPr>
          <w:p w14:paraId="1B62A75F">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建设用地</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；农用地□；未利用地</w:t>
            </w:r>
            <w:r>
              <w:rPr>
                <w:rFonts w:hint="eastAsia" w:ascii="宋体" w:hAnsi="宋体" w:cs="宋体"/>
                <w:color w:val="000000" w:themeColor="text1"/>
                <w:szCs w:val="21"/>
                <w14:textFill>
                  <w14:solidFill>
                    <w14:schemeClr w14:val="tx1"/>
                  </w14:solidFill>
                </w14:textFill>
              </w:rPr>
              <w:sym w:font="Wingdings 2" w:char="0052"/>
            </w:r>
          </w:p>
        </w:tc>
        <w:tc>
          <w:tcPr>
            <w:tcW w:w="1294" w:type="dxa"/>
            <w:vAlign w:val="center"/>
          </w:tcPr>
          <w:p w14:paraId="32BBB597">
            <w:pPr>
              <w:spacing w:line="240" w:lineRule="atLeast"/>
              <w:jc w:val="center"/>
              <w:rPr>
                <w:rFonts w:hint="eastAsia" w:ascii="宋体" w:hAnsi="宋体" w:cs="宋体"/>
                <w:color w:val="000000" w:themeColor="text1"/>
                <w:szCs w:val="21"/>
                <w14:textFill>
                  <w14:solidFill>
                    <w14:schemeClr w14:val="tx1"/>
                  </w14:solidFill>
                </w14:textFill>
              </w:rPr>
            </w:pPr>
          </w:p>
        </w:tc>
      </w:tr>
      <w:tr w14:paraId="5D4A31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2BF5DDB5">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12472287">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占地规模</w:t>
            </w:r>
          </w:p>
        </w:tc>
        <w:tc>
          <w:tcPr>
            <w:tcW w:w="5528" w:type="dxa"/>
            <w:gridSpan w:val="6"/>
            <w:vAlign w:val="center"/>
          </w:tcPr>
          <w:p w14:paraId="4E044A3E">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(1.25)hm</w:t>
            </w:r>
            <w:r>
              <w:rPr>
                <w:rFonts w:hint="eastAsia" w:ascii="宋体" w:hAnsi="宋体" w:cs="宋体"/>
                <w:color w:val="000000" w:themeColor="text1"/>
                <w:szCs w:val="21"/>
                <w:vertAlign w:val="superscript"/>
                <w14:textFill>
                  <w14:solidFill>
                    <w14:schemeClr w14:val="tx1"/>
                  </w14:solidFill>
                </w14:textFill>
              </w:rPr>
              <w:t>2</w:t>
            </w:r>
          </w:p>
        </w:tc>
        <w:tc>
          <w:tcPr>
            <w:tcW w:w="1294" w:type="dxa"/>
            <w:vAlign w:val="center"/>
          </w:tcPr>
          <w:p w14:paraId="15A10504">
            <w:pPr>
              <w:spacing w:line="240" w:lineRule="atLeast"/>
              <w:jc w:val="center"/>
              <w:rPr>
                <w:rFonts w:hint="eastAsia" w:ascii="宋体" w:hAnsi="宋体" w:cs="宋体"/>
                <w:color w:val="000000" w:themeColor="text1"/>
                <w:szCs w:val="21"/>
                <w14:textFill>
                  <w14:solidFill>
                    <w14:schemeClr w14:val="tx1"/>
                  </w14:solidFill>
                </w14:textFill>
              </w:rPr>
            </w:pPr>
          </w:p>
        </w:tc>
      </w:tr>
      <w:tr w14:paraId="64062CD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0264C2DE">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6E945FC4">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敏感目标信息</w:t>
            </w:r>
          </w:p>
        </w:tc>
        <w:tc>
          <w:tcPr>
            <w:tcW w:w="5528" w:type="dxa"/>
            <w:gridSpan w:val="6"/>
            <w:vAlign w:val="center"/>
          </w:tcPr>
          <w:p w14:paraId="4D2AC6FC">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敏感目标（无）、方位（）、距离（</w:t>
            </w:r>
            <w:r>
              <w:rPr>
                <w:rFonts w:ascii="宋体" w:hAnsi="宋体" w:cs="宋体"/>
                <w:color w:val="000000" w:themeColor="text1"/>
                <w:szCs w:val="21"/>
                <w14:textFill>
                  <w14:solidFill>
                    <w14:schemeClr w14:val="tx1"/>
                  </w14:solidFill>
                </w14:textFill>
              </w:rPr>
              <w:t>0m</w:t>
            </w:r>
            <w:r>
              <w:rPr>
                <w:rFonts w:hint="eastAsia" w:ascii="宋体" w:hAnsi="宋体" w:cs="宋体"/>
                <w:color w:val="000000" w:themeColor="text1"/>
                <w:szCs w:val="21"/>
                <w14:textFill>
                  <w14:solidFill>
                    <w14:schemeClr w14:val="tx1"/>
                  </w14:solidFill>
                </w14:textFill>
              </w:rPr>
              <w:t>）</w:t>
            </w:r>
          </w:p>
        </w:tc>
        <w:tc>
          <w:tcPr>
            <w:tcW w:w="1294" w:type="dxa"/>
            <w:vAlign w:val="center"/>
          </w:tcPr>
          <w:p w14:paraId="7D2087C9">
            <w:pPr>
              <w:spacing w:line="240" w:lineRule="atLeast"/>
              <w:jc w:val="center"/>
              <w:rPr>
                <w:rFonts w:hint="eastAsia" w:ascii="宋体" w:hAnsi="宋体" w:cs="宋体"/>
                <w:color w:val="000000" w:themeColor="text1"/>
                <w:szCs w:val="21"/>
                <w14:textFill>
                  <w14:solidFill>
                    <w14:schemeClr w14:val="tx1"/>
                  </w14:solidFill>
                </w14:textFill>
              </w:rPr>
            </w:pPr>
          </w:p>
        </w:tc>
      </w:tr>
      <w:tr w14:paraId="1D0DBC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5BF33A00">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1D05028B">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影响途径</w:t>
            </w:r>
          </w:p>
        </w:tc>
        <w:tc>
          <w:tcPr>
            <w:tcW w:w="5528" w:type="dxa"/>
            <w:gridSpan w:val="6"/>
            <w:vAlign w:val="center"/>
          </w:tcPr>
          <w:p w14:paraId="643F6197">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大气沉降□；地面漫流□垂直入渗</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；地下水位□；其他（）</w:t>
            </w:r>
          </w:p>
        </w:tc>
        <w:tc>
          <w:tcPr>
            <w:tcW w:w="1294" w:type="dxa"/>
            <w:vAlign w:val="center"/>
          </w:tcPr>
          <w:p w14:paraId="6E8FC88D">
            <w:pPr>
              <w:spacing w:line="240" w:lineRule="atLeast"/>
              <w:jc w:val="center"/>
              <w:rPr>
                <w:rFonts w:hint="eastAsia" w:ascii="宋体" w:hAnsi="宋体" w:cs="宋体"/>
                <w:color w:val="000000" w:themeColor="text1"/>
                <w:szCs w:val="21"/>
                <w14:textFill>
                  <w14:solidFill>
                    <w14:schemeClr w14:val="tx1"/>
                  </w14:solidFill>
                </w14:textFill>
              </w:rPr>
            </w:pPr>
          </w:p>
        </w:tc>
      </w:tr>
      <w:tr w14:paraId="387732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32FB431B">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6C4A3F91">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全部污染物</w:t>
            </w:r>
          </w:p>
        </w:tc>
        <w:tc>
          <w:tcPr>
            <w:tcW w:w="5528" w:type="dxa"/>
            <w:gridSpan w:val="6"/>
            <w:vAlign w:val="center"/>
          </w:tcPr>
          <w:p w14:paraId="777598EE">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石油烃</w:t>
            </w:r>
          </w:p>
        </w:tc>
        <w:tc>
          <w:tcPr>
            <w:tcW w:w="1294" w:type="dxa"/>
            <w:vAlign w:val="center"/>
          </w:tcPr>
          <w:p w14:paraId="7578DB05">
            <w:pPr>
              <w:spacing w:line="240" w:lineRule="atLeast"/>
              <w:jc w:val="center"/>
              <w:rPr>
                <w:rFonts w:hint="eastAsia" w:ascii="宋体" w:hAnsi="宋体" w:cs="宋体"/>
                <w:color w:val="000000" w:themeColor="text1"/>
                <w:szCs w:val="21"/>
                <w14:textFill>
                  <w14:solidFill>
                    <w14:schemeClr w14:val="tx1"/>
                  </w14:solidFill>
                </w14:textFill>
              </w:rPr>
            </w:pPr>
          </w:p>
        </w:tc>
      </w:tr>
      <w:tr w14:paraId="5BE2B5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4FE0B573">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7A9DCDFF">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特征因子</w:t>
            </w:r>
          </w:p>
        </w:tc>
        <w:tc>
          <w:tcPr>
            <w:tcW w:w="5528" w:type="dxa"/>
            <w:gridSpan w:val="6"/>
            <w:vAlign w:val="center"/>
          </w:tcPr>
          <w:p w14:paraId="12F4ABF2">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石油烃</w:t>
            </w:r>
          </w:p>
        </w:tc>
        <w:tc>
          <w:tcPr>
            <w:tcW w:w="1294" w:type="dxa"/>
            <w:vAlign w:val="center"/>
          </w:tcPr>
          <w:p w14:paraId="4F752394">
            <w:pPr>
              <w:spacing w:line="240" w:lineRule="atLeast"/>
              <w:jc w:val="center"/>
              <w:rPr>
                <w:rFonts w:hint="eastAsia" w:ascii="宋体" w:hAnsi="宋体" w:cs="宋体"/>
                <w:color w:val="000000" w:themeColor="text1"/>
                <w:szCs w:val="21"/>
                <w14:textFill>
                  <w14:solidFill>
                    <w14:schemeClr w14:val="tx1"/>
                  </w14:solidFill>
                </w14:textFill>
              </w:rPr>
            </w:pPr>
          </w:p>
        </w:tc>
      </w:tr>
      <w:tr w14:paraId="00AB933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234FC226">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45D7EF3D">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所属土壤环境影响评价项目类别</w:t>
            </w:r>
          </w:p>
        </w:tc>
        <w:tc>
          <w:tcPr>
            <w:tcW w:w="5528" w:type="dxa"/>
            <w:gridSpan w:val="6"/>
            <w:vAlign w:val="center"/>
          </w:tcPr>
          <w:p w14:paraId="0801E349">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Ⅰ类</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；Ⅱ类</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；Ⅲ类□；Ⅳ类□</w:t>
            </w:r>
          </w:p>
        </w:tc>
        <w:tc>
          <w:tcPr>
            <w:tcW w:w="1294" w:type="dxa"/>
            <w:vAlign w:val="center"/>
          </w:tcPr>
          <w:p w14:paraId="4B791F1E">
            <w:pPr>
              <w:spacing w:line="240" w:lineRule="atLeast"/>
              <w:jc w:val="center"/>
              <w:rPr>
                <w:rFonts w:hint="eastAsia" w:ascii="宋体" w:hAnsi="宋体" w:cs="宋体"/>
                <w:color w:val="000000" w:themeColor="text1"/>
                <w:szCs w:val="21"/>
                <w14:textFill>
                  <w14:solidFill>
                    <w14:schemeClr w14:val="tx1"/>
                  </w14:solidFill>
                </w14:textFill>
              </w:rPr>
            </w:pPr>
          </w:p>
        </w:tc>
      </w:tr>
      <w:tr w14:paraId="049B6C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513AC213">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563435BC">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敏感程度</w:t>
            </w:r>
          </w:p>
        </w:tc>
        <w:tc>
          <w:tcPr>
            <w:tcW w:w="5528" w:type="dxa"/>
            <w:gridSpan w:val="6"/>
            <w:vAlign w:val="center"/>
          </w:tcPr>
          <w:p w14:paraId="2BFE42A4">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敏感</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；较敏感□；不敏感□</w:t>
            </w:r>
          </w:p>
        </w:tc>
        <w:tc>
          <w:tcPr>
            <w:tcW w:w="1294" w:type="dxa"/>
            <w:vAlign w:val="center"/>
          </w:tcPr>
          <w:p w14:paraId="544F6325">
            <w:pPr>
              <w:spacing w:line="240" w:lineRule="atLeast"/>
              <w:jc w:val="center"/>
              <w:rPr>
                <w:rFonts w:hint="eastAsia" w:ascii="宋体" w:hAnsi="宋体" w:cs="宋体"/>
                <w:color w:val="000000" w:themeColor="text1"/>
                <w:szCs w:val="21"/>
                <w14:textFill>
                  <w14:solidFill>
                    <w14:schemeClr w14:val="tx1"/>
                  </w14:solidFill>
                </w14:textFill>
              </w:rPr>
            </w:pPr>
          </w:p>
        </w:tc>
      </w:tr>
      <w:tr w14:paraId="11C661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124" w:type="dxa"/>
            <w:gridSpan w:val="2"/>
            <w:vAlign w:val="center"/>
          </w:tcPr>
          <w:p w14:paraId="59AE2B1E">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评价工作等级</w:t>
            </w:r>
          </w:p>
        </w:tc>
        <w:tc>
          <w:tcPr>
            <w:tcW w:w="5528" w:type="dxa"/>
            <w:gridSpan w:val="6"/>
            <w:vAlign w:val="center"/>
          </w:tcPr>
          <w:p w14:paraId="09B8FD23">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一级</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；二级</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；三级□</w:t>
            </w:r>
          </w:p>
        </w:tc>
        <w:tc>
          <w:tcPr>
            <w:tcW w:w="1294" w:type="dxa"/>
            <w:vAlign w:val="center"/>
          </w:tcPr>
          <w:p w14:paraId="18D3D606">
            <w:pPr>
              <w:spacing w:line="240" w:lineRule="atLeast"/>
              <w:jc w:val="center"/>
              <w:rPr>
                <w:rFonts w:hint="eastAsia" w:ascii="宋体" w:hAnsi="宋体" w:cs="宋体"/>
                <w:color w:val="000000" w:themeColor="text1"/>
                <w:szCs w:val="21"/>
                <w14:textFill>
                  <w14:solidFill>
                    <w14:schemeClr w14:val="tx1"/>
                  </w14:solidFill>
                </w14:textFill>
              </w:rPr>
            </w:pPr>
          </w:p>
        </w:tc>
      </w:tr>
      <w:tr w14:paraId="7DEAED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029348E5">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现状调查内容</w:t>
            </w:r>
          </w:p>
        </w:tc>
        <w:tc>
          <w:tcPr>
            <w:tcW w:w="1729" w:type="dxa"/>
            <w:vAlign w:val="center"/>
          </w:tcPr>
          <w:p w14:paraId="67602D90">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资料收集</w:t>
            </w:r>
          </w:p>
        </w:tc>
        <w:tc>
          <w:tcPr>
            <w:tcW w:w="5528" w:type="dxa"/>
            <w:gridSpan w:val="6"/>
            <w:vAlign w:val="center"/>
          </w:tcPr>
          <w:p w14:paraId="6FC0EC3E">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a)</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；b)</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；c)</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；d)□</w:t>
            </w:r>
          </w:p>
        </w:tc>
        <w:tc>
          <w:tcPr>
            <w:tcW w:w="1294" w:type="dxa"/>
            <w:vAlign w:val="center"/>
          </w:tcPr>
          <w:p w14:paraId="5733EBD3">
            <w:pPr>
              <w:spacing w:line="240" w:lineRule="atLeast"/>
              <w:jc w:val="center"/>
              <w:rPr>
                <w:rFonts w:hint="eastAsia" w:ascii="宋体" w:hAnsi="宋体" w:cs="宋体"/>
                <w:color w:val="000000" w:themeColor="text1"/>
                <w:szCs w:val="21"/>
                <w14:textFill>
                  <w14:solidFill>
                    <w14:schemeClr w14:val="tx1"/>
                  </w14:solidFill>
                </w14:textFill>
              </w:rPr>
            </w:pPr>
          </w:p>
        </w:tc>
      </w:tr>
      <w:tr w14:paraId="187FF9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38ACA82A">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52BC3497">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理化特性</w:t>
            </w:r>
          </w:p>
        </w:tc>
        <w:tc>
          <w:tcPr>
            <w:tcW w:w="5528" w:type="dxa"/>
            <w:gridSpan w:val="6"/>
            <w:vAlign w:val="center"/>
          </w:tcPr>
          <w:p w14:paraId="193A5CD3">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土壤构型、结构、质地、阳离子交换量、氧化还原电位、饱和导水率、土壤容重、孔隙度等</w:t>
            </w:r>
          </w:p>
        </w:tc>
        <w:tc>
          <w:tcPr>
            <w:tcW w:w="1294" w:type="dxa"/>
            <w:vAlign w:val="center"/>
          </w:tcPr>
          <w:p w14:paraId="6F07C791">
            <w:pPr>
              <w:spacing w:line="240" w:lineRule="atLeast"/>
              <w:jc w:val="center"/>
              <w:rPr>
                <w:rFonts w:hint="eastAsia" w:ascii="宋体" w:hAnsi="宋体" w:cs="宋体"/>
                <w:color w:val="000000" w:themeColor="text1"/>
                <w:szCs w:val="21"/>
                <w14:textFill>
                  <w14:solidFill>
                    <w14:schemeClr w14:val="tx1"/>
                  </w14:solidFill>
                </w14:textFill>
              </w:rPr>
            </w:pPr>
          </w:p>
        </w:tc>
      </w:tr>
      <w:tr w14:paraId="4488AC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008E5003">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Merge w:val="restart"/>
            <w:vAlign w:val="center"/>
          </w:tcPr>
          <w:p w14:paraId="6EA033CA">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现状监测点位</w:t>
            </w:r>
          </w:p>
        </w:tc>
        <w:tc>
          <w:tcPr>
            <w:tcW w:w="1296" w:type="dxa"/>
            <w:tcBorders>
              <w:right w:val="single" w:color="000000" w:sz="2" w:space="0"/>
            </w:tcBorders>
            <w:vAlign w:val="center"/>
          </w:tcPr>
          <w:p w14:paraId="12EFCF23">
            <w:pPr>
              <w:spacing w:line="240" w:lineRule="atLeast"/>
              <w:jc w:val="center"/>
              <w:rPr>
                <w:rFonts w:hint="eastAsia" w:ascii="宋体" w:hAnsi="宋体" w:cs="宋体"/>
                <w:color w:val="000000" w:themeColor="text1"/>
                <w:szCs w:val="21"/>
                <w14:textFill>
                  <w14:solidFill>
                    <w14:schemeClr w14:val="tx1"/>
                  </w14:solidFill>
                </w14:textFill>
              </w:rPr>
            </w:pPr>
          </w:p>
        </w:tc>
        <w:tc>
          <w:tcPr>
            <w:tcW w:w="1346" w:type="dxa"/>
            <w:gridSpan w:val="2"/>
            <w:tcBorders>
              <w:left w:val="single" w:color="000000" w:sz="2" w:space="0"/>
              <w:right w:val="single" w:color="000000" w:sz="2" w:space="0"/>
            </w:tcBorders>
            <w:vAlign w:val="center"/>
          </w:tcPr>
          <w:p w14:paraId="14EA2F62">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占地范围内</w:t>
            </w:r>
          </w:p>
        </w:tc>
        <w:tc>
          <w:tcPr>
            <w:tcW w:w="1346" w:type="dxa"/>
            <w:gridSpan w:val="2"/>
            <w:tcBorders>
              <w:left w:val="single" w:color="000000" w:sz="2" w:space="0"/>
              <w:right w:val="single" w:color="000000" w:sz="2" w:space="0"/>
            </w:tcBorders>
            <w:vAlign w:val="center"/>
          </w:tcPr>
          <w:p w14:paraId="772888E2">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占地范围外</w:t>
            </w:r>
          </w:p>
        </w:tc>
        <w:tc>
          <w:tcPr>
            <w:tcW w:w="1540" w:type="dxa"/>
            <w:tcBorders>
              <w:left w:val="single" w:color="000000" w:sz="2" w:space="0"/>
            </w:tcBorders>
            <w:vAlign w:val="center"/>
          </w:tcPr>
          <w:p w14:paraId="69182E79">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深度</w:t>
            </w:r>
          </w:p>
        </w:tc>
        <w:tc>
          <w:tcPr>
            <w:tcW w:w="1294" w:type="dxa"/>
            <w:vMerge w:val="restart"/>
            <w:vAlign w:val="center"/>
          </w:tcPr>
          <w:p w14:paraId="5FBBD935">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有监测点位分布图</w:t>
            </w:r>
          </w:p>
        </w:tc>
      </w:tr>
      <w:tr w14:paraId="74B767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4A585489">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Merge w:val="continue"/>
            <w:vAlign w:val="center"/>
          </w:tcPr>
          <w:p w14:paraId="39AFDF3E">
            <w:pPr>
              <w:spacing w:line="240" w:lineRule="atLeast"/>
              <w:jc w:val="center"/>
              <w:rPr>
                <w:rFonts w:hint="eastAsia" w:ascii="宋体" w:hAnsi="宋体" w:cs="宋体"/>
                <w:color w:val="000000" w:themeColor="text1"/>
                <w:szCs w:val="21"/>
                <w14:textFill>
                  <w14:solidFill>
                    <w14:schemeClr w14:val="tx1"/>
                  </w14:solidFill>
                </w14:textFill>
              </w:rPr>
            </w:pPr>
          </w:p>
        </w:tc>
        <w:tc>
          <w:tcPr>
            <w:tcW w:w="1296" w:type="dxa"/>
            <w:tcBorders>
              <w:right w:val="single" w:color="000000" w:sz="2" w:space="0"/>
            </w:tcBorders>
            <w:vAlign w:val="center"/>
          </w:tcPr>
          <w:p w14:paraId="2B140E57">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表层样点数</w:t>
            </w:r>
          </w:p>
        </w:tc>
        <w:tc>
          <w:tcPr>
            <w:tcW w:w="1346" w:type="dxa"/>
            <w:gridSpan w:val="2"/>
            <w:tcBorders>
              <w:left w:val="single" w:color="000000" w:sz="2" w:space="0"/>
              <w:right w:val="single" w:color="000000" w:sz="2" w:space="0"/>
            </w:tcBorders>
            <w:vAlign w:val="center"/>
          </w:tcPr>
          <w:p w14:paraId="3B76D7A7">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w:t>
            </w:r>
          </w:p>
        </w:tc>
        <w:tc>
          <w:tcPr>
            <w:tcW w:w="1346" w:type="dxa"/>
            <w:gridSpan w:val="2"/>
            <w:tcBorders>
              <w:left w:val="single" w:color="000000" w:sz="2" w:space="0"/>
              <w:right w:val="single" w:color="000000" w:sz="2" w:space="0"/>
            </w:tcBorders>
            <w:vAlign w:val="center"/>
          </w:tcPr>
          <w:p w14:paraId="593BF669">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w:t>
            </w:r>
          </w:p>
        </w:tc>
        <w:tc>
          <w:tcPr>
            <w:tcW w:w="1540" w:type="dxa"/>
            <w:tcBorders>
              <w:left w:val="single" w:color="000000" w:sz="2" w:space="0"/>
            </w:tcBorders>
            <w:vAlign w:val="center"/>
          </w:tcPr>
          <w:p w14:paraId="6C6904B1">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0-0.2m</w:t>
            </w:r>
          </w:p>
        </w:tc>
        <w:tc>
          <w:tcPr>
            <w:tcW w:w="1294" w:type="dxa"/>
            <w:vMerge w:val="continue"/>
            <w:vAlign w:val="center"/>
          </w:tcPr>
          <w:p w14:paraId="13E5DF62">
            <w:pPr>
              <w:spacing w:line="240" w:lineRule="atLeast"/>
              <w:jc w:val="center"/>
              <w:rPr>
                <w:rFonts w:hint="eastAsia" w:ascii="宋体" w:hAnsi="宋体" w:cs="宋体"/>
                <w:color w:val="000000" w:themeColor="text1"/>
                <w:szCs w:val="21"/>
                <w14:textFill>
                  <w14:solidFill>
                    <w14:schemeClr w14:val="tx1"/>
                  </w14:solidFill>
                </w14:textFill>
              </w:rPr>
            </w:pPr>
          </w:p>
        </w:tc>
      </w:tr>
      <w:tr w14:paraId="32FEFF5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3B079C9C">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Merge w:val="continue"/>
            <w:vAlign w:val="center"/>
          </w:tcPr>
          <w:p w14:paraId="2E0FE89C">
            <w:pPr>
              <w:spacing w:line="240" w:lineRule="atLeast"/>
              <w:jc w:val="center"/>
              <w:rPr>
                <w:rFonts w:hint="eastAsia" w:ascii="宋体" w:hAnsi="宋体" w:cs="宋体"/>
                <w:color w:val="000000" w:themeColor="text1"/>
                <w:szCs w:val="21"/>
                <w14:textFill>
                  <w14:solidFill>
                    <w14:schemeClr w14:val="tx1"/>
                  </w14:solidFill>
                </w14:textFill>
              </w:rPr>
            </w:pPr>
          </w:p>
        </w:tc>
        <w:tc>
          <w:tcPr>
            <w:tcW w:w="1296" w:type="dxa"/>
            <w:tcBorders>
              <w:right w:val="single" w:color="000000" w:sz="2" w:space="0"/>
            </w:tcBorders>
            <w:vAlign w:val="center"/>
          </w:tcPr>
          <w:p w14:paraId="335B7DA4">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柱状样点数</w:t>
            </w:r>
          </w:p>
        </w:tc>
        <w:tc>
          <w:tcPr>
            <w:tcW w:w="1346" w:type="dxa"/>
            <w:gridSpan w:val="2"/>
            <w:tcBorders>
              <w:left w:val="single" w:color="000000" w:sz="2" w:space="0"/>
              <w:right w:val="single" w:color="000000" w:sz="2" w:space="0"/>
            </w:tcBorders>
            <w:vAlign w:val="center"/>
          </w:tcPr>
          <w:p w14:paraId="57EFD5AB">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w:t>
            </w:r>
          </w:p>
        </w:tc>
        <w:tc>
          <w:tcPr>
            <w:tcW w:w="1346" w:type="dxa"/>
            <w:gridSpan w:val="2"/>
            <w:tcBorders>
              <w:left w:val="single" w:color="000000" w:sz="2" w:space="0"/>
              <w:right w:val="single" w:color="000000" w:sz="2" w:space="0"/>
            </w:tcBorders>
            <w:vAlign w:val="center"/>
          </w:tcPr>
          <w:p w14:paraId="26E4D9D7">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w:t>
            </w:r>
          </w:p>
        </w:tc>
        <w:tc>
          <w:tcPr>
            <w:tcW w:w="1540" w:type="dxa"/>
            <w:tcBorders>
              <w:left w:val="single" w:color="000000" w:sz="2" w:space="0"/>
            </w:tcBorders>
            <w:vAlign w:val="center"/>
          </w:tcPr>
          <w:p w14:paraId="3485C2FB">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0-0.5m、0.5—1.5m、1.5—3m</w:t>
            </w:r>
          </w:p>
        </w:tc>
        <w:tc>
          <w:tcPr>
            <w:tcW w:w="1294" w:type="dxa"/>
            <w:vMerge w:val="continue"/>
            <w:vAlign w:val="center"/>
          </w:tcPr>
          <w:p w14:paraId="0A95E1AA">
            <w:pPr>
              <w:spacing w:line="240" w:lineRule="atLeast"/>
              <w:jc w:val="center"/>
              <w:rPr>
                <w:rFonts w:hint="eastAsia" w:ascii="宋体" w:hAnsi="宋体" w:cs="宋体"/>
                <w:color w:val="000000" w:themeColor="text1"/>
                <w:szCs w:val="21"/>
                <w14:textFill>
                  <w14:solidFill>
                    <w14:schemeClr w14:val="tx1"/>
                  </w14:solidFill>
                </w14:textFill>
              </w:rPr>
            </w:pPr>
          </w:p>
        </w:tc>
      </w:tr>
      <w:tr w14:paraId="6715DC0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7B976CFF">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7B3D6726">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现状监测因子</w:t>
            </w:r>
          </w:p>
        </w:tc>
        <w:tc>
          <w:tcPr>
            <w:tcW w:w="5528" w:type="dxa"/>
            <w:gridSpan w:val="6"/>
            <w:vAlign w:val="center"/>
          </w:tcPr>
          <w:p w14:paraId="7DAB0806">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GB36600中表1中的4</w:t>
            </w:r>
            <w:r>
              <w:rPr>
                <w:rFonts w:ascii="宋体" w:hAnsi="宋体" w:cs="宋体"/>
                <w:color w:val="000000" w:themeColor="text1"/>
                <w:szCs w:val="21"/>
                <w14:textFill>
                  <w14:solidFill>
                    <w14:schemeClr w14:val="tx1"/>
                  </w14:solidFill>
                </w14:textFill>
              </w:rPr>
              <w:t>5</w:t>
            </w:r>
            <w:r>
              <w:rPr>
                <w:rFonts w:hint="eastAsia" w:ascii="宋体" w:hAnsi="宋体" w:cs="宋体"/>
                <w:color w:val="000000" w:themeColor="text1"/>
                <w:szCs w:val="21"/>
                <w14:textFill>
                  <w14:solidFill>
                    <w14:schemeClr w14:val="tx1"/>
                  </w14:solidFill>
                </w14:textFill>
              </w:rPr>
              <w:t>项基本项目、石油烃、p</w:t>
            </w:r>
            <w:r>
              <w:rPr>
                <w:rFonts w:ascii="宋体" w:hAnsi="宋体" w:cs="宋体"/>
                <w:color w:val="000000" w:themeColor="text1"/>
                <w:szCs w:val="21"/>
                <w14:textFill>
                  <w14:solidFill>
                    <w14:schemeClr w14:val="tx1"/>
                  </w14:solidFill>
                </w14:textFill>
              </w:rPr>
              <w:t>H</w:t>
            </w:r>
            <w:r>
              <w:rPr>
                <w:rFonts w:hint="eastAsia" w:ascii="宋体" w:hAnsi="宋体" w:cs="宋体"/>
                <w:color w:val="000000" w:themeColor="text1"/>
                <w:szCs w:val="21"/>
                <w14:textFill>
                  <w14:solidFill>
                    <w14:schemeClr w14:val="tx1"/>
                  </w14:solidFill>
                </w14:textFill>
              </w:rPr>
              <w:t>、土壤盐分含量和GB15618-2018表1中的基本项目</w:t>
            </w:r>
          </w:p>
        </w:tc>
        <w:tc>
          <w:tcPr>
            <w:tcW w:w="1294" w:type="dxa"/>
            <w:vAlign w:val="center"/>
          </w:tcPr>
          <w:p w14:paraId="255FCBB0">
            <w:pPr>
              <w:spacing w:line="240" w:lineRule="atLeast"/>
              <w:jc w:val="center"/>
              <w:rPr>
                <w:rFonts w:hint="eastAsia" w:ascii="宋体" w:hAnsi="宋体" w:cs="宋体"/>
                <w:color w:val="000000" w:themeColor="text1"/>
                <w:szCs w:val="21"/>
                <w14:textFill>
                  <w14:solidFill>
                    <w14:schemeClr w14:val="tx1"/>
                  </w14:solidFill>
                </w14:textFill>
              </w:rPr>
            </w:pPr>
          </w:p>
        </w:tc>
      </w:tr>
      <w:tr w14:paraId="74430D3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4CA5EDA0">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现状评价</w:t>
            </w:r>
          </w:p>
        </w:tc>
        <w:tc>
          <w:tcPr>
            <w:tcW w:w="1729" w:type="dxa"/>
            <w:vAlign w:val="center"/>
          </w:tcPr>
          <w:p w14:paraId="1499F61C">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评价因子</w:t>
            </w:r>
          </w:p>
        </w:tc>
        <w:tc>
          <w:tcPr>
            <w:tcW w:w="5528" w:type="dxa"/>
            <w:gridSpan w:val="6"/>
            <w:vAlign w:val="center"/>
          </w:tcPr>
          <w:p w14:paraId="7183419F">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GB36600中表1中的4</w:t>
            </w:r>
            <w:r>
              <w:rPr>
                <w:rFonts w:ascii="宋体" w:hAnsi="宋体" w:cs="宋体"/>
                <w:color w:val="000000" w:themeColor="text1"/>
                <w:szCs w:val="21"/>
                <w14:textFill>
                  <w14:solidFill>
                    <w14:schemeClr w14:val="tx1"/>
                  </w14:solidFill>
                </w14:textFill>
              </w:rPr>
              <w:t>5</w:t>
            </w:r>
            <w:r>
              <w:rPr>
                <w:rFonts w:hint="eastAsia" w:ascii="宋体" w:hAnsi="宋体" w:cs="宋体"/>
                <w:color w:val="000000" w:themeColor="text1"/>
                <w:szCs w:val="21"/>
                <w14:textFill>
                  <w14:solidFill>
                    <w14:schemeClr w14:val="tx1"/>
                  </w14:solidFill>
                </w14:textFill>
              </w:rPr>
              <w:t>项基本项目、石油烃、p</w:t>
            </w:r>
            <w:r>
              <w:rPr>
                <w:rFonts w:ascii="宋体" w:hAnsi="宋体" w:cs="宋体"/>
                <w:color w:val="000000" w:themeColor="text1"/>
                <w:szCs w:val="21"/>
                <w14:textFill>
                  <w14:solidFill>
                    <w14:schemeClr w14:val="tx1"/>
                  </w14:solidFill>
                </w14:textFill>
              </w:rPr>
              <w:t>H</w:t>
            </w:r>
            <w:r>
              <w:rPr>
                <w:rFonts w:hint="eastAsia" w:ascii="宋体" w:hAnsi="宋体" w:cs="宋体"/>
                <w:color w:val="000000" w:themeColor="text1"/>
                <w:szCs w:val="21"/>
                <w14:textFill>
                  <w14:solidFill>
                    <w14:schemeClr w14:val="tx1"/>
                  </w14:solidFill>
                </w14:textFill>
              </w:rPr>
              <w:t>、土壤盐分含量和GB15618-2018表1中的基本项目</w:t>
            </w:r>
          </w:p>
        </w:tc>
        <w:tc>
          <w:tcPr>
            <w:tcW w:w="1294" w:type="dxa"/>
            <w:vAlign w:val="center"/>
          </w:tcPr>
          <w:p w14:paraId="53796C78">
            <w:pPr>
              <w:spacing w:line="240" w:lineRule="atLeast"/>
              <w:jc w:val="center"/>
              <w:rPr>
                <w:rFonts w:hint="eastAsia" w:ascii="宋体" w:hAnsi="宋体" w:cs="宋体"/>
                <w:color w:val="000000" w:themeColor="text1"/>
                <w:szCs w:val="21"/>
                <w14:textFill>
                  <w14:solidFill>
                    <w14:schemeClr w14:val="tx1"/>
                  </w14:solidFill>
                </w14:textFill>
              </w:rPr>
            </w:pPr>
          </w:p>
        </w:tc>
      </w:tr>
      <w:tr w14:paraId="78EC9A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4B5FA83D">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2FC6064D">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评价标准</w:t>
            </w:r>
          </w:p>
        </w:tc>
        <w:tc>
          <w:tcPr>
            <w:tcW w:w="5528" w:type="dxa"/>
            <w:gridSpan w:val="6"/>
            <w:vAlign w:val="center"/>
          </w:tcPr>
          <w:p w14:paraId="5AEC7F27">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GB15618</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；GB36600</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；表D.1□；表D.2□；其他（）</w:t>
            </w:r>
          </w:p>
        </w:tc>
        <w:tc>
          <w:tcPr>
            <w:tcW w:w="1294" w:type="dxa"/>
            <w:vAlign w:val="center"/>
          </w:tcPr>
          <w:p w14:paraId="3DD6EA70">
            <w:pPr>
              <w:spacing w:line="240" w:lineRule="atLeast"/>
              <w:jc w:val="center"/>
              <w:rPr>
                <w:rFonts w:hint="eastAsia" w:ascii="宋体" w:hAnsi="宋体" w:cs="宋体"/>
                <w:color w:val="000000" w:themeColor="text1"/>
                <w:szCs w:val="21"/>
                <w14:textFill>
                  <w14:solidFill>
                    <w14:schemeClr w14:val="tx1"/>
                  </w14:solidFill>
                </w14:textFill>
              </w:rPr>
            </w:pPr>
          </w:p>
        </w:tc>
      </w:tr>
      <w:tr w14:paraId="096471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27EC922D">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39B08EB5">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现状评价结论</w:t>
            </w:r>
          </w:p>
        </w:tc>
        <w:tc>
          <w:tcPr>
            <w:tcW w:w="5528" w:type="dxa"/>
            <w:gridSpan w:val="6"/>
            <w:vAlign w:val="center"/>
          </w:tcPr>
          <w:p w14:paraId="455F7EBC">
            <w:pPr>
              <w:spacing w:line="240" w:lineRule="atLeast"/>
              <w:jc w:val="center"/>
              <w:rPr>
                <w:rFonts w:hint="eastAsia" w:ascii="宋体" w:hAnsi="宋体" w:cs="宋体"/>
                <w:color w:val="000000" w:themeColor="text1"/>
                <w:szCs w:val="21"/>
                <w14:textFill>
                  <w14:solidFill>
                    <w14:schemeClr w14:val="tx1"/>
                  </w14:solidFill>
                </w14:textFill>
              </w:rPr>
            </w:pPr>
            <w:r>
              <w:rPr>
                <w:rFonts w:ascii="宋体" w:hAnsi="宋体" w:cs="宋体"/>
                <w:color w:val="000000" w:themeColor="text1"/>
                <w:szCs w:val="21"/>
                <w14:textFill>
                  <w14:solidFill>
                    <w14:schemeClr w14:val="tx1"/>
                  </w14:solidFill>
                </w14:textFill>
              </w:rPr>
              <w:t>土壤</w:t>
            </w:r>
            <w:r>
              <w:rPr>
                <w:rFonts w:hint="eastAsia" w:ascii="宋体" w:hAnsi="宋体" w:cs="宋体"/>
                <w:color w:val="000000" w:themeColor="text1"/>
                <w:szCs w:val="21"/>
                <w14:textFill>
                  <w14:solidFill>
                    <w14:schemeClr w14:val="tx1"/>
                  </w14:solidFill>
                </w14:textFill>
              </w:rPr>
              <w:t>环境质量基本项目和特征因子石油烃的含量均满足《土壤环境质量 建设用地土壤污染风险管控标准（试行）》（GB36600-2018）中筛选值第二类标准限值要求</w:t>
            </w:r>
            <w:r>
              <w:rPr>
                <w:rFonts w:ascii="宋体" w:hAnsi="宋体" w:cs="宋体"/>
                <w:color w:val="000000" w:themeColor="text1"/>
                <w:szCs w:val="21"/>
                <w14:textFill>
                  <w14:solidFill>
                    <w14:schemeClr w14:val="tx1"/>
                  </w14:solidFill>
                </w14:textFill>
              </w:rPr>
              <w:t>。</w:t>
            </w:r>
          </w:p>
        </w:tc>
        <w:tc>
          <w:tcPr>
            <w:tcW w:w="1294" w:type="dxa"/>
            <w:vAlign w:val="center"/>
          </w:tcPr>
          <w:p w14:paraId="7B8DC8FC">
            <w:pPr>
              <w:spacing w:line="240" w:lineRule="atLeast"/>
              <w:jc w:val="center"/>
              <w:rPr>
                <w:rFonts w:hint="eastAsia" w:ascii="宋体" w:hAnsi="宋体" w:cs="宋体"/>
                <w:color w:val="000000" w:themeColor="text1"/>
                <w:szCs w:val="21"/>
                <w14:textFill>
                  <w14:solidFill>
                    <w14:schemeClr w14:val="tx1"/>
                  </w14:solidFill>
                </w14:textFill>
              </w:rPr>
            </w:pPr>
          </w:p>
        </w:tc>
      </w:tr>
      <w:tr w14:paraId="0FDCB4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6D6F4BF2">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影响预测</w:t>
            </w:r>
          </w:p>
        </w:tc>
        <w:tc>
          <w:tcPr>
            <w:tcW w:w="1729" w:type="dxa"/>
            <w:vAlign w:val="center"/>
          </w:tcPr>
          <w:p w14:paraId="61C167C4">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预测因子</w:t>
            </w:r>
          </w:p>
        </w:tc>
        <w:tc>
          <w:tcPr>
            <w:tcW w:w="5528" w:type="dxa"/>
            <w:gridSpan w:val="6"/>
            <w:vAlign w:val="center"/>
          </w:tcPr>
          <w:p w14:paraId="53B6B6EC">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石油烃、土壤盐分含量</w:t>
            </w:r>
          </w:p>
        </w:tc>
        <w:tc>
          <w:tcPr>
            <w:tcW w:w="1294" w:type="dxa"/>
            <w:vAlign w:val="center"/>
          </w:tcPr>
          <w:p w14:paraId="23946B14">
            <w:pPr>
              <w:spacing w:line="240" w:lineRule="atLeast"/>
              <w:jc w:val="center"/>
              <w:rPr>
                <w:rFonts w:hint="eastAsia" w:ascii="宋体" w:hAnsi="宋体" w:cs="宋体"/>
                <w:color w:val="000000" w:themeColor="text1"/>
                <w:szCs w:val="21"/>
                <w14:textFill>
                  <w14:solidFill>
                    <w14:schemeClr w14:val="tx1"/>
                  </w14:solidFill>
                </w14:textFill>
              </w:rPr>
            </w:pPr>
          </w:p>
        </w:tc>
      </w:tr>
      <w:tr w14:paraId="40793F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2116FAEA">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09A4A9AB">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预测方法</w:t>
            </w:r>
          </w:p>
        </w:tc>
        <w:tc>
          <w:tcPr>
            <w:tcW w:w="5528" w:type="dxa"/>
            <w:gridSpan w:val="6"/>
            <w:vAlign w:val="center"/>
          </w:tcPr>
          <w:p w14:paraId="0D0DC39D">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附录E□；附录F□；其他</w:t>
            </w:r>
            <w:r>
              <w:rPr>
                <w:rFonts w:hint="eastAsia" w:ascii="宋体" w:hAnsi="宋体" w:cs="宋体"/>
                <w:color w:val="000000" w:themeColor="text1"/>
                <w:szCs w:val="21"/>
                <w14:textFill>
                  <w14:solidFill>
                    <w14:schemeClr w14:val="tx1"/>
                  </w14:solidFill>
                </w14:textFill>
              </w:rPr>
              <w:sym w:font="Wingdings 2" w:char="0052"/>
            </w:r>
          </w:p>
        </w:tc>
        <w:tc>
          <w:tcPr>
            <w:tcW w:w="1294" w:type="dxa"/>
            <w:vAlign w:val="center"/>
          </w:tcPr>
          <w:p w14:paraId="6416243E">
            <w:pPr>
              <w:spacing w:line="240" w:lineRule="atLeast"/>
              <w:jc w:val="center"/>
              <w:rPr>
                <w:rFonts w:hint="eastAsia" w:ascii="宋体" w:hAnsi="宋体" w:cs="宋体"/>
                <w:color w:val="000000" w:themeColor="text1"/>
                <w:szCs w:val="21"/>
                <w14:textFill>
                  <w14:solidFill>
                    <w14:schemeClr w14:val="tx1"/>
                  </w14:solidFill>
                </w14:textFill>
              </w:rPr>
            </w:pPr>
          </w:p>
        </w:tc>
      </w:tr>
      <w:tr w14:paraId="68F5E8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06966C66">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53C93DD9">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预测分析内容</w:t>
            </w:r>
          </w:p>
        </w:tc>
        <w:tc>
          <w:tcPr>
            <w:tcW w:w="5528" w:type="dxa"/>
            <w:gridSpan w:val="6"/>
            <w:vAlign w:val="center"/>
          </w:tcPr>
          <w:p w14:paraId="6A56A1E5">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影响范围（      ）</w:t>
            </w:r>
          </w:p>
          <w:p w14:paraId="188DB5E5">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影响程度（      ）</w:t>
            </w:r>
          </w:p>
        </w:tc>
        <w:tc>
          <w:tcPr>
            <w:tcW w:w="1294" w:type="dxa"/>
            <w:vAlign w:val="center"/>
          </w:tcPr>
          <w:p w14:paraId="0F87D4A8">
            <w:pPr>
              <w:spacing w:line="240" w:lineRule="atLeast"/>
              <w:jc w:val="center"/>
              <w:rPr>
                <w:rFonts w:hint="eastAsia" w:ascii="宋体" w:hAnsi="宋体" w:cs="宋体"/>
                <w:color w:val="000000" w:themeColor="text1"/>
                <w:szCs w:val="21"/>
                <w14:textFill>
                  <w14:solidFill>
                    <w14:schemeClr w14:val="tx1"/>
                  </w14:solidFill>
                </w14:textFill>
              </w:rPr>
            </w:pPr>
          </w:p>
        </w:tc>
      </w:tr>
      <w:tr w14:paraId="62D2420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3CF5B945">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39D1587E">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预测结论</w:t>
            </w:r>
          </w:p>
        </w:tc>
        <w:tc>
          <w:tcPr>
            <w:tcW w:w="5528" w:type="dxa"/>
            <w:gridSpan w:val="6"/>
            <w:vAlign w:val="center"/>
          </w:tcPr>
          <w:p w14:paraId="2F3CBE1B">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达标结论：a）</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；b）□；c）□</w:t>
            </w:r>
          </w:p>
          <w:p w14:paraId="4855CD9A">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不达标结论：a）□；b）□</w:t>
            </w:r>
          </w:p>
        </w:tc>
        <w:tc>
          <w:tcPr>
            <w:tcW w:w="1294" w:type="dxa"/>
            <w:vAlign w:val="center"/>
          </w:tcPr>
          <w:p w14:paraId="1EBD64D7">
            <w:pPr>
              <w:spacing w:line="240" w:lineRule="atLeast"/>
              <w:jc w:val="center"/>
              <w:rPr>
                <w:rFonts w:hint="eastAsia" w:ascii="宋体" w:hAnsi="宋体" w:cs="宋体"/>
                <w:color w:val="000000" w:themeColor="text1"/>
                <w:szCs w:val="21"/>
                <w14:textFill>
                  <w14:solidFill>
                    <w14:schemeClr w14:val="tx1"/>
                  </w14:solidFill>
                </w14:textFill>
              </w:rPr>
            </w:pPr>
          </w:p>
        </w:tc>
      </w:tr>
      <w:tr w14:paraId="2226DDD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373CE489">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防治措施</w:t>
            </w:r>
          </w:p>
        </w:tc>
        <w:tc>
          <w:tcPr>
            <w:tcW w:w="1729" w:type="dxa"/>
            <w:vAlign w:val="center"/>
          </w:tcPr>
          <w:p w14:paraId="36182041">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防控措施</w:t>
            </w:r>
          </w:p>
        </w:tc>
        <w:tc>
          <w:tcPr>
            <w:tcW w:w="5528" w:type="dxa"/>
            <w:gridSpan w:val="6"/>
            <w:vAlign w:val="center"/>
          </w:tcPr>
          <w:p w14:paraId="569A3833">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土壤环境质量现状保障□；源头控制</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；过程防控</w:t>
            </w:r>
            <w:r>
              <w:rPr>
                <w:rFonts w:hint="eastAsia" w:ascii="宋体" w:hAnsi="宋体" w:cs="宋体"/>
                <w:color w:val="000000" w:themeColor="text1"/>
                <w:szCs w:val="21"/>
                <w14:textFill>
                  <w14:solidFill>
                    <w14:schemeClr w14:val="tx1"/>
                  </w14:solidFill>
                </w14:textFill>
              </w:rPr>
              <w:sym w:font="Wingdings 2" w:char="0052"/>
            </w:r>
            <w:r>
              <w:rPr>
                <w:rFonts w:hint="eastAsia" w:ascii="宋体" w:hAnsi="宋体" w:cs="宋体"/>
                <w:color w:val="000000" w:themeColor="text1"/>
                <w:szCs w:val="21"/>
                <w14:textFill>
                  <w14:solidFill>
                    <w14:schemeClr w14:val="tx1"/>
                  </w14:solidFill>
                </w14:textFill>
              </w:rPr>
              <w:t>；其他（）</w:t>
            </w:r>
          </w:p>
        </w:tc>
        <w:tc>
          <w:tcPr>
            <w:tcW w:w="1294" w:type="dxa"/>
            <w:vAlign w:val="center"/>
          </w:tcPr>
          <w:p w14:paraId="756AED84">
            <w:pPr>
              <w:spacing w:line="240" w:lineRule="atLeast"/>
              <w:jc w:val="center"/>
              <w:rPr>
                <w:rFonts w:hint="eastAsia" w:ascii="宋体" w:hAnsi="宋体" w:cs="宋体"/>
                <w:color w:val="000000" w:themeColor="text1"/>
                <w:szCs w:val="21"/>
                <w14:textFill>
                  <w14:solidFill>
                    <w14:schemeClr w14:val="tx1"/>
                  </w14:solidFill>
                </w14:textFill>
              </w:rPr>
            </w:pPr>
          </w:p>
        </w:tc>
      </w:tr>
      <w:tr w14:paraId="3701E51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481A12F8">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Merge w:val="restart"/>
            <w:vAlign w:val="center"/>
          </w:tcPr>
          <w:p w14:paraId="2B5689F7">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跟踪监测</w:t>
            </w:r>
          </w:p>
        </w:tc>
        <w:tc>
          <w:tcPr>
            <w:tcW w:w="1745" w:type="dxa"/>
            <w:gridSpan w:val="2"/>
            <w:tcBorders>
              <w:right w:val="single" w:color="000000" w:sz="2" w:space="0"/>
            </w:tcBorders>
            <w:vAlign w:val="center"/>
          </w:tcPr>
          <w:p w14:paraId="31F7825A">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监测点数</w:t>
            </w:r>
          </w:p>
        </w:tc>
        <w:tc>
          <w:tcPr>
            <w:tcW w:w="1795" w:type="dxa"/>
            <w:gridSpan w:val="2"/>
            <w:tcBorders>
              <w:left w:val="single" w:color="000000" w:sz="2" w:space="0"/>
              <w:right w:val="single" w:color="000000" w:sz="2" w:space="0"/>
            </w:tcBorders>
            <w:vAlign w:val="center"/>
          </w:tcPr>
          <w:p w14:paraId="7F508451">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监测指标</w:t>
            </w:r>
          </w:p>
        </w:tc>
        <w:tc>
          <w:tcPr>
            <w:tcW w:w="1988" w:type="dxa"/>
            <w:gridSpan w:val="2"/>
            <w:tcBorders>
              <w:left w:val="single" w:color="000000" w:sz="2" w:space="0"/>
            </w:tcBorders>
            <w:vAlign w:val="center"/>
          </w:tcPr>
          <w:p w14:paraId="4EF11E85">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监测频次</w:t>
            </w:r>
          </w:p>
        </w:tc>
        <w:tc>
          <w:tcPr>
            <w:tcW w:w="1294" w:type="dxa"/>
            <w:vMerge w:val="restart"/>
            <w:vAlign w:val="center"/>
          </w:tcPr>
          <w:p w14:paraId="132CC157">
            <w:pPr>
              <w:spacing w:line="240" w:lineRule="atLeast"/>
              <w:jc w:val="center"/>
              <w:rPr>
                <w:rFonts w:hint="eastAsia" w:ascii="宋体" w:hAnsi="宋体" w:cs="宋体"/>
                <w:color w:val="000000" w:themeColor="text1"/>
                <w:szCs w:val="21"/>
                <w14:textFill>
                  <w14:solidFill>
                    <w14:schemeClr w14:val="tx1"/>
                  </w14:solidFill>
                </w14:textFill>
              </w:rPr>
            </w:pPr>
          </w:p>
        </w:tc>
      </w:tr>
      <w:tr w14:paraId="4D70AB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5EBEB64A">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Merge w:val="continue"/>
            <w:vAlign w:val="center"/>
          </w:tcPr>
          <w:p w14:paraId="5564164A">
            <w:pPr>
              <w:spacing w:line="240" w:lineRule="atLeast"/>
              <w:jc w:val="center"/>
              <w:rPr>
                <w:rFonts w:hint="eastAsia" w:ascii="宋体" w:hAnsi="宋体" w:cs="宋体"/>
                <w:color w:val="000000" w:themeColor="text1"/>
                <w:szCs w:val="21"/>
                <w14:textFill>
                  <w14:solidFill>
                    <w14:schemeClr w14:val="tx1"/>
                  </w14:solidFill>
                </w14:textFill>
              </w:rPr>
            </w:pPr>
          </w:p>
        </w:tc>
        <w:tc>
          <w:tcPr>
            <w:tcW w:w="1745" w:type="dxa"/>
            <w:gridSpan w:val="2"/>
            <w:tcBorders>
              <w:right w:val="single" w:color="000000" w:sz="2" w:space="0"/>
            </w:tcBorders>
            <w:vAlign w:val="center"/>
          </w:tcPr>
          <w:p w14:paraId="7BB7F3D0">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w:t>
            </w:r>
          </w:p>
        </w:tc>
        <w:tc>
          <w:tcPr>
            <w:tcW w:w="1795" w:type="dxa"/>
            <w:gridSpan w:val="2"/>
            <w:tcBorders>
              <w:left w:val="single" w:color="000000" w:sz="2" w:space="0"/>
              <w:right w:val="single" w:color="000000" w:sz="2" w:space="0"/>
            </w:tcBorders>
            <w:vAlign w:val="center"/>
          </w:tcPr>
          <w:p w14:paraId="5B117815">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石油烃</w:t>
            </w:r>
          </w:p>
        </w:tc>
        <w:tc>
          <w:tcPr>
            <w:tcW w:w="1988" w:type="dxa"/>
            <w:gridSpan w:val="2"/>
            <w:tcBorders>
              <w:left w:val="single" w:color="000000" w:sz="2" w:space="0"/>
            </w:tcBorders>
            <w:vAlign w:val="center"/>
          </w:tcPr>
          <w:p w14:paraId="4838B1D8">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1次/年</w:t>
            </w:r>
          </w:p>
        </w:tc>
        <w:tc>
          <w:tcPr>
            <w:tcW w:w="1294" w:type="dxa"/>
            <w:vMerge w:val="continue"/>
            <w:vAlign w:val="center"/>
          </w:tcPr>
          <w:p w14:paraId="420B7ABE">
            <w:pPr>
              <w:spacing w:line="240" w:lineRule="atLeast"/>
              <w:jc w:val="center"/>
              <w:rPr>
                <w:rFonts w:hint="eastAsia" w:ascii="宋体" w:hAnsi="宋体" w:cs="宋体"/>
                <w:color w:val="000000" w:themeColor="text1"/>
                <w:szCs w:val="21"/>
                <w14:textFill>
                  <w14:solidFill>
                    <w14:schemeClr w14:val="tx1"/>
                  </w14:solidFill>
                </w14:textFill>
              </w:rPr>
            </w:pPr>
          </w:p>
        </w:tc>
      </w:tr>
      <w:tr w14:paraId="5526D1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76743851">
            <w:pPr>
              <w:spacing w:line="240" w:lineRule="atLeast"/>
              <w:jc w:val="center"/>
              <w:rPr>
                <w:rFonts w:hint="eastAsia" w:ascii="宋体" w:hAnsi="宋体" w:cs="宋体"/>
                <w:color w:val="000000" w:themeColor="text1"/>
                <w:szCs w:val="21"/>
                <w14:textFill>
                  <w14:solidFill>
                    <w14:schemeClr w14:val="tx1"/>
                  </w14:solidFill>
                </w14:textFill>
              </w:rPr>
            </w:pPr>
          </w:p>
        </w:tc>
        <w:tc>
          <w:tcPr>
            <w:tcW w:w="1729" w:type="dxa"/>
            <w:vAlign w:val="center"/>
          </w:tcPr>
          <w:p w14:paraId="63A1618D">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信息公开指标</w:t>
            </w:r>
          </w:p>
        </w:tc>
        <w:tc>
          <w:tcPr>
            <w:tcW w:w="5528" w:type="dxa"/>
            <w:gridSpan w:val="6"/>
            <w:vAlign w:val="center"/>
          </w:tcPr>
          <w:p w14:paraId="41284E3E">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石油烃</w:t>
            </w:r>
          </w:p>
        </w:tc>
        <w:tc>
          <w:tcPr>
            <w:tcW w:w="1294" w:type="dxa"/>
            <w:vMerge w:val="continue"/>
            <w:vAlign w:val="center"/>
          </w:tcPr>
          <w:p w14:paraId="424E6934">
            <w:pPr>
              <w:spacing w:line="240" w:lineRule="atLeast"/>
              <w:jc w:val="center"/>
              <w:rPr>
                <w:rFonts w:hint="eastAsia" w:ascii="宋体" w:hAnsi="宋体" w:cs="宋体"/>
                <w:color w:val="000000" w:themeColor="text1"/>
                <w:szCs w:val="21"/>
                <w14:textFill>
                  <w14:solidFill>
                    <w14:schemeClr w14:val="tx1"/>
                  </w14:solidFill>
                </w14:textFill>
              </w:rPr>
            </w:pPr>
          </w:p>
        </w:tc>
      </w:tr>
      <w:tr w14:paraId="669BAF8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124" w:type="dxa"/>
            <w:gridSpan w:val="2"/>
            <w:vAlign w:val="center"/>
          </w:tcPr>
          <w:p w14:paraId="4D2F8FEE">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评价结论</w:t>
            </w:r>
          </w:p>
        </w:tc>
        <w:tc>
          <w:tcPr>
            <w:tcW w:w="5528" w:type="dxa"/>
            <w:gridSpan w:val="6"/>
            <w:vAlign w:val="center"/>
          </w:tcPr>
          <w:p w14:paraId="34B188FC">
            <w:pPr>
              <w:spacing w:line="240" w:lineRule="atLeast"/>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土壤环境影响可以接受，项目区土壤环境质量不因本项目的建设而产生恶化。</w:t>
            </w:r>
          </w:p>
        </w:tc>
        <w:tc>
          <w:tcPr>
            <w:tcW w:w="1294" w:type="dxa"/>
            <w:vAlign w:val="center"/>
          </w:tcPr>
          <w:p w14:paraId="19E0F820">
            <w:pPr>
              <w:spacing w:line="240" w:lineRule="atLeast"/>
              <w:jc w:val="center"/>
              <w:rPr>
                <w:rFonts w:hint="eastAsia" w:ascii="宋体" w:hAnsi="宋体" w:cs="宋体"/>
                <w:color w:val="000000" w:themeColor="text1"/>
                <w:szCs w:val="21"/>
                <w14:textFill>
                  <w14:solidFill>
                    <w14:schemeClr w14:val="tx1"/>
                  </w14:solidFill>
                </w14:textFill>
              </w:rPr>
            </w:pPr>
          </w:p>
        </w:tc>
      </w:tr>
    </w:tbl>
    <w:p w14:paraId="7DA9A7F4">
      <w:pPr>
        <w:pStyle w:val="6"/>
        <w:numPr>
          <w:ilvl w:val="0"/>
          <w:numId w:val="0"/>
        </w:numPr>
        <w:rPr>
          <w:rFonts w:hint="eastAsia"/>
          <w:color w:val="000000" w:themeColor="text1"/>
          <w14:textFill>
            <w14:solidFill>
              <w14:schemeClr w14:val="tx1"/>
            </w14:solidFill>
          </w14:textFill>
        </w:rPr>
      </w:pPr>
      <w:bookmarkStart w:id="819" w:name="_Toc24271"/>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 xml:space="preserve">8  </w:t>
      </w:r>
      <w:r>
        <w:rPr>
          <w:rFonts w:hint="eastAsia"/>
          <w:color w:val="000000" w:themeColor="text1"/>
          <w14:textFill>
            <w14:solidFill>
              <w14:schemeClr w14:val="tx1"/>
            </w14:solidFill>
          </w14:textFill>
        </w:rPr>
        <w:t>生态环境影响自查表</w:t>
      </w:r>
      <w:bookmarkEnd w:id="819"/>
    </w:p>
    <w:tbl>
      <w:tblPr>
        <w:tblStyle w:val="51"/>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968"/>
        <w:gridCol w:w="1786"/>
        <w:gridCol w:w="5951"/>
      </w:tblGrid>
      <w:tr w14:paraId="503B43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82" w:type="pct"/>
            <w:gridSpan w:val="2"/>
            <w:vAlign w:val="center"/>
          </w:tcPr>
          <w:p w14:paraId="709D3AA4">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工作内容</w:t>
            </w:r>
          </w:p>
        </w:tc>
        <w:tc>
          <w:tcPr>
            <w:tcW w:w="3418" w:type="pct"/>
            <w:vAlign w:val="center"/>
          </w:tcPr>
          <w:p w14:paraId="5ADFA149">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自查项目</w:t>
            </w:r>
          </w:p>
        </w:tc>
      </w:tr>
      <w:tr w14:paraId="40C078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restart"/>
            <w:vAlign w:val="center"/>
          </w:tcPr>
          <w:p w14:paraId="0C8C6D57">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生态影响识别</w:t>
            </w:r>
          </w:p>
        </w:tc>
        <w:tc>
          <w:tcPr>
            <w:tcW w:w="1026" w:type="pct"/>
            <w:vAlign w:val="center"/>
          </w:tcPr>
          <w:p w14:paraId="024B563C">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生态保护目标</w:t>
            </w:r>
          </w:p>
        </w:tc>
        <w:tc>
          <w:tcPr>
            <w:tcW w:w="3418" w:type="pct"/>
            <w:vAlign w:val="center"/>
          </w:tcPr>
          <w:p w14:paraId="1F37F50B">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重要物种</w:t>
            </w:r>
            <w:r>
              <w:rPr>
                <w:rFonts w:hint="eastAsia" w:ascii="宋体" w:hAnsi="宋体" w:cs="宋体"/>
                <w:color w:val="000000" w:themeColor="text1"/>
                <w:spacing w:val="-10"/>
                <w:szCs w:val="21"/>
                <w14:textFill>
                  <w14:solidFill>
                    <w14:schemeClr w14:val="tx1"/>
                  </w14:solidFill>
                </w14:textFill>
              </w:rPr>
              <w:t>□；国家公园□；自然保护区□自然公园□；世界自然遗产□；生态保护红线□；重要生境□；其他具有重要生态功能、对保护生物多样性具有重要意义的区域□；其他□</w:t>
            </w:r>
          </w:p>
        </w:tc>
      </w:tr>
      <w:tr w14:paraId="7AB62E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32CE096C">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p>
        </w:tc>
        <w:tc>
          <w:tcPr>
            <w:tcW w:w="1026" w:type="pct"/>
            <w:vAlign w:val="center"/>
          </w:tcPr>
          <w:p w14:paraId="254C2FE1">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影响方式</w:t>
            </w:r>
          </w:p>
        </w:tc>
        <w:tc>
          <w:tcPr>
            <w:tcW w:w="3418" w:type="pct"/>
            <w:vAlign w:val="center"/>
          </w:tcPr>
          <w:p w14:paraId="76D594B1">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工程占用</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；施工活动干扰</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；改变环境条件□；其他□</w:t>
            </w:r>
          </w:p>
        </w:tc>
      </w:tr>
      <w:tr w14:paraId="460C3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3A305868">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p>
        </w:tc>
        <w:tc>
          <w:tcPr>
            <w:tcW w:w="1026" w:type="pct"/>
            <w:vAlign w:val="center"/>
          </w:tcPr>
          <w:p w14:paraId="6BBC6751">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评价因子</w:t>
            </w:r>
          </w:p>
        </w:tc>
        <w:tc>
          <w:tcPr>
            <w:tcW w:w="3418" w:type="pct"/>
            <w:vAlign w:val="center"/>
          </w:tcPr>
          <w:p w14:paraId="35D490F4">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物种</w:t>
            </w:r>
            <w:r>
              <w:rPr>
                <w:rFonts w:hint="eastAsia" w:ascii="宋体" w:hAnsi="宋体" w:cs="宋体"/>
                <w:color w:val="000000" w:themeColor="text1"/>
                <w:spacing w:val="-10"/>
                <w:szCs w:val="21"/>
                <w14:textFill>
                  <w14:solidFill>
                    <w14:schemeClr w14:val="tx1"/>
                  </w14:solidFill>
                </w14:textFill>
              </w:rPr>
              <w:t xml:space="preserve">□( </w:t>
            </w:r>
            <w:r>
              <w:rPr>
                <w:rFonts w:ascii="宋体" w:hAnsi="宋体" w:cs="宋体"/>
                <w:color w:val="000000" w:themeColor="text1"/>
                <w:spacing w:val="-10"/>
                <w:szCs w:val="21"/>
                <w14:textFill>
                  <w14:solidFill>
                    <w14:schemeClr w14:val="tx1"/>
                  </w14:solidFill>
                </w14:textFill>
              </w:rPr>
              <w:t xml:space="preserve">                  </w:t>
            </w:r>
            <w:r>
              <w:rPr>
                <w:rFonts w:hint="eastAsia" w:ascii="宋体" w:hAnsi="宋体" w:cs="宋体"/>
                <w:color w:val="000000" w:themeColor="text1"/>
                <w:spacing w:val="-10"/>
                <w:szCs w:val="21"/>
                <w14:textFill>
                  <w14:solidFill>
                    <w14:schemeClr w14:val="tx1"/>
                  </w14:solidFill>
                </w14:textFill>
              </w:rPr>
              <w:t>)</w:t>
            </w:r>
          </w:p>
          <w:p w14:paraId="36C9A44D">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 xml:space="preserve">生境□( </w:t>
            </w:r>
            <w:r>
              <w:rPr>
                <w:rFonts w:ascii="宋体" w:hAnsi="宋体" w:cs="宋体"/>
                <w:color w:val="000000" w:themeColor="text1"/>
                <w:spacing w:val="-10"/>
                <w:szCs w:val="21"/>
                <w14:textFill>
                  <w14:solidFill>
                    <w14:schemeClr w14:val="tx1"/>
                  </w14:solidFill>
                </w14:textFill>
              </w:rPr>
              <w:t xml:space="preserve">                  </w:t>
            </w:r>
            <w:r>
              <w:rPr>
                <w:rFonts w:hint="eastAsia" w:ascii="宋体" w:hAnsi="宋体" w:cs="宋体"/>
                <w:color w:val="000000" w:themeColor="text1"/>
                <w:spacing w:val="-10"/>
                <w:szCs w:val="21"/>
                <w14:textFill>
                  <w14:solidFill>
                    <w14:schemeClr w14:val="tx1"/>
                  </w14:solidFill>
                </w14:textFill>
              </w:rPr>
              <w:t>)</w:t>
            </w:r>
          </w:p>
          <w:p w14:paraId="70B0F8A2">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 xml:space="preserve">生物群落□( </w:t>
            </w:r>
            <w:r>
              <w:rPr>
                <w:rFonts w:ascii="宋体" w:hAnsi="宋体" w:cs="宋体"/>
                <w:color w:val="000000" w:themeColor="text1"/>
                <w:spacing w:val="-10"/>
                <w:szCs w:val="21"/>
                <w14:textFill>
                  <w14:solidFill>
                    <w14:schemeClr w14:val="tx1"/>
                  </w14:solidFill>
                </w14:textFill>
              </w:rPr>
              <w:t xml:space="preserve">                </w:t>
            </w:r>
            <w:r>
              <w:rPr>
                <w:rFonts w:hint="eastAsia" w:ascii="宋体" w:hAnsi="宋体" w:cs="宋体"/>
                <w:color w:val="000000" w:themeColor="text1"/>
                <w:spacing w:val="-10"/>
                <w:szCs w:val="21"/>
                <w14:textFill>
                  <w14:solidFill>
                    <w14:schemeClr w14:val="tx1"/>
                  </w14:solidFill>
                </w14:textFill>
              </w:rPr>
              <w:t>)</w:t>
            </w:r>
          </w:p>
          <w:p w14:paraId="503F56D0">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生态系统</w:t>
            </w:r>
            <w:r>
              <w:rPr>
                <w:rFonts w:ascii="Segoe UI Symbol" w:hAnsi="Segoe UI Symbol" w:cs="Segoe UI Symbol"/>
                <w:color w:val="000000" w:themeColor="text1"/>
                <w:spacing w:val="-10"/>
                <w:szCs w:val="21"/>
                <w14:textFill>
                  <w14:solidFill>
                    <w14:schemeClr w14:val="tx1"/>
                  </w14:solidFill>
                </w14:textFill>
              </w:rPr>
              <w:t>☑</w:t>
            </w:r>
            <w:r>
              <w:rPr>
                <w:rFonts w:hint="eastAsia"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植被覆盖度、生产力、生物量、生态系统功能）</w:t>
            </w:r>
          </w:p>
          <w:p w14:paraId="28F23C0F">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生物多样性□(                                 )</w:t>
            </w:r>
          </w:p>
          <w:p w14:paraId="6FF6E4C3">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 xml:space="preserve">生态敏感区□( </w:t>
            </w:r>
            <w:r>
              <w:rPr>
                <w:rFonts w:ascii="宋体" w:hAnsi="宋体" w:cs="宋体"/>
                <w:color w:val="000000" w:themeColor="text1"/>
                <w:spacing w:val="-10"/>
                <w:szCs w:val="21"/>
                <w14:textFill>
                  <w14:solidFill>
                    <w14:schemeClr w14:val="tx1"/>
                  </w14:solidFill>
                </w14:textFill>
              </w:rPr>
              <w:t xml:space="preserve">     </w:t>
            </w:r>
            <w:r>
              <w:rPr>
                <w:rFonts w:hint="eastAsia" w:ascii="宋体" w:hAnsi="宋体" w:cs="宋体"/>
                <w:color w:val="000000" w:themeColor="text1"/>
                <w:spacing w:val="-10"/>
                <w:szCs w:val="21"/>
                <w14:textFill>
                  <w14:solidFill>
                    <w14:schemeClr w14:val="tx1"/>
                  </w14:solidFill>
                </w14:textFill>
              </w:rPr>
              <w:t>)</w:t>
            </w:r>
          </w:p>
          <w:p w14:paraId="6DB2FA75">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自然景观□（景观多样性、完整性）</w:t>
            </w:r>
          </w:p>
          <w:p w14:paraId="063F50D2">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自然遗迹□(                                   )</w:t>
            </w:r>
          </w:p>
        </w:tc>
      </w:tr>
      <w:tr w14:paraId="790972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82" w:type="pct"/>
            <w:gridSpan w:val="2"/>
            <w:vAlign w:val="center"/>
          </w:tcPr>
          <w:p w14:paraId="5D49AC4A">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评价等级</w:t>
            </w:r>
          </w:p>
        </w:tc>
        <w:tc>
          <w:tcPr>
            <w:tcW w:w="3418" w:type="pct"/>
            <w:vAlign w:val="center"/>
          </w:tcPr>
          <w:p w14:paraId="6E637842">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一级</w:t>
            </w:r>
            <w:r>
              <w:rPr>
                <w:rFonts w:hint="eastAsia" w:ascii="宋体" w:hAnsi="宋体" w:cs="宋体"/>
                <w:color w:val="000000" w:themeColor="text1"/>
                <w:spacing w:val="-10"/>
                <w:szCs w:val="21"/>
                <w14:textFill>
                  <w14:solidFill>
                    <w14:schemeClr w14:val="tx1"/>
                  </w14:solidFill>
                </w14:textFill>
              </w:rPr>
              <w:t>□       二级</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 xml:space="preserve">        三级□    生态影响简单分析□</w:t>
            </w:r>
          </w:p>
        </w:tc>
      </w:tr>
      <w:tr w14:paraId="08A2EF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82" w:type="pct"/>
            <w:gridSpan w:val="2"/>
            <w:vAlign w:val="center"/>
          </w:tcPr>
          <w:p w14:paraId="7A8C3249">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评价范围</w:t>
            </w:r>
          </w:p>
        </w:tc>
        <w:tc>
          <w:tcPr>
            <w:tcW w:w="3418" w:type="pct"/>
            <w:vAlign w:val="center"/>
          </w:tcPr>
          <w:p w14:paraId="6F722283">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陆域面积：（0.</w:t>
            </w:r>
            <w:r>
              <w:rPr>
                <w:rFonts w:hint="eastAsia" w:ascii="宋体" w:hAnsi="宋体" w:cs="宋体"/>
                <w:color w:val="000000" w:themeColor="text1"/>
                <w:spacing w:val="-10"/>
                <w:szCs w:val="21"/>
                <w:lang w:val="en-US" w:eastAsia="zh-CN" w:bidi="ar"/>
                <w14:textFill>
                  <w14:solidFill>
                    <w14:schemeClr w14:val="tx1"/>
                  </w14:solidFill>
                </w14:textFill>
              </w:rPr>
              <w:t>09</w:t>
            </w:r>
            <w:r>
              <w:rPr>
                <w:rFonts w:hint="eastAsia" w:ascii="宋体" w:hAnsi="宋体" w:cs="宋体"/>
                <w:color w:val="000000" w:themeColor="text1"/>
                <w:spacing w:val="-10"/>
                <w:szCs w:val="21"/>
                <w:lang w:bidi="ar"/>
                <w14:textFill>
                  <w14:solidFill>
                    <w14:schemeClr w14:val="tx1"/>
                  </w14:solidFill>
                </w14:textFill>
              </w:rPr>
              <w:t>）km</w:t>
            </w:r>
            <w:r>
              <w:rPr>
                <w:rFonts w:hint="eastAsia" w:ascii="宋体" w:hAnsi="宋体" w:cs="宋体"/>
                <w:color w:val="000000" w:themeColor="text1"/>
                <w:spacing w:val="-10"/>
                <w:szCs w:val="21"/>
                <w:vertAlign w:val="superscript"/>
                <w:lang w:bidi="ar"/>
                <w14:textFill>
                  <w14:solidFill>
                    <w14:schemeClr w14:val="tx1"/>
                  </w14:solidFill>
                </w14:textFill>
              </w:rPr>
              <w:t>2</w:t>
            </w:r>
            <w:r>
              <w:rPr>
                <w:rFonts w:hint="eastAsia" w:ascii="宋体" w:hAnsi="宋体" w:cs="宋体"/>
                <w:color w:val="000000" w:themeColor="text1"/>
                <w:spacing w:val="-10"/>
                <w:szCs w:val="21"/>
                <w:lang w:bidi="ar"/>
                <w14:textFill>
                  <w14:solidFill>
                    <w14:schemeClr w14:val="tx1"/>
                  </w14:solidFill>
                </w14:textFill>
              </w:rPr>
              <w:t>；水域面积：（</w:t>
            </w:r>
            <w:r>
              <w:rPr>
                <w:rFonts w:ascii="宋体" w:hAnsi="宋体" w:cs="宋体"/>
                <w:color w:val="000000" w:themeColor="text1"/>
                <w:spacing w:val="-10"/>
                <w:szCs w:val="21"/>
                <w:lang w:bidi="ar"/>
                <w14:textFill>
                  <w14:solidFill>
                    <w14:schemeClr w14:val="tx1"/>
                  </w14:solidFill>
                </w14:textFill>
              </w:rPr>
              <w:t>0</w:t>
            </w:r>
            <w:r>
              <w:rPr>
                <w:rFonts w:hint="eastAsia" w:ascii="宋体" w:hAnsi="宋体" w:cs="宋体"/>
                <w:color w:val="000000" w:themeColor="text1"/>
                <w:spacing w:val="-10"/>
                <w:szCs w:val="21"/>
                <w:lang w:bidi="ar"/>
                <w14:textFill>
                  <w14:solidFill>
                    <w14:schemeClr w14:val="tx1"/>
                  </w14:solidFill>
                </w14:textFill>
              </w:rPr>
              <w:t>）km</w:t>
            </w:r>
            <w:r>
              <w:rPr>
                <w:rFonts w:hint="eastAsia" w:ascii="宋体" w:hAnsi="宋体" w:cs="宋体"/>
                <w:color w:val="000000" w:themeColor="text1"/>
                <w:spacing w:val="-10"/>
                <w:szCs w:val="21"/>
                <w:vertAlign w:val="superscript"/>
                <w:lang w:bidi="ar"/>
                <w14:textFill>
                  <w14:solidFill>
                    <w14:schemeClr w14:val="tx1"/>
                  </w14:solidFill>
                </w14:textFill>
              </w:rPr>
              <w:t>2</w:t>
            </w:r>
          </w:p>
        </w:tc>
      </w:tr>
      <w:tr w14:paraId="3DCCF2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restart"/>
            <w:vAlign w:val="center"/>
          </w:tcPr>
          <w:p w14:paraId="6DCB01B3">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生态现状调查与</w:t>
            </w:r>
          </w:p>
          <w:p w14:paraId="200D2811">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评价</w:t>
            </w:r>
          </w:p>
        </w:tc>
        <w:tc>
          <w:tcPr>
            <w:tcW w:w="1026" w:type="pct"/>
            <w:vAlign w:val="center"/>
          </w:tcPr>
          <w:p w14:paraId="33C6C75A">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调查方法</w:t>
            </w:r>
          </w:p>
        </w:tc>
        <w:tc>
          <w:tcPr>
            <w:tcW w:w="3418" w:type="pct"/>
            <w:vAlign w:val="center"/>
          </w:tcPr>
          <w:p w14:paraId="6BDAA3DB">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资料收集</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；遥感调查□；调查样方、样线</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；调查点位、断面□；专家和公众咨询法□；其他□</w:t>
            </w:r>
          </w:p>
        </w:tc>
      </w:tr>
      <w:tr w14:paraId="5DBD3A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7A7D591F">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p>
        </w:tc>
        <w:tc>
          <w:tcPr>
            <w:tcW w:w="1026" w:type="pct"/>
            <w:vAlign w:val="center"/>
          </w:tcPr>
          <w:p w14:paraId="35D1016F">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调查时间</w:t>
            </w:r>
          </w:p>
        </w:tc>
        <w:tc>
          <w:tcPr>
            <w:tcW w:w="3418" w:type="pct"/>
            <w:vAlign w:val="center"/>
          </w:tcPr>
          <w:p w14:paraId="2E30CCE0">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春季</w:t>
            </w:r>
            <w:r>
              <w:rPr>
                <w:rFonts w:hint="eastAsia" w:ascii="宋体" w:hAnsi="宋体" w:cs="宋体"/>
                <w:color w:val="000000" w:themeColor="text1"/>
                <w:spacing w:val="-10"/>
                <w:szCs w:val="21"/>
                <w14:textFill>
                  <w14:solidFill>
                    <w14:schemeClr w14:val="tx1"/>
                  </w14:solidFill>
                </w14:textFill>
              </w:rPr>
              <w:t>□；夏季</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；秋季□；冬季□</w:t>
            </w:r>
          </w:p>
          <w:p w14:paraId="21308724">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丰水期□；枯水期□；平水期□</w:t>
            </w:r>
          </w:p>
        </w:tc>
      </w:tr>
      <w:tr w14:paraId="6FEB2C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3F84E82B">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p>
        </w:tc>
        <w:tc>
          <w:tcPr>
            <w:tcW w:w="1026" w:type="pct"/>
            <w:vAlign w:val="center"/>
          </w:tcPr>
          <w:p w14:paraId="68CB8778">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所在区域的生态</w:t>
            </w:r>
          </w:p>
          <w:p w14:paraId="6318FC3B">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问题</w:t>
            </w:r>
          </w:p>
        </w:tc>
        <w:tc>
          <w:tcPr>
            <w:tcW w:w="3418" w:type="pct"/>
            <w:vAlign w:val="center"/>
          </w:tcPr>
          <w:p w14:paraId="50914404">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水土流失</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；沙漠化</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；石漠化□；盐渍化□；生物入侵□；重要物种□；生态敏感区□；其他□</w:t>
            </w:r>
          </w:p>
        </w:tc>
      </w:tr>
      <w:tr w14:paraId="6A9F06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Align w:val="center"/>
          </w:tcPr>
          <w:p w14:paraId="2C1590FF">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生态现状调查与评价</w:t>
            </w:r>
          </w:p>
        </w:tc>
        <w:tc>
          <w:tcPr>
            <w:tcW w:w="1026" w:type="pct"/>
            <w:vAlign w:val="center"/>
          </w:tcPr>
          <w:p w14:paraId="5268504A">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评价内容</w:t>
            </w:r>
          </w:p>
        </w:tc>
        <w:tc>
          <w:tcPr>
            <w:tcW w:w="3418" w:type="pct"/>
            <w:vAlign w:val="center"/>
          </w:tcPr>
          <w:p w14:paraId="06DD15EE">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植被/植物群落</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；土地利用</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；生态系统</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；生物多样性</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；重要物种□；生态敏感区</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；其他□</w:t>
            </w:r>
          </w:p>
        </w:tc>
      </w:tr>
      <w:tr w14:paraId="32523F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restart"/>
            <w:vAlign w:val="center"/>
          </w:tcPr>
          <w:p w14:paraId="71C0C22F">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生态影响预测与</w:t>
            </w:r>
          </w:p>
          <w:p w14:paraId="0AE6709A">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评价</w:t>
            </w:r>
          </w:p>
        </w:tc>
        <w:tc>
          <w:tcPr>
            <w:tcW w:w="1026" w:type="pct"/>
            <w:vAlign w:val="center"/>
          </w:tcPr>
          <w:p w14:paraId="457A6A3C">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评价方法</w:t>
            </w:r>
          </w:p>
        </w:tc>
        <w:tc>
          <w:tcPr>
            <w:tcW w:w="3418" w:type="pct"/>
            <w:vAlign w:val="center"/>
          </w:tcPr>
          <w:p w14:paraId="044A52AC">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定性</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；定性和定量□</w:t>
            </w:r>
          </w:p>
        </w:tc>
      </w:tr>
      <w:tr w14:paraId="72A856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186ACD06">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p>
        </w:tc>
        <w:tc>
          <w:tcPr>
            <w:tcW w:w="1026" w:type="pct"/>
            <w:vAlign w:val="center"/>
          </w:tcPr>
          <w:p w14:paraId="544830ED">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评价内容</w:t>
            </w:r>
          </w:p>
        </w:tc>
        <w:tc>
          <w:tcPr>
            <w:tcW w:w="3418" w:type="pct"/>
            <w:vAlign w:val="center"/>
          </w:tcPr>
          <w:p w14:paraId="7089D474">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植被/植物群落</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；土地利用</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；生态系统</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；生物多样性□；重要物种□；生态敏感区□；生物入侵风险□；其他□</w:t>
            </w:r>
          </w:p>
        </w:tc>
      </w:tr>
      <w:tr w14:paraId="359F53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restart"/>
            <w:vAlign w:val="center"/>
          </w:tcPr>
          <w:p w14:paraId="3F0F6AE0">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生态保护对策措施</w:t>
            </w:r>
          </w:p>
        </w:tc>
        <w:tc>
          <w:tcPr>
            <w:tcW w:w="1026" w:type="pct"/>
            <w:vAlign w:val="center"/>
          </w:tcPr>
          <w:p w14:paraId="4D83E2E0">
            <w:pPr>
              <w:spacing w:line="0" w:lineRule="atLeast"/>
              <w:ind w:firstLine="460"/>
              <w:jc w:val="center"/>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对策措施</w:t>
            </w:r>
          </w:p>
        </w:tc>
        <w:tc>
          <w:tcPr>
            <w:tcW w:w="3418" w:type="pct"/>
            <w:vAlign w:val="center"/>
          </w:tcPr>
          <w:p w14:paraId="57A37A80">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避让</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；减缓</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；生态修复</w:t>
            </w:r>
            <w:r>
              <w:rPr>
                <w:rFonts w:hint="eastAsia" w:ascii="宋体" w:hAnsi="宋体" w:cs="宋体"/>
                <w:color w:val="000000" w:themeColor="text1"/>
                <w:spacing w:val="-10"/>
                <w:sz w:val="24"/>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；生态补偿</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；科研□；其他</w:t>
            </w:r>
            <w:r>
              <w:rPr>
                <w:rFonts w:ascii="Segoe UI Symbol" w:hAnsi="Segoe UI Symbol" w:cs="Segoe UI Symbol"/>
                <w:color w:val="000000" w:themeColor="text1"/>
                <w:spacing w:val="-10"/>
                <w:szCs w:val="21"/>
                <w14:textFill>
                  <w14:solidFill>
                    <w14:schemeClr w14:val="tx1"/>
                  </w14:solidFill>
                </w14:textFill>
              </w:rPr>
              <w:t>☑</w:t>
            </w:r>
          </w:p>
        </w:tc>
      </w:tr>
      <w:tr w14:paraId="26D54D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3C4599B1">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p>
        </w:tc>
        <w:tc>
          <w:tcPr>
            <w:tcW w:w="1026" w:type="pct"/>
            <w:vAlign w:val="center"/>
          </w:tcPr>
          <w:p w14:paraId="552600AE">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生态监测计划</w:t>
            </w:r>
          </w:p>
        </w:tc>
        <w:tc>
          <w:tcPr>
            <w:tcW w:w="3418" w:type="pct"/>
            <w:vAlign w:val="center"/>
          </w:tcPr>
          <w:p w14:paraId="2DF4E3D6">
            <w:pPr>
              <w:spacing w:line="0" w:lineRule="atLeast"/>
              <w:ind w:firstLine="460"/>
              <w:rPr>
                <w:rFonts w:hint="eastAsia" w:ascii="宋体" w:hAnsi="宋体" w:cs="宋体"/>
                <w:color w:val="000000" w:themeColor="text1"/>
                <w:spacing w:val="-10"/>
                <w:szCs w:val="21"/>
                <w14:textFill>
                  <w14:solidFill>
                    <w14:schemeClr w14:val="tx1"/>
                  </w14:solidFill>
                </w14:textFill>
              </w:rPr>
            </w:pPr>
            <w:r>
              <w:rPr>
                <w:rFonts w:hint="eastAsia" w:ascii="宋体" w:hAnsi="宋体" w:cs="宋体"/>
                <w:color w:val="000000" w:themeColor="text1"/>
                <w:spacing w:val="-10"/>
                <w:szCs w:val="21"/>
                <w14:textFill>
                  <w14:solidFill>
                    <w14:schemeClr w14:val="tx1"/>
                  </w14:solidFill>
                </w14:textFill>
              </w:rPr>
              <w:t>全生命周期</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；长期跟踪□；常规□；无□</w:t>
            </w:r>
          </w:p>
        </w:tc>
      </w:tr>
      <w:tr w14:paraId="69E4D0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60036487">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p>
        </w:tc>
        <w:tc>
          <w:tcPr>
            <w:tcW w:w="1026" w:type="pct"/>
            <w:vAlign w:val="center"/>
          </w:tcPr>
          <w:p w14:paraId="7D347BE9">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环境管理</w:t>
            </w:r>
          </w:p>
        </w:tc>
        <w:tc>
          <w:tcPr>
            <w:tcW w:w="3418" w:type="pct"/>
            <w:vAlign w:val="center"/>
          </w:tcPr>
          <w:p w14:paraId="618296EC">
            <w:pPr>
              <w:spacing w:line="0" w:lineRule="atLeast"/>
              <w:ind w:firstLine="460"/>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环境监理</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；环境影响后评价</w:t>
            </w:r>
            <w:r>
              <w:rPr>
                <w:rFonts w:ascii="Segoe UI Symbol" w:hAnsi="Segoe UI Symbol" w:cs="Segoe UI Symbol"/>
                <w:color w:val="000000" w:themeColor="text1"/>
                <w:spacing w:val="-10"/>
                <w:szCs w:val="21"/>
                <w14:textFill>
                  <w14:solidFill>
                    <w14:schemeClr w14:val="tx1"/>
                  </w14:solidFill>
                </w14:textFill>
              </w:rPr>
              <w:t>☑</w:t>
            </w:r>
            <w:r>
              <w:rPr>
                <w:rFonts w:hint="eastAsia" w:ascii="宋体" w:hAnsi="宋体" w:cs="宋体"/>
                <w:color w:val="000000" w:themeColor="text1"/>
                <w:spacing w:val="-10"/>
                <w:szCs w:val="21"/>
                <w14:textFill>
                  <w14:solidFill>
                    <w14:schemeClr w14:val="tx1"/>
                  </w14:solidFill>
                </w14:textFill>
              </w:rPr>
              <w:t>；其他□</w:t>
            </w:r>
          </w:p>
        </w:tc>
      </w:tr>
      <w:tr w14:paraId="2F298D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Align w:val="center"/>
          </w:tcPr>
          <w:p w14:paraId="0A216B85">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评价结论</w:t>
            </w:r>
          </w:p>
        </w:tc>
        <w:tc>
          <w:tcPr>
            <w:tcW w:w="1026" w:type="pct"/>
            <w:vAlign w:val="center"/>
          </w:tcPr>
          <w:p w14:paraId="3F268CEE">
            <w:pPr>
              <w:spacing w:line="0" w:lineRule="atLeast"/>
              <w:ind w:firstLine="460"/>
              <w:jc w:val="center"/>
              <w:rPr>
                <w:rFonts w:hint="eastAsia" w:ascii="宋体" w:hAnsi="宋体" w:cs="宋体"/>
                <w:color w:val="000000" w:themeColor="text1"/>
                <w:spacing w:val="-10"/>
                <w:szCs w:val="21"/>
                <w:lang w:bidi="ar"/>
                <w14:textFill>
                  <w14:solidFill>
                    <w14:schemeClr w14:val="tx1"/>
                  </w14:solidFill>
                </w14:textFill>
              </w:rPr>
            </w:pPr>
            <w:r>
              <w:rPr>
                <w:rFonts w:hint="eastAsia" w:ascii="宋体" w:hAnsi="宋体" w:cs="宋体"/>
                <w:color w:val="000000" w:themeColor="text1"/>
                <w:spacing w:val="-10"/>
                <w:szCs w:val="21"/>
                <w:lang w:bidi="ar"/>
                <w14:textFill>
                  <w14:solidFill>
                    <w14:schemeClr w14:val="tx1"/>
                  </w14:solidFill>
                </w14:textFill>
              </w:rPr>
              <w:t>生态影响</w:t>
            </w:r>
          </w:p>
        </w:tc>
        <w:tc>
          <w:tcPr>
            <w:tcW w:w="3418" w:type="pct"/>
            <w:vAlign w:val="center"/>
          </w:tcPr>
          <w:p w14:paraId="44F96878">
            <w:pPr>
              <w:spacing w:line="0" w:lineRule="atLeast"/>
              <w:ind w:left="1280" w:firstLine="462"/>
              <w:rPr>
                <w:rFonts w:hint="eastAsia" w:ascii="Cambria" w:hAnsi="宋体" w:cs="宋体"/>
                <w:b/>
                <w:bCs/>
                <w:color w:val="000000" w:themeColor="text1"/>
                <w:spacing w:val="-10"/>
                <w:szCs w:val="21"/>
                <w14:textFill>
                  <w14:solidFill>
                    <w14:schemeClr w14:val="tx1"/>
                  </w14:solidFill>
                </w14:textFill>
              </w:rPr>
            </w:pPr>
            <w:r>
              <w:rPr>
                <w:rFonts w:ascii="Cambria" w:hAnsi="宋体" w:cs="宋体"/>
                <w:b/>
                <w:color w:val="000000" w:themeColor="text1"/>
                <w:spacing w:val="-10"/>
                <w:szCs w:val="21"/>
                <w14:textFill>
                  <w14:solidFill>
                    <w14:schemeClr w14:val="tx1"/>
                  </w14:solidFill>
                </w14:textFill>
              </w:rPr>
              <w:t>可行</w:t>
            </w:r>
            <w:r>
              <w:rPr>
                <w:rFonts w:ascii="Segoe UI Symbol" w:hAnsi="Segoe UI Symbol" w:cs="Segoe UI Symbol"/>
                <w:b/>
                <w:color w:val="000000" w:themeColor="text1"/>
                <w:spacing w:val="-10"/>
                <w:szCs w:val="21"/>
                <w14:textFill>
                  <w14:solidFill>
                    <w14:schemeClr w14:val="tx1"/>
                  </w14:solidFill>
                </w14:textFill>
              </w:rPr>
              <w:t>☑</w:t>
            </w:r>
            <w:r>
              <w:rPr>
                <w:rFonts w:ascii="Cambria" w:hAnsi="宋体" w:cs="宋体"/>
                <w:b/>
                <w:color w:val="000000" w:themeColor="text1"/>
                <w:spacing w:val="-10"/>
                <w:szCs w:val="21"/>
                <w14:textFill>
                  <w14:solidFill>
                    <w14:schemeClr w14:val="tx1"/>
                  </w14:solidFill>
                </w14:textFill>
              </w:rPr>
              <w:t>；不可行□</w:t>
            </w:r>
          </w:p>
        </w:tc>
      </w:tr>
      <w:tr w14:paraId="653D6B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3"/>
            <w:vAlign w:val="center"/>
          </w:tcPr>
          <w:p w14:paraId="68281869">
            <w:pPr>
              <w:spacing w:line="0" w:lineRule="atLeast"/>
              <w:ind w:left="1280" w:firstLine="462"/>
              <w:rPr>
                <w:rFonts w:hint="eastAsia" w:ascii="Cambria" w:hAnsi="宋体" w:cs="宋体"/>
                <w:b/>
                <w:bCs/>
                <w:color w:val="000000" w:themeColor="text1"/>
                <w:spacing w:val="-10"/>
                <w:szCs w:val="21"/>
                <w14:textFill>
                  <w14:solidFill>
                    <w14:schemeClr w14:val="tx1"/>
                  </w14:solidFill>
                </w14:textFill>
              </w:rPr>
            </w:pPr>
            <w:r>
              <w:rPr>
                <w:rFonts w:ascii="Cambria" w:hAnsi="宋体" w:cs="宋体"/>
                <w:b/>
                <w:bCs/>
                <w:color w:val="000000" w:themeColor="text1"/>
                <w:spacing w:val="-10"/>
                <w:szCs w:val="21"/>
                <w14:textFill>
                  <w14:solidFill>
                    <w14:schemeClr w14:val="tx1"/>
                  </w14:solidFill>
                </w14:textFill>
              </w:rPr>
              <w:t>注：“</w:t>
            </w:r>
            <w:r>
              <w:rPr>
                <w:rFonts w:ascii="Cambria" w:hAnsi="宋体" w:cs="宋体"/>
                <w:b/>
                <w:color w:val="000000" w:themeColor="text1"/>
                <w:spacing w:val="-10"/>
                <w:szCs w:val="21"/>
                <w14:textFill>
                  <w14:solidFill>
                    <w14:schemeClr w14:val="tx1"/>
                  </w14:solidFill>
                </w14:textFill>
              </w:rPr>
              <w:t>□</w:t>
            </w:r>
            <w:r>
              <w:rPr>
                <w:rFonts w:ascii="Cambria" w:hAnsi="宋体" w:cs="宋体"/>
                <w:b/>
                <w:bCs/>
                <w:color w:val="000000" w:themeColor="text1"/>
                <w:spacing w:val="-10"/>
                <w:szCs w:val="21"/>
                <w14:textFill>
                  <w14:solidFill>
                    <w14:schemeClr w14:val="tx1"/>
                  </w14:solidFill>
                </w14:textFill>
              </w:rPr>
              <w:t>”为勾选项，可√；“</w:t>
            </w:r>
            <w:r>
              <w:rPr>
                <w:rFonts w:hint="eastAsia" w:ascii="Cambria" w:hAnsi="宋体" w:cs="宋体"/>
                <w:b/>
                <w:bCs/>
                <w:color w:val="000000" w:themeColor="text1"/>
                <w:spacing w:val="-10"/>
                <w:szCs w:val="21"/>
                <w14:textFill>
                  <w14:solidFill>
                    <w14:schemeClr w14:val="tx1"/>
                  </w14:solidFill>
                </w14:textFill>
              </w:rPr>
              <w:t>（</w:t>
            </w:r>
            <w:r>
              <w:rPr>
                <w:rFonts w:ascii="Cambria" w:hAnsi="宋体" w:cs="宋体"/>
                <w:b/>
                <w:bCs/>
                <w:color w:val="000000" w:themeColor="text1"/>
                <w:spacing w:val="-10"/>
                <w:szCs w:val="21"/>
                <w14:textFill>
                  <w14:solidFill>
                    <w14:schemeClr w14:val="tx1"/>
                  </w14:solidFill>
                </w14:textFill>
              </w:rPr>
              <w:t xml:space="preserve">   </w:t>
            </w:r>
            <w:r>
              <w:rPr>
                <w:rFonts w:hint="eastAsia" w:ascii="Cambria" w:hAnsi="宋体" w:cs="宋体"/>
                <w:b/>
                <w:bCs/>
                <w:color w:val="000000" w:themeColor="text1"/>
                <w:spacing w:val="-10"/>
                <w:szCs w:val="21"/>
                <w14:textFill>
                  <w14:solidFill>
                    <w14:schemeClr w14:val="tx1"/>
                  </w14:solidFill>
                </w14:textFill>
              </w:rPr>
              <w:t>）</w:t>
            </w:r>
            <w:r>
              <w:rPr>
                <w:rFonts w:ascii="Cambria" w:hAnsi="宋体" w:cs="宋体"/>
                <w:b/>
                <w:bCs/>
                <w:color w:val="000000" w:themeColor="text1"/>
                <w:spacing w:val="-10"/>
                <w:szCs w:val="21"/>
                <w14:textFill>
                  <w14:solidFill>
                    <w14:schemeClr w14:val="tx1"/>
                  </w14:solidFill>
                </w14:textFill>
              </w:rPr>
              <w:t>”为内容填写项。</w:t>
            </w:r>
          </w:p>
        </w:tc>
      </w:tr>
    </w:tbl>
    <w:p w14:paraId="00469BC9">
      <w:pPr>
        <w:pStyle w:val="120"/>
        <w:rPr>
          <w:rFonts w:hint="eastAsia"/>
          <w:color w:val="000000" w:themeColor="text1"/>
          <w14:textFill>
            <w14:solidFill>
              <w14:schemeClr w14:val="tx1"/>
            </w14:solidFill>
          </w14:textFill>
        </w:rPr>
      </w:pPr>
    </w:p>
    <w:p w14:paraId="2FD32518">
      <w:pPr>
        <w:pStyle w:val="120"/>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p>
    <w:p w14:paraId="5242D09A">
      <w:pPr>
        <w:pStyle w:val="6"/>
        <w:numPr>
          <w:ilvl w:val="0"/>
          <w:numId w:val="0"/>
        </w:numPr>
        <w:rPr>
          <w:rFonts w:hint="eastAsia"/>
          <w:color w:val="000000" w:themeColor="text1"/>
          <w14:textFill>
            <w14:solidFill>
              <w14:schemeClr w14:val="tx1"/>
            </w14:solidFill>
          </w14:textFill>
        </w:rPr>
      </w:pPr>
      <w:bookmarkStart w:id="820" w:name="_Toc9871"/>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 xml:space="preserve">9  </w:t>
      </w:r>
      <w:r>
        <w:rPr>
          <w:rFonts w:hint="eastAsia"/>
          <w:color w:val="000000" w:themeColor="text1"/>
          <w14:textFill>
            <w14:solidFill>
              <w14:schemeClr w14:val="tx1"/>
            </w14:solidFill>
          </w14:textFill>
        </w:rPr>
        <w:t>环境风险影响自查表</w:t>
      </w:r>
      <w:bookmarkEnd w:id="820"/>
    </w:p>
    <w:tbl>
      <w:tblPr>
        <w:tblStyle w:val="51"/>
        <w:tblW w:w="8928"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32"/>
        <w:gridCol w:w="1229"/>
        <w:gridCol w:w="1127"/>
        <w:gridCol w:w="369"/>
        <w:gridCol w:w="379"/>
        <w:gridCol w:w="441"/>
        <w:gridCol w:w="640"/>
        <w:gridCol w:w="409"/>
        <w:gridCol w:w="867"/>
        <w:gridCol w:w="567"/>
        <w:gridCol w:w="116"/>
        <w:gridCol w:w="124"/>
        <w:gridCol w:w="562"/>
        <w:gridCol w:w="12"/>
        <w:gridCol w:w="1454"/>
      </w:tblGrid>
      <w:tr w14:paraId="68848D1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tcMar>
              <w:left w:w="0" w:type="dxa"/>
              <w:right w:w="0" w:type="dxa"/>
            </w:tcMar>
            <w:vAlign w:val="center"/>
          </w:tcPr>
          <w:p w14:paraId="684985B9">
            <w:pPr>
              <w:pStyle w:val="280"/>
              <w:rPr>
                <w:rFonts w:hint="eastAsia"/>
                <w:color w:val="000000" w:themeColor="text1"/>
                <w14:textFill>
                  <w14:solidFill>
                    <w14:schemeClr w14:val="tx1"/>
                  </w14:solidFill>
                </w14:textFill>
              </w:rPr>
            </w:pPr>
            <w:bookmarkStart w:id="821" w:name="_Hlk175848179"/>
            <w:r>
              <w:rPr>
                <w:rFonts w:hint="eastAsia"/>
                <w:color w:val="000000" w:themeColor="text1"/>
                <w14:textFill>
                  <w14:solidFill>
                    <w14:schemeClr w14:val="tx1"/>
                  </w14:solidFill>
                </w14:textFill>
              </w:rPr>
              <w:t>工作内容</w:t>
            </w:r>
          </w:p>
        </w:tc>
        <w:tc>
          <w:tcPr>
            <w:tcW w:w="7067" w:type="dxa"/>
            <w:gridSpan w:val="13"/>
            <w:tcMar>
              <w:left w:w="0" w:type="dxa"/>
              <w:right w:w="0" w:type="dxa"/>
            </w:tcMar>
            <w:vAlign w:val="center"/>
          </w:tcPr>
          <w:p w14:paraId="679C0BF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完成情况</w:t>
            </w:r>
          </w:p>
        </w:tc>
      </w:tr>
      <w:tr w14:paraId="1515C2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restart"/>
            <w:tcMar>
              <w:left w:w="0" w:type="dxa"/>
              <w:right w:w="0" w:type="dxa"/>
            </w:tcMar>
            <w:vAlign w:val="center"/>
          </w:tcPr>
          <w:p w14:paraId="4025EE0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风险</w:t>
            </w:r>
          </w:p>
          <w:p w14:paraId="0A290BE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调查</w:t>
            </w:r>
          </w:p>
        </w:tc>
        <w:tc>
          <w:tcPr>
            <w:tcW w:w="1229" w:type="dxa"/>
            <w:vMerge w:val="restart"/>
            <w:tcMar>
              <w:left w:w="0" w:type="dxa"/>
              <w:right w:w="0" w:type="dxa"/>
            </w:tcMar>
            <w:vAlign w:val="center"/>
          </w:tcPr>
          <w:p w14:paraId="63BAB82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危险物质</w:t>
            </w:r>
          </w:p>
        </w:tc>
        <w:tc>
          <w:tcPr>
            <w:tcW w:w="1127" w:type="dxa"/>
            <w:tcMar>
              <w:left w:w="0" w:type="dxa"/>
              <w:right w:w="0" w:type="dxa"/>
            </w:tcMar>
            <w:vAlign w:val="center"/>
          </w:tcPr>
          <w:p w14:paraId="0D3831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1829" w:type="dxa"/>
            <w:gridSpan w:val="4"/>
            <w:tcMar>
              <w:left w:w="0" w:type="dxa"/>
              <w:right w:w="0" w:type="dxa"/>
            </w:tcMar>
            <w:vAlign w:val="center"/>
          </w:tcPr>
          <w:p w14:paraId="3FC61F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原油</w:t>
            </w:r>
          </w:p>
        </w:tc>
        <w:tc>
          <w:tcPr>
            <w:tcW w:w="4111" w:type="dxa"/>
            <w:gridSpan w:val="8"/>
            <w:tcMar>
              <w:left w:w="0" w:type="dxa"/>
              <w:right w:w="0" w:type="dxa"/>
            </w:tcMar>
            <w:vAlign w:val="center"/>
          </w:tcPr>
          <w:p w14:paraId="2EBC9E6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伴生气</w:t>
            </w:r>
          </w:p>
        </w:tc>
      </w:tr>
      <w:tr w14:paraId="170496F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7EC887ED">
            <w:pPr>
              <w:pStyle w:val="280"/>
              <w:rPr>
                <w:rFonts w:hint="eastAsia"/>
                <w:color w:val="000000" w:themeColor="text1"/>
                <w14:textFill>
                  <w14:solidFill>
                    <w14:schemeClr w14:val="tx1"/>
                  </w14:solidFill>
                </w14:textFill>
              </w:rPr>
            </w:pPr>
          </w:p>
        </w:tc>
        <w:tc>
          <w:tcPr>
            <w:tcW w:w="1229" w:type="dxa"/>
            <w:vMerge w:val="continue"/>
            <w:tcMar>
              <w:left w:w="0" w:type="dxa"/>
              <w:right w:w="0" w:type="dxa"/>
            </w:tcMar>
            <w:vAlign w:val="center"/>
          </w:tcPr>
          <w:p w14:paraId="6E138808">
            <w:pPr>
              <w:pStyle w:val="280"/>
              <w:rPr>
                <w:rFonts w:hint="eastAsia"/>
                <w:color w:val="000000" w:themeColor="text1"/>
                <w14:textFill>
                  <w14:solidFill>
                    <w14:schemeClr w14:val="tx1"/>
                  </w14:solidFill>
                </w14:textFill>
              </w:rPr>
            </w:pPr>
          </w:p>
        </w:tc>
        <w:tc>
          <w:tcPr>
            <w:tcW w:w="1127" w:type="dxa"/>
            <w:tcMar>
              <w:left w:w="0" w:type="dxa"/>
              <w:right w:w="0" w:type="dxa"/>
            </w:tcMar>
            <w:vAlign w:val="center"/>
          </w:tcPr>
          <w:p w14:paraId="7E567B5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存在总量/t</w:t>
            </w:r>
          </w:p>
        </w:tc>
        <w:tc>
          <w:tcPr>
            <w:tcW w:w="1829" w:type="dxa"/>
            <w:gridSpan w:val="4"/>
            <w:tcMar>
              <w:left w:w="0" w:type="dxa"/>
              <w:right w:w="0" w:type="dxa"/>
            </w:tcMar>
            <w:vAlign w:val="center"/>
          </w:tcPr>
          <w:p w14:paraId="56C689C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3.36</w:t>
            </w:r>
          </w:p>
        </w:tc>
        <w:tc>
          <w:tcPr>
            <w:tcW w:w="4111" w:type="dxa"/>
            <w:gridSpan w:val="8"/>
            <w:tcMar>
              <w:left w:w="0" w:type="dxa"/>
              <w:right w:w="0" w:type="dxa"/>
            </w:tcMar>
            <w:vAlign w:val="center"/>
          </w:tcPr>
          <w:p w14:paraId="199F80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0.0032</w:t>
            </w:r>
          </w:p>
        </w:tc>
      </w:tr>
      <w:tr w14:paraId="05169A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261F3A33">
            <w:pPr>
              <w:pStyle w:val="280"/>
              <w:rPr>
                <w:rFonts w:hint="eastAsia"/>
                <w:color w:val="000000" w:themeColor="text1"/>
                <w14:textFill>
                  <w14:solidFill>
                    <w14:schemeClr w14:val="tx1"/>
                  </w14:solidFill>
                </w14:textFill>
              </w:rPr>
            </w:pPr>
          </w:p>
        </w:tc>
        <w:tc>
          <w:tcPr>
            <w:tcW w:w="1229" w:type="dxa"/>
            <w:vMerge w:val="restart"/>
            <w:tcMar>
              <w:left w:w="0" w:type="dxa"/>
              <w:right w:w="0" w:type="dxa"/>
            </w:tcMar>
            <w:vAlign w:val="center"/>
          </w:tcPr>
          <w:p w14:paraId="1708752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环境敏感性</w:t>
            </w:r>
          </w:p>
        </w:tc>
        <w:tc>
          <w:tcPr>
            <w:tcW w:w="1127" w:type="dxa"/>
            <w:vMerge w:val="restart"/>
            <w:tcMar>
              <w:left w:w="0" w:type="dxa"/>
              <w:right w:w="0" w:type="dxa"/>
            </w:tcMar>
            <w:vAlign w:val="center"/>
          </w:tcPr>
          <w:p w14:paraId="3A83C6C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w:t>
            </w:r>
          </w:p>
        </w:tc>
        <w:tc>
          <w:tcPr>
            <w:tcW w:w="3105" w:type="dxa"/>
            <w:gridSpan w:val="6"/>
            <w:tcMar>
              <w:left w:w="0" w:type="dxa"/>
              <w:right w:w="0" w:type="dxa"/>
            </w:tcMar>
            <w:vAlign w:val="center"/>
          </w:tcPr>
          <w:p w14:paraId="6C6D265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500m范围内人口数0人</w:t>
            </w:r>
          </w:p>
        </w:tc>
        <w:tc>
          <w:tcPr>
            <w:tcW w:w="2835" w:type="dxa"/>
            <w:gridSpan w:val="6"/>
            <w:tcMar>
              <w:left w:w="0" w:type="dxa"/>
              <w:right w:w="0" w:type="dxa"/>
            </w:tcMar>
            <w:vAlign w:val="center"/>
          </w:tcPr>
          <w:p w14:paraId="3265C3D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5km范围内人口数297人</w:t>
            </w:r>
          </w:p>
        </w:tc>
      </w:tr>
      <w:tr w14:paraId="3F4546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4F34A4DC">
            <w:pPr>
              <w:pStyle w:val="280"/>
              <w:rPr>
                <w:rFonts w:hint="eastAsia"/>
                <w:color w:val="000000" w:themeColor="text1"/>
                <w14:textFill>
                  <w14:solidFill>
                    <w14:schemeClr w14:val="tx1"/>
                  </w14:solidFill>
                </w14:textFill>
              </w:rPr>
            </w:pPr>
          </w:p>
        </w:tc>
        <w:tc>
          <w:tcPr>
            <w:tcW w:w="1229" w:type="dxa"/>
            <w:vMerge w:val="continue"/>
            <w:tcMar>
              <w:left w:w="0" w:type="dxa"/>
              <w:right w:w="0" w:type="dxa"/>
            </w:tcMar>
            <w:vAlign w:val="center"/>
          </w:tcPr>
          <w:p w14:paraId="31A57340">
            <w:pPr>
              <w:pStyle w:val="280"/>
              <w:rPr>
                <w:rFonts w:hint="eastAsia"/>
                <w:color w:val="000000" w:themeColor="text1"/>
                <w14:textFill>
                  <w14:solidFill>
                    <w14:schemeClr w14:val="tx1"/>
                  </w14:solidFill>
                </w14:textFill>
              </w:rPr>
            </w:pPr>
          </w:p>
        </w:tc>
        <w:tc>
          <w:tcPr>
            <w:tcW w:w="1127" w:type="dxa"/>
            <w:vMerge w:val="continue"/>
            <w:tcMar>
              <w:left w:w="0" w:type="dxa"/>
              <w:right w:w="0" w:type="dxa"/>
            </w:tcMar>
            <w:vAlign w:val="center"/>
          </w:tcPr>
          <w:p w14:paraId="3343243C">
            <w:pPr>
              <w:pStyle w:val="280"/>
              <w:rPr>
                <w:rFonts w:hint="eastAsia"/>
                <w:color w:val="000000" w:themeColor="text1"/>
                <w14:textFill>
                  <w14:solidFill>
                    <w14:schemeClr w14:val="tx1"/>
                  </w14:solidFill>
                </w14:textFill>
              </w:rPr>
            </w:pPr>
          </w:p>
        </w:tc>
        <w:tc>
          <w:tcPr>
            <w:tcW w:w="4474" w:type="dxa"/>
            <w:gridSpan w:val="10"/>
            <w:tcMar>
              <w:left w:w="0" w:type="dxa"/>
              <w:right w:w="0" w:type="dxa"/>
            </w:tcMar>
            <w:vAlign w:val="center"/>
          </w:tcPr>
          <w:p w14:paraId="31D1DE4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每公里管段周边200m范围内人口数（最大）</w:t>
            </w:r>
          </w:p>
        </w:tc>
        <w:tc>
          <w:tcPr>
            <w:tcW w:w="1466" w:type="dxa"/>
            <w:gridSpan w:val="2"/>
            <w:tcMar>
              <w:left w:w="0" w:type="dxa"/>
              <w:right w:w="0" w:type="dxa"/>
            </w:tcMar>
            <w:vAlign w:val="center"/>
          </w:tcPr>
          <w:p w14:paraId="5B49F4E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0人</w:t>
            </w:r>
          </w:p>
        </w:tc>
      </w:tr>
      <w:tr w14:paraId="3A7FA67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5FA769B1">
            <w:pPr>
              <w:pStyle w:val="280"/>
              <w:rPr>
                <w:rFonts w:hint="eastAsia"/>
                <w:color w:val="000000" w:themeColor="text1"/>
                <w14:textFill>
                  <w14:solidFill>
                    <w14:schemeClr w14:val="tx1"/>
                  </w14:solidFill>
                </w14:textFill>
              </w:rPr>
            </w:pPr>
          </w:p>
        </w:tc>
        <w:tc>
          <w:tcPr>
            <w:tcW w:w="1229" w:type="dxa"/>
            <w:vMerge w:val="continue"/>
            <w:tcMar>
              <w:left w:w="0" w:type="dxa"/>
              <w:right w:w="0" w:type="dxa"/>
            </w:tcMar>
            <w:vAlign w:val="center"/>
          </w:tcPr>
          <w:p w14:paraId="348E8418">
            <w:pPr>
              <w:pStyle w:val="280"/>
              <w:rPr>
                <w:rFonts w:hint="eastAsia"/>
                <w:color w:val="000000" w:themeColor="text1"/>
                <w14:textFill>
                  <w14:solidFill>
                    <w14:schemeClr w14:val="tx1"/>
                  </w14:solidFill>
                </w14:textFill>
              </w:rPr>
            </w:pPr>
          </w:p>
        </w:tc>
        <w:tc>
          <w:tcPr>
            <w:tcW w:w="1127" w:type="dxa"/>
            <w:vMerge w:val="restart"/>
            <w:tcMar>
              <w:left w:w="0" w:type="dxa"/>
              <w:right w:w="0" w:type="dxa"/>
            </w:tcMar>
            <w:vAlign w:val="center"/>
          </w:tcPr>
          <w:p w14:paraId="5A6E498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地表水</w:t>
            </w:r>
          </w:p>
        </w:tc>
        <w:tc>
          <w:tcPr>
            <w:tcW w:w="1829" w:type="dxa"/>
            <w:gridSpan w:val="4"/>
            <w:tcMar>
              <w:left w:w="0" w:type="dxa"/>
              <w:right w:w="0" w:type="dxa"/>
            </w:tcMar>
            <w:vAlign w:val="center"/>
          </w:tcPr>
          <w:p w14:paraId="5408DFA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地表水功能敏感性</w:t>
            </w:r>
          </w:p>
        </w:tc>
        <w:tc>
          <w:tcPr>
            <w:tcW w:w="1276" w:type="dxa"/>
            <w:gridSpan w:val="2"/>
            <w:tcMar>
              <w:left w:w="0" w:type="dxa"/>
              <w:right w:w="0" w:type="dxa"/>
            </w:tcMar>
            <w:vAlign w:val="center"/>
          </w:tcPr>
          <w:p w14:paraId="7379927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F1□</w:t>
            </w:r>
          </w:p>
        </w:tc>
        <w:tc>
          <w:tcPr>
            <w:tcW w:w="1369" w:type="dxa"/>
            <w:gridSpan w:val="4"/>
            <w:tcMar>
              <w:left w:w="0" w:type="dxa"/>
              <w:right w:w="0" w:type="dxa"/>
            </w:tcMar>
            <w:vAlign w:val="center"/>
          </w:tcPr>
          <w:p w14:paraId="19F4B5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F2□</w:t>
            </w:r>
          </w:p>
        </w:tc>
        <w:tc>
          <w:tcPr>
            <w:tcW w:w="1466" w:type="dxa"/>
            <w:gridSpan w:val="2"/>
            <w:tcMar>
              <w:left w:w="0" w:type="dxa"/>
              <w:right w:w="0" w:type="dxa"/>
            </w:tcMar>
            <w:vAlign w:val="center"/>
          </w:tcPr>
          <w:p w14:paraId="5BF3FEB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F3□</w:t>
            </w:r>
          </w:p>
        </w:tc>
      </w:tr>
      <w:tr w14:paraId="43CE7B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4E222A53">
            <w:pPr>
              <w:pStyle w:val="280"/>
              <w:rPr>
                <w:rFonts w:hint="eastAsia"/>
                <w:color w:val="000000" w:themeColor="text1"/>
                <w14:textFill>
                  <w14:solidFill>
                    <w14:schemeClr w14:val="tx1"/>
                  </w14:solidFill>
                </w14:textFill>
              </w:rPr>
            </w:pPr>
          </w:p>
        </w:tc>
        <w:tc>
          <w:tcPr>
            <w:tcW w:w="1229" w:type="dxa"/>
            <w:vMerge w:val="continue"/>
            <w:tcMar>
              <w:left w:w="0" w:type="dxa"/>
              <w:right w:w="0" w:type="dxa"/>
            </w:tcMar>
            <w:vAlign w:val="center"/>
          </w:tcPr>
          <w:p w14:paraId="0FBE9F1A">
            <w:pPr>
              <w:pStyle w:val="280"/>
              <w:rPr>
                <w:rFonts w:hint="eastAsia"/>
                <w:color w:val="000000" w:themeColor="text1"/>
                <w14:textFill>
                  <w14:solidFill>
                    <w14:schemeClr w14:val="tx1"/>
                  </w14:solidFill>
                </w14:textFill>
              </w:rPr>
            </w:pPr>
          </w:p>
        </w:tc>
        <w:tc>
          <w:tcPr>
            <w:tcW w:w="1127" w:type="dxa"/>
            <w:vMerge w:val="continue"/>
            <w:tcMar>
              <w:left w:w="0" w:type="dxa"/>
              <w:right w:w="0" w:type="dxa"/>
            </w:tcMar>
            <w:vAlign w:val="center"/>
          </w:tcPr>
          <w:p w14:paraId="1EEA5FF8">
            <w:pPr>
              <w:pStyle w:val="280"/>
              <w:rPr>
                <w:rFonts w:hint="eastAsia"/>
                <w:color w:val="000000" w:themeColor="text1"/>
                <w14:textFill>
                  <w14:solidFill>
                    <w14:schemeClr w14:val="tx1"/>
                  </w14:solidFill>
                </w14:textFill>
              </w:rPr>
            </w:pPr>
          </w:p>
        </w:tc>
        <w:tc>
          <w:tcPr>
            <w:tcW w:w="1829" w:type="dxa"/>
            <w:gridSpan w:val="4"/>
            <w:tcMar>
              <w:left w:w="0" w:type="dxa"/>
              <w:right w:w="0" w:type="dxa"/>
            </w:tcMar>
            <w:vAlign w:val="center"/>
          </w:tcPr>
          <w:p w14:paraId="2070776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环境敏感目标分级</w:t>
            </w:r>
          </w:p>
        </w:tc>
        <w:tc>
          <w:tcPr>
            <w:tcW w:w="1276" w:type="dxa"/>
            <w:gridSpan w:val="2"/>
            <w:tcMar>
              <w:left w:w="0" w:type="dxa"/>
              <w:right w:w="0" w:type="dxa"/>
            </w:tcMar>
            <w:vAlign w:val="center"/>
          </w:tcPr>
          <w:p w14:paraId="15A24B4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S1□</w:t>
            </w:r>
          </w:p>
        </w:tc>
        <w:tc>
          <w:tcPr>
            <w:tcW w:w="1369" w:type="dxa"/>
            <w:gridSpan w:val="4"/>
            <w:tcMar>
              <w:left w:w="0" w:type="dxa"/>
              <w:right w:w="0" w:type="dxa"/>
            </w:tcMar>
            <w:vAlign w:val="center"/>
          </w:tcPr>
          <w:p w14:paraId="0E2E522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S2□</w:t>
            </w:r>
          </w:p>
        </w:tc>
        <w:tc>
          <w:tcPr>
            <w:tcW w:w="1466" w:type="dxa"/>
            <w:gridSpan w:val="2"/>
            <w:tcMar>
              <w:left w:w="0" w:type="dxa"/>
              <w:right w:w="0" w:type="dxa"/>
            </w:tcMar>
            <w:vAlign w:val="center"/>
          </w:tcPr>
          <w:p w14:paraId="2212BC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S3□</w:t>
            </w:r>
          </w:p>
        </w:tc>
      </w:tr>
      <w:tr w14:paraId="2F4DCB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63624AA2">
            <w:pPr>
              <w:pStyle w:val="280"/>
              <w:rPr>
                <w:rFonts w:hint="eastAsia"/>
                <w:color w:val="000000" w:themeColor="text1"/>
                <w14:textFill>
                  <w14:solidFill>
                    <w14:schemeClr w14:val="tx1"/>
                  </w14:solidFill>
                </w14:textFill>
              </w:rPr>
            </w:pPr>
          </w:p>
        </w:tc>
        <w:tc>
          <w:tcPr>
            <w:tcW w:w="1229" w:type="dxa"/>
            <w:vMerge w:val="continue"/>
            <w:tcMar>
              <w:left w:w="0" w:type="dxa"/>
              <w:right w:w="0" w:type="dxa"/>
            </w:tcMar>
            <w:vAlign w:val="center"/>
          </w:tcPr>
          <w:p w14:paraId="4CD6059D">
            <w:pPr>
              <w:pStyle w:val="280"/>
              <w:rPr>
                <w:rFonts w:hint="eastAsia"/>
                <w:color w:val="000000" w:themeColor="text1"/>
                <w14:textFill>
                  <w14:solidFill>
                    <w14:schemeClr w14:val="tx1"/>
                  </w14:solidFill>
                </w14:textFill>
              </w:rPr>
            </w:pPr>
          </w:p>
        </w:tc>
        <w:tc>
          <w:tcPr>
            <w:tcW w:w="1127" w:type="dxa"/>
            <w:vMerge w:val="restart"/>
            <w:tcMar>
              <w:left w:w="0" w:type="dxa"/>
              <w:right w:w="0" w:type="dxa"/>
            </w:tcMar>
            <w:vAlign w:val="center"/>
          </w:tcPr>
          <w:p w14:paraId="49A22CE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1829" w:type="dxa"/>
            <w:gridSpan w:val="4"/>
            <w:tcMar>
              <w:left w:w="0" w:type="dxa"/>
              <w:right w:w="0" w:type="dxa"/>
            </w:tcMar>
            <w:vAlign w:val="center"/>
          </w:tcPr>
          <w:p w14:paraId="6DA2789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地下水功能敏感性</w:t>
            </w:r>
          </w:p>
        </w:tc>
        <w:tc>
          <w:tcPr>
            <w:tcW w:w="1276" w:type="dxa"/>
            <w:gridSpan w:val="2"/>
            <w:tcMar>
              <w:left w:w="0" w:type="dxa"/>
              <w:right w:w="0" w:type="dxa"/>
            </w:tcMar>
            <w:vAlign w:val="center"/>
          </w:tcPr>
          <w:p w14:paraId="0CF8C8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G1□</w:t>
            </w:r>
          </w:p>
        </w:tc>
        <w:tc>
          <w:tcPr>
            <w:tcW w:w="1369" w:type="dxa"/>
            <w:gridSpan w:val="4"/>
            <w:tcMar>
              <w:left w:w="0" w:type="dxa"/>
              <w:right w:w="0" w:type="dxa"/>
            </w:tcMar>
            <w:vAlign w:val="center"/>
          </w:tcPr>
          <w:p w14:paraId="3F4287A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G2□</w:t>
            </w:r>
          </w:p>
        </w:tc>
        <w:tc>
          <w:tcPr>
            <w:tcW w:w="1466" w:type="dxa"/>
            <w:gridSpan w:val="2"/>
            <w:tcMar>
              <w:left w:w="0" w:type="dxa"/>
              <w:right w:w="0" w:type="dxa"/>
            </w:tcMar>
            <w:vAlign w:val="center"/>
          </w:tcPr>
          <w:p w14:paraId="765B801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G3□</w:t>
            </w:r>
          </w:p>
        </w:tc>
      </w:tr>
      <w:tr w14:paraId="3F05FA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5682AD34">
            <w:pPr>
              <w:pStyle w:val="280"/>
              <w:rPr>
                <w:rFonts w:hint="eastAsia"/>
                <w:color w:val="000000" w:themeColor="text1"/>
                <w14:textFill>
                  <w14:solidFill>
                    <w14:schemeClr w14:val="tx1"/>
                  </w14:solidFill>
                </w14:textFill>
              </w:rPr>
            </w:pPr>
          </w:p>
        </w:tc>
        <w:tc>
          <w:tcPr>
            <w:tcW w:w="1229" w:type="dxa"/>
            <w:vMerge w:val="continue"/>
            <w:tcMar>
              <w:left w:w="0" w:type="dxa"/>
              <w:right w:w="0" w:type="dxa"/>
            </w:tcMar>
            <w:vAlign w:val="center"/>
          </w:tcPr>
          <w:p w14:paraId="6E3B8718">
            <w:pPr>
              <w:pStyle w:val="280"/>
              <w:rPr>
                <w:rFonts w:hint="eastAsia"/>
                <w:color w:val="000000" w:themeColor="text1"/>
                <w14:textFill>
                  <w14:solidFill>
                    <w14:schemeClr w14:val="tx1"/>
                  </w14:solidFill>
                </w14:textFill>
              </w:rPr>
            </w:pPr>
          </w:p>
        </w:tc>
        <w:tc>
          <w:tcPr>
            <w:tcW w:w="1127" w:type="dxa"/>
            <w:vMerge w:val="continue"/>
            <w:tcMar>
              <w:left w:w="0" w:type="dxa"/>
              <w:right w:w="0" w:type="dxa"/>
            </w:tcMar>
            <w:vAlign w:val="center"/>
          </w:tcPr>
          <w:p w14:paraId="7CBA9070">
            <w:pPr>
              <w:pStyle w:val="280"/>
              <w:rPr>
                <w:rFonts w:hint="eastAsia"/>
                <w:color w:val="000000" w:themeColor="text1"/>
                <w14:textFill>
                  <w14:solidFill>
                    <w14:schemeClr w14:val="tx1"/>
                  </w14:solidFill>
                </w14:textFill>
              </w:rPr>
            </w:pPr>
          </w:p>
        </w:tc>
        <w:tc>
          <w:tcPr>
            <w:tcW w:w="1829" w:type="dxa"/>
            <w:gridSpan w:val="4"/>
            <w:tcMar>
              <w:left w:w="0" w:type="dxa"/>
              <w:right w:w="0" w:type="dxa"/>
            </w:tcMar>
            <w:vAlign w:val="center"/>
          </w:tcPr>
          <w:p w14:paraId="1C44081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包气带防污性能</w:t>
            </w:r>
          </w:p>
        </w:tc>
        <w:tc>
          <w:tcPr>
            <w:tcW w:w="1276" w:type="dxa"/>
            <w:gridSpan w:val="2"/>
            <w:tcMar>
              <w:left w:w="0" w:type="dxa"/>
              <w:right w:w="0" w:type="dxa"/>
            </w:tcMar>
            <w:vAlign w:val="center"/>
          </w:tcPr>
          <w:p w14:paraId="78F7D18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D1□</w:t>
            </w:r>
          </w:p>
        </w:tc>
        <w:tc>
          <w:tcPr>
            <w:tcW w:w="1369" w:type="dxa"/>
            <w:gridSpan w:val="4"/>
            <w:tcMar>
              <w:left w:w="0" w:type="dxa"/>
              <w:right w:w="0" w:type="dxa"/>
            </w:tcMar>
            <w:vAlign w:val="center"/>
          </w:tcPr>
          <w:p w14:paraId="562EA44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D2□</w:t>
            </w:r>
          </w:p>
        </w:tc>
        <w:tc>
          <w:tcPr>
            <w:tcW w:w="1466" w:type="dxa"/>
            <w:gridSpan w:val="2"/>
            <w:tcMar>
              <w:left w:w="0" w:type="dxa"/>
              <w:right w:w="0" w:type="dxa"/>
            </w:tcMar>
            <w:vAlign w:val="center"/>
          </w:tcPr>
          <w:p w14:paraId="566014A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D3□</w:t>
            </w:r>
          </w:p>
        </w:tc>
      </w:tr>
      <w:tr w14:paraId="0FC8AF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vMerge w:val="restart"/>
            <w:tcMar>
              <w:left w:w="0" w:type="dxa"/>
              <w:right w:w="0" w:type="dxa"/>
            </w:tcMar>
            <w:vAlign w:val="center"/>
          </w:tcPr>
          <w:p w14:paraId="6359903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物质及工艺系统危险性</w:t>
            </w:r>
          </w:p>
        </w:tc>
        <w:tc>
          <w:tcPr>
            <w:tcW w:w="1127" w:type="dxa"/>
            <w:tcMar>
              <w:left w:w="0" w:type="dxa"/>
              <w:right w:w="0" w:type="dxa"/>
            </w:tcMar>
            <w:vAlign w:val="center"/>
          </w:tcPr>
          <w:p w14:paraId="7DFD77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Q值</w:t>
            </w:r>
          </w:p>
        </w:tc>
        <w:tc>
          <w:tcPr>
            <w:tcW w:w="1829" w:type="dxa"/>
            <w:gridSpan w:val="4"/>
            <w:tcMar>
              <w:left w:w="0" w:type="dxa"/>
              <w:right w:w="0" w:type="dxa"/>
            </w:tcMar>
            <w:vAlign w:val="center"/>
          </w:tcPr>
          <w:p w14:paraId="7FD3B4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Q＜1</w:t>
            </w:r>
            <w:r>
              <w:rPr>
                <w:rFonts w:hint="eastAsia"/>
                <w:color w:val="000000" w:themeColor="text1"/>
                <w14:textFill>
                  <w14:solidFill>
                    <w14:schemeClr w14:val="tx1"/>
                  </w14:solidFill>
                </w14:textFill>
              </w:rPr>
              <w:sym w:font="Wingdings 2" w:char="0052"/>
            </w:r>
          </w:p>
        </w:tc>
        <w:tc>
          <w:tcPr>
            <w:tcW w:w="1276" w:type="dxa"/>
            <w:gridSpan w:val="2"/>
            <w:tcMar>
              <w:left w:w="0" w:type="dxa"/>
              <w:right w:w="0" w:type="dxa"/>
            </w:tcMar>
            <w:vAlign w:val="center"/>
          </w:tcPr>
          <w:p w14:paraId="77B5EBE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1≤Q＜10□</w:t>
            </w:r>
          </w:p>
        </w:tc>
        <w:tc>
          <w:tcPr>
            <w:tcW w:w="1369" w:type="dxa"/>
            <w:gridSpan w:val="4"/>
            <w:tcMar>
              <w:left w:w="0" w:type="dxa"/>
              <w:right w:w="0" w:type="dxa"/>
            </w:tcMar>
            <w:vAlign w:val="center"/>
          </w:tcPr>
          <w:p w14:paraId="1928379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10≤Q＜100□</w:t>
            </w:r>
          </w:p>
        </w:tc>
        <w:tc>
          <w:tcPr>
            <w:tcW w:w="1466" w:type="dxa"/>
            <w:gridSpan w:val="2"/>
            <w:tcMar>
              <w:left w:w="0" w:type="dxa"/>
              <w:right w:w="0" w:type="dxa"/>
            </w:tcMar>
            <w:vAlign w:val="center"/>
          </w:tcPr>
          <w:p w14:paraId="36E87B2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Q＞100□</w:t>
            </w:r>
          </w:p>
        </w:tc>
      </w:tr>
      <w:tr w14:paraId="2D943D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vMerge w:val="continue"/>
            <w:tcMar>
              <w:left w:w="0" w:type="dxa"/>
              <w:right w:w="0" w:type="dxa"/>
            </w:tcMar>
            <w:vAlign w:val="center"/>
          </w:tcPr>
          <w:p w14:paraId="210D2D42">
            <w:pPr>
              <w:pStyle w:val="280"/>
              <w:rPr>
                <w:rFonts w:hint="eastAsia"/>
                <w:color w:val="000000" w:themeColor="text1"/>
                <w14:textFill>
                  <w14:solidFill>
                    <w14:schemeClr w14:val="tx1"/>
                  </w14:solidFill>
                </w14:textFill>
              </w:rPr>
            </w:pPr>
          </w:p>
        </w:tc>
        <w:tc>
          <w:tcPr>
            <w:tcW w:w="1127" w:type="dxa"/>
            <w:tcMar>
              <w:left w:w="0" w:type="dxa"/>
              <w:right w:w="0" w:type="dxa"/>
            </w:tcMar>
            <w:vAlign w:val="center"/>
          </w:tcPr>
          <w:p w14:paraId="118DF20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M值</w:t>
            </w:r>
          </w:p>
        </w:tc>
        <w:tc>
          <w:tcPr>
            <w:tcW w:w="1829" w:type="dxa"/>
            <w:gridSpan w:val="4"/>
            <w:tcMar>
              <w:left w:w="0" w:type="dxa"/>
              <w:right w:w="0" w:type="dxa"/>
            </w:tcMar>
            <w:vAlign w:val="center"/>
          </w:tcPr>
          <w:p w14:paraId="0D8AC11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M1□</w:t>
            </w:r>
          </w:p>
        </w:tc>
        <w:tc>
          <w:tcPr>
            <w:tcW w:w="1276" w:type="dxa"/>
            <w:gridSpan w:val="2"/>
            <w:tcMar>
              <w:left w:w="0" w:type="dxa"/>
              <w:right w:w="0" w:type="dxa"/>
            </w:tcMar>
            <w:vAlign w:val="center"/>
          </w:tcPr>
          <w:p w14:paraId="1F1EABA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M2□</w:t>
            </w:r>
          </w:p>
        </w:tc>
        <w:tc>
          <w:tcPr>
            <w:tcW w:w="1369" w:type="dxa"/>
            <w:gridSpan w:val="4"/>
            <w:tcMar>
              <w:left w:w="0" w:type="dxa"/>
              <w:right w:w="0" w:type="dxa"/>
            </w:tcMar>
            <w:vAlign w:val="center"/>
          </w:tcPr>
          <w:p w14:paraId="76AC221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M3□</w:t>
            </w:r>
          </w:p>
        </w:tc>
        <w:tc>
          <w:tcPr>
            <w:tcW w:w="1466" w:type="dxa"/>
            <w:gridSpan w:val="2"/>
            <w:tcMar>
              <w:left w:w="0" w:type="dxa"/>
              <w:right w:w="0" w:type="dxa"/>
            </w:tcMar>
            <w:vAlign w:val="center"/>
          </w:tcPr>
          <w:p w14:paraId="44A5F42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M4□</w:t>
            </w:r>
          </w:p>
        </w:tc>
      </w:tr>
      <w:tr w14:paraId="04960A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vMerge w:val="continue"/>
            <w:tcMar>
              <w:left w:w="0" w:type="dxa"/>
              <w:right w:w="0" w:type="dxa"/>
            </w:tcMar>
            <w:vAlign w:val="center"/>
          </w:tcPr>
          <w:p w14:paraId="2B0586D2">
            <w:pPr>
              <w:pStyle w:val="280"/>
              <w:rPr>
                <w:rFonts w:hint="eastAsia"/>
                <w:color w:val="000000" w:themeColor="text1"/>
                <w14:textFill>
                  <w14:solidFill>
                    <w14:schemeClr w14:val="tx1"/>
                  </w14:solidFill>
                </w14:textFill>
              </w:rPr>
            </w:pPr>
          </w:p>
        </w:tc>
        <w:tc>
          <w:tcPr>
            <w:tcW w:w="1127" w:type="dxa"/>
            <w:tcMar>
              <w:left w:w="0" w:type="dxa"/>
              <w:right w:w="0" w:type="dxa"/>
            </w:tcMar>
            <w:vAlign w:val="center"/>
          </w:tcPr>
          <w:p w14:paraId="0E11E24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P值</w:t>
            </w:r>
          </w:p>
        </w:tc>
        <w:tc>
          <w:tcPr>
            <w:tcW w:w="1829" w:type="dxa"/>
            <w:gridSpan w:val="4"/>
            <w:tcMar>
              <w:left w:w="0" w:type="dxa"/>
              <w:right w:w="0" w:type="dxa"/>
            </w:tcMar>
            <w:vAlign w:val="center"/>
          </w:tcPr>
          <w:p w14:paraId="5F23B721">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P1□</w:t>
            </w:r>
          </w:p>
        </w:tc>
        <w:tc>
          <w:tcPr>
            <w:tcW w:w="1276" w:type="dxa"/>
            <w:gridSpan w:val="2"/>
            <w:tcMar>
              <w:left w:w="0" w:type="dxa"/>
              <w:right w:w="0" w:type="dxa"/>
            </w:tcMar>
            <w:vAlign w:val="center"/>
          </w:tcPr>
          <w:p w14:paraId="7835634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P2□</w:t>
            </w:r>
          </w:p>
        </w:tc>
        <w:tc>
          <w:tcPr>
            <w:tcW w:w="1369" w:type="dxa"/>
            <w:gridSpan w:val="4"/>
            <w:tcMar>
              <w:left w:w="0" w:type="dxa"/>
              <w:right w:w="0" w:type="dxa"/>
            </w:tcMar>
            <w:vAlign w:val="center"/>
          </w:tcPr>
          <w:p w14:paraId="332F538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P3□</w:t>
            </w:r>
          </w:p>
        </w:tc>
        <w:tc>
          <w:tcPr>
            <w:tcW w:w="1466" w:type="dxa"/>
            <w:gridSpan w:val="2"/>
            <w:tcMar>
              <w:left w:w="0" w:type="dxa"/>
              <w:right w:w="0" w:type="dxa"/>
            </w:tcMar>
            <w:vAlign w:val="center"/>
          </w:tcPr>
          <w:p w14:paraId="39A4DBE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P4□</w:t>
            </w:r>
          </w:p>
        </w:tc>
      </w:tr>
      <w:tr w14:paraId="30AEA8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vMerge w:val="restart"/>
            <w:tcMar>
              <w:left w:w="0" w:type="dxa"/>
              <w:right w:w="0" w:type="dxa"/>
            </w:tcMar>
            <w:vAlign w:val="center"/>
          </w:tcPr>
          <w:p w14:paraId="0B1EF1C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环境敏感程度</w:t>
            </w:r>
          </w:p>
        </w:tc>
        <w:tc>
          <w:tcPr>
            <w:tcW w:w="1875" w:type="dxa"/>
            <w:gridSpan w:val="3"/>
            <w:tcMar>
              <w:left w:w="0" w:type="dxa"/>
              <w:right w:w="0" w:type="dxa"/>
            </w:tcMar>
            <w:vAlign w:val="center"/>
          </w:tcPr>
          <w:p w14:paraId="3D2E282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w:t>
            </w:r>
          </w:p>
        </w:tc>
        <w:tc>
          <w:tcPr>
            <w:tcW w:w="1490" w:type="dxa"/>
            <w:gridSpan w:val="3"/>
            <w:tcMar>
              <w:left w:w="0" w:type="dxa"/>
              <w:right w:w="0" w:type="dxa"/>
            </w:tcMar>
            <w:vAlign w:val="center"/>
          </w:tcPr>
          <w:p w14:paraId="2EC61C6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E1□</w:t>
            </w:r>
          </w:p>
        </w:tc>
        <w:tc>
          <w:tcPr>
            <w:tcW w:w="1674" w:type="dxa"/>
            <w:gridSpan w:val="4"/>
            <w:tcMar>
              <w:left w:w="0" w:type="dxa"/>
              <w:right w:w="0" w:type="dxa"/>
            </w:tcMar>
            <w:vAlign w:val="center"/>
          </w:tcPr>
          <w:p w14:paraId="013B9D6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E2□</w:t>
            </w:r>
          </w:p>
        </w:tc>
        <w:tc>
          <w:tcPr>
            <w:tcW w:w="2028" w:type="dxa"/>
            <w:gridSpan w:val="3"/>
            <w:tcMar>
              <w:left w:w="0" w:type="dxa"/>
              <w:right w:w="0" w:type="dxa"/>
            </w:tcMar>
            <w:vAlign w:val="center"/>
          </w:tcPr>
          <w:p w14:paraId="6711CB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E3□</w:t>
            </w:r>
          </w:p>
        </w:tc>
      </w:tr>
      <w:tr w14:paraId="119CEF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vMerge w:val="continue"/>
            <w:tcMar>
              <w:left w:w="0" w:type="dxa"/>
              <w:right w:w="0" w:type="dxa"/>
            </w:tcMar>
            <w:vAlign w:val="center"/>
          </w:tcPr>
          <w:p w14:paraId="378A892F">
            <w:pPr>
              <w:pStyle w:val="280"/>
              <w:rPr>
                <w:rFonts w:hint="eastAsia"/>
                <w:color w:val="000000" w:themeColor="text1"/>
                <w14:textFill>
                  <w14:solidFill>
                    <w14:schemeClr w14:val="tx1"/>
                  </w14:solidFill>
                </w14:textFill>
              </w:rPr>
            </w:pPr>
          </w:p>
        </w:tc>
        <w:tc>
          <w:tcPr>
            <w:tcW w:w="1875" w:type="dxa"/>
            <w:gridSpan w:val="3"/>
            <w:tcMar>
              <w:left w:w="0" w:type="dxa"/>
              <w:right w:w="0" w:type="dxa"/>
            </w:tcMar>
            <w:vAlign w:val="center"/>
          </w:tcPr>
          <w:p w14:paraId="58BDA5B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地表水</w:t>
            </w:r>
          </w:p>
        </w:tc>
        <w:tc>
          <w:tcPr>
            <w:tcW w:w="1490" w:type="dxa"/>
            <w:gridSpan w:val="3"/>
            <w:tcMar>
              <w:left w:w="0" w:type="dxa"/>
              <w:right w:w="0" w:type="dxa"/>
            </w:tcMar>
            <w:vAlign w:val="center"/>
          </w:tcPr>
          <w:p w14:paraId="7E8B4E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E1□</w:t>
            </w:r>
          </w:p>
        </w:tc>
        <w:tc>
          <w:tcPr>
            <w:tcW w:w="1674" w:type="dxa"/>
            <w:gridSpan w:val="4"/>
            <w:tcMar>
              <w:left w:w="0" w:type="dxa"/>
              <w:right w:w="0" w:type="dxa"/>
            </w:tcMar>
            <w:vAlign w:val="center"/>
          </w:tcPr>
          <w:p w14:paraId="415F8DB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E2□</w:t>
            </w:r>
          </w:p>
        </w:tc>
        <w:tc>
          <w:tcPr>
            <w:tcW w:w="2028" w:type="dxa"/>
            <w:gridSpan w:val="3"/>
            <w:tcMar>
              <w:left w:w="0" w:type="dxa"/>
              <w:right w:w="0" w:type="dxa"/>
            </w:tcMar>
            <w:vAlign w:val="center"/>
          </w:tcPr>
          <w:p w14:paraId="09CCD1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E3□</w:t>
            </w:r>
          </w:p>
        </w:tc>
      </w:tr>
      <w:tr w14:paraId="2B7B4E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vMerge w:val="continue"/>
            <w:tcMar>
              <w:left w:w="0" w:type="dxa"/>
              <w:right w:w="0" w:type="dxa"/>
            </w:tcMar>
            <w:vAlign w:val="center"/>
          </w:tcPr>
          <w:p w14:paraId="4CADE1C4">
            <w:pPr>
              <w:pStyle w:val="280"/>
              <w:rPr>
                <w:rFonts w:hint="eastAsia"/>
                <w:color w:val="000000" w:themeColor="text1"/>
                <w14:textFill>
                  <w14:solidFill>
                    <w14:schemeClr w14:val="tx1"/>
                  </w14:solidFill>
                </w14:textFill>
              </w:rPr>
            </w:pPr>
          </w:p>
        </w:tc>
        <w:tc>
          <w:tcPr>
            <w:tcW w:w="1875" w:type="dxa"/>
            <w:gridSpan w:val="3"/>
            <w:tcMar>
              <w:left w:w="0" w:type="dxa"/>
              <w:right w:w="0" w:type="dxa"/>
            </w:tcMar>
            <w:vAlign w:val="center"/>
          </w:tcPr>
          <w:p w14:paraId="45BB07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1490" w:type="dxa"/>
            <w:gridSpan w:val="3"/>
            <w:tcMar>
              <w:left w:w="0" w:type="dxa"/>
              <w:right w:w="0" w:type="dxa"/>
            </w:tcMar>
            <w:vAlign w:val="center"/>
          </w:tcPr>
          <w:p w14:paraId="3321574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E1□</w:t>
            </w:r>
          </w:p>
        </w:tc>
        <w:tc>
          <w:tcPr>
            <w:tcW w:w="1674" w:type="dxa"/>
            <w:gridSpan w:val="4"/>
            <w:tcMar>
              <w:left w:w="0" w:type="dxa"/>
              <w:right w:w="0" w:type="dxa"/>
            </w:tcMar>
            <w:vAlign w:val="center"/>
          </w:tcPr>
          <w:p w14:paraId="211E0ED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E2□</w:t>
            </w:r>
          </w:p>
        </w:tc>
        <w:tc>
          <w:tcPr>
            <w:tcW w:w="2028" w:type="dxa"/>
            <w:gridSpan w:val="3"/>
            <w:tcMar>
              <w:left w:w="0" w:type="dxa"/>
              <w:right w:w="0" w:type="dxa"/>
            </w:tcMar>
            <w:vAlign w:val="center"/>
          </w:tcPr>
          <w:p w14:paraId="192B417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E3□</w:t>
            </w:r>
          </w:p>
        </w:tc>
      </w:tr>
      <w:tr w14:paraId="6AFFA3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tcMar>
              <w:left w:w="0" w:type="dxa"/>
              <w:right w:w="0" w:type="dxa"/>
            </w:tcMar>
            <w:vAlign w:val="center"/>
          </w:tcPr>
          <w:p w14:paraId="347B3C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环境风险潜势</w:t>
            </w:r>
          </w:p>
        </w:tc>
        <w:tc>
          <w:tcPr>
            <w:tcW w:w="1496" w:type="dxa"/>
            <w:gridSpan w:val="2"/>
            <w:tcMar>
              <w:left w:w="0" w:type="dxa"/>
              <w:right w:w="0" w:type="dxa"/>
            </w:tcMar>
            <w:vAlign w:val="center"/>
          </w:tcPr>
          <w:p w14:paraId="76C1639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IV+□</w:t>
            </w:r>
          </w:p>
        </w:tc>
        <w:tc>
          <w:tcPr>
            <w:tcW w:w="1460" w:type="dxa"/>
            <w:gridSpan w:val="3"/>
            <w:tcMar>
              <w:left w:w="0" w:type="dxa"/>
              <w:right w:w="0" w:type="dxa"/>
            </w:tcMar>
            <w:vAlign w:val="center"/>
          </w:tcPr>
          <w:p w14:paraId="74177E3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IV□</w:t>
            </w:r>
          </w:p>
        </w:tc>
        <w:tc>
          <w:tcPr>
            <w:tcW w:w="1276" w:type="dxa"/>
            <w:gridSpan w:val="2"/>
            <w:tcMar>
              <w:left w:w="0" w:type="dxa"/>
              <w:right w:w="0" w:type="dxa"/>
            </w:tcMar>
            <w:vAlign w:val="center"/>
          </w:tcPr>
          <w:p w14:paraId="4452BBE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Ⅲ□</w:t>
            </w:r>
          </w:p>
        </w:tc>
        <w:tc>
          <w:tcPr>
            <w:tcW w:w="1381" w:type="dxa"/>
            <w:gridSpan w:val="5"/>
            <w:tcMar>
              <w:left w:w="0" w:type="dxa"/>
              <w:right w:w="0" w:type="dxa"/>
            </w:tcMar>
            <w:vAlign w:val="center"/>
          </w:tcPr>
          <w:p w14:paraId="34FF93B7">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II□</w:t>
            </w:r>
          </w:p>
        </w:tc>
        <w:tc>
          <w:tcPr>
            <w:tcW w:w="1454" w:type="dxa"/>
            <w:tcMar>
              <w:left w:w="0" w:type="dxa"/>
              <w:right w:w="0" w:type="dxa"/>
            </w:tcMar>
            <w:vAlign w:val="center"/>
          </w:tcPr>
          <w:p w14:paraId="4BD2A48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I</w:t>
            </w:r>
            <w:r>
              <w:rPr>
                <w:rFonts w:hint="eastAsia"/>
                <w:color w:val="000000" w:themeColor="text1"/>
                <w14:textFill>
                  <w14:solidFill>
                    <w14:schemeClr w14:val="tx1"/>
                  </w14:solidFill>
                </w14:textFill>
              </w:rPr>
              <w:sym w:font="Wingdings 2" w:char="0052"/>
            </w:r>
          </w:p>
        </w:tc>
      </w:tr>
      <w:tr w14:paraId="15D6FB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tcMar>
              <w:left w:w="0" w:type="dxa"/>
              <w:right w:w="0" w:type="dxa"/>
            </w:tcMar>
            <w:vAlign w:val="center"/>
          </w:tcPr>
          <w:p w14:paraId="6C33C70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评价等级</w:t>
            </w:r>
          </w:p>
        </w:tc>
        <w:tc>
          <w:tcPr>
            <w:tcW w:w="1875" w:type="dxa"/>
            <w:gridSpan w:val="3"/>
            <w:tcMar>
              <w:left w:w="0" w:type="dxa"/>
              <w:right w:w="0" w:type="dxa"/>
            </w:tcMar>
            <w:vAlign w:val="center"/>
          </w:tcPr>
          <w:p w14:paraId="1968067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一级□</w:t>
            </w:r>
          </w:p>
        </w:tc>
        <w:tc>
          <w:tcPr>
            <w:tcW w:w="1490" w:type="dxa"/>
            <w:gridSpan w:val="3"/>
            <w:tcMar>
              <w:left w:w="0" w:type="dxa"/>
              <w:right w:w="0" w:type="dxa"/>
            </w:tcMar>
            <w:vAlign w:val="center"/>
          </w:tcPr>
          <w:p w14:paraId="46CD5E8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1674" w:type="dxa"/>
            <w:gridSpan w:val="4"/>
            <w:tcMar>
              <w:left w:w="0" w:type="dxa"/>
              <w:right w:w="0" w:type="dxa"/>
            </w:tcMar>
            <w:vAlign w:val="center"/>
          </w:tcPr>
          <w:p w14:paraId="4FB0EDB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2028" w:type="dxa"/>
            <w:gridSpan w:val="3"/>
            <w:tcMar>
              <w:left w:w="0" w:type="dxa"/>
              <w:right w:w="0" w:type="dxa"/>
            </w:tcMar>
            <w:vAlign w:val="center"/>
          </w:tcPr>
          <w:p w14:paraId="519D2D1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简单分析</w:t>
            </w:r>
            <w:r>
              <w:rPr>
                <w:rFonts w:hint="eastAsia"/>
                <w:color w:val="000000" w:themeColor="text1"/>
                <w14:textFill>
                  <w14:solidFill>
                    <w14:schemeClr w14:val="tx1"/>
                  </w14:solidFill>
                </w14:textFill>
              </w:rPr>
              <w:sym w:font="Wingdings 2" w:char="0052"/>
            </w:r>
          </w:p>
        </w:tc>
      </w:tr>
      <w:tr w14:paraId="44EBCC7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restart"/>
            <w:tcMar>
              <w:left w:w="0" w:type="dxa"/>
              <w:right w:w="0" w:type="dxa"/>
            </w:tcMar>
            <w:vAlign w:val="center"/>
          </w:tcPr>
          <w:p w14:paraId="7374C60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风险</w:t>
            </w:r>
          </w:p>
          <w:p w14:paraId="61DD74F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识别</w:t>
            </w:r>
          </w:p>
        </w:tc>
        <w:tc>
          <w:tcPr>
            <w:tcW w:w="1229" w:type="dxa"/>
            <w:tcMar>
              <w:left w:w="0" w:type="dxa"/>
              <w:right w:w="0" w:type="dxa"/>
            </w:tcMar>
            <w:vAlign w:val="center"/>
          </w:tcPr>
          <w:p w14:paraId="07DE4A0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物质危险性</w:t>
            </w:r>
          </w:p>
        </w:tc>
        <w:tc>
          <w:tcPr>
            <w:tcW w:w="3365" w:type="dxa"/>
            <w:gridSpan w:val="6"/>
            <w:tcMar>
              <w:left w:w="0" w:type="dxa"/>
              <w:right w:w="0" w:type="dxa"/>
            </w:tcMar>
            <w:vAlign w:val="center"/>
          </w:tcPr>
          <w:p w14:paraId="75CBD8BE">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有毒有害</w:t>
            </w:r>
            <w:r>
              <w:rPr>
                <w:rFonts w:hint="eastAsia"/>
                <w:color w:val="000000" w:themeColor="text1"/>
                <w14:textFill>
                  <w14:solidFill>
                    <w14:schemeClr w14:val="tx1"/>
                  </w14:solidFill>
                </w14:textFill>
              </w:rPr>
              <w:sym w:font="Wingdings 2" w:char="0052"/>
            </w:r>
          </w:p>
        </w:tc>
        <w:tc>
          <w:tcPr>
            <w:tcW w:w="3702" w:type="dxa"/>
            <w:gridSpan w:val="7"/>
            <w:tcMar>
              <w:left w:w="0" w:type="dxa"/>
              <w:right w:w="0" w:type="dxa"/>
            </w:tcMar>
            <w:vAlign w:val="center"/>
          </w:tcPr>
          <w:p w14:paraId="2846F32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易燃易爆</w:t>
            </w:r>
            <w:r>
              <w:rPr>
                <w:rFonts w:hint="eastAsia"/>
                <w:color w:val="000000" w:themeColor="text1"/>
                <w14:textFill>
                  <w14:solidFill>
                    <w14:schemeClr w14:val="tx1"/>
                  </w14:solidFill>
                </w14:textFill>
              </w:rPr>
              <w:sym w:font="Wingdings 2" w:char="0052"/>
            </w:r>
          </w:p>
        </w:tc>
      </w:tr>
      <w:tr w14:paraId="12637D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250F6671">
            <w:pPr>
              <w:pStyle w:val="280"/>
              <w:rPr>
                <w:rFonts w:hint="eastAsia"/>
                <w:color w:val="000000" w:themeColor="text1"/>
                <w14:textFill>
                  <w14:solidFill>
                    <w14:schemeClr w14:val="tx1"/>
                  </w14:solidFill>
                </w14:textFill>
              </w:rPr>
            </w:pPr>
          </w:p>
        </w:tc>
        <w:tc>
          <w:tcPr>
            <w:tcW w:w="1229" w:type="dxa"/>
            <w:tcMar>
              <w:left w:w="0" w:type="dxa"/>
              <w:right w:w="0" w:type="dxa"/>
            </w:tcMar>
            <w:vAlign w:val="center"/>
          </w:tcPr>
          <w:p w14:paraId="5AD9D0E5">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环境风险类型</w:t>
            </w:r>
          </w:p>
        </w:tc>
        <w:tc>
          <w:tcPr>
            <w:tcW w:w="3365" w:type="dxa"/>
            <w:gridSpan w:val="6"/>
            <w:tcMar>
              <w:left w:w="0" w:type="dxa"/>
              <w:right w:w="0" w:type="dxa"/>
            </w:tcMar>
            <w:vAlign w:val="center"/>
          </w:tcPr>
          <w:p w14:paraId="712FC4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泄漏</w:t>
            </w:r>
            <w:r>
              <w:rPr>
                <w:rFonts w:hint="eastAsia"/>
                <w:color w:val="000000" w:themeColor="text1"/>
                <w14:textFill>
                  <w14:solidFill>
                    <w14:schemeClr w14:val="tx1"/>
                  </w14:solidFill>
                </w14:textFill>
              </w:rPr>
              <w:sym w:font="Wingdings 2" w:char="0052"/>
            </w:r>
          </w:p>
        </w:tc>
        <w:tc>
          <w:tcPr>
            <w:tcW w:w="3702" w:type="dxa"/>
            <w:gridSpan w:val="7"/>
            <w:tcMar>
              <w:left w:w="0" w:type="dxa"/>
              <w:right w:w="0" w:type="dxa"/>
            </w:tcMar>
            <w:vAlign w:val="center"/>
          </w:tcPr>
          <w:p w14:paraId="509F82A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火灾、爆炸引发伴生/次生污染物排放</w:t>
            </w:r>
            <w:r>
              <w:rPr>
                <w:rFonts w:hint="eastAsia"/>
                <w:color w:val="000000" w:themeColor="text1"/>
                <w14:textFill>
                  <w14:solidFill>
                    <w14:schemeClr w14:val="tx1"/>
                  </w14:solidFill>
                </w14:textFill>
              </w:rPr>
              <w:sym w:font="Wingdings 2" w:char="0052"/>
            </w:r>
          </w:p>
        </w:tc>
      </w:tr>
      <w:tr w14:paraId="53475B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0DE20D31">
            <w:pPr>
              <w:pStyle w:val="280"/>
              <w:rPr>
                <w:rFonts w:hint="eastAsia"/>
                <w:color w:val="000000" w:themeColor="text1"/>
                <w14:textFill>
                  <w14:solidFill>
                    <w14:schemeClr w14:val="tx1"/>
                  </w14:solidFill>
                </w14:textFill>
              </w:rPr>
            </w:pPr>
          </w:p>
        </w:tc>
        <w:tc>
          <w:tcPr>
            <w:tcW w:w="1229" w:type="dxa"/>
            <w:tcMar>
              <w:left w:w="0" w:type="dxa"/>
              <w:right w:w="0" w:type="dxa"/>
            </w:tcMar>
            <w:vAlign w:val="center"/>
          </w:tcPr>
          <w:p w14:paraId="3420D77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影响途径</w:t>
            </w:r>
          </w:p>
        </w:tc>
        <w:tc>
          <w:tcPr>
            <w:tcW w:w="2316" w:type="dxa"/>
            <w:gridSpan w:val="4"/>
            <w:tcMar>
              <w:left w:w="0" w:type="dxa"/>
              <w:right w:w="0" w:type="dxa"/>
            </w:tcMar>
            <w:vAlign w:val="center"/>
          </w:tcPr>
          <w:p w14:paraId="6AF6885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w:t>
            </w:r>
            <w:r>
              <w:rPr>
                <w:rFonts w:hint="eastAsia"/>
                <w:color w:val="000000" w:themeColor="text1"/>
                <w14:textFill>
                  <w14:solidFill>
                    <w14:schemeClr w14:val="tx1"/>
                  </w14:solidFill>
                </w14:textFill>
              </w:rPr>
              <w:sym w:font="Wingdings 2" w:char="0052"/>
            </w:r>
          </w:p>
        </w:tc>
        <w:tc>
          <w:tcPr>
            <w:tcW w:w="2599" w:type="dxa"/>
            <w:gridSpan w:val="5"/>
            <w:tcMar>
              <w:left w:w="0" w:type="dxa"/>
              <w:right w:w="0" w:type="dxa"/>
            </w:tcMar>
            <w:vAlign w:val="center"/>
          </w:tcPr>
          <w:p w14:paraId="0ED9F7A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地表水□</w:t>
            </w:r>
          </w:p>
        </w:tc>
        <w:tc>
          <w:tcPr>
            <w:tcW w:w="2152" w:type="dxa"/>
            <w:gridSpan w:val="4"/>
            <w:tcMar>
              <w:left w:w="0" w:type="dxa"/>
              <w:right w:w="0" w:type="dxa"/>
            </w:tcMar>
            <w:vAlign w:val="center"/>
          </w:tcPr>
          <w:p w14:paraId="5AFDBC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r>
              <w:rPr>
                <w:rFonts w:hint="eastAsia"/>
                <w:color w:val="000000" w:themeColor="text1"/>
                <w14:textFill>
                  <w14:solidFill>
                    <w14:schemeClr w14:val="tx1"/>
                  </w14:solidFill>
                </w14:textFill>
              </w:rPr>
              <w:sym w:font="Wingdings 2" w:char="0052"/>
            </w:r>
          </w:p>
        </w:tc>
      </w:tr>
      <w:tr w14:paraId="288C7FD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1" w:type="dxa"/>
            <w:gridSpan w:val="2"/>
            <w:tcMar>
              <w:left w:w="0" w:type="dxa"/>
              <w:right w:w="0" w:type="dxa"/>
            </w:tcMar>
            <w:vAlign w:val="center"/>
          </w:tcPr>
          <w:p w14:paraId="73A120A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事故情形分析</w:t>
            </w:r>
          </w:p>
        </w:tc>
        <w:tc>
          <w:tcPr>
            <w:tcW w:w="1875" w:type="dxa"/>
            <w:gridSpan w:val="3"/>
            <w:tcMar>
              <w:left w:w="0" w:type="dxa"/>
              <w:right w:w="0" w:type="dxa"/>
            </w:tcMar>
            <w:vAlign w:val="center"/>
          </w:tcPr>
          <w:p w14:paraId="076F5AE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源强设定方法</w:t>
            </w:r>
          </w:p>
        </w:tc>
        <w:tc>
          <w:tcPr>
            <w:tcW w:w="1490" w:type="dxa"/>
            <w:gridSpan w:val="3"/>
            <w:tcMar>
              <w:left w:w="0" w:type="dxa"/>
              <w:right w:w="0" w:type="dxa"/>
            </w:tcMar>
            <w:vAlign w:val="center"/>
          </w:tcPr>
          <w:p w14:paraId="55FFF41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计算法□</w:t>
            </w:r>
          </w:p>
        </w:tc>
        <w:tc>
          <w:tcPr>
            <w:tcW w:w="1550" w:type="dxa"/>
            <w:gridSpan w:val="3"/>
            <w:tcMar>
              <w:left w:w="0" w:type="dxa"/>
              <w:right w:w="0" w:type="dxa"/>
            </w:tcMar>
            <w:vAlign w:val="center"/>
          </w:tcPr>
          <w:p w14:paraId="5742EBF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经验估算法□</w:t>
            </w:r>
          </w:p>
        </w:tc>
        <w:tc>
          <w:tcPr>
            <w:tcW w:w="2152" w:type="dxa"/>
            <w:gridSpan w:val="4"/>
            <w:tcMar>
              <w:left w:w="0" w:type="dxa"/>
              <w:right w:w="0" w:type="dxa"/>
            </w:tcMar>
            <w:vAlign w:val="center"/>
          </w:tcPr>
          <w:p w14:paraId="3D6360FC">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其他估算法□</w:t>
            </w:r>
          </w:p>
        </w:tc>
      </w:tr>
      <w:tr w14:paraId="41AD4D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restart"/>
            <w:tcMar>
              <w:left w:w="0" w:type="dxa"/>
              <w:right w:w="0" w:type="dxa"/>
            </w:tcMar>
            <w:vAlign w:val="center"/>
          </w:tcPr>
          <w:p w14:paraId="3111EC5F">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风险预测与评价</w:t>
            </w:r>
          </w:p>
        </w:tc>
        <w:tc>
          <w:tcPr>
            <w:tcW w:w="1229" w:type="dxa"/>
            <w:vMerge w:val="restart"/>
            <w:tcMar>
              <w:left w:w="0" w:type="dxa"/>
              <w:right w:w="0" w:type="dxa"/>
            </w:tcMar>
            <w:vAlign w:val="center"/>
          </w:tcPr>
          <w:p w14:paraId="17A5BD00">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w:t>
            </w:r>
          </w:p>
        </w:tc>
        <w:tc>
          <w:tcPr>
            <w:tcW w:w="1875" w:type="dxa"/>
            <w:gridSpan w:val="3"/>
            <w:tcMar>
              <w:left w:w="0" w:type="dxa"/>
              <w:right w:w="0" w:type="dxa"/>
            </w:tcMar>
            <w:vAlign w:val="center"/>
          </w:tcPr>
          <w:p w14:paraId="4C505D3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预测模型</w:t>
            </w:r>
          </w:p>
        </w:tc>
        <w:tc>
          <w:tcPr>
            <w:tcW w:w="1490" w:type="dxa"/>
            <w:gridSpan w:val="3"/>
            <w:tcMar>
              <w:left w:w="0" w:type="dxa"/>
              <w:right w:w="0" w:type="dxa"/>
            </w:tcMar>
            <w:vAlign w:val="center"/>
          </w:tcPr>
          <w:p w14:paraId="421544B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SLAB□</w:t>
            </w:r>
          </w:p>
        </w:tc>
        <w:tc>
          <w:tcPr>
            <w:tcW w:w="1434" w:type="dxa"/>
            <w:gridSpan w:val="2"/>
            <w:tcMar>
              <w:left w:w="0" w:type="dxa"/>
              <w:right w:w="0" w:type="dxa"/>
            </w:tcMar>
            <w:vAlign w:val="center"/>
          </w:tcPr>
          <w:p w14:paraId="44F95D92">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AFTOX□</w:t>
            </w:r>
          </w:p>
        </w:tc>
        <w:tc>
          <w:tcPr>
            <w:tcW w:w="2268" w:type="dxa"/>
            <w:gridSpan w:val="5"/>
            <w:tcMar>
              <w:left w:w="0" w:type="dxa"/>
              <w:right w:w="0" w:type="dxa"/>
            </w:tcMar>
            <w:vAlign w:val="center"/>
          </w:tcPr>
          <w:p w14:paraId="2D877C03">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r>
      <w:tr w14:paraId="0D9DA8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3095C704">
            <w:pPr>
              <w:pStyle w:val="280"/>
              <w:rPr>
                <w:rFonts w:hint="eastAsia"/>
                <w:color w:val="000000" w:themeColor="text1"/>
                <w14:textFill>
                  <w14:solidFill>
                    <w14:schemeClr w14:val="tx1"/>
                  </w14:solidFill>
                </w14:textFill>
              </w:rPr>
            </w:pPr>
          </w:p>
        </w:tc>
        <w:tc>
          <w:tcPr>
            <w:tcW w:w="1229" w:type="dxa"/>
            <w:vMerge w:val="continue"/>
            <w:tcMar>
              <w:left w:w="0" w:type="dxa"/>
              <w:right w:w="0" w:type="dxa"/>
            </w:tcMar>
            <w:vAlign w:val="center"/>
          </w:tcPr>
          <w:p w14:paraId="7D00B1B3">
            <w:pPr>
              <w:pStyle w:val="280"/>
              <w:rPr>
                <w:rFonts w:hint="eastAsia"/>
                <w:color w:val="000000" w:themeColor="text1"/>
                <w14:textFill>
                  <w14:solidFill>
                    <w14:schemeClr w14:val="tx1"/>
                  </w14:solidFill>
                </w14:textFill>
              </w:rPr>
            </w:pPr>
          </w:p>
        </w:tc>
        <w:tc>
          <w:tcPr>
            <w:tcW w:w="1875" w:type="dxa"/>
            <w:gridSpan w:val="3"/>
            <w:vMerge w:val="restart"/>
            <w:tcMar>
              <w:left w:w="0" w:type="dxa"/>
              <w:right w:w="0" w:type="dxa"/>
            </w:tcMar>
            <w:vAlign w:val="center"/>
          </w:tcPr>
          <w:p w14:paraId="1EAE2AA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预测结果</w:t>
            </w:r>
          </w:p>
        </w:tc>
        <w:tc>
          <w:tcPr>
            <w:tcW w:w="5192" w:type="dxa"/>
            <w:gridSpan w:val="10"/>
            <w:tcMar>
              <w:left w:w="0" w:type="dxa"/>
              <w:right w:w="0" w:type="dxa"/>
            </w:tcMar>
            <w:vAlign w:val="center"/>
          </w:tcPr>
          <w:p w14:paraId="1AA6D74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大气毒性终点浓度-1  最大影响范围___m</w:t>
            </w:r>
          </w:p>
        </w:tc>
      </w:tr>
      <w:tr w14:paraId="62576B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745F54B7">
            <w:pPr>
              <w:pStyle w:val="280"/>
              <w:rPr>
                <w:rFonts w:hint="eastAsia"/>
                <w:color w:val="000000" w:themeColor="text1"/>
                <w14:textFill>
                  <w14:solidFill>
                    <w14:schemeClr w14:val="tx1"/>
                  </w14:solidFill>
                </w14:textFill>
              </w:rPr>
            </w:pPr>
          </w:p>
        </w:tc>
        <w:tc>
          <w:tcPr>
            <w:tcW w:w="1229" w:type="dxa"/>
            <w:vMerge w:val="continue"/>
            <w:tcMar>
              <w:left w:w="0" w:type="dxa"/>
              <w:right w:w="0" w:type="dxa"/>
            </w:tcMar>
            <w:vAlign w:val="center"/>
          </w:tcPr>
          <w:p w14:paraId="0841EC91">
            <w:pPr>
              <w:pStyle w:val="280"/>
              <w:rPr>
                <w:rFonts w:hint="eastAsia"/>
                <w:color w:val="000000" w:themeColor="text1"/>
                <w14:textFill>
                  <w14:solidFill>
                    <w14:schemeClr w14:val="tx1"/>
                  </w14:solidFill>
                </w14:textFill>
              </w:rPr>
            </w:pPr>
          </w:p>
        </w:tc>
        <w:tc>
          <w:tcPr>
            <w:tcW w:w="1875" w:type="dxa"/>
            <w:gridSpan w:val="3"/>
            <w:vMerge w:val="continue"/>
            <w:tcMar>
              <w:left w:w="0" w:type="dxa"/>
              <w:right w:w="0" w:type="dxa"/>
            </w:tcMar>
            <w:vAlign w:val="center"/>
          </w:tcPr>
          <w:p w14:paraId="641D225B">
            <w:pPr>
              <w:pStyle w:val="280"/>
              <w:rPr>
                <w:rFonts w:hint="eastAsia"/>
                <w:color w:val="000000" w:themeColor="text1"/>
                <w14:textFill>
                  <w14:solidFill>
                    <w14:schemeClr w14:val="tx1"/>
                  </w14:solidFill>
                </w14:textFill>
              </w:rPr>
            </w:pPr>
          </w:p>
        </w:tc>
        <w:tc>
          <w:tcPr>
            <w:tcW w:w="5192" w:type="dxa"/>
            <w:gridSpan w:val="10"/>
            <w:tcMar>
              <w:left w:w="0" w:type="dxa"/>
              <w:right w:w="0" w:type="dxa"/>
            </w:tcMar>
            <w:vAlign w:val="center"/>
          </w:tcPr>
          <w:p w14:paraId="4CBBF94A">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大气毒性终点浓度-2  最大影响范围___m</w:t>
            </w:r>
          </w:p>
        </w:tc>
      </w:tr>
      <w:tr w14:paraId="1EC0C5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4ED1F146">
            <w:pPr>
              <w:pStyle w:val="280"/>
              <w:rPr>
                <w:rFonts w:hint="eastAsia"/>
                <w:color w:val="000000" w:themeColor="text1"/>
                <w14:textFill>
                  <w14:solidFill>
                    <w14:schemeClr w14:val="tx1"/>
                  </w14:solidFill>
                </w14:textFill>
              </w:rPr>
            </w:pPr>
          </w:p>
        </w:tc>
        <w:tc>
          <w:tcPr>
            <w:tcW w:w="1229" w:type="dxa"/>
            <w:tcMar>
              <w:left w:w="0" w:type="dxa"/>
              <w:right w:w="0" w:type="dxa"/>
            </w:tcMar>
            <w:vAlign w:val="center"/>
          </w:tcPr>
          <w:p w14:paraId="6721EB2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地表水</w:t>
            </w:r>
          </w:p>
        </w:tc>
        <w:tc>
          <w:tcPr>
            <w:tcW w:w="7067" w:type="dxa"/>
            <w:gridSpan w:val="13"/>
            <w:tcMar>
              <w:left w:w="0" w:type="dxa"/>
              <w:right w:w="0" w:type="dxa"/>
            </w:tcMar>
            <w:vAlign w:val="center"/>
          </w:tcPr>
          <w:p w14:paraId="1B4770D8">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最近环境敏感目标_____，到达时间______h</w:t>
            </w:r>
          </w:p>
        </w:tc>
      </w:tr>
      <w:tr w14:paraId="16E8715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64786B9A">
            <w:pPr>
              <w:pStyle w:val="280"/>
              <w:rPr>
                <w:rFonts w:hint="eastAsia"/>
                <w:color w:val="000000" w:themeColor="text1"/>
                <w14:textFill>
                  <w14:solidFill>
                    <w14:schemeClr w14:val="tx1"/>
                  </w14:solidFill>
                </w14:textFill>
              </w:rPr>
            </w:pPr>
          </w:p>
        </w:tc>
        <w:tc>
          <w:tcPr>
            <w:tcW w:w="1229" w:type="dxa"/>
            <w:vMerge w:val="restart"/>
            <w:tcMar>
              <w:left w:w="0" w:type="dxa"/>
              <w:right w:w="0" w:type="dxa"/>
            </w:tcMar>
            <w:vAlign w:val="center"/>
          </w:tcPr>
          <w:p w14:paraId="7AC4D3F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7067" w:type="dxa"/>
            <w:gridSpan w:val="13"/>
            <w:tcMar>
              <w:left w:w="0" w:type="dxa"/>
              <w:right w:w="0" w:type="dxa"/>
            </w:tcMar>
            <w:vAlign w:val="center"/>
          </w:tcPr>
          <w:p w14:paraId="6C050046">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下游厂区边界到达时间_____d</w:t>
            </w:r>
          </w:p>
        </w:tc>
      </w:tr>
      <w:tr w14:paraId="583725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vMerge w:val="continue"/>
            <w:tcMar>
              <w:left w:w="0" w:type="dxa"/>
              <w:right w:w="0" w:type="dxa"/>
            </w:tcMar>
            <w:vAlign w:val="center"/>
          </w:tcPr>
          <w:p w14:paraId="6E5116CE">
            <w:pPr>
              <w:pStyle w:val="280"/>
              <w:rPr>
                <w:rFonts w:hint="eastAsia"/>
                <w:color w:val="000000" w:themeColor="text1"/>
                <w14:textFill>
                  <w14:solidFill>
                    <w14:schemeClr w14:val="tx1"/>
                  </w14:solidFill>
                </w14:textFill>
              </w:rPr>
            </w:pPr>
          </w:p>
        </w:tc>
        <w:tc>
          <w:tcPr>
            <w:tcW w:w="1229" w:type="dxa"/>
            <w:vMerge w:val="continue"/>
            <w:tcMar>
              <w:left w:w="0" w:type="dxa"/>
              <w:right w:w="0" w:type="dxa"/>
            </w:tcMar>
            <w:vAlign w:val="center"/>
          </w:tcPr>
          <w:p w14:paraId="37E4D4DF">
            <w:pPr>
              <w:pStyle w:val="280"/>
              <w:rPr>
                <w:rFonts w:hint="eastAsia"/>
                <w:color w:val="000000" w:themeColor="text1"/>
                <w14:textFill>
                  <w14:solidFill>
                    <w14:schemeClr w14:val="tx1"/>
                  </w14:solidFill>
                </w14:textFill>
              </w:rPr>
            </w:pPr>
          </w:p>
        </w:tc>
        <w:tc>
          <w:tcPr>
            <w:tcW w:w="7067" w:type="dxa"/>
            <w:gridSpan w:val="13"/>
            <w:tcMar>
              <w:left w:w="0" w:type="dxa"/>
              <w:right w:w="0" w:type="dxa"/>
            </w:tcMar>
            <w:vAlign w:val="center"/>
          </w:tcPr>
          <w:p w14:paraId="60C7488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最近环境敏感目标_____，到达时间______d</w:t>
            </w:r>
          </w:p>
        </w:tc>
      </w:tr>
      <w:tr w14:paraId="2F13213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tcMar>
              <w:left w:w="0" w:type="dxa"/>
              <w:right w:w="0" w:type="dxa"/>
            </w:tcMar>
            <w:vAlign w:val="center"/>
          </w:tcPr>
          <w:p w14:paraId="56A20A79">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重点风险防范措施</w:t>
            </w:r>
          </w:p>
        </w:tc>
        <w:tc>
          <w:tcPr>
            <w:tcW w:w="8296" w:type="dxa"/>
            <w:gridSpan w:val="14"/>
            <w:tcMar>
              <w:left w:w="0" w:type="dxa"/>
              <w:right w:w="0" w:type="dxa"/>
            </w:tcMar>
            <w:vAlign w:val="center"/>
          </w:tcPr>
          <w:p w14:paraId="2178B70D">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在井口安装防喷器和控制装置；井场设置明显的禁止烟火标志；井下作业时要求带罐操作；按规定配置齐全各类消防设施；在油气可能泄漏和积聚的区域设置可燃气体浓度检测报警装置；定期对管线进行巡检；</w:t>
            </w:r>
            <w:r>
              <w:rPr>
                <w:color w:val="000000" w:themeColor="text1"/>
                <w14:textFill>
                  <w14:solidFill>
                    <w14:schemeClr w14:val="tx1"/>
                  </w14:solidFill>
                </w14:textFill>
              </w:rPr>
              <w:t>加强对管材和焊接质量的检查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定期对管线进行超声波检查</w:t>
            </w:r>
            <w:r>
              <w:rPr>
                <w:rFonts w:hint="eastAsia"/>
                <w:color w:val="000000" w:themeColor="text1"/>
                <w14:textFill>
                  <w14:solidFill>
                    <w14:schemeClr w14:val="tx1"/>
                  </w14:solidFill>
                </w14:textFill>
              </w:rPr>
              <w:t>；严禁在管线两侧各5m范围内修筑工程；项目投产后应纳入《中国石油新疆油田分公司吉庆油田作业区突发环境污染事件应急预案》。</w:t>
            </w:r>
          </w:p>
        </w:tc>
      </w:tr>
      <w:tr w14:paraId="7485B9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2" w:type="dxa"/>
            <w:tcMar>
              <w:left w:w="0" w:type="dxa"/>
              <w:right w:w="0" w:type="dxa"/>
            </w:tcMar>
            <w:vAlign w:val="center"/>
          </w:tcPr>
          <w:p w14:paraId="0BED7334">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评价结论与建议</w:t>
            </w:r>
          </w:p>
        </w:tc>
        <w:tc>
          <w:tcPr>
            <w:tcW w:w="8296" w:type="dxa"/>
            <w:gridSpan w:val="14"/>
            <w:tcMar>
              <w:left w:w="0" w:type="dxa"/>
              <w:right w:w="0" w:type="dxa"/>
            </w:tcMar>
            <w:vAlign w:val="center"/>
          </w:tcPr>
          <w:p w14:paraId="2F6944EB">
            <w:pPr>
              <w:pStyle w:val="2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项目在运行过程中的环境风险较小，通过采取相应的环境风险防范措施后，其影响和风险是可以接受的。</w:t>
            </w:r>
          </w:p>
        </w:tc>
      </w:tr>
      <w:bookmarkEnd w:id="821"/>
    </w:tbl>
    <w:p w14:paraId="492DEE56">
      <w:pPr>
        <w:pStyle w:val="120"/>
        <w:rPr>
          <w:rFonts w:hint="eastAsia"/>
          <w:color w:val="000000" w:themeColor="text1"/>
          <w14:textFill>
            <w14:solidFill>
              <w14:schemeClr w14:val="tx1"/>
            </w14:solidFill>
          </w14:textFill>
        </w:rPr>
        <w:sectPr>
          <w:pgSz w:w="11906" w:h="16838"/>
          <w:pgMar w:top="1418" w:right="1588" w:bottom="1418" w:left="1588" w:header="1020" w:footer="1020" w:gutter="0"/>
          <w:cols w:space="720" w:num="1"/>
          <w:docGrid w:type="lines" w:linePitch="312" w:charSpace="0"/>
        </w:sectPr>
      </w:pPr>
    </w:p>
    <w:bookmarkEnd w:id="818"/>
    <w:p w14:paraId="3CA32101">
      <w:pPr>
        <w:pStyle w:val="6"/>
        <w:numPr>
          <w:ilvl w:val="0"/>
          <w:numId w:val="0"/>
        </w:numPr>
        <w:rPr>
          <w:rFonts w:hint="default" w:eastAsia="黑体"/>
          <w:color w:val="000000" w:themeColor="text1"/>
          <w:lang w:val="en-US" w:eastAsia="zh-CN"/>
          <w14:textFill>
            <w14:solidFill>
              <w14:schemeClr w14:val="tx1"/>
            </w14:solidFill>
          </w14:textFill>
        </w:rPr>
      </w:pPr>
      <w:bookmarkStart w:id="822" w:name="_Toc26344"/>
      <w:r>
        <w:rPr>
          <w:rFonts w:hint="eastAsia"/>
          <w:color w:val="000000" w:themeColor="text1"/>
          <w14:textFill>
            <w14:solidFill>
              <w14:schemeClr w14:val="tx1"/>
            </w14:solidFill>
          </w14:textFill>
        </w:rPr>
        <w:t>附件1</w:t>
      </w:r>
      <w:r>
        <w:rPr>
          <w:rFonts w:hint="eastAsia"/>
          <w:color w:val="000000" w:themeColor="text1"/>
          <w:lang w:val="en-US" w:eastAsia="zh-CN"/>
          <w14:textFill>
            <w14:solidFill>
              <w14:schemeClr w14:val="tx1"/>
            </w14:solidFill>
          </w14:textFill>
        </w:rPr>
        <w:t>0</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突发环境事件应急预案备案表</w:t>
      </w:r>
      <w:bookmarkEnd w:id="822"/>
    </w:p>
    <w:p w14:paraId="1F621A3D">
      <w:pPr>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5534660" cy="7986395"/>
            <wp:effectExtent l="0" t="0" r="8890" b="14605"/>
            <wp:docPr id="430" name="图片 430" descr="企业事业单位突发环境事件应急预案备案表(2)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企业事业单位突发环境事件应急预案备案表(2)_页面_1"/>
                    <pic:cNvPicPr>
                      <a:picLocks noChangeAspect="1"/>
                    </pic:cNvPicPr>
                  </pic:nvPicPr>
                  <pic:blipFill>
                    <a:blip r:embed="rId168"/>
                    <a:stretch>
                      <a:fillRect/>
                    </a:stretch>
                  </pic:blipFill>
                  <pic:spPr>
                    <a:xfrm>
                      <a:off x="0" y="0"/>
                      <a:ext cx="5534660" cy="7986395"/>
                    </a:xfrm>
                    <a:prstGeom prst="rect">
                      <a:avLst/>
                    </a:prstGeom>
                  </pic:spPr>
                </pic:pic>
              </a:graphicData>
            </a:graphic>
          </wp:inline>
        </w:drawing>
      </w:r>
      <w:r>
        <w:rPr>
          <w:rFonts w:hint="eastAsia"/>
          <w:color w:val="000000" w:themeColor="text1"/>
          <w:lang w:eastAsia="zh-CN"/>
          <w14:textFill>
            <w14:solidFill>
              <w14:schemeClr w14:val="tx1"/>
            </w14:solidFill>
          </w14:textFill>
        </w:rPr>
        <w:drawing>
          <wp:inline distT="0" distB="0" distL="114300" distR="114300">
            <wp:extent cx="5539740" cy="8138795"/>
            <wp:effectExtent l="0" t="0" r="3810" b="14605"/>
            <wp:docPr id="429" name="图片 429" descr="企业事业单位突发环境事件应急预案备案表(2)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企业事业单位突发环境事件应急预案备案表(2)_页面_2"/>
                    <pic:cNvPicPr>
                      <a:picLocks noChangeAspect="1"/>
                    </pic:cNvPicPr>
                  </pic:nvPicPr>
                  <pic:blipFill>
                    <a:blip r:embed="rId169"/>
                    <a:stretch>
                      <a:fillRect/>
                    </a:stretch>
                  </pic:blipFill>
                  <pic:spPr>
                    <a:xfrm>
                      <a:off x="0" y="0"/>
                      <a:ext cx="5539740" cy="8138795"/>
                    </a:xfrm>
                    <a:prstGeom prst="rect">
                      <a:avLst/>
                    </a:prstGeom>
                  </pic:spPr>
                </pic:pic>
              </a:graphicData>
            </a:graphic>
          </wp:inline>
        </w:drawing>
      </w:r>
    </w:p>
    <w:p w14:paraId="723CC442">
      <w:pPr>
        <w:bidi w:val="0"/>
        <w:rPr>
          <w:rFonts w:hint="eastAsia"/>
          <w:color w:val="000000" w:themeColor="text1"/>
          <w:lang w:eastAsia="zh-CN"/>
          <w14:textFill>
            <w14:solidFill>
              <w14:schemeClr w14:val="tx1"/>
            </w14:solidFill>
          </w14:textFill>
        </w:rPr>
      </w:pPr>
    </w:p>
    <w:p w14:paraId="32C98310">
      <w:pPr>
        <w:bidi w:val="0"/>
        <w:rPr>
          <w:rFonts w:hint="eastAsia"/>
          <w:color w:val="000000" w:themeColor="text1"/>
          <w:lang w:eastAsia="zh-CN"/>
          <w14:textFill>
            <w14:solidFill>
              <w14:schemeClr w14:val="tx1"/>
            </w14:solidFill>
          </w14:textFill>
        </w:rPr>
      </w:pPr>
    </w:p>
    <w:p w14:paraId="01C5DC17">
      <w:pPr>
        <w:pStyle w:val="6"/>
        <w:numPr>
          <w:ilvl w:val="0"/>
          <w:numId w:val="0"/>
        </w:numPr>
        <w:rPr>
          <w:rFonts w:hint="eastAsia"/>
          <w:color w:val="000000" w:themeColor="text1"/>
          <w:lang w:eastAsia="zh-CN"/>
          <w14:textFill>
            <w14:solidFill>
              <w14:schemeClr w14:val="tx1"/>
            </w14:solidFill>
          </w14:textFill>
        </w:rPr>
      </w:pPr>
      <w:bookmarkStart w:id="823" w:name="_Toc14147"/>
      <w:r>
        <w:rPr>
          <w:rFonts w:hint="eastAsia"/>
          <w:color w:val="000000" w:themeColor="text1"/>
          <w14:textFill>
            <w14:solidFill>
              <w14:schemeClr w14:val="tx1"/>
            </w14:solidFill>
          </w14:textFill>
        </w:rPr>
        <w:t>附件1</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伴生气组分分析报告</w:t>
      </w:r>
      <w:bookmarkEnd w:id="823"/>
    </w:p>
    <w:p w14:paraId="53A5841B">
      <w:pPr>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5542915" cy="7835265"/>
            <wp:effectExtent l="0" t="0" r="635" b="13335"/>
            <wp:docPr id="421" name="图片 421" descr="一季度天然气报告单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一季度天然气报告单_页面_1"/>
                    <pic:cNvPicPr>
                      <a:picLocks noChangeAspect="1"/>
                    </pic:cNvPicPr>
                  </pic:nvPicPr>
                  <pic:blipFill>
                    <a:blip r:embed="rId170"/>
                    <a:stretch>
                      <a:fillRect/>
                    </a:stretch>
                  </pic:blipFill>
                  <pic:spPr>
                    <a:xfrm>
                      <a:off x="0" y="0"/>
                      <a:ext cx="5542915" cy="7835265"/>
                    </a:xfrm>
                    <a:prstGeom prst="rect">
                      <a:avLst/>
                    </a:prstGeom>
                  </pic:spPr>
                </pic:pic>
              </a:graphicData>
            </a:graphic>
          </wp:inline>
        </w:drawing>
      </w:r>
      <w:r>
        <w:rPr>
          <w:rFonts w:hint="eastAsia"/>
          <w:color w:val="000000" w:themeColor="text1"/>
          <w:lang w:eastAsia="zh-CN"/>
          <w14:textFill>
            <w14:solidFill>
              <w14:schemeClr w14:val="tx1"/>
            </w14:solidFill>
          </w14:textFill>
        </w:rPr>
        <w:drawing>
          <wp:inline distT="0" distB="0" distL="114300" distR="114300">
            <wp:extent cx="5542915" cy="7835265"/>
            <wp:effectExtent l="0" t="0" r="635" b="13335"/>
            <wp:docPr id="420" name="图片 420" descr="一季度天然气报告单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一季度天然气报告单_页面_2"/>
                    <pic:cNvPicPr>
                      <a:picLocks noChangeAspect="1"/>
                    </pic:cNvPicPr>
                  </pic:nvPicPr>
                  <pic:blipFill>
                    <a:blip r:embed="rId171"/>
                    <a:stretch>
                      <a:fillRect/>
                    </a:stretch>
                  </pic:blipFill>
                  <pic:spPr>
                    <a:xfrm>
                      <a:off x="0" y="0"/>
                      <a:ext cx="5542915" cy="7835265"/>
                    </a:xfrm>
                    <a:prstGeom prst="rect">
                      <a:avLst/>
                    </a:prstGeom>
                  </pic:spPr>
                </pic:pic>
              </a:graphicData>
            </a:graphic>
          </wp:inline>
        </w:drawing>
      </w:r>
      <w:r>
        <w:rPr>
          <w:rFonts w:hint="eastAsia"/>
          <w:color w:val="000000" w:themeColor="text1"/>
          <w:lang w:eastAsia="zh-CN"/>
          <w14:textFill>
            <w14:solidFill>
              <w14:schemeClr w14:val="tx1"/>
            </w14:solidFill>
          </w14:textFill>
        </w:rPr>
        <w:drawing>
          <wp:inline distT="0" distB="0" distL="114300" distR="114300">
            <wp:extent cx="5542915" cy="7835265"/>
            <wp:effectExtent l="0" t="0" r="635" b="13335"/>
            <wp:docPr id="419" name="图片 419" descr="一季度天然气报告单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descr="一季度天然气报告单_页面_3"/>
                    <pic:cNvPicPr>
                      <a:picLocks noChangeAspect="1"/>
                    </pic:cNvPicPr>
                  </pic:nvPicPr>
                  <pic:blipFill>
                    <a:blip r:embed="rId172"/>
                    <a:stretch>
                      <a:fillRect/>
                    </a:stretch>
                  </pic:blipFill>
                  <pic:spPr>
                    <a:xfrm>
                      <a:off x="0" y="0"/>
                      <a:ext cx="5542915" cy="7835265"/>
                    </a:xfrm>
                    <a:prstGeom prst="rect">
                      <a:avLst/>
                    </a:prstGeom>
                  </pic:spPr>
                </pic:pic>
              </a:graphicData>
            </a:graphic>
          </wp:inline>
        </w:drawing>
      </w:r>
      <w:r>
        <w:rPr>
          <w:rFonts w:hint="eastAsia"/>
          <w:color w:val="000000" w:themeColor="text1"/>
          <w:lang w:eastAsia="zh-CN"/>
          <w14:textFill>
            <w14:solidFill>
              <w14:schemeClr w14:val="tx1"/>
            </w14:solidFill>
          </w14:textFill>
        </w:rPr>
        <w:drawing>
          <wp:inline distT="0" distB="0" distL="114300" distR="114300">
            <wp:extent cx="5542915" cy="7835265"/>
            <wp:effectExtent l="0" t="0" r="635" b="13335"/>
            <wp:docPr id="417" name="图片 417" descr="一季度天然气报告单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一季度天然气报告单_页面_5"/>
                    <pic:cNvPicPr>
                      <a:picLocks noChangeAspect="1"/>
                    </pic:cNvPicPr>
                  </pic:nvPicPr>
                  <pic:blipFill>
                    <a:blip r:embed="rId173"/>
                    <a:stretch>
                      <a:fillRect/>
                    </a:stretch>
                  </pic:blipFill>
                  <pic:spPr>
                    <a:xfrm>
                      <a:off x="0" y="0"/>
                      <a:ext cx="5542915" cy="7835265"/>
                    </a:xfrm>
                    <a:prstGeom prst="rect">
                      <a:avLst/>
                    </a:prstGeom>
                  </pic:spPr>
                </pic:pic>
              </a:graphicData>
            </a:graphic>
          </wp:inline>
        </w:drawing>
      </w:r>
    </w:p>
    <w:p w14:paraId="7102A687">
      <w:pPr>
        <w:bidi w:val="0"/>
        <w:rPr>
          <w:rFonts w:hint="eastAsia"/>
          <w:color w:val="000000" w:themeColor="text1"/>
          <w:lang w:eastAsia="zh-CN"/>
          <w14:textFill>
            <w14:solidFill>
              <w14:schemeClr w14:val="tx1"/>
            </w14:solidFill>
          </w14:textFill>
        </w:rPr>
      </w:pPr>
    </w:p>
    <w:p w14:paraId="7AB468D8">
      <w:pPr>
        <w:bidi w:val="0"/>
        <w:rPr>
          <w:rFonts w:hint="eastAsia"/>
          <w:color w:val="000000" w:themeColor="text1"/>
          <w14:textFill>
            <w14:solidFill>
              <w14:schemeClr w14:val="tx1"/>
            </w14:solidFill>
          </w14:textFill>
        </w:rPr>
      </w:pPr>
    </w:p>
    <w:p w14:paraId="021D254C">
      <w:pPr>
        <w:pStyle w:val="6"/>
        <w:numPr>
          <w:ilvl w:val="0"/>
          <w:numId w:val="0"/>
        </w:numPr>
        <w:rPr>
          <w:rFonts w:hint="eastAsia" w:eastAsia="黑体"/>
          <w:color w:val="000000" w:themeColor="text1"/>
          <w:lang w:eastAsia="zh-CN"/>
          <w14:textFill>
            <w14:solidFill>
              <w14:schemeClr w14:val="tx1"/>
            </w14:solidFill>
          </w14:textFill>
        </w:rPr>
      </w:pPr>
      <w:bookmarkStart w:id="824" w:name="_Toc18798"/>
      <w:r>
        <w:rPr>
          <w:rFonts w:hint="eastAsia"/>
          <w:color w:val="000000" w:themeColor="text1"/>
          <w14:textFill>
            <w14:solidFill>
              <w14:schemeClr w14:val="tx1"/>
            </w14:solidFill>
          </w14:textFill>
        </w:rPr>
        <w:t>附件1</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危险废物处置协议</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节选</w:t>
      </w:r>
      <w:r>
        <w:rPr>
          <w:rFonts w:hint="eastAsia"/>
          <w:color w:val="000000" w:themeColor="text1"/>
          <w:lang w:eastAsia="zh-CN"/>
          <w14:textFill>
            <w14:solidFill>
              <w14:schemeClr w14:val="tx1"/>
            </w14:solidFill>
          </w14:textFill>
        </w:rPr>
        <w:t>）</w:t>
      </w:r>
      <w:bookmarkEnd w:id="824"/>
    </w:p>
    <w:p w14:paraId="332C9619">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43550" cy="7799705"/>
            <wp:effectExtent l="0" t="0" r="0" b="0"/>
            <wp:docPr id="5911119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111956" name="图片 1"/>
                    <pic:cNvPicPr>
                      <a:picLocks noChangeAspect="1"/>
                    </pic:cNvPicPr>
                  </pic:nvPicPr>
                  <pic:blipFill>
                    <a:blip r:embed="rId174"/>
                    <a:stretch>
                      <a:fillRect/>
                    </a:stretch>
                  </pic:blipFill>
                  <pic:spPr>
                    <a:xfrm>
                      <a:off x="0" y="0"/>
                      <a:ext cx="5543550" cy="7799705"/>
                    </a:xfrm>
                    <a:prstGeom prst="rect">
                      <a:avLst/>
                    </a:prstGeom>
                  </pic:spPr>
                </pic:pic>
              </a:graphicData>
            </a:graphic>
          </wp:inline>
        </w:drawing>
      </w:r>
    </w:p>
    <w:p w14:paraId="50870D7B">
      <w:pPr>
        <w:ind w:firstLine="480"/>
        <w:rPr>
          <w:color w:val="000000" w:themeColor="text1"/>
          <w14:textFill>
            <w14:solidFill>
              <w14:schemeClr w14:val="tx1"/>
            </w14:solidFill>
          </w14:textFill>
        </w:rPr>
      </w:pPr>
    </w:p>
    <w:p w14:paraId="681D14B4">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43550" cy="7715885"/>
            <wp:effectExtent l="0" t="0" r="0" b="0"/>
            <wp:docPr id="1830861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861502" name="图片 1"/>
                    <pic:cNvPicPr>
                      <a:picLocks noChangeAspect="1"/>
                    </pic:cNvPicPr>
                  </pic:nvPicPr>
                  <pic:blipFill>
                    <a:blip r:embed="rId175"/>
                    <a:stretch>
                      <a:fillRect/>
                    </a:stretch>
                  </pic:blipFill>
                  <pic:spPr>
                    <a:xfrm>
                      <a:off x="0" y="0"/>
                      <a:ext cx="5543550" cy="7715885"/>
                    </a:xfrm>
                    <a:prstGeom prst="rect">
                      <a:avLst/>
                    </a:prstGeom>
                  </pic:spPr>
                </pic:pic>
              </a:graphicData>
            </a:graphic>
          </wp:inline>
        </w:drawing>
      </w:r>
    </w:p>
    <w:p w14:paraId="3EB0223F">
      <w:pPr>
        <w:rPr>
          <w:color w:val="000000" w:themeColor="text1"/>
          <w14:textFill>
            <w14:solidFill>
              <w14:schemeClr w14:val="tx1"/>
            </w14:solidFill>
          </w14:textFill>
        </w:rPr>
      </w:pPr>
    </w:p>
    <w:p w14:paraId="061E9119">
      <w:pPr>
        <w:rPr>
          <w:color w:val="000000" w:themeColor="text1"/>
          <w14:textFill>
            <w14:solidFill>
              <w14:schemeClr w14:val="tx1"/>
            </w14:solidFill>
          </w14:textFill>
        </w:rPr>
      </w:pPr>
    </w:p>
    <w:p w14:paraId="5DB12720">
      <w:pPr>
        <w:rPr>
          <w:color w:val="000000" w:themeColor="text1"/>
          <w14:textFill>
            <w14:solidFill>
              <w14:schemeClr w14:val="tx1"/>
            </w14:solidFill>
          </w14:textFill>
        </w:rPr>
      </w:pPr>
    </w:p>
    <w:p w14:paraId="7036D58E">
      <w:pPr>
        <w:rPr>
          <w:color w:val="000000" w:themeColor="text1"/>
          <w14:textFill>
            <w14:solidFill>
              <w14:schemeClr w14:val="tx1"/>
            </w14:solidFill>
          </w14:textFill>
        </w:rPr>
      </w:pPr>
    </w:p>
    <w:p w14:paraId="02ABAE1D">
      <w:pPr>
        <w:rPr>
          <w:color w:val="000000" w:themeColor="text1"/>
          <w14:textFill>
            <w14:solidFill>
              <w14:schemeClr w14:val="tx1"/>
            </w14:solidFill>
          </w14:textFill>
        </w:rPr>
      </w:pPr>
    </w:p>
    <w:p w14:paraId="0F433607">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43550" cy="7834630"/>
            <wp:effectExtent l="0" t="0" r="0" b="0"/>
            <wp:docPr id="865632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32080" name="图片 1"/>
                    <pic:cNvPicPr>
                      <a:picLocks noChangeAspect="1"/>
                    </pic:cNvPicPr>
                  </pic:nvPicPr>
                  <pic:blipFill>
                    <a:blip r:embed="rId176"/>
                    <a:stretch>
                      <a:fillRect/>
                    </a:stretch>
                  </pic:blipFill>
                  <pic:spPr>
                    <a:xfrm>
                      <a:off x="0" y="0"/>
                      <a:ext cx="5543550" cy="7834630"/>
                    </a:xfrm>
                    <a:prstGeom prst="rect">
                      <a:avLst/>
                    </a:prstGeom>
                  </pic:spPr>
                </pic:pic>
              </a:graphicData>
            </a:graphic>
          </wp:inline>
        </w:drawing>
      </w:r>
    </w:p>
    <w:p w14:paraId="207C5375">
      <w:pPr>
        <w:rPr>
          <w:color w:val="000000" w:themeColor="text1"/>
          <w14:textFill>
            <w14:solidFill>
              <w14:schemeClr w14:val="tx1"/>
            </w14:solidFill>
          </w14:textFill>
        </w:rPr>
      </w:pPr>
    </w:p>
    <w:p w14:paraId="5C9A80BA">
      <w:pPr>
        <w:rPr>
          <w:color w:val="000000" w:themeColor="text1"/>
          <w14:textFill>
            <w14:solidFill>
              <w14:schemeClr w14:val="tx1"/>
            </w14:solidFill>
          </w14:textFill>
        </w:rPr>
      </w:pPr>
    </w:p>
    <w:p w14:paraId="2E493584">
      <w:pPr>
        <w:ind w:firstLine="480"/>
        <w:rPr>
          <w:color w:val="000000" w:themeColor="text1"/>
          <w14:textFill>
            <w14:solidFill>
              <w14:schemeClr w14:val="tx1"/>
            </w14:solidFill>
          </w14:textFill>
        </w:rPr>
      </w:pPr>
    </w:p>
    <w:p w14:paraId="4996C98B">
      <w:pPr>
        <w:rPr>
          <w:color w:val="000000" w:themeColor="text1"/>
          <w14:textFill>
            <w14:solidFill>
              <w14:schemeClr w14:val="tx1"/>
            </w14:solidFill>
          </w14:textFill>
        </w:rPr>
      </w:pPr>
    </w:p>
    <w:p w14:paraId="38BEA300">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43550" cy="7639050"/>
            <wp:effectExtent l="0" t="0" r="0" b="0"/>
            <wp:docPr id="12399308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930899" name="图片 1"/>
                    <pic:cNvPicPr>
                      <a:picLocks noChangeAspect="1"/>
                    </pic:cNvPicPr>
                  </pic:nvPicPr>
                  <pic:blipFill>
                    <a:blip r:embed="rId177"/>
                    <a:stretch>
                      <a:fillRect/>
                    </a:stretch>
                  </pic:blipFill>
                  <pic:spPr>
                    <a:xfrm>
                      <a:off x="0" y="0"/>
                      <a:ext cx="5543550" cy="7639050"/>
                    </a:xfrm>
                    <a:prstGeom prst="rect">
                      <a:avLst/>
                    </a:prstGeom>
                  </pic:spPr>
                </pic:pic>
              </a:graphicData>
            </a:graphic>
          </wp:inline>
        </w:drawing>
      </w:r>
    </w:p>
    <w:p w14:paraId="0480181C">
      <w:pPr>
        <w:rPr>
          <w:color w:val="000000" w:themeColor="text1"/>
          <w14:textFill>
            <w14:solidFill>
              <w14:schemeClr w14:val="tx1"/>
            </w14:solidFill>
          </w14:textFill>
        </w:rPr>
      </w:pPr>
    </w:p>
    <w:p w14:paraId="4129AD3C">
      <w:pPr>
        <w:rPr>
          <w:color w:val="000000" w:themeColor="text1"/>
          <w14:textFill>
            <w14:solidFill>
              <w14:schemeClr w14:val="tx1"/>
            </w14:solidFill>
          </w14:textFill>
        </w:rPr>
      </w:pPr>
    </w:p>
    <w:p w14:paraId="76E7A013">
      <w:pPr>
        <w:rPr>
          <w:color w:val="000000" w:themeColor="text1"/>
          <w14:textFill>
            <w14:solidFill>
              <w14:schemeClr w14:val="tx1"/>
            </w14:solidFill>
          </w14:textFill>
        </w:rPr>
      </w:pPr>
    </w:p>
    <w:p w14:paraId="7BCBD7B7">
      <w:pPr>
        <w:pStyle w:val="6"/>
        <w:numPr>
          <w:ilvl w:val="0"/>
          <w:numId w:val="0"/>
        </w:numPr>
        <w:rPr>
          <w:rFonts w:hint="eastAsia" w:eastAsia="黑体"/>
          <w:color w:val="000000" w:themeColor="text1"/>
          <w:lang w:eastAsia="zh-CN"/>
          <w14:textFill>
            <w14:solidFill>
              <w14:schemeClr w14:val="tx1"/>
            </w14:solidFill>
          </w14:textFill>
        </w:rPr>
      </w:pPr>
      <w:bookmarkStart w:id="825" w:name="_Toc8939"/>
      <w:r>
        <w:rPr>
          <w:rFonts w:hint="eastAsia"/>
          <w:color w:val="000000" w:themeColor="text1"/>
          <w14:textFill>
            <w14:solidFill>
              <w14:schemeClr w14:val="tx1"/>
            </w14:solidFill>
          </w14:textFill>
        </w:rPr>
        <w:t>附件1</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水基钻井岩屑</w:t>
      </w:r>
      <w:r>
        <w:rPr>
          <w:rFonts w:hint="eastAsia"/>
          <w:color w:val="000000" w:themeColor="text1"/>
          <w14:textFill>
            <w14:solidFill>
              <w14:schemeClr w14:val="tx1"/>
            </w14:solidFill>
          </w14:textFill>
        </w:rPr>
        <w:t>处置协议</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节选</w:t>
      </w:r>
      <w:r>
        <w:rPr>
          <w:rFonts w:hint="eastAsia"/>
          <w:color w:val="000000" w:themeColor="text1"/>
          <w:lang w:eastAsia="zh-CN"/>
          <w14:textFill>
            <w14:solidFill>
              <w14:schemeClr w14:val="tx1"/>
            </w14:solidFill>
          </w14:textFill>
        </w:rPr>
        <w:t>）</w:t>
      </w:r>
      <w:bookmarkEnd w:id="825"/>
    </w:p>
    <w:p w14:paraId="0D4202C6">
      <w:pP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4962525" cy="6505575"/>
            <wp:effectExtent l="0" t="0" r="9525" b="9525"/>
            <wp:docPr id="144" name="图片 144" descr="4e977ad7-1420-4b7c-b58b-49af1a1a1c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4e977ad7-1420-4b7c-b58b-49af1a1a1cdd"/>
                    <pic:cNvPicPr>
                      <a:picLocks noChangeAspect="1"/>
                    </pic:cNvPicPr>
                  </pic:nvPicPr>
                  <pic:blipFill>
                    <a:blip r:embed="rId178"/>
                    <a:stretch>
                      <a:fillRect/>
                    </a:stretch>
                  </pic:blipFill>
                  <pic:spPr>
                    <a:xfrm>
                      <a:off x="0" y="0"/>
                      <a:ext cx="4962525" cy="6505575"/>
                    </a:xfrm>
                    <a:prstGeom prst="rect">
                      <a:avLst/>
                    </a:prstGeom>
                  </pic:spPr>
                </pic:pic>
              </a:graphicData>
            </a:graphic>
          </wp:inline>
        </w:drawing>
      </w:r>
    </w:p>
    <w:p w14:paraId="6004F27E">
      <w:pPr>
        <w:pStyle w:val="2"/>
        <w:rPr>
          <w:rFonts w:hint="eastAsia"/>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4972050" cy="6467475"/>
            <wp:effectExtent l="0" t="0" r="0" b="9525"/>
            <wp:docPr id="143" name="图片 143" descr="b27e4a2a-21f3-4dac-b3da-9f9111cc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b27e4a2a-21f3-4dac-b3da-9f9111cc9981"/>
                    <pic:cNvPicPr>
                      <a:picLocks noChangeAspect="1"/>
                    </pic:cNvPicPr>
                  </pic:nvPicPr>
                  <pic:blipFill>
                    <a:blip r:embed="rId179"/>
                    <a:stretch>
                      <a:fillRect/>
                    </a:stretch>
                  </pic:blipFill>
                  <pic:spPr>
                    <a:xfrm>
                      <a:off x="0" y="0"/>
                      <a:ext cx="4972050" cy="6467475"/>
                    </a:xfrm>
                    <a:prstGeom prst="rect">
                      <a:avLst/>
                    </a:prstGeom>
                  </pic:spPr>
                </pic:pic>
              </a:graphicData>
            </a:graphic>
          </wp:inline>
        </w:drawing>
      </w:r>
    </w:p>
    <w:p w14:paraId="34747DF6">
      <w:pPr>
        <w:rPr>
          <w:color w:val="000000" w:themeColor="text1"/>
          <w14:textFill>
            <w14:solidFill>
              <w14:schemeClr w14:val="tx1"/>
            </w14:solidFill>
          </w14:textFill>
        </w:rPr>
      </w:pPr>
    </w:p>
    <w:p w14:paraId="74112898">
      <w:pPr>
        <w:ind w:firstLine="480"/>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4972050" cy="6486525"/>
            <wp:effectExtent l="0" t="0" r="0" b="9525"/>
            <wp:docPr id="142" name="图片 142" descr="4964a673-b3df-4b67-b63f-f619151d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4964a673-b3df-4b67-b63f-f619151d1293"/>
                    <pic:cNvPicPr>
                      <a:picLocks noChangeAspect="1"/>
                    </pic:cNvPicPr>
                  </pic:nvPicPr>
                  <pic:blipFill>
                    <a:blip r:embed="rId180"/>
                    <a:stretch>
                      <a:fillRect/>
                    </a:stretch>
                  </pic:blipFill>
                  <pic:spPr>
                    <a:xfrm>
                      <a:off x="0" y="0"/>
                      <a:ext cx="4972050" cy="6486525"/>
                    </a:xfrm>
                    <a:prstGeom prst="rect">
                      <a:avLst/>
                    </a:prstGeom>
                  </pic:spPr>
                </pic:pic>
              </a:graphicData>
            </a:graphic>
          </wp:inline>
        </w:drawing>
      </w:r>
    </w:p>
    <w:p w14:paraId="4760A7D1">
      <w:pPr>
        <w:pStyle w:val="2"/>
        <w:rPr>
          <w:rFonts w:hint="eastAsia" w:eastAsia="宋体"/>
          <w:color w:val="000000" w:themeColor="text1"/>
          <w:lang w:eastAsia="zh-CN"/>
          <w14:textFill>
            <w14:solidFill>
              <w14:schemeClr w14:val="tx1"/>
            </w14:solidFill>
          </w14:textFill>
        </w:rPr>
      </w:pPr>
    </w:p>
    <w:p w14:paraId="2D7EC657">
      <w:pPr>
        <w:pStyle w:val="4"/>
        <w:rPr>
          <w:rFonts w:hint="eastAsia" w:eastAsia="宋体"/>
          <w:color w:val="000000" w:themeColor="text1"/>
          <w:lang w:eastAsia="zh-CN"/>
          <w14:textFill>
            <w14:solidFill>
              <w14:schemeClr w14:val="tx1"/>
            </w14:solidFill>
          </w14:textFill>
        </w:rPr>
      </w:pPr>
    </w:p>
    <w:p w14:paraId="64A99649">
      <w:pPr>
        <w:pStyle w:val="4"/>
        <w:rPr>
          <w:rFonts w:hint="eastAsia" w:eastAsia="宋体"/>
          <w:color w:val="000000" w:themeColor="text1"/>
          <w:lang w:eastAsia="zh-CN"/>
          <w14:textFill>
            <w14:solidFill>
              <w14:schemeClr w14:val="tx1"/>
            </w14:solidFill>
          </w14:textFill>
        </w:rPr>
      </w:pPr>
    </w:p>
    <w:p w14:paraId="09598FC9">
      <w:pPr>
        <w:pStyle w:val="4"/>
        <w:rPr>
          <w:rFonts w:hint="eastAsia" w:eastAsia="宋体"/>
          <w:color w:val="000000" w:themeColor="text1"/>
          <w:lang w:eastAsia="zh-CN"/>
          <w14:textFill>
            <w14:solidFill>
              <w14:schemeClr w14:val="tx1"/>
            </w14:solidFill>
          </w14:textFill>
        </w:rPr>
      </w:pPr>
    </w:p>
    <w:p w14:paraId="435928F4">
      <w:pPr>
        <w:pStyle w:val="4"/>
        <w:rPr>
          <w:rFonts w:hint="eastAsia" w:eastAsia="宋体"/>
          <w:color w:val="000000" w:themeColor="text1"/>
          <w:lang w:eastAsia="zh-CN"/>
          <w14:textFill>
            <w14:solidFill>
              <w14:schemeClr w14:val="tx1"/>
            </w14:solidFill>
          </w14:textFill>
        </w:rPr>
      </w:pPr>
    </w:p>
    <w:p w14:paraId="3BB8A7DE">
      <w:pPr>
        <w:pStyle w:val="4"/>
        <w:rPr>
          <w:rFonts w:hint="eastAsia" w:eastAsia="宋体"/>
          <w:color w:val="000000" w:themeColor="text1"/>
          <w:lang w:eastAsia="zh-CN"/>
          <w14:textFill>
            <w14:solidFill>
              <w14:schemeClr w14:val="tx1"/>
            </w14:solidFill>
          </w14:textFill>
        </w:rPr>
      </w:pPr>
    </w:p>
    <w:p w14:paraId="6346BF17">
      <w:pPr>
        <w:pStyle w:val="4"/>
        <w:rPr>
          <w:rFonts w:hint="eastAsia" w:eastAsia="宋体"/>
          <w:color w:val="000000" w:themeColor="text1"/>
          <w:lang w:eastAsia="zh-CN"/>
          <w14:textFill>
            <w14:solidFill>
              <w14:schemeClr w14:val="tx1"/>
            </w14:solidFill>
          </w14:textFill>
        </w:rPr>
      </w:pPr>
    </w:p>
    <w:p w14:paraId="6469CA00">
      <w:pPr>
        <w:pStyle w:val="4"/>
        <w:rPr>
          <w:rFonts w:hint="eastAsia" w:eastAsia="宋体"/>
          <w:color w:val="000000" w:themeColor="text1"/>
          <w:lang w:eastAsia="zh-CN"/>
          <w14:textFill>
            <w14:solidFill>
              <w14:schemeClr w14:val="tx1"/>
            </w14:solidFill>
          </w14:textFill>
        </w:rPr>
      </w:pPr>
    </w:p>
    <w:p w14:paraId="074FCB5A">
      <w:pPr>
        <w:pStyle w:val="4"/>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4924425" cy="6457950"/>
            <wp:effectExtent l="0" t="0" r="9525" b="0"/>
            <wp:docPr id="141" name="图片 141" descr="89a4aef0-2b0e-4f08-bff9-243158f948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89a4aef0-2b0e-4f08-bff9-243158f9483b"/>
                    <pic:cNvPicPr>
                      <a:picLocks noChangeAspect="1"/>
                    </pic:cNvPicPr>
                  </pic:nvPicPr>
                  <pic:blipFill>
                    <a:blip r:embed="rId181"/>
                    <a:stretch>
                      <a:fillRect/>
                    </a:stretch>
                  </pic:blipFill>
                  <pic:spPr>
                    <a:xfrm>
                      <a:off x="0" y="0"/>
                      <a:ext cx="4924425" cy="6457950"/>
                    </a:xfrm>
                    <a:prstGeom prst="rect">
                      <a:avLst/>
                    </a:prstGeom>
                  </pic:spPr>
                </pic:pic>
              </a:graphicData>
            </a:graphic>
          </wp:inline>
        </w:drawing>
      </w:r>
    </w:p>
    <w:p w14:paraId="1CA04540">
      <w:pPr>
        <w:pStyle w:val="4"/>
        <w:rPr>
          <w:rFonts w:hint="eastAsia" w:eastAsia="宋体"/>
          <w:color w:val="000000" w:themeColor="text1"/>
          <w:lang w:eastAsia="zh-CN"/>
          <w14:textFill>
            <w14:solidFill>
              <w14:schemeClr w14:val="tx1"/>
            </w14:solidFill>
          </w14:textFill>
        </w:rPr>
      </w:pPr>
    </w:p>
    <w:p w14:paraId="4806A943">
      <w:pPr>
        <w:pStyle w:val="4"/>
        <w:rPr>
          <w:rFonts w:hint="eastAsia" w:eastAsia="宋体"/>
          <w:color w:val="000000" w:themeColor="text1"/>
          <w:lang w:eastAsia="zh-CN"/>
          <w14:textFill>
            <w14:solidFill>
              <w14:schemeClr w14:val="tx1"/>
            </w14:solidFill>
          </w14:textFill>
        </w:rPr>
      </w:pPr>
    </w:p>
    <w:p w14:paraId="12B6B3D0">
      <w:pPr>
        <w:pStyle w:val="4"/>
        <w:rPr>
          <w:rFonts w:hint="eastAsia" w:eastAsia="宋体"/>
          <w:color w:val="000000" w:themeColor="text1"/>
          <w:lang w:eastAsia="zh-CN"/>
          <w14:textFill>
            <w14:solidFill>
              <w14:schemeClr w14:val="tx1"/>
            </w14:solidFill>
          </w14:textFill>
        </w:rPr>
        <w:sectPr>
          <w:pgSz w:w="11906" w:h="16838"/>
          <w:pgMar w:top="1418" w:right="1588" w:bottom="1418" w:left="1588" w:header="1020" w:footer="1020" w:gutter="0"/>
          <w:cols w:space="720" w:num="1"/>
          <w:docGrid w:type="lines" w:linePitch="312" w:charSpace="0"/>
        </w:sectPr>
      </w:pPr>
    </w:p>
    <w:p w14:paraId="3BB340C0">
      <w:pPr>
        <w:ind w:firstLine="480"/>
        <w:jc w:val="center"/>
        <w:rPr>
          <w:color w:val="000000" w:themeColor="text1"/>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7910195" cy="5535930"/>
            <wp:effectExtent l="0" t="0" r="14605" b="7620"/>
            <wp:docPr id="149" name="图片 149" descr="吉7井区梧桐沟组油藏2026年更新补钻产能建设6.9(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吉7井区梧桐沟组油藏2026年更新补钻产能建设6.9(1)_页面_1"/>
                    <pic:cNvPicPr>
                      <a:picLocks noChangeAspect="1"/>
                    </pic:cNvPicPr>
                  </pic:nvPicPr>
                  <pic:blipFill>
                    <a:blip r:embed="rId182"/>
                    <a:stretch>
                      <a:fillRect/>
                    </a:stretch>
                  </pic:blipFill>
                  <pic:spPr>
                    <a:xfrm>
                      <a:off x="0" y="0"/>
                      <a:ext cx="7910195" cy="553593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7752715" cy="5527040"/>
            <wp:effectExtent l="0" t="0" r="635" b="16510"/>
            <wp:docPr id="148" name="图片 148" descr="吉7井区梧桐沟组油藏2026年更新补钻产能建设6.9(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吉7井区梧桐沟组油藏2026年更新补钻产能建设6.9(1)_页面_2"/>
                    <pic:cNvPicPr>
                      <a:picLocks noChangeAspect="1"/>
                    </pic:cNvPicPr>
                  </pic:nvPicPr>
                  <pic:blipFill>
                    <a:blip r:embed="rId183"/>
                    <a:stretch>
                      <a:fillRect/>
                    </a:stretch>
                  </pic:blipFill>
                  <pic:spPr>
                    <a:xfrm>
                      <a:off x="0" y="0"/>
                      <a:ext cx="7752715" cy="552704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7851775" cy="5527040"/>
            <wp:effectExtent l="0" t="0" r="15875" b="16510"/>
            <wp:docPr id="147" name="图片 147" descr="吉7井区梧桐沟组油藏2026年更新补钻产能建设6.9(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吉7井区梧桐沟组油藏2026年更新补钻产能建设6.9(1)_页面_3"/>
                    <pic:cNvPicPr>
                      <a:picLocks noChangeAspect="1"/>
                    </pic:cNvPicPr>
                  </pic:nvPicPr>
                  <pic:blipFill>
                    <a:blip r:embed="rId184"/>
                    <a:stretch>
                      <a:fillRect/>
                    </a:stretch>
                  </pic:blipFill>
                  <pic:spPr>
                    <a:xfrm>
                      <a:off x="0" y="0"/>
                      <a:ext cx="7851775" cy="5527040"/>
                    </a:xfrm>
                    <a:prstGeom prst="rect">
                      <a:avLst/>
                    </a:prstGeom>
                  </pic:spPr>
                </pic:pic>
              </a:graphicData>
            </a:graphic>
          </wp:inline>
        </w:drawing>
      </w:r>
    </w:p>
    <w:sectPr>
      <w:pgSz w:w="16838" w:h="11906" w:orient="landscape"/>
      <w:pgMar w:top="1588" w:right="1418" w:bottom="1588" w:left="1418" w:header="1020" w:footer="102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font>
  <w:font w:name="楷体_GB2312">
    <w:altName w:val="楷体"/>
    <w:panose1 w:val="00000000000000000000"/>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Chiller">
    <w:panose1 w:val="04020404031007020602"/>
    <w:charset w:val="00"/>
    <w:family w:val="decorative"/>
    <w:pitch w:val="default"/>
    <w:sig w:usb0="00000003" w:usb1="00000000" w:usb2="00000000" w:usb3="00000000" w:csb0="20000001"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Helvetica">
    <w:altName w:val="Arial"/>
    <w:panose1 w:val="020B0604020202020204"/>
    <w:charset w:val="00"/>
    <w:family w:val="swiss"/>
    <w:pitch w:val="default"/>
    <w:sig w:usb0="00000000" w:usb1="00000000" w:usb2="00000009" w:usb3="00000000" w:csb0="000001FF" w:csb1="00000000"/>
  </w:font>
  <w:font w:name="ST Song Std">
    <w:altName w:val="宋体"/>
    <w:panose1 w:val="00000000000000000000"/>
    <w:charset w:val="86"/>
    <w:family w:val="roman"/>
    <w:pitch w:val="default"/>
    <w:sig w:usb0="00000000" w:usb1="00000000" w:usb2="00000010" w:usb3="00000000" w:csb0="00040000" w:csb1="00000000"/>
  </w:font>
  <w:font w:name="方正仿宋_GBK">
    <w:panose1 w:val="02000000000000000000"/>
    <w:charset w:val="86"/>
    <w:family w:val="auto"/>
    <w:pitch w:val="default"/>
    <w:sig w:usb0="A00002BF" w:usb1="38CF7CFA" w:usb2="00082016" w:usb3="00000000" w:csb0="00040001" w:csb1="00000000"/>
  </w:font>
  <w:font w:name="Microsoft YaHei UI">
    <w:panose1 w:val="020B0503020204020204"/>
    <w:charset w:val="86"/>
    <w:family w:val="swiss"/>
    <w:pitch w:val="default"/>
    <w:sig w:usb0="80000287" w:usb1="2ACF3C50" w:usb2="00000016" w:usb3="00000000" w:csb0="0004001F" w:csb1="00000000"/>
  </w:font>
  <w:font w:name="MS PGothic">
    <w:panose1 w:val="020B0600070205080204"/>
    <w:charset w:val="80"/>
    <w:family w:val="swiss"/>
    <w:pitch w:val="default"/>
    <w:sig w:usb0="E00002FF" w:usb1="6AC7FDFB" w:usb2="08000012" w:usb3="00000000" w:csb0="4002009F" w:csb1="DFD70000"/>
  </w:font>
  <w:font w:name="TimesNewRomanPSMT">
    <w:altName w:val="黑体"/>
    <w:panose1 w:val="00000000000000000000"/>
    <w:charset w:val="86"/>
    <w:family w:val="auto"/>
    <w:pitch w:val="default"/>
    <w:sig w:usb0="00000000" w:usb1="00000000" w:usb2="00000000" w:usb3="00000000" w:csb0="00040000" w:csb1="00000000"/>
  </w:font>
  <w:font w:name="FZYaSongS-R-GB">
    <w:altName w:val="宋体"/>
    <w:panose1 w:val="00000000000000000000"/>
    <w:charset w:val="00"/>
    <w:family w:val="roman"/>
    <w:pitch w:val="default"/>
    <w:sig w:usb0="00000000" w:usb1="00000000" w:usb2="00000000"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font>
  <w:font w:name="Segoe UI Symbol">
    <w:panose1 w:val="020B0502040204020203"/>
    <w:charset w:val="00"/>
    <w:family w:val="swiss"/>
    <w:pitch w:val="default"/>
    <w:sig w:usb0="800001E3" w:usb1="1200FFEF" w:usb2="00040000" w:usb3="04000000" w:csb0="0000000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61A594">
    <w:pPr>
      <w:pStyle w:val="31"/>
      <w:pBdr>
        <w:top w:val="single" w:color="auto" w:sz="4" w:space="1"/>
      </w:pBdr>
      <w:spacing w:line="300" w:lineRule="exact"/>
      <w:ind w:firstLine="720" w:firstLineChars="400"/>
      <w:rPr>
        <w:rFonts w:hint="eastAsia" w:ascii="宋体" w:hAnsi="宋体"/>
      </w:rPr>
    </w:pPr>
    <w:r>
      <w:rPr>
        <w:rFonts w:hint="eastAsia" w:ascii="宋体" w:hAnsi="宋体"/>
      </w:rPr>
      <w:t xml:space="preserve">中勘冶金勘察设计研究院有限责任公司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lang w:val="zh-CN"/>
      </w:rPr>
      <w:t>III</w:t>
    </w:r>
    <w:r>
      <w:rPr>
        <w:rFonts w:ascii="宋体" w:hAnsi="宋体"/>
      </w:rPr>
      <w:fldChar w:fldCharType="end"/>
    </w:r>
    <w:r>
      <w:rPr>
        <w:rFonts w:hint="eastAsia" w:ascii="宋体" w:hAnsi="宋体"/>
        <w:lang w:val="zh-CN"/>
      </w:rPr>
      <w:drawing>
        <wp:anchor distT="0" distB="0" distL="114300" distR="114300" simplePos="0" relativeHeight="251663360" behindDoc="1" locked="0" layoutInCell="1" allowOverlap="1">
          <wp:simplePos x="0" y="0"/>
          <wp:positionH relativeFrom="column">
            <wp:posOffset>94615</wp:posOffset>
          </wp:positionH>
          <wp:positionV relativeFrom="paragraph">
            <wp:posOffset>6350</wp:posOffset>
          </wp:positionV>
          <wp:extent cx="365760" cy="229235"/>
          <wp:effectExtent l="0" t="0" r="0" b="0"/>
          <wp:wrapNone/>
          <wp:docPr id="1196216748"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16748" name="图片 102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ABA49">
    <w:pPr>
      <w:pStyle w:val="31"/>
      <w:pBdr>
        <w:top w:val="single" w:color="auto" w:sz="4" w:space="1"/>
      </w:pBdr>
      <w:spacing w:line="300" w:lineRule="exact"/>
      <w:ind w:firstLine="720" w:firstLineChars="400"/>
      <w:rPr>
        <w:rFonts w:hint="eastAsia" w:ascii="宋体" w:hAnsi="宋体"/>
      </w:rPr>
    </w:pPr>
    <w:r>
      <w:rPr>
        <w:rFonts w:hint="eastAsia" w:ascii="宋体" w:hAnsi="宋体"/>
      </w:rPr>
      <w:t xml:space="preserve">中勘冶金勘察设计研究院有限责任公司                         </w:t>
    </w:r>
    <w:r>
      <w:rPr>
        <w:rFonts w:ascii="宋体" w:hAnsi="宋体"/>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62</w:t>
    </w:r>
    <w:r>
      <w:rPr>
        <w:rFonts w:ascii="宋体" w:hAnsi="宋体"/>
      </w:rPr>
      <w:fldChar w:fldCharType="end"/>
    </w:r>
    <w:r>
      <w:rPr>
        <w:rFonts w:hint="eastAsia" w:ascii="宋体" w:hAnsi="宋体"/>
        <w:lang w:val="zh-CN"/>
      </w:rPr>
      <w:drawing>
        <wp:anchor distT="0" distB="0" distL="114300" distR="114300" simplePos="0" relativeHeight="251664384" behindDoc="1" locked="0" layoutInCell="1" allowOverlap="1">
          <wp:simplePos x="0" y="0"/>
          <wp:positionH relativeFrom="column">
            <wp:posOffset>94615</wp:posOffset>
          </wp:positionH>
          <wp:positionV relativeFrom="paragraph">
            <wp:posOffset>6350</wp:posOffset>
          </wp:positionV>
          <wp:extent cx="365760" cy="229235"/>
          <wp:effectExtent l="0" t="0" r="0" b="0"/>
          <wp:wrapNone/>
          <wp:docPr id="1731356679" name="图片 1731356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356679" name="图片 173135667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488A7C">
    <w:pPr>
      <w:pStyle w:val="31"/>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68480" behindDoc="0" locked="0" layoutInCell="1" allowOverlap="1">
              <wp:simplePos x="0" y="0"/>
              <wp:positionH relativeFrom="margin">
                <wp:posOffset>-10795</wp:posOffset>
              </wp:positionH>
              <wp:positionV relativeFrom="paragraph">
                <wp:posOffset>2409190</wp:posOffset>
              </wp:positionV>
              <wp:extent cx="5549900" cy="158750"/>
              <wp:effectExtent l="0" t="0" r="4445" b="3810"/>
              <wp:wrapNone/>
              <wp:docPr id="44" name="文本框 44"/>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4B2679F7">
                          <w:pPr>
                            <w:pStyle w:val="31"/>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_x0000_s1026" o:spid="_x0000_s1026" o:spt="202" type="#_x0000_t202" style="position:absolute;left:0pt;margin-left:-0.85pt;margin-top:189.7pt;height:12.5pt;width:437pt;mso-position-horizontal-relative:margin;z-index:251668480;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Zn7on2AAAAAoBAAAPAAAAAAAAAAEA&#10;IAAAACIAAABkcnMvZG93bnJldi54bWxQSwECFAAUAAAACACHTuJARlVXeA8CAAAHBAAADgAAAAAA&#10;AAABACAAAAAnAQAAZHJzL2Uyb0RvYy54bWxQSwUGAAAAAAYABgBZAQAAqAUAAAAA&#10;">
              <v:fill on="f" focussize="0,0"/>
              <v:stroke on="f"/>
              <v:imagedata o:title=""/>
              <o:lock v:ext="edit" aspectratio="f"/>
              <v:textbox inset="0mm,0mm,0mm,0mm" style="mso-fit-shape-to-text:t;">
                <w:txbxContent>
                  <w:p w14:paraId="4B2679F7">
                    <w:pPr>
                      <w:pStyle w:val="31"/>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67456"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21309159" name="图片 2130915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159" name="图片 21309159"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E1105B">
    <w:pPr>
      <w:pStyle w:val="31"/>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66432" behindDoc="0" locked="0" layoutInCell="1" allowOverlap="1">
              <wp:simplePos x="0" y="0"/>
              <wp:positionH relativeFrom="margin">
                <wp:posOffset>-10795</wp:posOffset>
              </wp:positionH>
              <wp:positionV relativeFrom="paragraph">
                <wp:posOffset>2409190</wp:posOffset>
              </wp:positionV>
              <wp:extent cx="5549900" cy="158750"/>
              <wp:effectExtent l="0" t="0" r="0" b="3810"/>
              <wp:wrapNone/>
              <wp:docPr id="1" name="文本框 1040"/>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155DFCC5">
                          <w:pPr>
                            <w:pStyle w:val="31"/>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文本框 1040" o:spid="_x0000_s1026" o:spt="202" type="#_x0000_t202" style="position:absolute;left:0pt;margin-left:-0.85pt;margin-top:189.7pt;height:12.5pt;width:437pt;mso-position-horizontal-relative:margin;z-index:251666432;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Zn7on2AAAAAoBAAAPAAAAAAAAAAEA&#10;IAAAACIAAABkcnMvZG93bnJldi54bWxQSwECFAAUAAAACACHTuJA+5O4fw8CAAAIBAAADgAAAAAA&#10;AAABACAAAAAnAQAAZHJzL2Uyb0RvYy54bWxQSwUGAAAAAAYABgBZAQAAqAUAAAAA&#10;">
              <v:fill on="f" focussize="0,0"/>
              <v:stroke on="f"/>
              <v:imagedata o:title=""/>
              <o:lock v:ext="edit" aspectratio="f"/>
              <v:textbox inset="0mm,0mm,0mm,0mm" style="mso-fit-shape-to-text:t;">
                <w:txbxContent>
                  <w:p w14:paraId="155DFCC5">
                    <w:pPr>
                      <w:pStyle w:val="31"/>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65408"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1607675547" name="图片 160767554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75547" name="图片 1607675547"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B6A804">
    <w:pPr>
      <w:pStyle w:val="31"/>
      <w:pBdr>
        <w:top w:val="single" w:color="auto" w:sz="4" w:space="1"/>
      </w:pBdr>
      <w:rPr>
        <w:rFonts w:hint="eastAsia" w:ascii="宋体" w:hAnsi="宋体"/>
      </w:rPr>
    </w:pPr>
    <w:r>
      <w:rPr>
        <w:rFonts w:hint="eastAsia" w:ascii="宋体" w:hAnsi="宋体"/>
        <w:lang w:val="zh-CN"/>
      </w:rPr>
      <w:pict>
        <v:shape id="图片 25" o:spid="_x0000_s2049" o:spt="75" type="#_x0000_t75" style="position:absolute;left:0pt;margin-left:1.8pt;margin-top:0.75pt;height:18.05pt;width:28.8pt;z-index:-251645952;mso-width-relative:page;mso-height-relative:page;" filled="f" o:preferrelative="t" stroked="f" coordsize="21600,21600">
          <v:path/>
          <v:fill on="f" focussize="0,0"/>
          <v:stroke on="f" joinstyle="miter"/>
          <v:imagedata r:id="rId1" o:title=""/>
          <o:lock v:ext="edit" aspectratio="t"/>
        </v:shape>
      </w:pict>
    </w:r>
    <w:r>
      <w:rPr>
        <w:rFonts w:hint="eastAsia"/>
      </w:rPr>
      <w:pict>
        <v:shape id="图片 1025" o:spid="_x0000_s2050" o:spt="75" type="#_x0000_t75" style="position:absolute;left:0pt;margin-left:251.2pt;margin-top:241.55pt;height:22.5pt;width:30.75pt;mso-position-vertical-relative:line;z-index:-251646976;mso-width-relative:page;mso-height-relative:page;" filled="f" o:preferrelative="t" stroked="f" coordsize="21600,21600" o:allowoverlap="f">
          <v:path/>
          <v:fill on="f" focussize="0,0"/>
          <v:stroke on="f" joinstyle="miter"/>
          <v:imagedata r:id="rId2" o:title=""/>
          <o:lock v:ext="edit" aspectratio="t"/>
        </v:shape>
      </w:pict>
    </w:r>
    <w:r>
      <w:rPr>
        <w:rFonts w:hint="eastAsia" w:ascii="宋体" w:hAnsi="宋体"/>
      </w:rPr>
      <w:t xml:space="preserve"> </w:t>
    </w:r>
    <w:r>
      <w:rPr>
        <w:rFonts w:ascii="宋体" w:hAnsi="宋体"/>
      </w:rPr>
      <w:t xml:space="preserve">       </w:t>
    </w:r>
    <w:r>
      <w:rPr>
        <w:rFonts w:hint="eastAsia" w:ascii="宋体" w:hAnsi="宋体"/>
      </w:rPr>
      <w:t>中勘冶金勘察设计研究院有限责任公司</w:t>
    </w:r>
    <w:r>
      <w:rPr>
        <w:rFonts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lang w:val="zh-CN"/>
      </w:rPr>
      <w:t>70</w:t>
    </w:r>
    <w:r>
      <w:rPr>
        <w:rFonts w:ascii="宋体" w:hAnsi="宋体"/>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FB54F">
    <w:pPr>
      <w:pStyle w:val="32"/>
      <w:rPr>
        <w:rFonts w:hint="eastAsia" w:ascii="宋体" w:hAnsi="宋体"/>
        <w:color w:val="000000" w:themeColor="text1"/>
        <w:spacing w:val="-10"/>
        <w14:textFill>
          <w14:solidFill>
            <w14:schemeClr w14:val="tx1"/>
          </w14:solidFill>
        </w14:textFill>
      </w:rPr>
    </w:pPr>
    <w:r>
      <w:rPr>
        <w:rFonts w:hint="eastAsia" w:ascii="宋体" w:hAnsi="宋体"/>
        <w:color w:val="000000" w:themeColor="text1"/>
        <w:spacing w:val="-10"/>
        <w14:textFill>
          <w14:solidFill>
            <w14:schemeClr w14:val="tx1"/>
          </w14:solidFill>
        </w14:textFill>
      </w:rPr>
      <w:t>吉7井区梧桐沟组油藏2026年更新补钻产能建设项目环境影响报告书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04ADD6">
    <w:pPr>
      <w:pStyle w:val="32"/>
      <w:rPr>
        <w:rFonts w:hint="eastAsia" w:ascii="宋体" w:hAnsi="宋体"/>
        <w:color w:val="000000" w:themeColor="text1"/>
        <w:spacing w:val="-10"/>
        <w14:textFill>
          <w14:solidFill>
            <w14:schemeClr w14:val="tx1"/>
          </w14:solidFill>
        </w14:textFill>
      </w:rPr>
    </w:pPr>
    <w:r>
      <w:rPr>
        <w:rFonts w:hint="eastAsia" w:ascii="宋体" w:hAnsi="宋体"/>
        <w:color w:val="000000" w:themeColor="text1"/>
        <w:spacing w:val="-10"/>
        <w14:textFill>
          <w14:solidFill>
            <w14:schemeClr w14:val="tx1"/>
          </w14:solidFill>
        </w14:textFill>
      </w:rPr>
      <w:t>吉7井区梧桐沟组油藏2026年更新补钻产能建设项目环境影响报告书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E716E2"/>
    <w:multiLevelType w:val="singleLevel"/>
    <w:tmpl w:val="98E716E2"/>
    <w:lvl w:ilvl="0" w:tentative="0">
      <w:start w:val="3"/>
      <w:numFmt w:val="decimal"/>
      <w:suff w:val="nothing"/>
      <w:lvlText w:val="（%1）"/>
      <w:lvlJc w:val="left"/>
    </w:lvl>
  </w:abstractNum>
  <w:abstractNum w:abstractNumId="1">
    <w:nsid w:val="06F522F0"/>
    <w:multiLevelType w:val="multilevel"/>
    <w:tmpl w:val="06F522F0"/>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
    <w:nsid w:val="47D15015"/>
    <w:multiLevelType w:val="multilevel"/>
    <w:tmpl w:val="47D15015"/>
    <w:lvl w:ilvl="0" w:tentative="0">
      <w:start w:val="1"/>
      <w:numFmt w:val="decimal"/>
      <w:pStyle w:val="6"/>
      <w:suff w:val="space"/>
      <w:lvlText w:val="%1"/>
      <w:lvlJc w:val="left"/>
      <w:pPr>
        <w:ind w:left="0" w:firstLine="0"/>
      </w:pPr>
      <w:rPr>
        <w:rFonts w:hint="eastAsia" w:ascii="黑体" w:eastAsia="黑体"/>
        <w:b w:val="0"/>
        <w:i w:val="0"/>
        <w:sz w:val="32"/>
      </w:rPr>
    </w:lvl>
    <w:lvl w:ilvl="1" w:tentative="0">
      <w:start w:val="1"/>
      <w:numFmt w:val="decimal"/>
      <w:pStyle w:val="7"/>
      <w:suff w:val="space"/>
      <w:lvlText w:val="%1.%2"/>
      <w:lvlJc w:val="left"/>
      <w:pPr>
        <w:ind w:left="0" w:firstLine="0"/>
      </w:pPr>
      <w:rPr>
        <w:rFonts w:hint="eastAsia" w:ascii="黑体" w:eastAsia="黑体"/>
        <w:b w:val="0"/>
        <w:i w:val="0"/>
        <w:sz w:val="28"/>
      </w:rPr>
    </w:lvl>
    <w:lvl w:ilvl="2" w:tentative="0">
      <w:start w:val="1"/>
      <w:numFmt w:val="decimal"/>
      <w:pStyle w:val="8"/>
      <w:suff w:val="space"/>
      <w:lvlText w:val="%1.%2.%3"/>
      <w:lvlJc w:val="left"/>
      <w:pPr>
        <w:ind w:left="0" w:firstLine="0"/>
      </w:pPr>
      <w:rPr>
        <w:rFonts w:hint="eastAsia" w:ascii="黑体" w:hAnsi="宋体" w:eastAsia="黑体"/>
        <w:b w:val="0"/>
        <w:i w:val="0"/>
        <w:sz w:val="24"/>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
    <w:nsid w:val="7B541212"/>
    <w:multiLevelType w:val="multilevel"/>
    <w:tmpl w:val="7B541212"/>
    <w:lvl w:ilvl="0" w:tentative="0">
      <w:start w:val="1"/>
      <w:numFmt w:val="bullet"/>
      <w:pStyle w:val="306"/>
      <w:lvlText w:val=""/>
      <w:lvlJc w:val="left"/>
      <w:pPr>
        <w:tabs>
          <w:tab w:val="left" w:pos="902"/>
        </w:tabs>
        <w:ind w:left="902" w:hanging="422"/>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1"/>
  <w:displayVerticalDrawingGridEvery w:val="1"/>
  <w:noPunctuationKerning w:val="1"/>
  <w:characterSpacingControl w:val="doNotCompress"/>
  <w:hdrShapeDefaults>
    <o:shapelayout v:ext="edit">
      <o:idmap v:ext="edit" data="2"/>
    </o:shapelayout>
  </w:hdrShapeDefaults>
  <w:compat>
    <w:doNotExpandShiftReturn/>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djY2IxMWYwNDI5NTdhYmJhNjliZWZhNGQ1ODAxMzkifQ=="/>
  </w:docVars>
  <w:rsids>
    <w:rsidRoot w:val="00172A27"/>
    <w:rsid w:val="000000CC"/>
    <w:rsid w:val="0000057A"/>
    <w:rsid w:val="000009BA"/>
    <w:rsid w:val="00000A56"/>
    <w:rsid w:val="00000B27"/>
    <w:rsid w:val="00001069"/>
    <w:rsid w:val="000011F2"/>
    <w:rsid w:val="0000144A"/>
    <w:rsid w:val="000016FB"/>
    <w:rsid w:val="000023C6"/>
    <w:rsid w:val="000024E0"/>
    <w:rsid w:val="000024FD"/>
    <w:rsid w:val="00002BD3"/>
    <w:rsid w:val="00002EA8"/>
    <w:rsid w:val="00003002"/>
    <w:rsid w:val="0000313C"/>
    <w:rsid w:val="000031ED"/>
    <w:rsid w:val="0000321B"/>
    <w:rsid w:val="000038F9"/>
    <w:rsid w:val="00003F51"/>
    <w:rsid w:val="000043B1"/>
    <w:rsid w:val="000043DA"/>
    <w:rsid w:val="00004E47"/>
    <w:rsid w:val="00004E9F"/>
    <w:rsid w:val="00004F62"/>
    <w:rsid w:val="000058D4"/>
    <w:rsid w:val="00005D4E"/>
    <w:rsid w:val="000066DF"/>
    <w:rsid w:val="00006A0F"/>
    <w:rsid w:val="00006FD6"/>
    <w:rsid w:val="00006FEC"/>
    <w:rsid w:val="000071DC"/>
    <w:rsid w:val="00007402"/>
    <w:rsid w:val="000074A5"/>
    <w:rsid w:val="00007926"/>
    <w:rsid w:val="00007B2E"/>
    <w:rsid w:val="00010189"/>
    <w:rsid w:val="000101EF"/>
    <w:rsid w:val="000103F0"/>
    <w:rsid w:val="00010724"/>
    <w:rsid w:val="00010A9F"/>
    <w:rsid w:val="00010BF1"/>
    <w:rsid w:val="00011255"/>
    <w:rsid w:val="000114C2"/>
    <w:rsid w:val="000123A7"/>
    <w:rsid w:val="00012659"/>
    <w:rsid w:val="00012A8D"/>
    <w:rsid w:val="00012F24"/>
    <w:rsid w:val="00013000"/>
    <w:rsid w:val="000130EC"/>
    <w:rsid w:val="00013643"/>
    <w:rsid w:val="00013CC1"/>
    <w:rsid w:val="0001450C"/>
    <w:rsid w:val="00014FDD"/>
    <w:rsid w:val="00015676"/>
    <w:rsid w:val="00015922"/>
    <w:rsid w:val="00015C47"/>
    <w:rsid w:val="00015E48"/>
    <w:rsid w:val="00016344"/>
    <w:rsid w:val="0001666F"/>
    <w:rsid w:val="00016702"/>
    <w:rsid w:val="00016AC0"/>
    <w:rsid w:val="00016FFC"/>
    <w:rsid w:val="00017154"/>
    <w:rsid w:val="00017DF8"/>
    <w:rsid w:val="0002023A"/>
    <w:rsid w:val="000204A3"/>
    <w:rsid w:val="00021039"/>
    <w:rsid w:val="00021E61"/>
    <w:rsid w:val="00022028"/>
    <w:rsid w:val="0002268C"/>
    <w:rsid w:val="00022B29"/>
    <w:rsid w:val="00022FBD"/>
    <w:rsid w:val="00023273"/>
    <w:rsid w:val="00023916"/>
    <w:rsid w:val="00023EF0"/>
    <w:rsid w:val="00023F4F"/>
    <w:rsid w:val="000240B2"/>
    <w:rsid w:val="000243CB"/>
    <w:rsid w:val="000244D3"/>
    <w:rsid w:val="00024677"/>
    <w:rsid w:val="00024A67"/>
    <w:rsid w:val="0002501E"/>
    <w:rsid w:val="000255B1"/>
    <w:rsid w:val="00025B3C"/>
    <w:rsid w:val="00025D2E"/>
    <w:rsid w:val="000262C3"/>
    <w:rsid w:val="000263D6"/>
    <w:rsid w:val="00026BB2"/>
    <w:rsid w:val="00026D04"/>
    <w:rsid w:val="00026F5A"/>
    <w:rsid w:val="00027137"/>
    <w:rsid w:val="0002760A"/>
    <w:rsid w:val="000277E8"/>
    <w:rsid w:val="000306A5"/>
    <w:rsid w:val="00030832"/>
    <w:rsid w:val="00030AB8"/>
    <w:rsid w:val="00030B8C"/>
    <w:rsid w:val="00030E66"/>
    <w:rsid w:val="000312B1"/>
    <w:rsid w:val="00031F63"/>
    <w:rsid w:val="00032207"/>
    <w:rsid w:val="00032440"/>
    <w:rsid w:val="000326FF"/>
    <w:rsid w:val="00032819"/>
    <w:rsid w:val="00032936"/>
    <w:rsid w:val="00032971"/>
    <w:rsid w:val="00032A96"/>
    <w:rsid w:val="00032B02"/>
    <w:rsid w:val="00032BF7"/>
    <w:rsid w:val="00032F45"/>
    <w:rsid w:val="000330DE"/>
    <w:rsid w:val="00033AE7"/>
    <w:rsid w:val="00033B21"/>
    <w:rsid w:val="00033F4F"/>
    <w:rsid w:val="00034188"/>
    <w:rsid w:val="0003439C"/>
    <w:rsid w:val="0003446F"/>
    <w:rsid w:val="0003485C"/>
    <w:rsid w:val="000348DE"/>
    <w:rsid w:val="00034B71"/>
    <w:rsid w:val="00034D61"/>
    <w:rsid w:val="00035FBE"/>
    <w:rsid w:val="00036545"/>
    <w:rsid w:val="000369C8"/>
    <w:rsid w:val="00036AB7"/>
    <w:rsid w:val="00036B46"/>
    <w:rsid w:val="00036C83"/>
    <w:rsid w:val="00036EA0"/>
    <w:rsid w:val="00037009"/>
    <w:rsid w:val="0003715D"/>
    <w:rsid w:val="0003735A"/>
    <w:rsid w:val="00037394"/>
    <w:rsid w:val="000375F5"/>
    <w:rsid w:val="00037610"/>
    <w:rsid w:val="000376AE"/>
    <w:rsid w:val="00037D5F"/>
    <w:rsid w:val="00037E87"/>
    <w:rsid w:val="00040291"/>
    <w:rsid w:val="000402FE"/>
    <w:rsid w:val="000405C0"/>
    <w:rsid w:val="00040E31"/>
    <w:rsid w:val="00041034"/>
    <w:rsid w:val="00041281"/>
    <w:rsid w:val="00041850"/>
    <w:rsid w:val="00041A18"/>
    <w:rsid w:val="00041B86"/>
    <w:rsid w:val="00041E31"/>
    <w:rsid w:val="00042071"/>
    <w:rsid w:val="00042385"/>
    <w:rsid w:val="00042A28"/>
    <w:rsid w:val="00042D2A"/>
    <w:rsid w:val="00042DA9"/>
    <w:rsid w:val="0004329E"/>
    <w:rsid w:val="0004334C"/>
    <w:rsid w:val="0004364C"/>
    <w:rsid w:val="000436CA"/>
    <w:rsid w:val="0004371B"/>
    <w:rsid w:val="000437D8"/>
    <w:rsid w:val="000438ED"/>
    <w:rsid w:val="00043B09"/>
    <w:rsid w:val="00043EB4"/>
    <w:rsid w:val="0004401F"/>
    <w:rsid w:val="0004431F"/>
    <w:rsid w:val="0004440B"/>
    <w:rsid w:val="0004452D"/>
    <w:rsid w:val="0004478F"/>
    <w:rsid w:val="0004483E"/>
    <w:rsid w:val="00044942"/>
    <w:rsid w:val="00044D58"/>
    <w:rsid w:val="000450AE"/>
    <w:rsid w:val="0004519E"/>
    <w:rsid w:val="000451FF"/>
    <w:rsid w:val="00045230"/>
    <w:rsid w:val="0004537B"/>
    <w:rsid w:val="0004552D"/>
    <w:rsid w:val="000459C2"/>
    <w:rsid w:val="00045A1D"/>
    <w:rsid w:val="0004655D"/>
    <w:rsid w:val="0004676F"/>
    <w:rsid w:val="000469DA"/>
    <w:rsid w:val="0004726F"/>
    <w:rsid w:val="000473DB"/>
    <w:rsid w:val="000475CC"/>
    <w:rsid w:val="00047D74"/>
    <w:rsid w:val="00047FE0"/>
    <w:rsid w:val="00051140"/>
    <w:rsid w:val="000518F3"/>
    <w:rsid w:val="00051DFA"/>
    <w:rsid w:val="00052055"/>
    <w:rsid w:val="000526A2"/>
    <w:rsid w:val="000527FB"/>
    <w:rsid w:val="00052844"/>
    <w:rsid w:val="00052897"/>
    <w:rsid w:val="00052963"/>
    <w:rsid w:val="000531D8"/>
    <w:rsid w:val="00053993"/>
    <w:rsid w:val="00053B6D"/>
    <w:rsid w:val="00053BBB"/>
    <w:rsid w:val="000542A3"/>
    <w:rsid w:val="00054412"/>
    <w:rsid w:val="0005467A"/>
    <w:rsid w:val="00054814"/>
    <w:rsid w:val="00054866"/>
    <w:rsid w:val="00055594"/>
    <w:rsid w:val="0005568D"/>
    <w:rsid w:val="000556BE"/>
    <w:rsid w:val="00055B9F"/>
    <w:rsid w:val="00055F0D"/>
    <w:rsid w:val="00056066"/>
    <w:rsid w:val="0005680D"/>
    <w:rsid w:val="00057A23"/>
    <w:rsid w:val="00060111"/>
    <w:rsid w:val="000608E4"/>
    <w:rsid w:val="000609A7"/>
    <w:rsid w:val="00060C59"/>
    <w:rsid w:val="0006130B"/>
    <w:rsid w:val="00061ACF"/>
    <w:rsid w:val="0006220F"/>
    <w:rsid w:val="0006231A"/>
    <w:rsid w:val="00062420"/>
    <w:rsid w:val="00062569"/>
    <w:rsid w:val="00062595"/>
    <w:rsid w:val="0006283C"/>
    <w:rsid w:val="00063167"/>
    <w:rsid w:val="00063383"/>
    <w:rsid w:val="000637B9"/>
    <w:rsid w:val="00063A59"/>
    <w:rsid w:val="00063EC2"/>
    <w:rsid w:val="00064016"/>
    <w:rsid w:val="00064243"/>
    <w:rsid w:val="00064454"/>
    <w:rsid w:val="000644D1"/>
    <w:rsid w:val="0006458A"/>
    <w:rsid w:val="00064671"/>
    <w:rsid w:val="00064861"/>
    <w:rsid w:val="000649C0"/>
    <w:rsid w:val="00064AAB"/>
    <w:rsid w:val="00064AC0"/>
    <w:rsid w:val="00064F6E"/>
    <w:rsid w:val="000650C2"/>
    <w:rsid w:val="00065D97"/>
    <w:rsid w:val="0006610F"/>
    <w:rsid w:val="0006618E"/>
    <w:rsid w:val="000665C6"/>
    <w:rsid w:val="00066829"/>
    <w:rsid w:val="00066925"/>
    <w:rsid w:val="000669A5"/>
    <w:rsid w:val="00066CCF"/>
    <w:rsid w:val="00066DD9"/>
    <w:rsid w:val="000672F0"/>
    <w:rsid w:val="00067335"/>
    <w:rsid w:val="00067AFB"/>
    <w:rsid w:val="00067DE0"/>
    <w:rsid w:val="0007091C"/>
    <w:rsid w:val="00070A8C"/>
    <w:rsid w:val="00070CE8"/>
    <w:rsid w:val="00070E4C"/>
    <w:rsid w:val="00070EDE"/>
    <w:rsid w:val="00070FE0"/>
    <w:rsid w:val="00071276"/>
    <w:rsid w:val="000714DD"/>
    <w:rsid w:val="00071F79"/>
    <w:rsid w:val="000723FF"/>
    <w:rsid w:val="00072A16"/>
    <w:rsid w:val="00073575"/>
    <w:rsid w:val="00073F7E"/>
    <w:rsid w:val="000744B1"/>
    <w:rsid w:val="000747C8"/>
    <w:rsid w:val="00074940"/>
    <w:rsid w:val="000749CA"/>
    <w:rsid w:val="00075048"/>
    <w:rsid w:val="00075576"/>
    <w:rsid w:val="000755CB"/>
    <w:rsid w:val="00075A3C"/>
    <w:rsid w:val="00075F5A"/>
    <w:rsid w:val="000765D1"/>
    <w:rsid w:val="000769B5"/>
    <w:rsid w:val="00076F70"/>
    <w:rsid w:val="0007711C"/>
    <w:rsid w:val="000774A3"/>
    <w:rsid w:val="0007752A"/>
    <w:rsid w:val="000775BE"/>
    <w:rsid w:val="0007760C"/>
    <w:rsid w:val="00077920"/>
    <w:rsid w:val="000803A5"/>
    <w:rsid w:val="0008073F"/>
    <w:rsid w:val="000807B1"/>
    <w:rsid w:val="00080ADE"/>
    <w:rsid w:val="00080B32"/>
    <w:rsid w:val="000810D8"/>
    <w:rsid w:val="00081336"/>
    <w:rsid w:val="000813F2"/>
    <w:rsid w:val="00081E28"/>
    <w:rsid w:val="00082426"/>
    <w:rsid w:val="000825F2"/>
    <w:rsid w:val="00082602"/>
    <w:rsid w:val="00082CC3"/>
    <w:rsid w:val="00083494"/>
    <w:rsid w:val="00083542"/>
    <w:rsid w:val="000837B0"/>
    <w:rsid w:val="0008393D"/>
    <w:rsid w:val="00083B1C"/>
    <w:rsid w:val="00083BA4"/>
    <w:rsid w:val="00083C29"/>
    <w:rsid w:val="00084863"/>
    <w:rsid w:val="00084E50"/>
    <w:rsid w:val="0008513F"/>
    <w:rsid w:val="000857D9"/>
    <w:rsid w:val="0008580D"/>
    <w:rsid w:val="00085A0A"/>
    <w:rsid w:val="00085BF0"/>
    <w:rsid w:val="00085F57"/>
    <w:rsid w:val="000862A0"/>
    <w:rsid w:val="00086476"/>
    <w:rsid w:val="0008649F"/>
    <w:rsid w:val="0008709C"/>
    <w:rsid w:val="0008736F"/>
    <w:rsid w:val="000877C0"/>
    <w:rsid w:val="0008792A"/>
    <w:rsid w:val="00087AAF"/>
    <w:rsid w:val="00090282"/>
    <w:rsid w:val="00090848"/>
    <w:rsid w:val="0009091F"/>
    <w:rsid w:val="00090EB0"/>
    <w:rsid w:val="00090F4E"/>
    <w:rsid w:val="00091A28"/>
    <w:rsid w:val="00092051"/>
    <w:rsid w:val="000920F1"/>
    <w:rsid w:val="00092607"/>
    <w:rsid w:val="000928A3"/>
    <w:rsid w:val="0009298A"/>
    <w:rsid w:val="00092DAB"/>
    <w:rsid w:val="00093229"/>
    <w:rsid w:val="00093285"/>
    <w:rsid w:val="000932E7"/>
    <w:rsid w:val="000934E2"/>
    <w:rsid w:val="00093504"/>
    <w:rsid w:val="000945A0"/>
    <w:rsid w:val="00094D64"/>
    <w:rsid w:val="0009557E"/>
    <w:rsid w:val="000955D5"/>
    <w:rsid w:val="000958B2"/>
    <w:rsid w:val="00095902"/>
    <w:rsid w:val="00095940"/>
    <w:rsid w:val="0009595C"/>
    <w:rsid w:val="000968C1"/>
    <w:rsid w:val="00096DBA"/>
    <w:rsid w:val="0009767B"/>
    <w:rsid w:val="00097EED"/>
    <w:rsid w:val="000A077E"/>
    <w:rsid w:val="000A07A3"/>
    <w:rsid w:val="000A0831"/>
    <w:rsid w:val="000A091F"/>
    <w:rsid w:val="000A0BE5"/>
    <w:rsid w:val="000A0F7B"/>
    <w:rsid w:val="000A16B7"/>
    <w:rsid w:val="000A1ADD"/>
    <w:rsid w:val="000A1ADE"/>
    <w:rsid w:val="000A1E7A"/>
    <w:rsid w:val="000A21B8"/>
    <w:rsid w:val="000A250C"/>
    <w:rsid w:val="000A2AB3"/>
    <w:rsid w:val="000A2DD1"/>
    <w:rsid w:val="000A2FF7"/>
    <w:rsid w:val="000A2FFA"/>
    <w:rsid w:val="000A322F"/>
    <w:rsid w:val="000A37AE"/>
    <w:rsid w:val="000A3AEB"/>
    <w:rsid w:val="000A3F1C"/>
    <w:rsid w:val="000A40AE"/>
    <w:rsid w:val="000A4131"/>
    <w:rsid w:val="000A4686"/>
    <w:rsid w:val="000A49BC"/>
    <w:rsid w:val="000A49DE"/>
    <w:rsid w:val="000A4DFC"/>
    <w:rsid w:val="000A5306"/>
    <w:rsid w:val="000A57BC"/>
    <w:rsid w:val="000A5A96"/>
    <w:rsid w:val="000A5E26"/>
    <w:rsid w:val="000A605C"/>
    <w:rsid w:val="000A6A15"/>
    <w:rsid w:val="000A6A61"/>
    <w:rsid w:val="000A702A"/>
    <w:rsid w:val="000A7320"/>
    <w:rsid w:val="000A75A9"/>
    <w:rsid w:val="000A7C6F"/>
    <w:rsid w:val="000B010A"/>
    <w:rsid w:val="000B01AE"/>
    <w:rsid w:val="000B020C"/>
    <w:rsid w:val="000B03F3"/>
    <w:rsid w:val="000B0A8B"/>
    <w:rsid w:val="000B0D83"/>
    <w:rsid w:val="000B10EB"/>
    <w:rsid w:val="000B1101"/>
    <w:rsid w:val="000B1210"/>
    <w:rsid w:val="000B129F"/>
    <w:rsid w:val="000B1354"/>
    <w:rsid w:val="000B16CA"/>
    <w:rsid w:val="000B1762"/>
    <w:rsid w:val="000B1C2B"/>
    <w:rsid w:val="000B1C59"/>
    <w:rsid w:val="000B1FA4"/>
    <w:rsid w:val="000B24BB"/>
    <w:rsid w:val="000B26EE"/>
    <w:rsid w:val="000B2E44"/>
    <w:rsid w:val="000B30D9"/>
    <w:rsid w:val="000B3D01"/>
    <w:rsid w:val="000B3E3B"/>
    <w:rsid w:val="000B4279"/>
    <w:rsid w:val="000B4CB9"/>
    <w:rsid w:val="000B4FB3"/>
    <w:rsid w:val="000B5395"/>
    <w:rsid w:val="000B56F4"/>
    <w:rsid w:val="000B59AC"/>
    <w:rsid w:val="000B5EDC"/>
    <w:rsid w:val="000B639D"/>
    <w:rsid w:val="000B67D3"/>
    <w:rsid w:val="000B695D"/>
    <w:rsid w:val="000B6AB0"/>
    <w:rsid w:val="000B6DFC"/>
    <w:rsid w:val="000B6F61"/>
    <w:rsid w:val="000B6F99"/>
    <w:rsid w:val="000B7231"/>
    <w:rsid w:val="000B7777"/>
    <w:rsid w:val="000B7883"/>
    <w:rsid w:val="000B79B4"/>
    <w:rsid w:val="000C00BD"/>
    <w:rsid w:val="000C044C"/>
    <w:rsid w:val="000C052C"/>
    <w:rsid w:val="000C0725"/>
    <w:rsid w:val="000C0994"/>
    <w:rsid w:val="000C0D41"/>
    <w:rsid w:val="000C1216"/>
    <w:rsid w:val="000C1258"/>
    <w:rsid w:val="000C130B"/>
    <w:rsid w:val="000C1463"/>
    <w:rsid w:val="000C1BBC"/>
    <w:rsid w:val="000C1DE7"/>
    <w:rsid w:val="000C1EF5"/>
    <w:rsid w:val="000C239A"/>
    <w:rsid w:val="000C275B"/>
    <w:rsid w:val="000C2804"/>
    <w:rsid w:val="000C3178"/>
    <w:rsid w:val="000C3318"/>
    <w:rsid w:val="000C3931"/>
    <w:rsid w:val="000C3C12"/>
    <w:rsid w:val="000C3DF7"/>
    <w:rsid w:val="000C41BB"/>
    <w:rsid w:val="000C4489"/>
    <w:rsid w:val="000C48F5"/>
    <w:rsid w:val="000C4A16"/>
    <w:rsid w:val="000C4C02"/>
    <w:rsid w:val="000C4D3D"/>
    <w:rsid w:val="000C5461"/>
    <w:rsid w:val="000C56EA"/>
    <w:rsid w:val="000C5A6B"/>
    <w:rsid w:val="000C6096"/>
    <w:rsid w:val="000C62EF"/>
    <w:rsid w:val="000C67FB"/>
    <w:rsid w:val="000C6A00"/>
    <w:rsid w:val="000C6E31"/>
    <w:rsid w:val="000C6E61"/>
    <w:rsid w:val="000C6F2B"/>
    <w:rsid w:val="000C6F4A"/>
    <w:rsid w:val="000C736A"/>
    <w:rsid w:val="000C7637"/>
    <w:rsid w:val="000C7D76"/>
    <w:rsid w:val="000D0A00"/>
    <w:rsid w:val="000D0D8B"/>
    <w:rsid w:val="000D0E20"/>
    <w:rsid w:val="000D16DA"/>
    <w:rsid w:val="000D17D1"/>
    <w:rsid w:val="000D17E5"/>
    <w:rsid w:val="000D1CB5"/>
    <w:rsid w:val="000D1EE8"/>
    <w:rsid w:val="000D1FD7"/>
    <w:rsid w:val="000D223A"/>
    <w:rsid w:val="000D23E7"/>
    <w:rsid w:val="000D26DA"/>
    <w:rsid w:val="000D27FB"/>
    <w:rsid w:val="000D2BE2"/>
    <w:rsid w:val="000D2E46"/>
    <w:rsid w:val="000D333C"/>
    <w:rsid w:val="000D35CF"/>
    <w:rsid w:val="000D3781"/>
    <w:rsid w:val="000D37F3"/>
    <w:rsid w:val="000D3DD1"/>
    <w:rsid w:val="000D4254"/>
    <w:rsid w:val="000D458E"/>
    <w:rsid w:val="000D461A"/>
    <w:rsid w:val="000D4813"/>
    <w:rsid w:val="000D49C2"/>
    <w:rsid w:val="000D4AD3"/>
    <w:rsid w:val="000D4DA8"/>
    <w:rsid w:val="000D519B"/>
    <w:rsid w:val="000D54C4"/>
    <w:rsid w:val="000D595C"/>
    <w:rsid w:val="000D5C7D"/>
    <w:rsid w:val="000D5E5B"/>
    <w:rsid w:val="000D6032"/>
    <w:rsid w:val="000D6041"/>
    <w:rsid w:val="000D6092"/>
    <w:rsid w:val="000D61C1"/>
    <w:rsid w:val="000D624E"/>
    <w:rsid w:val="000D6AB6"/>
    <w:rsid w:val="000D6D9C"/>
    <w:rsid w:val="000D77C5"/>
    <w:rsid w:val="000D77D3"/>
    <w:rsid w:val="000D7D3A"/>
    <w:rsid w:val="000D7DB1"/>
    <w:rsid w:val="000D7E8C"/>
    <w:rsid w:val="000E0475"/>
    <w:rsid w:val="000E1083"/>
    <w:rsid w:val="000E11EB"/>
    <w:rsid w:val="000E15B9"/>
    <w:rsid w:val="000E236A"/>
    <w:rsid w:val="000E250E"/>
    <w:rsid w:val="000E2861"/>
    <w:rsid w:val="000E2A0B"/>
    <w:rsid w:val="000E3004"/>
    <w:rsid w:val="000E3221"/>
    <w:rsid w:val="000E35A4"/>
    <w:rsid w:val="000E385D"/>
    <w:rsid w:val="000E38F1"/>
    <w:rsid w:val="000E3CB3"/>
    <w:rsid w:val="000E3EFD"/>
    <w:rsid w:val="000E421A"/>
    <w:rsid w:val="000E48FF"/>
    <w:rsid w:val="000E4B51"/>
    <w:rsid w:val="000E4F5A"/>
    <w:rsid w:val="000E53C7"/>
    <w:rsid w:val="000E571A"/>
    <w:rsid w:val="000E5897"/>
    <w:rsid w:val="000E593C"/>
    <w:rsid w:val="000E5A22"/>
    <w:rsid w:val="000E5B3D"/>
    <w:rsid w:val="000E5D0B"/>
    <w:rsid w:val="000E5ECE"/>
    <w:rsid w:val="000E60CC"/>
    <w:rsid w:val="000E61B4"/>
    <w:rsid w:val="000E61C3"/>
    <w:rsid w:val="000E61D5"/>
    <w:rsid w:val="000E6545"/>
    <w:rsid w:val="000E6763"/>
    <w:rsid w:val="000E6C91"/>
    <w:rsid w:val="000E766D"/>
    <w:rsid w:val="000E7C43"/>
    <w:rsid w:val="000E7C46"/>
    <w:rsid w:val="000E7DE6"/>
    <w:rsid w:val="000E7E13"/>
    <w:rsid w:val="000F03D7"/>
    <w:rsid w:val="000F0443"/>
    <w:rsid w:val="000F06E8"/>
    <w:rsid w:val="000F0C86"/>
    <w:rsid w:val="000F100C"/>
    <w:rsid w:val="000F17A5"/>
    <w:rsid w:val="000F17B5"/>
    <w:rsid w:val="000F1A21"/>
    <w:rsid w:val="000F22AB"/>
    <w:rsid w:val="000F2888"/>
    <w:rsid w:val="000F28E0"/>
    <w:rsid w:val="000F2A6E"/>
    <w:rsid w:val="000F2D02"/>
    <w:rsid w:val="000F3209"/>
    <w:rsid w:val="000F330C"/>
    <w:rsid w:val="000F360A"/>
    <w:rsid w:val="000F3A42"/>
    <w:rsid w:val="000F3D26"/>
    <w:rsid w:val="000F42B1"/>
    <w:rsid w:val="000F434F"/>
    <w:rsid w:val="000F4749"/>
    <w:rsid w:val="000F4A04"/>
    <w:rsid w:val="000F4BFA"/>
    <w:rsid w:val="000F4C5A"/>
    <w:rsid w:val="000F57C9"/>
    <w:rsid w:val="000F5919"/>
    <w:rsid w:val="000F61C3"/>
    <w:rsid w:val="000F6206"/>
    <w:rsid w:val="000F63AE"/>
    <w:rsid w:val="000F6AD1"/>
    <w:rsid w:val="000F6D82"/>
    <w:rsid w:val="000F6F2F"/>
    <w:rsid w:val="000F7738"/>
    <w:rsid w:val="000F793A"/>
    <w:rsid w:val="000F796D"/>
    <w:rsid w:val="000F7B30"/>
    <w:rsid w:val="000F7BF8"/>
    <w:rsid w:val="000F7C34"/>
    <w:rsid w:val="000F7FF5"/>
    <w:rsid w:val="001003C9"/>
    <w:rsid w:val="00100472"/>
    <w:rsid w:val="00100643"/>
    <w:rsid w:val="001009EA"/>
    <w:rsid w:val="00100B67"/>
    <w:rsid w:val="00100E2E"/>
    <w:rsid w:val="0010194F"/>
    <w:rsid w:val="00101C3D"/>
    <w:rsid w:val="00102A12"/>
    <w:rsid w:val="00102C38"/>
    <w:rsid w:val="00102EB7"/>
    <w:rsid w:val="00103219"/>
    <w:rsid w:val="0010363E"/>
    <w:rsid w:val="001037B2"/>
    <w:rsid w:val="00103BBE"/>
    <w:rsid w:val="00104543"/>
    <w:rsid w:val="00104712"/>
    <w:rsid w:val="00104737"/>
    <w:rsid w:val="00104962"/>
    <w:rsid w:val="00104A0B"/>
    <w:rsid w:val="00104C08"/>
    <w:rsid w:val="00104E1E"/>
    <w:rsid w:val="00105089"/>
    <w:rsid w:val="0010554B"/>
    <w:rsid w:val="00105A69"/>
    <w:rsid w:val="00105B59"/>
    <w:rsid w:val="00105C6A"/>
    <w:rsid w:val="001061C7"/>
    <w:rsid w:val="001062A9"/>
    <w:rsid w:val="001066BC"/>
    <w:rsid w:val="00106C0A"/>
    <w:rsid w:val="00106CC2"/>
    <w:rsid w:val="00106EE3"/>
    <w:rsid w:val="00106FCB"/>
    <w:rsid w:val="001071A5"/>
    <w:rsid w:val="001073F8"/>
    <w:rsid w:val="00107BC7"/>
    <w:rsid w:val="0011033F"/>
    <w:rsid w:val="00110512"/>
    <w:rsid w:val="001108D6"/>
    <w:rsid w:val="00110904"/>
    <w:rsid w:val="00110912"/>
    <w:rsid w:val="00110B4A"/>
    <w:rsid w:val="00110E9D"/>
    <w:rsid w:val="0011119C"/>
    <w:rsid w:val="00111432"/>
    <w:rsid w:val="00111623"/>
    <w:rsid w:val="00111795"/>
    <w:rsid w:val="0011189B"/>
    <w:rsid w:val="00112ECF"/>
    <w:rsid w:val="00112F19"/>
    <w:rsid w:val="00113383"/>
    <w:rsid w:val="00113959"/>
    <w:rsid w:val="00113D99"/>
    <w:rsid w:val="00113FC0"/>
    <w:rsid w:val="0011487F"/>
    <w:rsid w:val="00114B59"/>
    <w:rsid w:val="0011528B"/>
    <w:rsid w:val="001152D0"/>
    <w:rsid w:val="00115982"/>
    <w:rsid w:val="00115ACC"/>
    <w:rsid w:val="00115B92"/>
    <w:rsid w:val="00115D13"/>
    <w:rsid w:val="00116232"/>
    <w:rsid w:val="00116505"/>
    <w:rsid w:val="00116678"/>
    <w:rsid w:val="00116929"/>
    <w:rsid w:val="001169E4"/>
    <w:rsid w:val="00116AB2"/>
    <w:rsid w:val="00116E79"/>
    <w:rsid w:val="001172A1"/>
    <w:rsid w:val="00117B0D"/>
    <w:rsid w:val="00117F6C"/>
    <w:rsid w:val="00120B90"/>
    <w:rsid w:val="00121701"/>
    <w:rsid w:val="00121BAA"/>
    <w:rsid w:val="00121E8D"/>
    <w:rsid w:val="0012224C"/>
    <w:rsid w:val="00122525"/>
    <w:rsid w:val="001225A8"/>
    <w:rsid w:val="0012326F"/>
    <w:rsid w:val="001234C2"/>
    <w:rsid w:val="001234D8"/>
    <w:rsid w:val="001236F4"/>
    <w:rsid w:val="00123DC9"/>
    <w:rsid w:val="00123EAC"/>
    <w:rsid w:val="00124174"/>
    <w:rsid w:val="00124205"/>
    <w:rsid w:val="001246FF"/>
    <w:rsid w:val="001248B7"/>
    <w:rsid w:val="0012515B"/>
    <w:rsid w:val="00125260"/>
    <w:rsid w:val="001253CF"/>
    <w:rsid w:val="00125F26"/>
    <w:rsid w:val="00125F55"/>
    <w:rsid w:val="001260B6"/>
    <w:rsid w:val="001260F0"/>
    <w:rsid w:val="00126121"/>
    <w:rsid w:val="00126644"/>
    <w:rsid w:val="001266AB"/>
    <w:rsid w:val="0012679B"/>
    <w:rsid w:val="001268EE"/>
    <w:rsid w:val="00126AAD"/>
    <w:rsid w:val="00126B48"/>
    <w:rsid w:val="001276AD"/>
    <w:rsid w:val="00127A48"/>
    <w:rsid w:val="00127B0F"/>
    <w:rsid w:val="00127E00"/>
    <w:rsid w:val="00130030"/>
    <w:rsid w:val="001300D0"/>
    <w:rsid w:val="00130205"/>
    <w:rsid w:val="001304BC"/>
    <w:rsid w:val="00130B91"/>
    <w:rsid w:val="00130E05"/>
    <w:rsid w:val="00130E2D"/>
    <w:rsid w:val="0013153A"/>
    <w:rsid w:val="001319D0"/>
    <w:rsid w:val="00131C6F"/>
    <w:rsid w:val="00131CAA"/>
    <w:rsid w:val="00131FAC"/>
    <w:rsid w:val="00132284"/>
    <w:rsid w:val="001327AB"/>
    <w:rsid w:val="001340A1"/>
    <w:rsid w:val="00134235"/>
    <w:rsid w:val="0013464D"/>
    <w:rsid w:val="00134A1E"/>
    <w:rsid w:val="00134AAF"/>
    <w:rsid w:val="00134EF5"/>
    <w:rsid w:val="00134F2C"/>
    <w:rsid w:val="00135474"/>
    <w:rsid w:val="00135C75"/>
    <w:rsid w:val="00135D37"/>
    <w:rsid w:val="0013656A"/>
    <w:rsid w:val="001367BF"/>
    <w:rsid w:val="00136D82"/>
    <w:rsid w:val="00137219"/>
    <w:rsid w:val="001377D4"/>
    <w:rsid w:val="00137B45"/>
    <w:rsid w:val="00137B70"/>
    <w:rsid w:val="00137C0F"/>
    <w:rsid w:val="00140875"/>
    <w:rsid w:val="00140BE7"/>
    <w:rsid w:val="00140E4C"/>
    <w:rsid w:val="00140FF1"/>
    <w:rsid w:val="00141120"/>
    <w:rsid w:val="0014115F"/>
    <w:rsid w:val="00141921"/>
    <w:rsid w:val="00141E4D"/>
    <w:rsid w:val="00141E7D"/>
    <w:rsid w:val="0014234D"/>
    <w:rsid w:val="0014257F"/>
    <w:rsid w:val="00142AEA"/>
    <w:rsid w:val="00142DAD"/>
    <w:rsid w:val="00142EE6"/>
    <w:rsid w:val="00142F4B"/>
    <w:rsid w:val="00143044"/>
    <w:rsid w:val="001431F5"/>
    <w:rsid w:val="00143312"/>
    <w:rsid w:val="00143476"/>
    <w:rsid w:val="0014380B"/>
    <w:rsid w:val="0014384C"/>
    <w:rsid w:val="00143DAB"/>
    <w:rsid w:val="00144345"/>
    <w:rsid w:val="00144393"/>
    <w:rsid w:val="001446BD"/>
    <w:rsid w:val="0014472A"/>
    <w:rsid w:val="00144B3C"/>
    <w:rsid w:val="00145B82"/>
    <w:rsid w:val="00145BD9"/>
    <w:rsid w:val="00145CA8"/>
    <w:rsid w:val="00145F4F"/>
    <w:rsid w:val="001461AC"/>
    <w:rsid w:val="001463EA"/>
    <w:rsid w:val="00146BC4"/>
    <w:rsid w:val="00147448"/>
    <w:rsid w:val="00147661"/>
    <w:rsid w:val="00147AC2"/>
    <w:rsid w:val="00147AE2"/>
    <w:rsid w:val="00147EF6"/>
    <w:rsid w:val="00147FB1"/>
    <w:rsid w:val="00150426"/>
    <w:rsid w:val="00150461"/>
    <w:rsid w:val="00151228"/>
    <w:rsid w:val="0015145D"/>
    <w:rsid w:val="0015156F"/>
    <w:rsid w:val="001515F7"/>
    <w:rsid w:val="0015182C"/>
    <w:rsid w:val="00151ED3"/>
    <w:rsid w:val="0015215C"/>
    <w:rsid w:val="00152DC9"/>
    <w:rsid w:val="00152E27"/>
    <w:rsid w:val="00152EA2"/>
    <w:rsid w:val="00153303"/>
    <w:rsid w:val="00153A86"/>
    <w:rsid w:val="00154427"/>
    <w:rsid w:val="00154494"/>
    <w:rsid w:val="00155339"/>
    <w:rsid w:val="0015533B"/>
    <w:rsid w:val="0015552C"/>
    <w:rsid w:val="00155564"/>
    <w:rsid w:val="00155872"/>
    <w:rsid w:val="00155AEB"/>
    <w:rsid w:val="00155BAC"/>
    <w:rsid w:val="00155E92"/>
    <w:rsid w:val="00156757"/>
    <w:rsid w:val="00156CFC"/>
    <w:rsid w:val="00156D94"/>
    <w:rsid w:val="0015705F"/>
    <w:rsid w:val="00157822"/>
    <w:rsid w:val="00157847"/>
    <w:rsid w:val="0015789F"/>
    <w:rsid w:val="0015790F"/>
    <w:rsid w:val="00157B37"/>
    <w:rsid w:val="00157E75"/>
    <w:rsid w:val="00160406"/>
    <w:rsid w:val="0016063B"/>
    <w:rsid w:val="00160D15"/>
    <w:rsid w:val="00160EA9"/>
    <w:rsid w:val="0016149D"/>
    <w:rsid w:val="001615AB"/>
    <w:rsid w:val="00161DCC"/>
    <w:rsid w:val="001629B6"/>
    <w:rsid w:val="00162C3A"/>
    <w:rsid w:val="00162E20"/>
    <w:rsid w:val="00162F20"/>
    <w:rsid w:val="00163467"/>
    <w:rsid w:val="001639D4"/>
    <w:rsid w:val="001651F1"/>
    <w:rsid w:val="00165504"/>
    <w:rsid w:val="001657C3"/>
    <w:rsid w:val="001657D5"/>
    <w:rsid w:val="00165950"/>
    <w:rsid w:val="00165D39"/>
    <w:rsid w:val="00165F77"/>
    <w:rsid w:val="0016609D"/>
    <w:rsid w:val="001660C8"/>
    <w:rsid w:val="001661B6"/>
    <w:rsid w:val="001662BE"/>
    <w:rsid w:val="00166385"/>
    <w:rsid w:val="00166495"/>
    <w:rsid w:val="001664E3"/>
    <w:rsid w:val="00166568"/>
    <w:rsid w:val="001665D3"/>
    <w:rsid w:val="0016671F"/>
    <w:rsid w:val="00166765"/>
    <w:rsid w:val="00166B05"/>
    <w:rsid w:val="00166D05"/>
    <w:rsid w:val="001673FA"/>
    <w:rsid w:val="00167761"/>
    <w:rsid w:val="001677B3"/>
    <w:rsid w:val="001679A1"/>
    <w:rsid w:val="00167B49"/>
    <w:rsid w:val="00167F76"/>
    <w:rsid w:val="00170370"/>
    <w:rsid w:val="00170540"/>
    <w:rsid w:val="001708E0"/>
    <w:rsid w:val="00170D0C"/>
    <w:rsid w:val="00171263"/>
    <w:rsid w:val="001713B2"/>
    <w:rsid w:val="001716AA"/>
    <w:rsid w:val="00171E57"/>
    <w:rsid w:val="001722A8"/>
    <w:rsid w:val="00172785"/>
    <w:rsid w:val="001729B4"/>
    <w:rsid w:val="00172A27"/>
    <w:rsid w:val="00172BE7"/>
    <w:rsid w:val="00172FF6"/>
    <w:rsid w:val="00173049"/>
    <w:rsid w:val="00173738"/>
    <w:rsid w:val="00173E64"/>
    <w:rsid w:val="001747F5"/>
    <w:rsid w:val="00174CA0"/>
    <w:rsid w:val="00174DB0"/>
    <w:rsid w:val="0017513D"/>
    <w:rsid w:val="00175956"/>
    <w:rsid w:val="00175D3A"/>
    <w:rsid w:val="00176555"/>
    <w:rsid w:val="00176906"/>
    <w:rsid w:val="00176C9C"/>
    <w:rsid w:val="00176F36"/>
    <w:rsid w:val="00177419"/>
    <w:rsid w:val="001776B2"/>
    <w:rsid w:val="001778EA"/>
    <w:rsid w:val="00177A47"/>
    <w:rsid w:val="001806D0"/>
    <w:rsid w:val="00180762"/>
    <w:rsid w:val="0018076B"/>
    <w:rsid w:val="00180D58"/>
    <w:rsid w:val="001813A4"/>
    <w:rsid w:val="001813E6"/>
    <w:rsid w:val="00181476"/>
    <w:rsid w:val="001816FA"/>
    <w:rsid w:val="00181898"/>
    <w:rsid w:val="00181CBD"/>
    <w:rsid w:val="00182250"/>
    <w:rsid w:val="001822E6"/>
    <w:rsid w:val="001825A1"/>
    <w:rsid w:val="00182666"/>
    <w:rsid w:val="001826AA"/>
    <w:rsid w:val="001830C3"/>
    <w:rsid w:val="0018360E"/>
    <w:rsid w:val="0018386C"/>
    <w:rsid w:val="001839EE"/>
    <w:rsid w:val="00183F42"/>
    <w:rsid w:val="00184192"/>
    <w:rsid w:val="00184CA4"/>
    <w:rsid w:val="0018577B"/>
    <w:rsid w:val="00185784"/>
    <w:rsid w:val="001857E5"/>
    <w:rsid w:val="00185972"/>
    <w:rsid w:val="00185AD2"/>
    <w:rsid w:val="00185D8B"/>
    <w:rsid w:val="0018608C"/>
    <w:rsid w:val="00186A8D"/>
    <w:rsid w:val="00186D3F"/>
    <w:rsid w:val="00187225"/>
    <w:rsid w:val="00187393"/>
    <w:rsid w:val="00187C1B"/>
    <w:rsid w:val="00190214"/>
    <w:rsid w:val="001907AB"/>
    <w:rsid w:val="00190B19"/>
    <w:rsid w:val="00190EBF"/>
    <w:rsid w:val="00190EF6"/>
    <w:rsid w:val="001914C0"/>
    <w:rsid w:val="00191CC0"/>
    <w:rsid w:val="00191EA5"/>
    <w:rsid w:val="00192689"/>
    <w:rsid w:val="00193251"/>
    <w:rsid w:val="00193515"/>
    <w:rsid w:val="00193C19"/>
    <w:rsid w:val="00193C4C"/>
    <w:rsid w:val="00193CAA"/>
    <w:rsid w:val="00193DE6"/>
    <w:rsid w:val="00194075"/>
    <w:rsid w:val="001941C8"/>
    <w:rsid w:val="0019422E"/>
    <w:rsid w:val="001943DA"/>
    <w:rsid w:val="001944D3"/>
    <w:rsid w:val="00194577"/>
    <w:rsid w:val="00194BBD"/>
    <w:rsid w:val="0019507A"/>
    <w:rsid w:val="001957CF"/>
    <w:rsid w:val="001958FA"/>
    <w:rsid w:val="00195D3F"/>
    <w:rsid w:val="00195FAC"/>
    <w:rsid w:val="001966C5"/>
    <w:rsid w:val="00196AFE"/>
    <w:rsid w:val="00196C2B"/>
    <w:rsid w:val="00196D30"/>
    <w:rsid w:val="00196D43"/>
    <w:rsid w:val="00196D5A"/>
    <w:rsid w:val="00196F14"/>
    <w:rsid w:val="00197EF4"/>
    <w:rsid w:val="001A0261"/>
    <w:rsid w:val="001A0927"/>
    <w:rsid w:val="001A0B64"/>
    <w:rsid w:val="001A106A"/>
    <w:rsid w:val="001A13FD"/>
    <w:rsid w:val="001A14E1"/>
    <w:rsid w:val="001A1C2C"/>
    <w:rsid w:val="001A1D30"/>
    <w:rsid w:val="001A2226"/>
    <w:rsid w:val="001A242A"/>
    <w:rsid w:val="001A2542"/>
    <w:rsid w:val="001A2A07"/>
    <w:rsid w:val="001A3E00"/>
    <w:rsid w:val="001A4393"/>
    <w:rsid w:val="001A445E"/>
    <w:rsid w:val="001A4558"/>
    <w:rsid w:val="001A4574"/>
    <w:rsid w:val="001A4576"/>
    <w:rsid w:val="001A474F"/>
    <w:rsid w:val="001A4B1C"/>
    <w:rsid w:val="001A4C00"/>
    <w:rsid w:val="001A4D9E"/>
    <w:rsid w:val="001A5055"/>
    <w:rsid w:val="001A51DC"/>
    <w:rsid w:val="001A5337"/>
    <w:rsid w:val="001A58CC"/>
    <w:rsid w:val="001A5CF4"/>
    <w:rsid w:val="001A5D33"/>
    <w:rsid w:val="001A62CC"/>
    <w:rsid w:val="001A664C"/>
    <w:rsid w:val="001A68B8"/>
    <w:rsid w:val="001A6BCB"/>
    <w:rsid w:val="001A701B"/>
    <w:rsid w:val="001A723D"/>
    <w:rsid w:val="001A7574"/>
    <w:rsid w:val="001A763D"/>
    <w:rsid w:val="001A791A"/>
    <w:rsid w:val="001A7DD3"/>
    <w:rsid w:val="001B0541"/>
    <w:rsid w:val="001B07DB"/>
    <w:rsid w:val="001B1202"/>
    <w:rsid w:val="001B15A6"/>
    <w:rsid w:val="001B189E"/>
    <w:rsid w:val="001B19AC"/>
    <w:rsid w:val="001B1E43"/>
    <w:rsid w:val="001B213D"/>
    <w:rsid w:val="001B223A"/>
    <w:rsid w:val="001B22C6"/>
    <w:rsid w:val="001B22D9"/>
    <w:rsid w:val="001B27EB"/>
    <w:rsid w:val="001B2B94"/>
    <w:rsid w:val="001B2C16"/>
    <w:rsid w:val="001B4C1F"/>
    <w:rsid w:val="001B4F58"/>
    <w:rsid w:val="001B53F1"/>
    <w:rsid w:val="001B55AE"/>
    <w:rsid w:val="001B5BB9"/>
    <w:rsid w:val="001B5C51"/>
    <w:rsid w:val="001B5FFC"/>
    <w:rsid w:val="001B6292"/>
    <w:rsid w:val="001B6304"/>
    <w:rsid w:val="001B6422"/>
    <w:rsid w:val="001B6B9B"/>
    <w:rsid w:val="001B6CDB"/>
    <w:rsid w:val="001B6EFB"/>
    <w:rsid w:val="001B6F60"/>
    <w:rsid w:val="001B7739"/>
    <w:rsid w:val="001B7AC4"/>
    <w:rsid w:val="001B7B3E"/>
    <w:rsid w:val="001B7DE9"/>
    <w:rsid w:val="001B7E78"/>
    <w:rsid w:val="001C0275"/>
    <w:rsid w:val="001C0A7C"/>
    <w:rsid w:val="001C0BEB"/>
    <w:rsid w:val="001C1586"/>
    <w:rsid w:val="001C1656"/>
    <w:rsid w:val="001C19F3"/>
    <w:rsid w:val="001C1F93"/>
    <w:rsid w:val="001C2076"/>
    <w:rsid w:val="001C2661"/>
    <w:rsid w:val="001C274B"/>
    <w:rsid w:val="001C2885"/>
    <w:rsid w:val="001C296C"/>
    <w:rsid w:val="001C3566"/>
    <w:rsid w:val="001C37A3"/>
    <w:rsid w:val="001C3A60"/>
    <w:rsid w:val="001C3F1C"/>
    <w:rsid w:val="001C4203"/>
    <w:rsid w:val="001C469D"/>
    <w:rsid w:val="001C4790"/>
    <w:rsid w:val="001C49D6"/>
    <w:rsid w:val="001C4E91"/>
    <w:rsid w:val="001C5010"/>
    <w:rsid w:val="001C5044"/>
    <w:rsid w:val="001C506F"/>
    <w:rsid w:val="001C5126"/>
    <w:rsid w:val="001C53A5"/>
    <w:rsid w:val="001C58E8"/>
    <w:rsid w:val="001C5A83"/>
    <w:rsid w:val="001C5D9F"/>
    <w:rsid w:val="001C616A"/>
    <w:rsid w:val="001C650F"/>
    <w:rsid w:val="001C68C1"/>
    <w:rsid w:val="001C6927"/>
    <w:rsid w:val="001C694F"/>
    <w:rsid w:val="001C6ED4"/>
    <w:rsid w:val="001C7A89"/>
    <w:rsid w:val="001C7C20"/>
    <w:rsid w:val="001C7CD5"/>
    <w:rsid w:val="001C7E3A"/>
    <w:rsid w:val="001D025B"/>
    <w:rsid w:val="001D0382"/>
    <w:rsid w:val="001D05A6"/>
    <w:rsid w:val="001D0B08"/>
    <w:rsid w:val="001D0BA4"/>
    <w:rsid w:val="001D0E8B"/>
    <w:rsid w:val="001D139A"/>
    <w:rsid w:val="001D1409"/>
    <w:rsid w:val="001D1C0B"/>
    <w:rsid w:val="001D20FA"/>
    <w:rsid w:val="001D2798"/>
    <w:rsid w:val="001D27E8"/>
    <w:rsid w:val="001D2A21"/>
    <w:rsid w:val="001D2BE9"/>
    <w:rsid w:val="001D359C"/>
    <w:rsid w:val="001D35DA"/>
    <w:rsid w:val="001D360C"/>
    <w:rsid w:val="001D3817"/>
    <w:rsid w:val="001D3C33"/>
    <w:rsid w:val="001D45E6"/>
    <w:rsid w:val="001D49EA"/>
    <w:rsid w:val="001D4C24"/>
    <w:rsid w:val="001D4C5F"/>
    <w:rsid w:val="001D4D77"/>
    <w:rsid w:val="001D5347"/>
    <w:rsid w:val="001D5A4B"/>
    <w:rsid w:val="001D5D5D"/>
    <w:rsid w:val="001D63FE"/>
    <w:rsid w:val="001D6404"/>
    <w:rsid w:val="001D6823"/>
    <w:rsid w:val="001D6946"/>
    <w:rsid w:val="001D6C4F"/>
    <w:rsid w:val="001D757C"/>
    <w:rsid w:val="001D759F"/>
    <w:rsid w:val="001D780A"/>
    <w:rsid w:val="001D7E43"/>
    <w:rsid w:val="001D7F10"/>
    <w:rsid w:val="001E0484"/>
    <w:rsid w:val="001E051D"/>
    <w:rsid w:val="001E0596"/>
    <w:rsid w:val="001E0DCD"/>
    <w:rsid w:val="001E1200"/>
    <w:rsid w:val="001E137D"/>
    <w:rsid w:val="001E1764"/>
    <w:rsid w:val="001E17D3"/>
    <w:rsid w:val="001E1879"/>
    <w:rsid w:val="001E196E"/>
    <w:rsid w:val="001E1BE5"/>
    <w:rsid w:val="001E1D19"/>
    <w:rsid w:val="001E1D40"/>
    <w:rsid w:val="001E1D83"/>
    <w:rsid w:val="001E2348"/>
    <w:rsid w:val="001E25C7"/>
    <w:rsid w:val="001E2B3A"/>
    <w:rsid w:val="001E2B77"/>
    <w:rsid w:val="001E2BBF"/>
    <w:rsid w:val="001E2DAF"/>
    <w:rsid w:val="001E31E8"/>
    <w:rsid w:val="001E34B8"/>
    <w:rsid w:val="001E3674"/>
    <w:rsid w:val="001E3D2C"/>
    <w:rsid w:val="001E3F21"/>
    <w:rsid w:val="001E4590"/>
    <w:rsid w:val="001E4761"/>
    <w:rsid w:val="001E481D"/>
    <w:rsid w:val="001E488F"/>
    <w:rsid w:val="001E4D57"/>
    <w:rsid w:val="001E5061"/>
    <w:rsid w:val="001E518B"/>
    <w:rsid w:val="001E574E"/>
    <w:rsid w:val="001E5B69"/>
    <w:rsid w:val="001E5FFB"/>
    <w:rsid w:val="001E623D"/>
    <w:rsid w:val="001E7492"/>
    <w:rsid w:val="001E75FF"/>
    <w:rsid w:val="001E7903"/>
    <w:rsid w:val="001F008B"/>
    <w:rsid w:val="001F03B2"/>
    <w:rsid w:val="001F06EE"/>
    <w:rsid w:val="001F0DFF"/>
    <w:rsid w:val="001F1166"/>
    <w:rsid w:val="001F132D"/>
    <w:rsid w:val="001F175D"/>
    <w:rsid w:val="001F1B30"/>
    <w:rsid w:val="001F1D04"/>
    <w:rsid w:val="001F1D3F"/>
    <w:rsid w:val="001F1FC8"/>
    <w:rsid w:val="001F2011"/>
    <w:rsid w:val="001F20D7"/>
    <w:rsid w:val="001F2544"/>
    <w:rsid w:val="001F2899"/>
    <w:rsid w:val="001F296A"/>
    <w:rsid w:val="001F2C36"/>
    <w:rsid w:val="001F2DB9"/>
    <w:rsid w:val="001F3A46"/>
    <w:rsid w:val="001F3A75"/>
    <w:rsid w:val="001F3D05"/>
    <w:rsid w:val="001F3DB3"/>
    <w:rsid w:val="001F3E14"/>
    <w:rsid w:val="001F42E3"/>
    <w:rsid w:val="001F44D3"/>
    <w:rsid w:val="001F49C4"/>
    <w:rsid w:val="001F4B7F"/>
    <w:rsid w:val="001F4BF2"/>
    <w:rsid w:val="001F523C"/>
    <w:rsid w:val="001F549F"/>
    <w:rsid w:val="001F591E"/>
    <w:rsid w:val="001F59AF"/>
    <w:rsid w:val="001F6BFF"/>
    <w:rsid w:val="001F6C34"/>
    <w:rsid w:val="001F6C47"/>
    <w:rsid w:val="001F6EB2"/>
    <w:rsid w:val="001F7004"/>
    <w:rsid w:val="001F758F"/>
    <w:rsid w:val="001F7781"/>
    <w:rsid w:val="001F7D41"/>
    <w:rsid w:val="002004A6"/>
    <w:rsid w:val="00200B64"/>
    <w:rsid w:val="00200C27"/>
    <w:rsid w:val="00200CB0"/>
    <w:rsid w:val="00200D75"/>
    <w:rsid w:val="00200F10"/>
    <w:rsid w:val="002010FF"/>
    <w:rsid w:val="002015C6"/>
    <w:rsid w:val="002017EB"/>
    <w:rsid w:val="00201EF5"/>
    <w:rsid w:val="002020FD"/>
    <w:rsid w:val="002022CA"/>
    <w:rsid w:val="0020278E"/>
    <w:rsid w:val="00202D7D"/>
    <w:rsid w:val="00202E8A"/>
    <w:rsid w:val="00202F48"/>
    <w:rsid w:val="002030BE"/>
    <w:rsid w:val="00203C5D"/>
    <w:rsid w:val="00203FB7"/>
    <w:rsid w:val="00204592"/>
    <w:rsid w:val="0020479E"/>
    <w:rsid w:val="00204A34"/>
    <w:rsid w:val="00204B52"/>
    <w:rsid w:val="00205026"/>
    <w:rsid w:val="002051C9"/>
    <w:rsid w:val="00205422"/>
    <w:rsid w:val="00205548"/>
    <w:rsid w:val="002055AE"/>
    <w:rsid w:val="0020568F"/>
    <w:rsid w:val="0020574F"/>
    <w:rsid w:val="002057E5"/>
    <w:rsid w:val="00206332"/>
    <w:rsid w:val="0020639D"/>
    <w:rsid w:val="00206474"/>
    <w:rsid w:val="00206AC5"/>
    <w:rsid w:val="00206C02"/>
    <w:rsid w:val="00207107"/>
    <w:rsid w:val="002072E6"/>
    <w:rsid w:val="0020741F"/>
    <w:rsid w:val="00207652"/>
    <w:rsid w:val="00207812"/>
    <w:rsid w:val="0020785A"/>
    <w:rsid w:val="00207995"/>
    <w:rsid w:val="002079A7"/>
    <w:rsid w:val="00207A25"/>
    <w:rsid w:val="00207AF2"/>
    <w:rsid w:val="00207B47"/>
    <w:rsid w:val="00207F54"/>
    <w:rsid w:val="0021058C"/>
    <w:rsid w:val="00210804"/>
    <w:rsid w:val="00210971"/>
    <w:rsid w:val="00210DDE"/>
    <w:rsid w:val="002110CB"/>
    <w:rsid w:val="002111F9"/>
    <w:rsid w:val="00211291"/>
    <w:rsid w:val="00211B08"/>
    <w:rsid w:val="00211DF9"/>
    <w:rsid w:val="00211F87"/>
    <w:rsid w:val="002124AC"/>
    <w:rsid w:val="002125AE"/>
    <w:rsid w:val="002127B4"/>
    <w:rsid w:val="0021288C"/>
    <w:rsid w:val="002129FC"/>
    <w:rsid w:val="00212BD5"/>
    <w:rsid w:val="00212DCA"/>
    <w:rsid w:val="00213988"/>
    <w:rsid w:val="00213999"/>
    <w:rsid w:val="00213A9C"/>
    <w:rsid w:val="002143BE"/>
    <w:rsid w:val="00214A49"/>
    <w:rsid w:val="00214AC9"/>
    <w:rsid w:val="00214BB2"/>
    <w:rsid w:val="0021538E"/>
    <w:rsid w:val="00215571"/>
    <w:rsid w:val="002161D7"/>
    <w:rsid w:val="002165F8"/>
    <w:rsid w:val="00216FF8"/>
    <w:rsid w:val="002170E0"/>
    <w:rsid w:val="0021751C"/>
    <w:rsid w:val="002202E5"/>
    <w:rsid w:val="00220F21"/>
    <w:rsid w:val="00221583"/>
    <w:rsid w:val="00221683"/>
    <w:rsid w:val="002217F6"/>
    <w:rsid w:val="00221F4F"/>
    <w:rsid w:val="002221D8"/>
    <w:rsid w:val="002227F6"/>
    <w:rsid w:val="002228CF"/>
    <w:rsid w:val="00222927"/>
    <w:rsid w:val="00223629"/>
    <w:rsid w:val="00223697"/>
    <w:rsid w:val="0022389D"/>
    <w:rsid w:val="00223AE2"/>
    <w:rsid w:val="00223C0B"/>
    <w:rsid w:val="00223C57"/>
    <w:rsid w:val="00223E15"/>
    <w:rsid w:val="00223FB5"/>
    <w:rsid w:val="0022414B"/>
    <w:rsid w:val="00224267"/>
    <w:rsid w:val="0022479B"/>
    <w:rsid w:val="00224915"/>
    <w:rsid w:val="00225346"/>
    <w:rsid w:val="002254DF"/>
    <w:rsid w:val="002259FB"/>
    <w:rsid w:val="00226143"/>
    <w:rsid w:val="0022614E"/>
    <w:rsid w:val="00226479"/>
    <w:rsid w:val="00226514"/>
    <w:rsid w:val="00226699"/>
    <w:rsid w:val="00226868"/>
    <w:rsid w:val="002269E8"/>
    <w:rsid w:val="00226AF1"/>
    <w:rsid w:val="00226B62"/>
    <w:rsid w:val="00226C4B"/>
    <w:rsid w:val="00226F5B"/>
    <w:rsid w:val="00227147"/>
    <w:rsid w:val="0022766F"/>
    <w:rsid w:val="00227952"/>
    <w:rsid w:val="00227A08"/>
    <w:rsid w:val="00227B86"/>
    <w:rsid w:val="00230FDC"/>
    <w:rsid w:val="00231218"/>
    <w:rsid w:val="002313AF"/>
    <w:rsid w:val="00231428"/>
    <w:rsid w:val="00231846"/>
    <w:rsid w:val="00231B2C"/>
    <w:rsid w:val="00231F93"/>
    <w:rsid w:val="00232C79"/>
    <w:rsid w:val="00232DDE"/>
    <w:rsid w:val="00232F7D"/>
    <w:rsid w:val="0023364D"/>
    <w:rsid w:val="0023378E"/>
    <w:rsid w:val="00233A0D"/>
    <w:rsid w:val="00233BD7"/>
    <w:rsid w:val="00233E08"/>
    <w:rsid w:val="00233F7E"/>
    <w:rsid w:val="0023400E"/>
    <w:rsid w:val="00234451"/>
    <w:rsid w:val="002344C0"/>
    <w:rsid w:val="00234587"/>
    <w:rsid w:val="00234727"/>
    <w:rsid w:val="0023480D"/>
    <w:rsid w:val="00234825"/>
    <w:rsid w:val="00234DC9"/>
    <w:rsid w:val="0023508C"/>
    <w:rsid w:val="00235657"/>
    <w:rsid w:val="002356DD"/>
    <w:rsid w:val="002357BA"/>
    <w:rsid w:val="00235850"/>
    <w:rsid w:val="00235BDB"/>
    <w:rsid w:val="002362B3"/>
    <w:rsid w:val="00236BB3"/>
    <w:rsid w:val="00236EBE"/>
    <w:rsid w:val="00236F2F"/>
    <w:rsid w:val="00236FCC"/>
    <w:rsid w:val="00237997"/>
    <w:rsid w:val="00237A81"/>
    <w:rsid w:val="00237F4E"/>
    <w:rsid w:val="002402F5"/>
    <w:rsid w:val="002407A6"/>
    <w:rsid w:val="002407E7"/>
    <w:rsid w:val="00240F26"/>
    <w:rsid w:val="00240F41"/>
    <w:rsid w:val="00240F56"/>
    <w:rsid w:val="002410A3"/>
    <w:rsid w:val="00241597"/>
    <w:rsid w:val="002416C9"/>
    <w:rsid w:val="002421DF"/>
    <w:rsid w:val="0024267C"/>
    <w:rsid w:val="00242862"/>
    <w:rsid w:val="00242A0A"/>
    <w:rsid w:val="00242CAA"/>
    <w:rsid w:val="00242D3B"/>
    <w:rsid w:val="00243420"/>
    <w:rsid w:val="00243DCD"/>
    <w:rsid w:val="00243F5F"/>
    <w:rsid w:val="00244EB0"/>
    <w:rsid w:val="00245314"/>
    <w:rsid w:val="002453D0"/>
    <w:rsid w:val="002454C0"/>
    <w:rsid w:val="0024589F"/>
    <w:rsid w:val="0024594B"/>
    <w:rsid w:val="00245B14"/>
    <w:rsid w:val="00245B38"/>
    <w:rsid w:val="00246B83"/>
    <w:rsid w:val="00246C43"/>
    <w:rsid w:val="00246ED2"/>
    <w:rsid w:val="00247279"/>
    <w:rsid w:val="0024745B"/>
    <w:rsid w:val="00247AA5"/>
    <w:rsid w:val="00250067"/>
    <w:rsid w:val="00250429"/>
    <w:rsid w:val="0025060E"/>
    <w:rsid w:val="0025081C"/>
    <w:rsid w:val="00250862"/>
    <w:rsid w:val="00250A8A"/>
    <w:rsid w:val="00250D53"/>
    <w:rsid w:val="00251390"/>
    <w:rsid w:val="00251971"/>
    <w:rsid w:val="00251A89"/>
    <w:rsid w:val="00251AA9"/>
    <w:rsid w:val="00251F88"/>
    <w:rsid w:val="0025271F"/>
    <w:rsid w:val="00252748"/>
    <w:rsid w:val="0025286A"/>
    <w:rsid w:val="002529A6"/>
    <w:rsid w:val="00252BB0"/>
    <w:rsid w:val="00253281"/>
    <w:rsid w:val="00253736"/>
    <w:rsid w:val="00253BB5"/>
    <w:rsid w:val="00253F35"/>
    <w:rsid w:val="0025404F"/>
    <w:rsid w:val="00254313"/>
    <w:rsid w:val="00254582"/>
    <w:rsid w:val="00254737"/>
    <w:rsid w:val="00254A4B"/>
    <w:rsid w:val="00254D8E"/>
    <w:rsid w:val="00254DB8"/>
    <w:rsid w:val="00255429"/>
    <w:rsid w:val="00255742"/>
    <w:rsid w:val="0025680D"/>
    <w:rsid w:val="0025689D"/>
    <w:rsid w:val="00256A1F"/>
    <w:rsid w:val="00256C1C"/>
    <w:rsid w:val="00256F0C"/>
    <w:rsid w:val="002570A3"/>
    <w:rsid w:val="002576F3"/>
    <w:rsid w:val="002579A9"/>
    <w:rsid w:val="0026065F"/>
    <w:rsid w:val="0026073B"/>
    <w:rsid w:val="00260873"/>
    <w:rsid w:val="002608F8"/>
    <w:rsid w:val="002609A9"/>
    <w:rsid w:val="00260D9F"/>
    <w:rsid w:val="00261516"/>
    <w:rsid w:val="00261813"/>
    <w:rsid w:val="00261976"/>
    <w:rsid w:val="00261F6A"/>
    <w:rsid w:val="00262434"/>
    <w:rsid w:val="00262569"/>
    <w:rsid w:val="00262763"/>
    <w:rsid w:val="002628B9"/>
    <w:rsid w:val="00262928"/>
    <w:rsid w:val="00262A8F"/>
    <w:rsid w:val="00262B30"/>
    <w:rsid w:val="0026361D"/>
    <w:rsid w:val="00263A5C"/>
    <w:rsid w:val="00263AFA"/>
    <w:rsid w:val="0026443F"/>
    <w:rsid w:val="00264526"/>
    <w:rsid w:val="00264BCD"/>
    <w:rsid w:val="00264E50"/>
    <w:rsid w:val="00264F41"/>
    <w:rsid w:val="002651DF"/>
    <w:rsid w:val="00265548"/>
    <w:rsid w:val="00266137"/>
    <w:rsid w:val="002661F2"/>
    <w:rsid w:val="002669B2"/>
    <w:rsid w:val="00266E73"/>
    <w:rsid w:val="00267175"/>
    <w:rsid w:val="00267188"/>
    <w:rsid w:val="002671A2"/>
    <w:rsid w:val="002674CA"/>
    <w:rsid w:val="002675F8"/>
    <w:rsid w:val="002676D9"/>
    <w:rsid w:val="002678BE"/>
    <w:rsid w:val="00267C4C"/>
    <w:rsid w:val="00267E61"/>
    <w:rsid w:val="00270081"/>
    <w:rsid w:val="002703CA"/>
    <w:rsid w:val="00270789"/>
    <w:rsid w:val="00270946"/>
    <w:rsid w:val="00270D72"/>
    <w:rsid w:val="0027112C"/>
    <w:rsid w:val="002716C9"/>
    <w:rsid w:val="00271777"/>
    <w:rsid w:val="00271AC0"/>
    <w:rsid w:val="00271CE2"/>
    <w:rsid w:val="002721AE"/>
    <w:rsid w:val="00272599"/>
    <w:rsid w:val="002725DB"/>
    <w:rsid w:val="00272F91"/>
    <w:rsid w:val="00273394"/>
    <w:rsid w:val="002733F4"/>
    <w:rsid w:val="00273C0D"/>
    <w:rsid w:val="00273F9B"/>
    <w:rsid w:val="0027408C"/>
    <w:rsid w:val="002742AD"/>
    <w:rsid w:val="00274473"/>
    <w:rsid w:val="0027449B"/>
    <w:rsid w:val="00274563"/>
    <w:rsid w:val="00274631"/>
    <w:rsid w:val="002748B2"/>
    <w:rsid w:val="00274B6A"/>
    <w:rsid w:val="00274F8B"/>
    <w:rsid w:val="0027544C"/>
    <w:rsid w:val="002756FB"/>
    <w:rsid w:val="00275CF0"/>
    <w:rsid w:val="00275F2D"/>
    <w:rsid w:val="0027601C"/>
    <w:rsid w:val="00276235"/>
    <w:rsid w:val="00276525"/>
    <w:rsid w:val="0027721D"/>
    <w:rsid w:val="002775C9"/>
    <w:rsid w:val="00277967"/>
    <w:rsid w:val="00277A2A"/>
    <w:rsid w:val="00277A8C"/>
    <w:rsid w:val="00277E73"/>
    <w:rsid w:val="00280140"/>
    <w:rsid w:val="002801F2"/>
    <w:rsid w:val="0028055A"/>
    <w:rsid w:val="0028083F"/>
    <w:rsid w:val="00280D18"/>
    <w:rsid w:val="002812E7"/>
    <w:rsid w:val="00281431"/>
    <w:rsid w:val="00281511"/>
    <w:rsid w:val="00282191"/>
    <w:rsid w:val="00282664"/>
    <w:rsid w:val="002834B5"/>
    <w:rsid w:val="002836F9"/>
    <w:rsid w:val="002839E6"/>
    <w:rsid w:val="00283B50"/>
    <w:rsid w:val="0028403F"/>
    <w:rsid w:val="002840F7"/>
    <w:rsid w:val="00284136"/>
    <w:rsid w:val="002841B0"/>
    <w:rsid w:val="0028437E"/>
    <w:rsid w:val="00284933"/>
    <w:rsid w:val="00284A29"/>
    <w:rsid w:val="00284B34"/>
    <w:rsid w:val="00284B98"/>
    <w:rsid w:val="0028519F"/>
    <w:rsid w:val="00285764"/>
    <w:rsid w:val="002857F9"/>
    <w:rsid w:val="00285B5F"/>
    <w:rsid w:val="00286310"/>
    <w:rsid w:val="0028651E"/>
    <w:rsid w:val="00286915"/>
    <w:rsid w:val="00286994"/>
    <w:rsid w:val="00286A4E"/>
    <w:rsid w:val="00287DC0"/>
    <w:rsid w:val="00287DF5"/>
    <w:rsid w:val="00287E48"/>
    <w:rsid w:val="002900A8"/>
    <w:rsid w:val="002903B5"/>
    <w:rsid w:val="00290971"/>
    <w:rsid w:val="00291110"/>
    <w:rsid w:val="0029124E"/>
    <w:rsid w:val="00291CD0"/>
    <w:rsid w:val="00291D0B"/>
    <w:rsid w:val="00291F01"/>
    <w:rsid w:val="002920A7"/>
    <w:rsid w:val="002922D1"/>
    <w:rsid w:val="0029317B"/>
    <w:rsid w:val="00293244"/>
    <w:rsid w:val="002932A5"/>
    <w:rsid w:val="002932DC"/>
    <w:rsid w:val="0029366F"/>
    <w:rsid w:val="002938F1"/>
    <w:rsid w:val="002941DD"/>
    <w:rsid w:val="002944F9"/>
    <w:rsid w:val="00294CB7"/>
    <w:rsid w:val="00295AA8"/>
    <w:rsid w:val="00295F97"/>
    <w:rsid w:val="00296168"/>
    <w:rsid w:val="00296262"/>
    <w:rsid w:val="00296433"/>
    <w:rsid w:val="00296C80"/>
    <w:rsid w:val="00296CE5"/>
    <w:rsid w:val="00296CF8"/>
    <w:rsid w:val="00296FD2"/>
    <w:rsid w:val="002973A9"/>
    <w:rsid w:val="002973FB"/>
    <w:rsid w:val="00297C78"/>
    <w:rsid w:val="00297D9B"/>
    <w:rsid w:val="00297E17"/>
    <w:rsid w:val="00297FAB"/>
    <w:rsid w:val="002A02DF"/>
    <w:rsid w:val="002A0465"/>
    <w:rsid w:val="002A075C"/>
    <w:rsid w:val="002A13B7"/>
    <w:rsid w:val="002A26F7"/>
    <w:rsid w:val="002A274C"/>
    <w:rsid w:val="002A2A31"/>
    <w:rsid w:val="002A2A6C"/>
    <w:rsid w:val="002A2D54"/>
    <w:rsid w:val="002A2DDD"/>
    <w:rsid w:val="002A30FA"/>
    <w:rsid w:val="002A378A"/>
    <w:rsid w:val="002A3870"/>
    <w:rsid w:val="002A3C80"/>
    <w:rsid w:val="002A3D07"/>
    <w:rsid w:val="002A3E84"/>
    <w:rsid w:val="002A4119"/>
    <w:rsid w:val="002A494D"/>
    <w:rsid w:val="002A4EB3"/>
    <w:rsid w:val="002A5313"/>
    <w:rsid w:val="002A537E"/>
    <w:rsid w:val="002A55BA"/>
    <w:rsid w:val="002A6412"/>
    <w:rsid w:val="002A6F0D"/>
    <w:rsid w:val="002A6FE6"/>
    <w:rsid w:val="002A72B5"/>
    <w:rsid w:val="002A7787"/>
    <w:rsid w:val="002A7BA1"/>
    <w:rsid w:val="002A7F55"/>
    <w:rsid w:val="002A7FE8"/>
    <w:rsid w:val="002B01D5"/>
    <w:rsid w:val="002B0983"/>
    <w:rsid w:val="002B0E3B"/>
    <w:rsid w:val="002B1092"/>
    <w:rsid w:val="002B1153"/>
    <w:rsid w:val="002B125A"/>
    <w:rsid w:val="002B1E2F"/>
    <w:rsid w:val="002B1E77"/>
    <w:rsid w:val="002B1F72"/>
    <w:rsid w:val="002B25C3"/>
    <w:rsid w:val="002B271F"/>
    <w:rsid w:val="002B2CD8"/>
    <w:rsid w:val="002B2F8D"/>
    <w:rsid w:val="002B3094"/>
    <w:rsid w:val="002B32E7"/>
    <w:rsid w:val="002B42EC"/>
    <w:rsid w:val="002B46BE"/>
    <w:rsid w:val="002B46F4"/>
    <w:rsid w:val="002B4E94"/>
    <w:rsid w:val="002B539B"/>
    <w:rsid w:val="002B5A37"/>
    <w:rsid w:val="002B605E"/>
    <w:rsid w:val="002B62E0"/>
    <w:rsid w:val="002B643A"/>
    <w:rsid w:val="002B659C"/>
    <w:rsid w:val="002B687C"/>
    <w:rsid w:val="002B68B5"/>
    <w:rsid w:val="002B6B3A"/>
    <w:rsid w:val="002B6C11"/>
    <w:rsid w:val="002B6DCE"/>
    <w:rsid w:val="002B78DB"/>
    <w:rsid w:val="002B7ACB"/>
    <w:rsid w:val="002B7BE0"/>
    <w:rsid w:val="002C00DA"/>
    <w:rsid w:val="002C0148"/>
    <w:rsid w:val="002C01E7"/>
    <w:rsid w:val="002C0523"/>
    <w:rsid w:val="002C05F1"/>
    <w:rsid w:val="002C0641"/>
    <w:rsid w:val="002C06BC"/>
    <w:rsid w:val="002C06DF"/>
    <w:rsid w:val="002C0A17"/>
    <w:rsid w:val="002C0E1B"/>
    <w:rsid w:val="002C0F5F"/>
    <w:rsid w:val="002C1485"/>
    <w:rsid w:val="002C18E2"/>
    <w:rsid w:val="002C191B"/>
    <w:rsid w:val="002C1CDE"/>
    <w:rsid w:val="002C1CF6"/>
    <w:rsid w:val="002C1E9E"/>
    <w:rsid w:val="002C1FD6"/>
    <w:rsid w:val="002C2609"/>
    <w:rsid w:val="002C2650"/>
    <w:rsid w:val="002C27F8"/>
    <w:rsid w:val="002C2BCF"/>
    <w:rsid w:val="002C3632"/>
    <w:rsid w:val="002C3C24"/>
    <w:rsid w:val="002C3CAF"/>
    <w:rsid w:val="002C402B"/>
    <w:rsid w:val="002C488A"/>
    <w:rsid w:val="002C5025"/>
    <w:rsid w:val="002C5480"/>
    <w:rsid w:val="002C5661"/>
    <w:rsid w:val="002C59A9"/>
    <w:rsid w:val="002C59E7"/>
    <w:rsid w:val="002C62A1"/>
    <w:rsid w:val="002C6505"/>
    <w:rsid w:val="002C6D04"/>
    <w:rsid w:val="002C741A"/>
    <w:rsid w:val="002C79A1"/>
    <w:rsid w:val="002D0081"/>
    <w:rsid w:val="002D011B"/>
    <w:rsid w:val="002D0253"/>
    <w:rsid w:val="002D0421"/>
    <w:rsid w:val="002D070B"/>
    <w:rsid w:val="002D0772"/>
    <w:rsid w:val="002D0A84"/>
    <w:rsid w:val="002D0DFF"/>
    <w:rsid w:val="002D0F24"/>
    <w:rsid w:val="002D1008"/>
    <w:rsid w:val="002D1079"/>
    <w:rsid w:val="002D11C3"/>
    <w:rsid w:val="002D136C"/>
    <w:rsid w:val="002D15EE"/>
    <w:rsid w:val="002D1772"/>
    <w:rsid w:val="002D1F17"/>
    <w:rsid w:val="002D2381"/>
    <w:rsid w:val="002D2450"/>
    <w:rsid w:val="002D264D"/>
    <w:rsid w:val="002D269A"/>
    <w:rsid w:val="002D26D1"/>
    <w:rsid w:val="002D3469"/>
    <w:rsid w:val="002D357C"/>
    <w:rsid w:val="002D35E2"/>
    <w:rsid w:val="002D376B"/>
    <w:rsid w:val="002D3853"/>
    <w:rsid w:val="002D3B85"/>
    <w:rsid w:val="002D3F0A"/>
    <w:rsid w:val="002D43AE"/>
    <w:rsid w:val="002D4842"/>
    <w:rsid w:val="002D487B"/>
    <w:rsid w:val="002D4A00"/>
    <w:rsid w:val="002D4ED8"/>
    <w:rsid w:val="002D4F3A"/>
    <w:rsid w:val="002D521D"/>
    <w:rsid w:val="002D558D"/>
    <w:rsid w:val="002D56AC"/>
    <w:rsid w:val="002D5824"/>
    <w:rsid w:val="002D5938"/>
    <w:rsid w:val="002D5C0E"/>
    <w:rsid w:val="002D63AB"/>
    <w:rsid w:val="002D65F3"/>
    <w:rsid w:val="002D67A6"/>
    <w:rsid w:val="002D6BBC"/>
    <w:rsid w:val="002D6BD4"/>
    <w:rsid w:val="002D70BE"/>
    <w:rsid w:val="002D73EE"/>
    <w:rsid w:val="002D770E"/>
    <w:rsid w:val="002D7A03"/>
    <w:rsid w:val="002D7A29"/>
    <w:rsid w:val="002E00A1"/>
    <w:rsid w:val="002E01C0"/>
    <w:rsid w:val="002E0263"/>
    <w:rsid w:val="002E0867"/>
    <w:rsid w:val="002E0993"/>
    <w:rsid w:val="002E1415"/>
    <w:rsid w:val="002E1429"/>
    <w:rsid w:val="002E16D9"/>
    <w:rsid w:val="002E178E"/>
    <w:rsid w:val="002E1C66"/>
    <w:rsid w:val="002E2006"/>
    <w:rsid w:val="002E224C"/>
    <w:rsid w:val="002E27D2"/>
    <w:rsid w:val="002E294C"/>
    <w:rsid w:val="002E2963"/>
    <w:rsid w:val="002E2F6F"/>
    <w:rsid w:val="002E30D0"/>
    <w:rsid w:val="002E35EA"/>
    <w:rsid w:val="002E3B23"/>
    <w:rsid w:val="002E3B47"/>
    <w:rsid w:val="002E47A8"/>
    <w:rsid w:val="002E492A"/>
    <w:rsid w:val="002E4AD6"/>
    <w:rsid w:val="002E4BD8"/>
    <w:rsid w:val="002E4D7E"/>
    <w:rsid w:val="002E4EB0"/>
    <w:rsid w:val="002E52DE"/>
    <w:rsid w:val="002E54C3"/>
    <w:rsid w:val="002E550C"/>
    <w:rsid w:val="002E5A24"/>
    <w:rsid w:val="002E5D25"/>
    <w:rsid w:val="002E601A"/>
    <w:rsid w:val="002E6C1F"/>
    <w:rsid w:val="002E7160"/>
    <w:rsid w:val="002E7252"/>
    <w:rsid w:val="002E73A6"/>
    <w:rsid w:val="002E74CC"/>
    <w:rsid w:val="002E79A0"/>
    <w:rsid w:val="002E7B09"/>
    <w:rsid w:val="002E7CDC"/>
    <w:rsid w:val="002F0163"/>
    <w:rsid w:val="002F0269"/>
    <w:rsid w:val="002F0A43"/>
    <w:rsid w:val="002F0ADD"/>
    <w:rsid w:val="002F0ADE"/>
    <w:rsid w:val="002F0CAB"/>
    <w:rsid w:val="002F0EE0"/>
    <w:rsid w:val="002F0FA5"/>
    <w:rsid w:val="002F10D2"/>
    <w:rsid w:val="002F1174"/>
    <w:rsid w:val="002F131F"/>
    <w:rsid w:val="002F1A9D"/>
    <w:rsid w:val="002F20DB"/>
    <w:rsid w:val="002F2B4A"/>
    <w:rsid w:val="002F2F65"/>
    <w:rsid w:val="002F334C"/>
    <w:rsid w:val="002F33DB"/>
    <w:rsid w:val="002F3493"/>
    <w:rsid w:val="002F352E"/>
    <w:rsid w:val="002F3D3D"/>
    <w:rsid w:val="002F3FF6"/>
    <w:rsid w:val="002F409F"/>
    <w:rsid w:val="002F43F0"/>
    <w:rsid w:val="002F4FE4"/>
    <w:rsid w:val="002F52D9"/>
    <w:rsid w:val="002F53E4"/>
    <w:rsid w:val="002F5AD3"/>
    <w:rsid w:val="002F5D2A"/>
    <w:rsid w:val="002F5D92"/>
    <w:rsid w:val="002F5F11"/>
    <w:rsid w:val="002F6328"/>
    <w:rsid w:val="002F673D"/>
    <w:rsid w:val="002F6AE1"/>
    <w:rsid w:val="002F6E8E"/>
    <w:rsid w:val="002F6F2E"/>
    <w:rsid w:val="002F72AA"/>
    <w:rsid w:val="002F779C"/>
    <w:rsid w:val="002F78F0"/>
    <w:rsid w:val="002F7B2C"/>
    <w:rsid w:val="00300077"/>
    <w:rsid w:val="00300503"/>
    <w:rsid w:val="00301189"/>
    <w:rsid w:val="0030163C"/>
    <w:rsid w:val="00301693"/>
    <w:rsid w:val="0030177D"/>
    <w:rsid w:val="003020C8"/>
    <w:rsid w:val="00302115"/>
    <w:rsid w:val="00302348"/>
    <w:rsid w:val="003025BE"/>
    <w:rsid w:val="00302A7C"/>
    <w:rsid w:val="00302F7C"/>
    <w:rsid w:val="00303431"/>
    <w:rsid w:val="00303C09"/>
    <w:rsid w:val="00303F1F"/>
    <w:rsid w:val="00303F90"/>
    <w:rsid w:val="00303FA2"/>
    <w:rsid w:val="00304502"/>
    <w:rsid w:val="00304580"/>
    <w:rsid w:val="00304928"/>
    <w:rsid w:val="00304B53"/>
    <w:rsid w:val="00304DE3"/>
    <w:rsid w:val="003051D8"/>
    <w:rsid w:val="003054AF"/>
    <w:rsid w:val="00305577"/>
    <w:rsid w:val="00305B03"/>
    <w:rsid w:val="00305D9D"/>
    <w:rsid w:val="00305DB7"/>
    <w:rsid w:val="00306216"/>
    <w:rsid w:val="0030625A"/>
    <w:rsid w:val="0030688B"/>
    <w:rsid w:val="00306907"/>
    <w:rsid w:val="00306A18"/>
    <w:rsid w:val="00306A1D"/>
    <w:rsid w:val="00306B69"/>
    <w:rsid w:val="0030737E"/>
    <w:rsid w:val="00307A78"/>
    <w:rsid w:val="00307AF0"/>
    <w:rsid w:val="003105AF"/>
    <w:rsid w:val="00310657"/>
    <w:rsid w:val="00310CB3"/>
    <w:rsid w:val="00311754"/>
    <w:rsid w:val="00311867"/>
    <w:rsid w:val="00311FEC"/>
    <w:rsid w:val="003122D8"/>
    <w:rsid w:val="00312439"/>
    <w:rsid w:val="00312800"/>
    <w:rsid w:val="00313274"/>
    <w:rsid w:val="003138F5"/>
    <w:rsid w:val="00313EE4"/>
    <w:rsid w:val="00313FAD"/>
    <w:rsid w:val="003140E2"/>
    <w:rsid w:val="003142D6"/>
    <w:rsid w:val="00314627"/>
    <w:rsid w:val="00314790"/>
    <w:rsid w:val="003147B2"/>
    <w:rsid w:val="0031491E"/>
    <w:rsid w:val="00314C5E"/>
    <w:rsid w:val="00314E45"/>
    <w:rsid w:val="0031570A"/>
    <w:rsid w:val="00315933"/>
    <w:rsid w:val="00315ACF"/>
    <w:rsid w:val="00315CF9"/>
    <w:rsid w:val="00315F80"/>
    <w:rsid w:val="003170CC"/>
    <w:rsid w:val="00317402"/>
    <w:rsid w:val="003177E4"/>
    <w:rsid w:val="0031785C"/>
    <w:rsid w:val="00317A1F"/>
    <w:rsid w:val="00320446"/>
    <w:rsid w:val="0032060F"/>
    <w:rsid w:val="003206B8"/>
    <w:rsid w:val="00320B7C"/>
    <w:rsid w:val="00320F2E"/>
    <w:rsid w:val="0032135E"/>
    <w:rsid w:val="00321384"/>
    <w:rsid w:val="0032158C"/>
    <w:rsid w:val="00321709"/>
    <w:rsid w:val="0032177C"/>
    <w:rsid w:val="00321E17"/>
    <w:rsid w:val="003224B2"/>
    <w:rsid w:val="00322B21"/>
    <w:rsid w:val="00323984"/>
    <w:rsid w:val="00323A43"/>
    <w:rsid w:val="00323B72"/>
    <w:rsid w:val="00323B92"/>
    <w:rsid w:val="00323F3D"/>
    <w:rsid w:val="0032471F"/>
    <w:rsid w:val="00324987"/>
    <w:rsid w:val="00324F61"/>
    <w:rsid w:val="00325211"/>
    <w:rsid w:val="0032562F"/>
    <w:rsid w:val="00325965"/>
    <w:rsid w:val="003260A4"/>
    <w:rsid w:val="003261AD"/>
    <w:rsid w:val="003261CA"/>
    <w:rsid w:val="00326274"/>
    <w:rsid w:val="0032654A"/>
    <w:rsid w:val="00326A49"/>
    <w:rsid w:val="00326FA4"/>
    <w:rsid w:val="00327048"/>
    <w:rsid w:val="003271A3"/>
    <w:rsid w:val="00327944"/>
    <w:rsid w:val="00327A5F"/>
    <w:rsid w:val="00327AF5"/>
    <w:rsid w:val="00327B60"/>
    <w:rsid w:val="00327B90"/>
    <w:rsid w:val="00327CA1"/>
    <w:rsid w:val="00327FDD"/>
    <w:rsid w:val="00330056"/>
    <w:rsid w:val="003301C2"/>
    <w:rsid w:val="003302D0"/>
    <w:rsid w:val="00330386"/>
    <w:rsid w:val="00330828"/>
    <w:rsid w:val="00331056"/>
    <w:rsid w:val="003314CB"/>
    <w:rsid w:val="00331561"/>
    <w:rsid w:val="0033159B"/>
    <w:rsid w:val="00331725"/>
    <w:rsid w:val="00331D78"/>
    <w:rsid w:val="0033254D"/>
    <w:rsid w:val="00332650"/>
    <w:rsid w:val="003326AD"/>
    <w:rsid w:val="00332C61"/>
    <w:rsid w:val="00332C72"/>
    <w:rsid w:val="00332E00"/>
    <w:rsid w:val="00333173"/>
    <w:rsid w:val="0033317B"/>
    <w:rsid w:val="003333D8"/>
    <w:rsid w:val="0033352A"/>
    <w:rsid w:val="003335F0"/>
    <w:rsid w:val="00333728"/>
    <w:rsid w:val="00333810"/>
    <w:rsid w:val="0033381D"/>
    <w:rsid w:val="00334002"/>
    <w:rsid w:val="0033403E"/>
    <w:rsid w:val="0033404F"/>
    <w:rsid w:val="00334183"/>
    <w:rsid w:val="003345F4"/>
    <w:rsid w:val="003346B4"/>
    <w:rsid w:val="00334739"/>
    <w:rsid w:val="00334755"/>
    <w:rsid w:val="00334A8E"/>
    <w:rsid w:val="00334C37"/>
    <w:rsid w:val="00335007"/>
    <w:rsid w:val="00335E76"/>
    <w:rsid w:val="00335EF8"/>
    <w:rsid w:val="00337035"/>
    <w:rsid w:val="003372D3"/>
    <w:rsid w:val="00337523"/>
    <w:rsid w:val="003376E4"/>
    <w:rsid w:val="0033771D"/>
    <w:rsid w:val="003379A4"/>
    <w:rsid w:val="0034007D"/>
    <w:rsid w:val="00340207"/>
    <w:rsid w:val="003404DE"/>
    <w:rsid w:val="00340905"/>
    <w:rsid w:val="003413A6"/>
    <w:rsid w:val="00342156"/>
    <w:rsid w:val="003425DC"/>
    <w:rsid w:val="00342695"/>
    <w:rsid w:val="003429FB"/>
    <w:rsid w:val="00342DFB"/>
    <w:rsid w:val="003433EE"/>
    <w:rsid w:val="003434E8"/>
    <w:rsid w:val="00343686"/>
    <w:rsid w:val="003436A0"/>
    <w:rsid w:val="0034378E"/>
    <w:rsid w:val="00343871"/>
    <w:rsid w:val="00343951"/>
    <w:rsid w:val="003441FC"/>
    <w:rsid w:val="003446E2"/>
    <w:rsid w:val="00344877"/>
    <w:rsid w:val="00344C23"/>
    <w:rsid w:val="00345031"/>
    <w:rsid w:val="003450FF"/>
    <w:rsid w:val="00345439"/>
    <w:rsid w:val="003466EB"/>
    <w:rsid w:val="0034681E"/>
    <w:rsid w:val="00346890"/>
    <w:rsid w:val="003468E5"/>
    <w:rsid w:val="00346A4B"/>
    <w:rsid w:val="00346EE9"/>
    <w:rsid w:val="00346F3C"/>
    <w:rsid w:val="00347514"/>
    <w:rsid w:val="00347B55"/>
    <w:rsid w:val="00347B69"/>
    <w:rsid w:val="00347E1F"/>
    <w:rsid w:val="00350185"/>
    <w:rsid w:val="003507C2"/>
    <w:rsid w:val="003508D6"/>
    <w:rsid w:val="0035110A"/>
    <w:rsid w:val="00351965"/>
    <w:rsid w:val="00351E7D"/>
    <w:rsid w:val="00351EFC"/>
    <w:rsid w:val="0035217E"/>
    <w:rsid w:val="0035288D"/>
    <w:rsid w:val="00352C5D"/>
    <w:rsid w:val="00352E94"/>
    <w:rsid w:val="003530AA"/>
    <w:rsid w:val="003531D8"/>
    <w:rsid w:val="00353808"/>
    <w:rsid w:val="00353EAD"/>
    <w:rsid w:val="003542A9"/>
    <w:rsid w:val="0035442D"/>
    <w:rsid w:val="00354657"/>
    <w:rsid w:val="00354802"/>
    <w:rsid w:val="00354A73"/>
    <w:rsid w:val="0035511A"/>
    <w:rsid w:val="00355226"/>
    <w:rsid w:val="00355531"/>
    <w:rsid w:val="003557E8"/>
    <w:rsid w:val="00355FAA"/>
    <w:rsid w:val="00356352"/>
    <w:rsid w:val="00356F52"/>
    <w:rsid w:val="003571E5"/>
    <w:rsid w:val="00357412"/>
    <w:rsid w:val="00357AFA"/>
    <w:rsid w:val="00360521"/>
    <w:rsid w:val="003608F4"/>
    <w:rsid w:val="00360A96"/>
    <w:rsid w:val="00360CCD"/>
    <w:rsid w:val="00360E2A"/>
    <w:rsid w:val="00360FF2"/>
    <w:rsid w:val="00361253"/>
    <w:rsid w:val="00361352"/>
    <w:rsid w:val="003613A7"/>
    <w:rsid w:val="00361831"/>
    <w:rsid w:val="00361D63"/>
    <w:rsid w:val="00361D67"/>
    <w:rsid w:val="00362175"/>
    <w:rsid w:val="003628EC"/>
    <w:rsid w:val="003629DF"/>
    <w:rsid w:val="00362BB2"/>
    <w:rsid w:val="00362CDF"/>
    <w:rsid w:val="00362D26"/>
    <w:rsid w:val="00362E07"/>
    <w:rsid w:val="00363453"/>
    <w:rsid w:val="003634BE"/>
    <w:rsid w:val="003635BF"/>
    <w:rsid w:val="00363A88"/>
    <w:rsid w:val="00363C53"/>
    <w:rsid w:val="00363E7B"/>
    <w:rsid w:val="003647BF"/>
    <w:rsid w:val="0036480E"/>
    <w:rsid w:val="00365198"/>
    <w:rsid w:val="003651DA"/>
    <w:rsid w:val="0036584D"/>
    <w:rsid w:val="003658D4"/>
    <w:rsid w:val="00365A7B"/>
    <w:rsid w:val="00365BBE"/>
    <w:rsid w:val="00365E4A"/>
    <w:rsid w:val="00365F8E"/>
    <w:rsid w:val="003660F3"/>
    <w:rsid w:val="003661DD"/>
    <w:rsid w:val="00366369"/>
    <w:rsid w:val="00366375"/>
    <w:rsid w:val="00366380"/>
    <w:rsid w:val="00366697"/>
    <w:rsid w:val="00366EC7"/>
    <w:rsid w:val="00366EEF"/>
    <w:rsid w:val="003676F7"/>
    <w:rsid w:val="00367D07"/>
    <w:rsid w:val="00367DD4"/>
    <w:rsid w:val="0037006B"/>
    <w:rsid w:val="00370236"/>
    <w:rsid w:val="003708D4"/>
    <w:rsid w:val="00370C0F"/>
    <w:rsid w:val="00370C35"/>
    <w:rsid w:val="003710F6"/>
    <w:rsid w:val="00371435"/>
    <w:rsid w:val="0037160D"/>
    <w:rsid w:val="00371772"/>
    <w:rsid w:val="00371B4F"/>
    <w:rsid w:val="00371D89"/>
    <w:rsid w:val="00372140"/>
    <w:rsid w:val="003723B4"/>
    <w:rsid w:val="00372848"/>
    <w:rsid w:val="00372925"/>
    <w:rsid w:val="00372B11"/>
    <w:rsid w:val="00372B5D"/>
    <w:rsid w:val="00372C57"/>
    <w:rsid w:val="00372CC2"/>
    <w:rsid w:val="00372D1E"/>
    <w:rsid w:val="00373224"/>
    <w:rsid w:val="003732E9"/>
    <w:rsid w:val="00373A8B"/>
    <w:rsid w:val="00373B1D"/>
    <w:rsid w:val="00373B58"/>
    <w:rsid w:val="003744AC"/>
    <w:rsid w:val="003748A8"/>
    <w:rsid w:val="00374AB0"/>
    <w:rsid w:val="00374D5F"/>
    <w:rsid w:val="003751F3"/>
    <w:rsid w:val="003753F8"/>
    <w:rsid w:val="003757EE"/>
    <w:rsid w:val="00376713"/>
    <w:rsid w:val="0037686B"/>
    <w:rsid w:val="003769A3"/>
    <w:rsid w:val="0037720F"/>
    <w:rsid w:val="00377217"/>
    <w:rsid w:val="00377471"/>
    <w:rsid w:val="003775EA"/>
    <w:rsid w:val="00377862"/>
    <w:rsid w:val="00377AD9"/>
    <w:rsid w:val="00380079"/>
    <w:rsid w:val="003805EB"/>
    <w:rsid w:val="003809E0"/>
    <w:rsid w:val="00380A2B"/>
    <w:rsid w:val="003810E3"/>
    <w:rsid w:val="00381168"/>
    <w:rsid w:val="00381971"/>
    <w:rsid w:val="0038199D"/>
    <w:rsid w:val="00381E53"/>
    <w:rsid w:val="00381EB0"/>
    <w:rsid w:val="00382080"/>
    <w:rsid w:val="00382161"/>
    <w:rsid w:val="00382720"/>
    <w:rsid w:val="00382944"/>
    <w:rsid w:val="00382C3F"/>
    <w:rsid w:val="003836F2"/>
    <w:rsid w:val="00383857"/>
    <w:rsid w:val="00384012"/>
    <w:rsid w:val="003840A0"/>
    <w:rsid w:val="0038421C"/>
    <w:rsid w:val="003846B4"/>
    <w:rsid w:val="0038481C"/>
    <w:rsid w:val="0038496A"/>
    <w:rsid w:val="00384D01"/>
    <w:rsid w:val="00384D94"/>
    <w:rsid w:val="00385283"/>
    <w:rsid w:val="00385A64"/>
    <w:rsid w:val="00385BD1"/>
    <w:rsid w:val="00385D19"/>
    <w:rsid w:val="00385FA1"/>
    <w:rsid w:val="003861BA"/>
    <w:rsid w:val="003862E1"/>
    <w:rsid w:val="00386511"/>
    <w:rsid w:val="0038670A"/>
    <w:rsid w:val="00386972"/>
    <w:rsid w:val="00386C53"/>
    <w:rsid w:val="00386E51"/>
    <w:rsid w:val="00386F94"/>
    <w:rsid w:val="00386FFF"/>
    <w:rsid w:val="0038780B"/>
    <w:rsid w:val="00387B73"/>
    <w:rsid w:val="00387B8B"/>
    <w:rsid w:val="003901D7"/>
    <w:rsid w:val="0039020A"/>
    <w:rsid w:val="0039028B"/>
    <w:rsid w:val="0039075C"/>
    <w:rsid w:val="00390B19"/>
    <w:rsid w:val="00390BE5"/>
    <w:rsid w:val="00391CCA"/>
    <w:rsid w:val="003921EA"/>
    <w:rsid w:val="00392C16"/>
    <w:rsid w:val="00393F69"/>
    <w:rsid w:val="003941A5"/>
    <w:rsid w:val="00394434"/>
    <w:rsid w:val="00394864"/>
    <w:rsid w:val="00394CBE"/>
    <w:rsid w:val="00394D14"/>
    <w:rsid w:val="00394E35"/>
    <w:rsid w:val="00395091"/>
    <w:rsid w:val="0039538A"/>
    <w:rsid w:val="00395517"/>
    <w:rsid w:val="00395691"/>
    <w:rsid w:val="00395C0F"/>
    <w:rsid w:val="00396206"/>
    <w:rsid w:val="00396B86"/>
    <w:rsid w:val="003970D6"/>
    <w:rsid w:val="0039722F"/>
    <w:rsid w:val="00397547"/>
    <w:rsid w:val="003975DE"/>
    <w:rsid w:val="00397877"/>
    <w:rsid w:val="0039794B"/>
    <w:rsid w:val="00397FD1"/>
    <w:rsid w:val="003A040D"/>
    <w:rsid w:val="003A0AB8"/>
    <w:rsid w:val="003A0B7A"/>
    <w:rsid w:val="003A0E5A"/>
    <w:rsid w:val="003A1352"/>
    <w:rsid w:val="003A1557"/>
    <w:rsid w:val="003A1681"/>
    <w:rsid w:val="003A182D"/>
    <w:rsid w:val="003A193E"/>
    <w:rsid w:val="003A1F59"/>
    <w:rsid w:val="003A2922"/>
    <w:rsid w:val="003A2E4C"/>
    <w:rsid w:val="003A2EA1"/>
    <w:rsid w:val="003A368E"/>
    <w:rsid w:val="003A3EFE"/>
    <w:rsid w:val="003A40E1"/>
    <w:rsid w:val="003A410D"/>
    <w:rsid w:val="003A45D0"/>
    <w:rsid w:val="003A4C4F"/>
    <w:rsid w:val="003A4F95"/>
    <w:rsid w:val="003A5A48"/>
    <w:rsid w:val="003A5F21"/>
    <w:rsid w:val="003A6162"/>
    <w:rsid w:val="003A680A"/>
    <w:rsid w:val="003A6C7A"/>
    <w:rsid w:val="003A7129"/>
    <w:rsid w:val="003A7182"/>
    <w:rsid w:val="003A736D"/>
    <w:rsid w:val="003A7C8C"/>
    <w:rsid w:val="003A7D92"/>
    <w:rsid w:val="003A7FD8"/>
    <w:rsid w:val="003B06F1"/>
    <w:rsid w:val="003B0B40"/>
    <w:rsid w:val="003B116A"/>
    <w:rsid w:val="003B1820"/>
    <w:rsid w:val="003B18FC"/>
    <w:rsid w:val="003B19B2"/>
    <w:rsid w:val="003B1A6E"/>
    <w:rsid w:val="003B1BA0"/>
    <w:rsid w:val="003B1FDB"/>
    <w:rsid w:val="003B2037"/>
    <w:rsid w:val="003B21BE"/>
    <w:rsid w:val="003B22BF"/>
    <w:rsid w:val="003B259F"/>
    <w:rsid w:val="003B282A"/>
    <w:rsid w:val="003B288F"/>
    <w:rsid w:val="003B2C65"/>
    <w:rsid w:val="003B2CD2"/>
    <w:rsid w:val="003B3296"/>
    <w:rsid w:val="003B3418"/>
    <w:rsid w:val="003B3869"/>
    <w:rsid w:val="003B3E28"/>
    <w:rsid w:val="003B3ED3"/>
    <w:rsid w:val="003B40BB"/>
    <w:rsid w:val="003B4137"/>
    <w:rsid w:val="003B41AB"/>
    <w:rsid w:val="003B43A2"/>
    <w:rsid w:val="003B462B"/>
    <w:rsid w:val="003B4865"/>
    <w:rsid w:val="003B4AE3"/>
    <w:rsid w:val="003B4B96"/>
    <w:rsid w:val="003B5338"/>
    <w:rsid w:val="003B5611"/>
    <w:rsid w:val="003B5CC0"/>
    <w:rsid w:val="003B5E43"/>
    <w:rsid w:val="003B5E6C"/>
    <w:rsid w:val="003B619D"/>
    <w:rsid w:val="003B6654"/>
    <w:rsid w:val="003B6853"/>
    <w:rsid w:val="003B6B2F"/>
    <w:rsid w:val="003B6D3B"/>
    <w:rsid w:val="003B70B7"/>
    <w:rsid w:val="003B75A2"/>
    <w:rsid w:val="003B75C5"/>
    <w:rsid w:val="003B76CD"/>
    <w:rsid w:val="003B76EA"/>
    <w:rsid w:val="003C0169"/>
    <w:rsid w:val="003C0693"/>
    <w:rsid w:val="003C0838"/>
    <w:rsid w:val="003C0850"/>
    <w:rsid w:val="003C0872"/>
    <w:rsid w:val="003C0A76"/>
    <w:rsid w:val="003C0B96"/>
    <w:rsid w:val="003C1379"/>
    <w:rsid w:val="003C196F"/>
    <w:rsid w:val="003C1D15"/>
    <w:rsid w:val="003C22B1"/>
    <w:rsid w:val="003C26E2"/>
    <w:rsid w:val="003C2BA3"/>
    <w:rsid w:val="003C2CA6"/>
    <w:rsid w:val="003C2E0C"/>
    <w:rsid w:val="003C3107"/>
    <w:rsid w:val="003C347C"/>
    <w:rsid w:val="003C3BEC"/>
    <w:rsid w:val="003C4480"/>
    <w:rsid w:val="003C54E2"/>
    <w:rsid w:val="003C5595"/>
    <w:rsid w:val="003C5EBB"/>
    <w:rsid w:val="003C62CD"/>
    <w:rsid w:val="003C6F12"/>
    <w:rsid w:val="003C7678"/>
    <w:rsid w:val="003C7B40"/>
    <w:rsid w:val="003C7D55"/>
    <w:rsid w:val="003C7D5F"/>
    <w:rsid w:val="003D003B"/>
    <w:rsid w:val="003D055F"/>
    <w:rsid w:val="003D0B4C"/>
    <w:rsid w:val="003D0D37"/>
    <w:rsid w:val="003D0F9C"/>
    <w:rsid w:val="003D1008"/>
    <w:rsid w:val="003D1195"/>
    <w:rsid w:val="003D136F"/>
    <w:rsid w:val="003D14BB"/>
    <w:rsid w:val="003D1505"/>
    <w:rsid w:val="003D18FE"/>
    <w:rsid w:val="003D23E1"/>
    <w:rsid w:val="003D240E"/>
    <w:rsid w:val="003D285B"/>
    <w:rsid w:val="003D28C6"/>
    <w:rsid w:val="003D2B2A"/>
    <w:rsid w:val="003D2B7C"/>
    <w:rsid w:val="003D2CB6"/>
    <w:rsid w:val="003D2CE5"/>
    <w:rsid w:val="003D30C9"/>
    <w:rsid w:val="003D3466"/>
    <w:rsid w:val="003D3C3E"/>
    <w:rsid w:val="003D3D76"/>
    <w:rsid w:val="003D43C8"/>
    <w:rsid w:val="003D44EC"/>
    <w:rsid w:val="003D45F2"/>
    <w:rsid w:val="003D49F6"/>
    <w:rsid w:val="003D4CF7"/>
    <w:rsid w:val="003D6287"/>
    <w:rsid w:val="003D6869"/>
    <w:rsid w:val="003D6991"/>
    <w:rsid w:val="003D7014"/>
    <w:rsid w:val="003D7850"/>
    <w:rsid w:val="003D7AAA"/>
    <w:rsid w:val="003D7BAE"/>
    <w:rsid w:val="003D7F85"/>
    <w:rsid w:val="003E0618"/>
    <w:rsid w:val="003E07FD"/>
    <w:rsid w:val="003E08CA"/>
    <w:rsid w:val="003E094B"/>
    <w:rsid w:val="003E0C96"/>
    <w:rsid w:val="003E14AD"/>
    <w:rsid w:val="003E1ECE"/>
    <w:rsid w:val="003E2096"/>
    <w:rsid w:val="003E2B91"/>
    <w:rsid w:val="003E2D26"/>
    <w:rsid w:val="003E334A"/>
    <w:rsid w:val="003E3669"/>
    <w:rsid w:val="003E396C"/>
    <w:rsid w:val="003E3BCD"/>
    <w:rsid w:val="003E407A"/>
    <w:rsid w:val="003E4497"/>
    <w:rsid w:val="003E44F5"/>
    <w:rsid w:val="003E4954"/>
    <w:rsid w:val="003E5625"/>
    <w:rsid w:val="003E5792"/>
    <w:rsid w:val="003E5950"/>
    <w:rsid w:val="003E5F64"/>
    <w:rsid w:val="003E6162"/>
    <w:rsid w:val="003E6699"/>
    <w:rsid w:val="003E68EF"/>
    <w:rsid w:val="003E6A07"/>
    <w:rsid w:val="003E6B18"/>
    <w:rsid w:val="003E6D40"/>
    <w:rsid w:val="003E6D78"/>
    <w:rsid w:val="003E6EDD"/>
    <w:rsid w:val="003E6FF3"/>
    <w:rsid w:val="003E70BD"/>
    <w:rsid w:val="003E70E0"/>
    <w:rsid w:val="003E7695"/>
    <w:rsid w:val="003E76A4"/>
    <w:rsid w:val="003F02A9"/>
    <w:rsid w:val="003F08E1"/>
    <w:rsid w:val="003F0A3D"/>
    <w:rsid w:val="003F117F"/>
    <w:rsid w:val="003F11CB"/>
    <w:rsid w:val="003F19A9"/>
    <w:rsid w:val="003F2217"/>
    <w:rsid w:val="003F23BA"/>
    <w:rsid w:val="003F27B7"/>
    <w:rsid w:val="003F353E"/>
    <w:rsid w:val="003F3897"/>
    <w:rsid w:val="003F3E6F"/>
    <w:rsid w:val="003F3EF4"/>
    <w:rsid w:val="003F47AC"/>
    <w:rsid w:val="003F4987"/>
    <w:rsid w:val="003F4DB7"/>
    <w:rsid w:val="003F4DC2"/>
    <w:rsid w:val="003F4E0B"/>
    <w:rsid w:val="003F4EB5"/>
    <w:rsid w:val="003F52B0"/>
    <w:rsid w:val="003F55B4"/>
    <w:rsid w:val="003F5E2A"/>
    <w:rsid w:val="003F637B"/>
    <w:rsid w:val="003F63BE"/>
    <w:rsid w:val="003F65D4"/>
    <w:rsid w:val="003F65F2"/>
    <w:rsid w:val="003F6D0D"/>
    <w:rsid w:val="003F6E5B"/>
    <w:rsid w:val="003F6F91"/>
    <w:rsid w:val="003F764E"/>
    <w:rsid w:val="003F7723"/>
    <w:rsid w:val="004011AD"/>
    <w:rsid w:val="004011FA"/>
    <w:rsid w:val="004014A3"/>
    <w:rsid w:val="004016C8"/>
    <w:rsid w:val="00401E92"/>
    <w:rsid w:val="00401FAB"/>
    <w:rsid w:val="00402006"/>
    <w:rsid w:val="00402052"/>
    <w:rsid w:val="00402935"/>
    <w:rsid w:val="00402A27"/>
    <w:rsid w:val="00402A65"/>
    <w:rsid w:val="00402ADA"/>
    <w:rsid w:val="00402C76"/>
    <w:rsid w:val="00403470"/>
    <w:rsid w:val="00403A7F"/>
    <w:rsid w:val="00403C7A"/>
    <w:rsid w:val="00403E47"/>
    <w:rsid w:val="00403F39"/>
    <w:rsid w:val="00404106"/>
    <w:rsid w:val="00404184"/>
    <w:rsid w:val="0040473F"/>
    <w:rsid w:val="00404E64"/>
    <w:rsid w:val="0040580A"/>
    <w:rsid w:val="004059DD"/>
    <w:rsid w:val="00405C29"/>
    <w:rsid w:val="00405CC0"/>
    <w:rsid w:val="00405E9B"/>
    <w:rsid w:val="00406423"/>
    <w:rsid w:val="004064BD"/>
    <w:rsid w:val="00406A66"/>
    <w:rsid w:val="00406DDE"/>
    <w:rsid w:val="00406DEB"/>
    <w:rsid w:val="0040736C"/>
    <w:rsid w:val="0040763B"/>
    <w:rsid w:val="00407BB4"/>
    <w:rsid w:val="00407E87"/>
    <w:rsid w:val="00410089"/>
    <w:rsid w:val="004104E5"/>
    <w:rsid w:val="0041086C"/>
    <w:rsid w:val="004109BA"/>
    <w:rsid w:val="00410B3F"/>
    <w:rsid w:val="00411335"/>
    <w:rsid w:val="0041145C"/>
    <w:rsid w:val="00411507"/>
    <w:rsid w:val="004115E9"/>
    <w:rsid w:val="00411924"/>
    <w:rsid w:val="00411FB8"/>
    <w:rsid w:val="00412C59"/>
    <w:rsid w:val="0041354E"/>
    <w:rsid w:val="00413866"/>
    <w:rsid w:val="00413A5C"/>
    <w:rsid w:val="00413B10"/>
    <w:rsid w:val="00413B1D"/>
    <w:rsid w:val="00413B51"/>
    <w:rsid w:val="00413E5F"/>
    <w:rsid w:val="00413F64"/>
    <w:rsid w:val="00413FF3"/>
    <w:rsid w:val="004141E0"/>
    <w:rsid w:val="00414B43"/>
    <w:rsid w:val="004151B6"/>
    <w:rsid w:val="004151DF"/>
    <w:rsid w:val="00415929"/>
    <w:rsid w:val="00415E72"/>
    <w:rsid w:val="00415F97"/>
    <w:rsid w:val="004160F9"/>
    <w:rsid w:val="00416768"/>
    <w:rsid w:val="00416A18"/>
    <w:rsid w:val="00416C2C"/>
    <w:rsid w:val="00416F5E"/>
    <w:rsid w:val="00417C61"/>
    <w:rsid w:val="00417EAE"/>
    <w:rsid w:val="0042010B"/>
    <w:rsid w:val="0042017A"/>
    <w:rsid w:val="0042021B"/>
    <w:rsid w:val="00420758"/>
    <w:rsid w:val="0042098C"/>
    <w:rsid w:val="00420A71"/>
    <w:rsid w:val="004210C1"/>
    <w:rsid w:val="00421172"/>
    <w:rsid w:val="00421211"/>
    <w:rsid w:val="004218CD"/>
    <w:rsid w:val="00421FD7"/>
    <w:rsid w:val="004220F8"/>
    <w:rsid w:val="00422459"/>
    <w:rsid w:val="00422494"/>
    <w:rsid w:val="004230DD"/>
    <w:rsid w:val="00423177"/>
    <w:rsid w:val="004240A2"/>
    <w:rsid w:val="00424115"/>
    <w:rsid w:val="004248A1"/>
    <w:rsid w:val="00424C22"/>
    <w:rsid w:val="00424E2D"/>
    <w:rsid w:val="004251CD"/>
    <w:rsid w:val="0042539E"/>
    <w:rsid w:val="00425628"/>
    <w:rsid w:val="00425AEE"/>
    <w:rsid w:val="00425F27"/>
    <w:rsid w:val="00426BD8"/>
    <w:rsid w:val="00426FEB"/>
    <w:rsid w:val="00427002"/>
    <w:rsid w:val="004271AE"/>
    <w:rsid w:val="00427897"/>
    <w:rsid w:val="00427934"/>
    <w:rsid w:val="00427B3B"/>
    <w:rsid w:val="00427F1C"/>
    <w:rsid w:val="00430290"/>
    <w:rsid w:val="0043030B"/>
    <w:rsid w:val="004303A0"/>
    <w:rsid w:val="00430436"/>
    <w:rsid w:val="00430916"/>
    <w:rsid w:val="00430CC3"/>
    <w:rsid w:val="00430E48"/>
    <w:rsid w:val="00430F9B"/>
    <w:rsid w:val="00431F75"/>
    <w:rsid w:val="004321FA"/>
    <w:rsid w:val="00432345"/>
    <w:rsid w:val="00432A49"/>
    <w:rsid w:val="00432DF2"/>
    <w:rsid w:val="00432EED"/>
    <w:rsid w:val="00433245"/>
    <w:rsid w:val="00433A04"/>
    <w:rsid w:val="00433A69"/>
    <w:rsid w:val="00433AB6"/>
    <w:rsid w:val="00433B2F"/>
    <w:rsid w:val="00433B50"/>
    <w:rsid w:val="00433FE8"/>
    <w:rsid w:val="0043400F"/>
    <w:rsid w:val="004341D4"/>
    <w:rsid w:val="0043435D"/>
    <w:rsid w:val="00434986"/>
    <w:rsid w:val="00434DCC"/>
    <w:rsid w:val="00434F37"/>
    <w:rsid w:val="00434F9B"/>
    <w:rsid w:val="00435040"/>
    <w:rsid w:val="0043511B"/>
    <w:rsid w:val="00435671"/>
    <w:rsid w:val="00435A6F"/>
    <w:rsid w:val="00435A9B"/>
    <w:rsid w:val="00435BD3"/>
    <w:rsid w:val="00435CBB"/>
    <w:rsid w:val="004361D8"/>
    <w:rsid w:val="004365EF"/>
    <w:rsid w:val="00436611"/>
    <w:rsid w:val="00436B38"/>
    <w:rsid w:val="00436E61"/>
    <w:rsid w:val="004376E8"/>
    <w:rsid w:val="00437E8B"/>
    <w:rsid w:val="004404AE"/>
    <w:rsid w:val="00440592"/>
    <w:rsid w:val="00440642"/>
    <w:rsid w:val="0044067F"/>
    <w:rsid w:val="004406AF"/>
    <w:rsid w:val="004406E8"/>
    <w:rsid w:val="00440745"/>
    <w:rsid w:val="004407D1"/>
    <w:rsid w:val="004408D0"/>
    <w:rsid w:val="00440D88"/>
    <w:rsid w:val="004413FA"/>
    <w:rsid w:val="00441496"/>
    <w:rsid w:val="00441A98"/>
    <w:rsid w:val="00441CB4"/>
    <w:rsid w:val="00441DD6"/>
    <w:rsid w:val="00441F15"/>
    <w:rsid w:val="0044234C"/>
    <w:rsid w:val="00442514"/>
    <w:rsid w:val="0044255D"/>
    <w:rsid w:val="00442B07"/>
    <w:rsid w:val="00442C44"/>
    <w:rsid w:val="00442CE5"/>
    <w:rsid w:val="00442F3F"/>
    <w:rsid w:val="0044306D"/>
    <w:rsid w:val="004431E8"/>
    <w:rsid w:val="0044335D"/>
    <w:rsid w:val="0044352F"/>
    <w:rsid w:val="004439E9"/>
    <w:rsid w:val="00444073"/>
    <w:rsid w:val="00444211"/>
    <w:rsid w:val="0044439A"/>
    <w:rsid w:val="00444575"/>
    <w:rsid w:val="00444877"/>
    <w:rsid w:val="004449D7"/>
    <w:rsid w:val="00444FD3"/>
    <w:rsid w:val="00445948"/>
    <w:rsid w:val="00445C67"/>
    <w:rsid w:val="00446AEE"/>
    <w:rsid w:val="00446FBE"/>
    <w:rsid w:val="004474A7"/>
    <w:rsid w:val="0044758C"/>
    <w:rsid w:val="0044773B"/>
    <w:rsid w:val="004478B6"/>
    <w:rsid w:val="00447B84"/>
    <w:rsid w:val="004501E6"/>
    <w:rsid w:val="004502D8"/>
    <w:rsid w:val="00450887"/>
    <w:rsid w:val="00450A58"/>
    <w:rsid w:val="00450B98"/>
    <w:rsid w:val="00450C2A"/>
    <w:rsid w:val="00450E9E"/>
    <w:rsid w:val="00450F18"/>
    <w:rsid w:val="00451217"/>
    <w:rsid w:val="00451501"/>
    <w:rsid w:val="00451DED"/>
    <w:rsid w:val="004529D7"/>
    <w:rsid w:val="00452A6D"/>
    <w:rsid w:val="00452AAB"/>
    <w:rsid w:val="00452DC2"/>
    <w:rsid w:val="00453156"/>
    <w:rsid w:val="00454030"/>
    <w:rsid w:val="0045423B"/>
    <w:rsid w:val="004545F9"/>
    <w:rsid w:val="00454BEF"/>
    <w:rsid w:val="00455067"/>
    <w:rsid w:val="004554AF"/>
    <w:rsid w:val="004559EC"/>
    <w:rsid w:val="004559F4"/>
    <w:rsid w:val="00455C07"/>
    <w:rsid w:val="00455C24"/>
    <w:rsid w:val="00455D67"/>
    <w:rsid w:val="00455F1E"/>
    <w:rsid w:val="00456730"/>
    <w:rsid w:val="004568E2"/>
    <w:rsid w:val="00456B81"/>
    <w:rsid w:val="0045737F"/>
    <w:rsid w:val="00457662"/>
    <w:rsid w:val="00457958"/>
    <w:rsid w:val="00457CFA"/>
    <w:rsid w:val="00457D84"/>
    <w:rsid w:val="00457EA2"/>
    <w:rsid w:val="00460057"/>
    <w:rsid w:val="004600B7"/>
    <w:rsid w:val="0046025B"/>
    <w:rsid w:val="004602FA"/>
    <w:rsid w:val="004605F2"/>
    <w:rsid w:val="00460B2F"/>
    <w:rsid w:val="00460DAD"/>
    <w:rsid w:val="00460EBC"/>
    <w:rsid w:val="00460F63"/>
    <w:rsid w:val="00461053"/>
    <w:rsid w:val="0046111F"/>
    <w:rsid w:val="00461456"/>
    <w:rsid w:val="00461611"/>
    <w:rsid w:val="00461F4B"/>
    <w:rsid w:val="00461F83"/>
    <w:rsid w:val="00462435"/>
    <w:rsid w:val="00462A9D"/>
    <w:rsid w:val="00462E85"/>
    <w:rsid w:val="00462FF4"/>
    <w:rsid w:val="0046344A"/>
    <w:rsid w:val="00463997"/>
    <w:rsid w:val="00464136"/>
    <w:rsid w:val="004642FA"/>
    <w:rsid w:val="00464F6E"/>
    <w:rsid w:val="004652FB"/>
    <w:rsid w:val="0046561D"/>
    <w:rsid w:val="00465959"/>
    <w:rsid w:val="00465C9F"/>
    <w:rsid w:val="004660EF"/>
    <w:rsid w:val="004662BE"/>
    <w:rsid w:val="00466915"/>
    <w:rsid w:val="00466A52"/>
    <w:rsid w:val="00466A95"/>
    <w:rsid w:val="00467244"/>
    <w:rsid w:val="00467529"/>
    <w:rsid w:val="00467C8A"/>
    <w:rsid w:val="00467E37"/>
    <w:rsid w:val="00470D06"/>
    <w:rsid w:val="004715D7"/>
    <w:rsid w:val="00471833"/>
    <w:rsid w:val="0047192F"/>
    <w:rsid w:val="0047198B"/>
    <w:rsid w:val="00472168"/>
    <w:rsid w:val="004721AF"/>
    <w:rsid w:val="00472FAE"/>
    <w:rsid w:val="004730BD"/>
    <w:rsid w:val="004731BB"/>
    <w:rsid w:val="00473CEC"/>
    <w:rsid w:val="00473FC3"/>
    <w:rsid w:val="00474081"/>
    <w:rsid w:val="00474107"/>
    <w:rsid w:val="0047423D"/>
    <w:rsid w:val="004746A8"/>
    <w:rsid w:val="00474B08"/>
    <w:rsid w:val="00474C03"/>
    <w:rsid w:val="00474FCD"/>
    <w:rsid w:val="004751A7"/>
    <w:rsid w:val="004755E1"/>
    <w:rsid w:val="004757FC"/>
    <w:rsid w:val="00475B1D"/>
    <w:rsid w:val="00475E09"/>
    <w:rsid w:val="00475F1D"/>
    <w:rsid w:val="0047622B"/>
    <w:rsid w:val="00476306"/>
    <w:rsid w:val="00476980"/>
    <w:rsid w:val="00476CEA"/>
    <w:rsid w:val="00476E59"/>
    <w:rsid w:val="00476F0A"/>
    <w:rsid w:val="00476FE4"/>
    <w:rsid w:val="00477204"/>
    <w:rsid w:val="00477C49"/>
    <w:rsid w:val="00477DB8"/>
    <w:rsid w:val="00480266"/>
    <w:rsid w:val="004806BD"/>
    <w:rsid w:val="004808C3"/>
    <w:rsid w:val="00480DB1"/>
    <w:rsid w:val="00480F90"/>
    <w:rsid w:val="00481207"/>
    <w:rsid w:val="0048153C"/>
    <w:rsid w:val="0048154E"/>
    <w:rsid w:val="00481E0A"/>
    <w:rsid w:val="00482261"/>
    <w:rsid w:val="00482771"/>
    <w:rsid w:val="004829C7"/>
    <w:rsid w:val="00482E76"/>
    <w:rsid w:val="00483091"/>
    <w:rsid w:val="004831D6"/>
    <w:rsid w:val="0048373B"/>
    <w:rsid w:val="0048398E"/>
    <w:rsid w:val="00483A8C"/>
    <w:rsid w:val="00484043"/>
    <w:rsid w:val="00484863"/>
    <w:rsid w:val="00484AD1"/>
    <w:rsid w:val="00484B8C"/>
    <w:rsid w:val="004851A4"/>
    <w:rsid w:val="00485751"/>
    <w:rsid w:val="0048584F"/>
    <w:rsid w:val="00485D53"/>
    <w:rsid w:val="00485D6B"/>
    <w:rsid w:val="0048631E"/>
    <w:rsid w:val="004863FC"/>
    <w:rsid w:val="0048659D"/>
    <w:rsid w:val="00486A1A"/>
    <w:rsid w:val="00486D03"/>
    <w:rsid w:val="00486D53"/>
    <w:rsid w:val="00486F73"/>
    <w:rsid w:val="00486FA8"/>
    <w:rsid w:val="00487381"/>
    <w:rsid w:val="00487844"/>
    <w:rsid w:val="00487FD2"/>
    <w:rsid w:val="0049001D"/>
    <w:rsid w:val="00490060"/>
    <w:rsid w:val="0049045A"/>
    <w:rsid w:val="00490498"/>
    <w:rsid w:val="004908D0"/>
    <w:rsid w:val="00490D12"/>
    <w:rsid w:val="00490EB4"/>
    <w:rsid w:val="00490EBD"/>
    <w:rsid w:val="00491310"/>
    <w:rsid w:val="004915B7"/>
    <w:rsid w:val="00491945"/>
    <w:rsid w:val="00491E3B"/>
    <w:rsid w:val="00491F35"/>
    <w:rsid w:val="0049237B"/>
    <w:rsid w:val="004925BA"/>
    <w:rsid w:val="00493116"/>
    <w:rsid w:val="0049335A"/>
    <w:rsid w:val="0049367B"/>
    <w:rsid w:val="00493CBA"/>
    <w:rsid w:val="00493DC4"/>
    <w:rsid w:val="00493ED7"/>
    <w:rsid w:val="004949A8"/>
    <w:rsid w:val="00494C7E"/>
    <w:rsid w:val="00495352"/>
    <w:rsid w:val="004953CE"/>
    <w:rsid w:val="004955BF"/>
    <w:rsid w:val="004956A1"/>
    <w:rsid w:val="00495D34"/>
    <w:rsid w:val="00495E15"/>
    <w:rsid w:val="00495E1F"/>
    <w:rsid w:val="00496B65"/>
    <w:rsid w:val="00496D09"/>
    <w:rsid w:val="00496DBE"/>
    <w:rsid w:val="00497649"/>
    <w:rsid w:val="0049777B"/>
    <w:rsid w:val="004977C4"/>
    <w:rsid w:val="00497932"/>
    <w:rsid w:val="004A06F9"/>
    <w:rsid w:val="004A0A8B"/>
    <w:rsid w:val="004A0E6B"/>
    <w:rsid w:val="004A1525"/>
    <w:rsid w:val="004A1C6E"/>
    <w:rsid w:val="004A1C7A"/>
    <w:rsid w:val="004A1E12"/>
    <w:rsid w:val="004A1EB0"/>
    <w:rsid w:val="004A2262"/>
    <w:rsid w:val="004A2AFB"/>
    <w:rsid w:val="004A2D8B"/>
    <w:rsid w:val="004A2EEE"/>
    <w:rsid w:val="004A354F"/>
    <w:rsid w:val="004A35C8"/>
    <w:rsid w:val="004A379B"/>
    <w:rsid w:val="004A3997"/>
    <w:rsid w:val="004A3E2A"/>
    <w:rsid w:val="004A3E42"/>
    <w:rsid w:val="004A41FD"/>
    <w:rsid w:val="004A43F9"/>
    <w:rsid w:val="004A4498"/>
    <w:rsid w:val="004A47F3"/>
    <w:rsid w:val="004A4C5B"/>
    <w:rsid w:val="004A51D3"/>
    <w:rsid w:val="004A525C"/>
    <w:rsid w:val="004A5526"/>
    <w:rsid w:val="004A59B0"/>
    <w:rsid w:val="004A5A4B"/>
    <w:rsid w:val="004A5E0E"/>
    <w:rsid w:val="004A63A1"/>
    <w:rsid w:val="004A6A65"/>
    <w:rsid w:val="004A741D"/>
    <w:rsid w:val="004A7563"/>
    <w:rsid w:val="004A7DF5"/>
    <w:rsid w:val="004B0181"/>
    <w:rsid w:val="004B01BE"/>
    <w:rsid w:val="004B0746"/>
    <w:rsid w:val="004B0996"/>
    <w:rsid w:val="004B1194"/>
    <w:rsid w:val="004B1815"/>
    <w:rsid w:val="004B1B74"/>
    <w:rsid w:val="004B1E66"/>
    <w:rsid w:val="004B25B5"/>
    <w:rsid w:val="004B25BF"/>
    <w:rsid w:val="004B25CA"/>
    <w:rsid w:val="004B25F6"/>
    <w:rsid w:val="004B263A"/>
    <w:rsid w:val="004B265A"/>
    <w:rsid w:val="004B294D"/>
    <w:rsid w:val="004B29F9"/>
    <w:rsid w:val="004B2D22"/>
    <w:rsid w:val="004B2E9E"/>
    <w:rsid w:val="004B2F05"/>
    <w:rsid w:val="004B2F94"/>
    <w:rsid w:val="004B321C"/>
    <w:rsid w:val="004B333C"/>
    <w:rsid w:val="004B38CF"/>
    <w:rsid w:val="004B3C52"/>
    <w:rsid w:val="004B4BA1"/>
    <w:rsid w:val="004B54E3"/>
    <w:rsid w:val="004B5619"/>
    <w:rsid w:val="004B5F2D"/>
    <w:rsid w:val="004B6065"/>
    <w:rsid w:val="004B6409"/>
    <w:rsid w:val="004B65DC"/>
    <w:rsid w:val="004B777F"/>
    <w:rsid w:val="004B7DFE"/>
    <w:rsid w:val="004C0038"/>
    <w:rsid w:val="004C03A8"/>
    <w:rsid w:val="004C04A0"/>
    <w:rsid w:val="004C07FF"/>
    <w:rsid w:val="004C0A99"/>
    <w:rsid w:val="004C0FD7"/>
    <w:rsid w:val="004C17DD"/>
    <w:rsid w:val="004C235E"/>
    <w:rsid w:val="004C2AE4"/>
    <w:rsid w:val="004C35AC"/>
    <w:rsid w:val="004C35C5"/>
    <w:rsid w:val="004C36BE"/>
    <w:rsid w:val="004C3898"/>
    <w:rsid w:val="004C39AD"/>
    <w:rsid w:val="004C3DF3"/>
    <w:rsid w:val="004C3EDB"/>
    <w:rsid w:val="004C3F28"/>
    <w:rsid w:val="004C3F99"/>
    <w:rsid w:val="004C44DE"/>
    <w:rsid w:val="004C4B5F"/>
    <w:rsid w:val="004C4C03"/>
    <w:rsid w:val="004C5157"/>
    <w:rsid w:val="004C51C0"/>
    <w:rsid w:val="004C51F6"/>
    <w:rsid w:val="004C54B8"/>
    <w:rsid w:val="004C694E"/>
    <w:rsid w:val="004C6D17"/>
    <w:rsid w:val="004C6DA8"/>
    <w:rsid w:val="004C708D"/>
    <w:rsid w:val="004C71D4"/>
    <w:rsid w:val="004C7421"/>
    <w:rsid w:val="004C7CBA"/>
    <w:rsid w:val="004D007D"/>
    <w:rsid w:val="004D0445"/>
    <w:rsid w:val="004D06E0"/>
    <w:rsid w:val="004D06E1"/>
    <w:rsid w:val="004D0F98"/>
    <w:rsid w:val="004D1171"/>
    <w:rsid w:val="004D1417"/>
    <w:rsid w:val="004D144E"/>
    <w:rsid w:val="004D145A"/>
    <w:rsid w:val="004D1466"/>
    <w:rsid w:val="004D1CF7"/>
    <w:rsid w:val="004D1D1B"/>
    <w:rsid w:val="004D25A5"/>
    <w:rsid w:val="004D2C62"/>
    <w:rsid w:val="004D2D15"/>
    <w:rsid w:val="004D3036"/>
    <w:rsid w:val="004D3BA8"/>
    <w:rsid w:val="004D3FB5"/>
    <w:rsid w:val="004D4869"/>
    <w:rsid w:val="004D49AD"/>
    <w:rsid w:val="004D4B87"/>
    <w:rsid w:val="004D4B90"/>
    <w:rsid w:val="004D56CB"/>
    <w:rsid w:val="004D56FB"/>
    <w:rsid w:val="004D620C"/>
    <w:rsid w:val="004D66DE"/>
    <w:rsid w:val="004D6957"/>
    <w:rsid w:val="004D7201"/>
    <w:rsid w:val="004D720D"/>
    <w:rsid w:val="004D72CF"/>
    <w:rsid w:val="004D7535"/>
    <w:rsid w:val="004E0837"/>
    <w:rsid w:val="004E09C7"/>
    <w:rsid w:val="004E0F15"/>
    <w:rsid w:val="004E1161"/>
    <w:rsid w:val="004E1183"/>
    <w:rsid w:val="004E11F1"/>
    <w:rsid w:val="004E2698"/>
    <w:rsid w:val="004E28D6"/>
    <w:rsid w:val="004E340B"/>
    <w:rsid w:val="004E352D"/>
    <w:rsid w:val="004E3A36"/>
    <w:rsid w:val="004E3AB9"/>
    <w:rsid w:val="004E3BE1"/>
    <w:rsid w:val="004E3DFB"/>
    <w:rsid w:val="004E46D5"/>
    <w:rsid w:val="004E4AD8"/>
    <w:rsid w:val="004E4C7D"/>
    <w:rsid w:val="004E54F2"/>
    <w:rsid w:val="004E58CE"/>
    <w:rsid w:val="004E5C82"/>
    <w:rsid w:val="004E5CBD"/>
    <w:rsid w:val="004E5CE5"/>
    <w:rsid w:val="004E5D38"/>
    <w:rsid w:val="004E5F0B"/>
    <w:rsid w:val="004E5FD4"/>
    <w:rsid w:val="004E635D"/>
    <w:rsid w:val="004E64BC"/>
    <w:rsid w:val="004E66F6"/>
    <w:rsid w:val="004E6A27"/>
    <w:rsid w:val="004E6BD3"/>
    <w:rsid w:val="004E7420"/>
    <w:rsid w:val="004E7716"/>
    <w:rsid w:val="004E777B"/>
    <w:rsid w:val="004E7BE6"/>
    <w:rsid w:val="004F071B"/>
    <w:rsid w:val="004F078D"/>
    <w:rsid w:val="004F09B3"/>
    <w:rsid w:val="004F0F8D"/>
    <w:rsid w:val="004F1252"/>
    <w:rsid w:val="004F13BB"/>
    <w:rsid w:val="004F149F"/>
    <w:rsid w:val="004F170C"/>
    <w:rsid w:val="004F1912"/>
    <w:rsid w:val="004F195C"/>
    <w:rsid w:val="004F1C3C"/>
    <w:rsid w:val="004F23EF"/>
    <w:rsid w:val="004F2597"/>
    <w:rsid w:val="004F25F9"/>
    <w:rsid w:val="004F2C02"/>
    <w:rsid w:val="004F2FC3"/>
    <w:rsid w:val="004F368D"/>
    <w:rsid w:val="004F3762"/>
    <w:rsid w:val="004F3BB8"/>
    <w:rsid w:val="004F40E9"/>
    <w:rsid w:val="004F42F4"/>
    <w:rsid w:val="004F432C"/>
    <w:rsid w:val="004F4F02"/>
    <w:rsid w:val="004F56F3"/>
    <w:rsid w:val="004F5B9C"/>
    <w:rsid w:val="004F5BA4"/>
    <w:rsid w:val="004F5C72"/>
    <w:rsid w:val="004F5E2B"/>
    <w:rsid w:val="004F6083"/>
    <w:rsid w:val="004F67C0"/>
    <w:rsid w:val="004F6B76"/>
    <w:rsid w:val="004F759D"/>
    <w:rsid w:val="004F7797"/>
    <w:rsid w:val="0050011F"/>
    <w:rsid w:val="005001B9"/>
    <w:rsid w:val="00500852"/>
    <w:rsid w:val="0050099C"/>
    <w:rsid w:val="00500E1C"/>
    <w:rsid w:val="005011E2"/>
    <w:rsid w:val="0050131B"/>
    <w:rsid w:val="005013D1"/>
    <w:rsid w:val="005013E3"/>
    <w:rsid w:val="005019E0"/>
    <w:rsid w:val="00501FCA"/>
    <w:rsid w:val="00502046"/>
    <w:rsid w:val="005022AA"/>
    <w:rsid w:val="0050261A"/>
    <w:rsid w:val="00502C4B"/>
    <w:rsid w:val="0050347B"/>
    <w:rsid w:val="00503572"/>
    <w:rsid w:val="0050367A"/>
    <w:rsid w:val="0050383D"/>
    <w:rsid w:val="00503DCB"/>
    <w:rsid w:val="00503E49"/>
    <w:rsid w:val="005043ED"/>
    <w:rsid w:val="005048A3"/>
    <w:rsid w:val="005048EF"/>
    <w:rsid w:val="00504A3D"/>
    <w:rsid w:val="00504AE5"/>
    <w:rsid w:val="00504C4E"/>
    <w:rsid w:val="00504C99"/>
    <w:rsid w:val="005050F1"/>
    <w:rsid w:val="00505118"/>
    <w:rsid w:val="005051A5"/>
    <w:rsid w:val="00505E26"/>
    <w:rsid w:val="00505F1B"/>
    <w:rsid w:val="005060E5"/>
    <w:rsid w:val="00506361"/>
    <w:rsid w:val="005063B6"/>
    <w:rsid w:val="005065E8"/>
    <w:rsid w:val="0050674B"/>
    <w:rsid w:val="005067F8"/>
    <w:rsid w:val="0050690C"/>
    <w:rsid w:val="00506B88"/>
    <w:rsid w:val="0050709B"/>
    <w:rsid w:val="0050773E"/>
    <w:rsid w:val="005077BE"/>
    <w:rsid w:val="00507819"/>
    <w:rsid w:val="0050784E"/>
    <w:rsid w:val="005078B0"/>
    <w:rsid w:val="00507DD4"/>
    <w:rsid w:val="00510677"/>
    <w:rsid w:val="0051074F"/>
    <w:rsid w:val="00510874"/>
    <w:rsid w:val="00510912"/>
    <w:rsid w:val="00510977"/>
    <w:rsid w:val="00510A67"/>
    <w:rsid w:val="00510AA6"/>
    <w:rsid w:val="00510BCB"/>
    <w:rsid w:val="00510FD6"/>
    <w:rsid w:val="0051129A"/>
    <w:rsid w:val="005115AA"/>
    <w:rsid w:val="00511DE0"/>
    <w:rsid w:val="00511E06"/>
    <w:rsid w:val="00512926"/>
    <w:rsid w:val="00512A5D"/>
    <w:rsid w:val="005131B1"/>
    <w:rsid w:val="005134C3"/>
    <w:rsid w:val="005137FD"/>
    <w:rsid w:val="00513A8E"/>
    <w:rsid w:val="00513D09"/>
    <w:rsid w:val="00514024"/>
    <w:rsid w:val="005140A8"/>
    <w:rsid w:val="0051418E"/>
    <w:rsid w:val="0051430A"/>
    <w:rsid w:val="00514480"/>
    <w:rsid w:val="00514579"/>
    <w:rsid w:val="005149A6"/>
    <w:rsid w:val="00514FAF"/>
    <w:rsid w:val="0051535A"/>
    <w:rsid w:val="005153B9"/>
    <w:rsid w:val="005153BF"/>
    <w:rsid w:val="00515479"/>
    <w:rsid w:val="00515AF0"/>
    <w:rsid w:val="00516159"/>
    <w:rsid w:val="00516AFC"/>
    <w:rsid w:val="00516C08"/>
    <w:rsid w:val="00516C3A"/>
    <w:rsid w:val="00516C4E"/>
    <w:rsid w:val="00516E07"/>
    <w:rsid w:val="0051701C"/>
    <w:rsid w:val="005175E1"/>
    <w:rsid w:val="0051784D"/>
    <w:rsid w:val="00517A4E"/>
    <w:rsid w:val="00517BE0"/>
    <w:rsid w:val="00517EC3"/>
    <w:rsid w:val="00520151"/>
    <w:rsid w:val="00520267"/>
    <w:rsid w:val="0052045B"/>
    <w:rsid w:val="005206ED"/>
    <w:rsid w:val="00520B7B"/>
    <w:rsid w:val="00520F16"/>
    <w:rsid w:val="005216D6"/>
    <w:rsid w:val="0052171D"/>
    <w:rsid w:val="0052181D"/>
    <w:rsid w:val="00521A40"/>
    <w:rsid w:val="00521BBB"/>
    <w:rsid w:val="00521E6B"/>
    <w:rsid w:val="00521F22"/>
    <w:rsid w:val="00522046"/>
    <w:rsid w:val="005220BE"/>
    <w:rsid w:val="00522493"/>
    <w:rsid w:val="00522B14"/>
    <w:rsid w:val="005238E4"/>
    <w:rsid w:val="00524208"/>
    <w:rsid w:val="0052439F"/>
    <w:rsid w:val="00524588"/>
    <w:rsid w:val="005248D4"/>
    <w:rsid w:val="00524CEB"/>
    <w:rsid w:val="00524D2E"/>
    <w:rsid w:val="00524EBB"/>
    <w:rsid w:val="005252FF"/>
    <w:rsid w:val="005253F5"/>
    <w:rsid w:val="00525599"/>
    <w:rsid w:val="00525E8C"/>
    <w:rsid w:val="00525EBE"/>
    <w:rsid w:val="00526715"/>
    <w:rsid w:val="00526B8C"/>
    <w:rsid w:val="00526F54"/>
    <w:rsid w:val="0052727E"/>
    <w:rsid w:val="0052749D"/>
    <w:rsid w:val="0052791B"/>
    <w:rsid w:val="00527945"/>
    <w:rsid w:val="00527A3D"/>
    <w:rsid w:val="00530273"/>
    <w:rsid w:val="00530408"/>
    <w:rsid w:val="005305F1"/>
    <w:rsid w:val="00530A0E"/>
    <w:rsid w:val="00530A60"/>
    <w:rsid w:val="00530D89"/>
    <w:rsid w:val="00530D9F"/>
    <w:rsid w:val="00531AD1"/>
    <w:rsid w:val="0053215D"/>
    <w:rsid w:val="00532397"/>
    <w:rsid w:val="00532563"/>
    <w:rsid w:val="005326D9"/>
    <w:rsid w:val="00532700"/>
    <w:rsid w:val="00532743"/>
    <w:rsid w:val="005327BD"/>
    <w:rsid w:val="0053297E"/>
    <w:rsid w:val="00532EAB"/>
    <w:rsid w:val="005334AC"/>
    <w:rsid w:val="0053399A"/>
    <w:rsid w:val="00533F23"/>
    <w:rsid w:val="00534505"/>
    <w:rsid w:val="0053481E"/>
    <w:rsid w:val="00534E8F"/>
    <w:rsid w:val="0053515E"/>
    <w:rsid w:val="005351EC"/>
    <w:rsid w:val="005356B4"/>
    <w:rsid w:val="005357EB"/>
    <w:rsid w:val="00535CB2"/>
    <w:rsid w:val="00535D4C"/>
    <w:rsid w:val="00536010"/>
    <w:rsid w:val="00536304"/>
    <w:rsid w:val="00536929"/>
    <w:rsid w:val="00536A97"/>
    <w:rsid w:val="00537417"/>
    <w:rsid w:val="005375DB"/>
    <w:rsid w:val="00537758"/>
    <w:rsid w:val="005377F4"/>
    <w:rsid w:val="00537971"/>
    <w:rsid w:val="00537ADD"/>
    <w:rsid w:val="00540402"/>
    <w:rsid w:val="00541485"/>
    <w:rsid w:val="005414C9"/>
    <w:rsid w:val="005417B6"/>
    <w:rsid w:val="00541BF6"/>
    <w:rsid w:val="00541C4B"/>
    <w:rsid w:val="00541C7A"/>
    <w:rsid w:val="00541CBC"/>
    <w:rsid w:val="00541CF6"/>
    <w:rsid w:val="00541F8F"/>
    <w:rsid w:val="00541FCB"/>
    <w:rsid w:val="00541FD7"/>
    <w:rsid w:val="00542074"/>
    <w:rsid w:val="00542422"/>
    <w:rsid w:val="00542FB3"/>
    <w:rsid w:val="0054346F"/>
    <w:rsid w:val="00544795"/>
    <w:rsid w:val="005447B6"/>
    <w:rsid w:val="00544A1E"/>
    <w:rsid w:val="00544B57"/>
    <w:rsid w:val="0054529C"/>
    <w:rsid w:val="005454C2"/>
    <w:rsid w:val="005455BD"/>
    <w:rsid w:val="005456D9"/>
    <w:rsid w:val="00546137"/>
    <w:rsid w:val="005467E5"/>
    <w:rsid w:val="0054688A"/>
    <w:rsid w:val="00546904"/>
    <w:rsid w:val="005469EC"/>
    <w:rsid w:val="00546C83"/>
    <w:rsid w:val="00547126"/>
    <w:rsid w:val="00547372"/>
    <w:rsid w:val="005473D4"/>
    <w:rsid w:val="005474C2"/>
    <w:rsid w:val="00547CDB"/>
    <w:rsid w:val="00547E1C"/>
    <w:rsid w:val="00547FA1"/>
    <w:rsid w:val="0055055A"/>
    <w:rsid w:val="00551335"/>
    <w:rsid w:val="00551458"/>
    <w:rsid w:val="00551525"/>
    <w:rsid w:val="005517BB"/>
    <w:rsid w:val="00551F46"/>
    <w:rsid w:val="00551FD0"/>
    <w:rsid w:val="00552319"/>
    <w:rsid w:val="0055273D"/>
    <w:rsid w:val="00552830"/>
    <w:rsid w:val="005532BB"/>
    <w:rsid w:val="0055338A"/>
    <w:rsid w:val="00553506"/>
    <w:rsid w:val="00553536"/>
    <w:rsid w:val="00553872"/>
    <w:rsid w:val="00553BEA"/>
    <w:rsid w:val="00553E24"/>
    <w:rsid w:val="0055460D"/>
    <w:rsid w:val="00554784"/>
    <w:rsid w:val="00555228"/>
    <w:rsid w:val="0055545D"/>
    <w:rsid w:val="0055571C"/>
    <w:rsid w:val="005557AF"/>
    <w:rsid w:val="00555909"/>
    <w:rsid w:val="00555A4D"/>
    <w:rsid w:val="00555B59"/>
    <w:rsid w:val="00555B90"/>
    <w:rsid w:val="005561C1"/>
    <w:rsid w:val="005564F8"/>
    <w:rsid w:val="00556C5F"/>
    <w:rsid w:val="00556D5F"/>
    <w:rsid w:val="00556DB0"/>
    <w:rsid w:val="0055707B"/>
    <w:rsid w:val="005570C6"/>
    <w:rsid w:val="00557163"/>
    <w:rsid w:val="005574F4"/>
    <w:rsid w:val="005574FE"/>
    <w:rsid w:val="005575FE"/>
    <w:rsid w:val="0055768E"/>
    <w:rsid w:val="00557B17"/>
    <w:rsid w:val="00557B7C"/>
    <w:rsid w:val="00557C3B"/>
    <w:rsid w:val="00557C48"/>
    <w:rsid w:val="005601A0"/>
    <w:rsid w:val="00560727"/>
    <w:rsid w:val="00560C49"/>
    <w:rsid w:val="00560C60"/>
    <w:rsid w:val="00560D8C"/>
    <w:rsid w:val="00560FE9"/>
    <w:rsid w:val="0056163F"/>
    <w:rsid w:val="00561E48"/>
    <w:rsid w:val="00562262"/>
    <w:rsid w:val="005622A9"/>
    <w:rsid w:val="0056240D"/>
    <w:rsid w:val="00562DC1"/>
    <w:rsid w:val="00563271"/>
    <w:rsid w:val="005633A6"/>
    <w:rsid w:val="00563699"/>
    <w:rsid w:val="0056385B"/>
    <w:rsid w:val="00563A87"/>
    <w:rsid w:val="00563C5A"/>
    <w:rsid w:val="00563D48"/>
    <w:rsid w:val="00563F68"/>
    <w:rsid w:val="005648A5"/>
    <w:rsid w:val="00564BAE"/>
    <w:rsid w:val="005653FA"/>
    <w:rsid w:val="00565B69"/>
    <w:rsid w:val="0056602C"/>
    <w:rsid w:val="00566150"/>
    <w:rsid w:val="00566189"/>
    <w:rsid w:val="005674A1"/>
    <w:rsid w:val="0056781A"/>
    <w:rsid w:val="00567D44"/>
    <w:rsid w:val="00567E2D"/>
    <w:rsid w:val="00570412"/>
    <w:rsid w:val="00570A4F"/>
    <w:rsid w:val="00570D9E"/>
    <w:rsid w:val="00571025"/>
    <w:rsid w:val="005710FB"/>
    <w:rsid w:val="00571189"/>
    <w:rsid w:val="005714A1"/>
    <w:rsid w:val="0057183C"/>
    <w:rsid w:val="0057191E"/>
    <w:rsid w:val="00571B54"/>
    <w:rsid w:val="00571BC5"/>
    <w:rsid w:val="00571D5A"/>
    <w:rsid w:val="00571F91"/>
    <w:rsid w:val="005724F6"/>
    <w:rsid w:val="005726AD"/>
    <w:rsid w:val="005727A5"/>
    <w:rsid w:val="005727AE"/>
    <w:rsid w:val="00572AF4"/>
    <w:rsid w:val="00572B19"/>
    <w:rsid w:val="00572B36"/>
    <w:rsid w:val="005730B3"/>
    <w:rsid w:val="0057341F"/>
    <w:rsid w:val="005737EE"/>
    <w:rsid w:val="00573E9A"/>
    <w:rsid w:val="00573F0A"/>
    <w:rsid w:val="00574580"/>
    <w:rsid w:val="005750B3"/>
    <w:rsid w:val="005758BE"/>
    <w:rsid w:val="00575FC8"/>
    <w:rsid w:val="0057625A"/>
    <w:rsid w:val="00576355"/>
    <w:rsid w:val="005766D6"/>
    <w:rsid w:val="00576802"/>
    <w:rsid w:val="005774EE"/>
    <w:rsid w:val="00577E34"/>
    <w:rsid w:val="00577FDE"/>
    <w:rsid w:val="005806FA"/>
    <w:rsid w:val="00580858"/>
    <w:rsid w:val="00580888"/>
    <w:rsid w:val="005810D1"/>
    <w:rsid w:val="0058188E"/>
    <w:rsid w:val="00581D12"/>
    <w:rsid w:val="00581E84"/>
    <w:rsid w:val="0058213E"/>
    <w:rsid w:val="00582660"/>
    <w:rsid w:val="0058269C"/>
    <w:rsid w:val="0058274F"/>
    <w:rsid w:val="00582785"/>
    <w:rsid w:val="00582AA2"/>
    <w:rsid w:val="00582B59"/>
    <w:rsid w:val="00583256"/>
    <w:rsid w:val="00583575"/>
    <w:rsid w:val="00583BDB"/>
    <w:rsid w:val="005848FA"/>
    <w:rsid w:val="00584A0E"/>
    <w:rsid w:val="00584AB2"/>
    <w:rsid w:val="00584C27"/>
    <w:rsid w:val="00584D5F"/>
    <w:rsid w:val="00584EDB"/>
    <w:rsid w:val="00585649"/>
    <w:rsid w:val="0058566C"/>
    <w:rsid w:val="005856C2"/>
    <w:rsid w:val="00585842"/>
    <w:rsid w:val="00585F37"/>
    <w:rsid w:val="00586163"/>
    <w:rsid w:val="00586CCF"/>
    <w:rsid w:val="00586FE4"/>
    <w:rsid w:val="0058748C"/>
    <w:rsid w:val="005877C9"/>
    <w:rsid w:val="0058786E"/>
    <w:rsid w:val="0059050C"/>
    <w:rsid w:val="00590765"/>
    <w:rsid w:val="00590805"/>
    <w:rsid w:val="00590B2B"/>
    <w:rsid w:val="00590E29"/>
    <w:rsid w:val="00590FB0"/>
    <w:rsid w:val="00591015"/>
    <w:rsid w:val="0059119D"/>
    <w:rsid w:val="00591448"/>
    <w:rsid w:val="00591E64"/>
    <w:rsid w:val="00591F37"/>
    <w:rsid w:val="00592003"/>
    <w:rsid w:val="0059299F"/>
    <w:rsid w:val="00592A9C"/>
    <w:rsid w:val="005934CE"/>
    <w:rsid w:val="005934EF"/>
    <w:rsid w:val="00593619"/>
    <w:rsid w:val="00593A29"/>
    <w:rsid w:val="00594074"/>
    <w:rsid w:val="00594492"/>
    <w:rsid w:val="005947E1"/>
    <w:rsid w:val="00594935"/>
    <w:rsid w:val="00594ED9"/>
    <w:rsid w:val="00595135"/>
    <w:rsid w:val="00595165"/>
    <w:rsid w:val="005955B0"/>
    <w:rsid w:val="005955C1"/>
    <w:rsid w:val="00595713"/>
    <w:rsid w:val="005959CB"/>
    <w:rsid w:val="00595ABD"/>
    <w:rsid w:val="00595ACE"/>
    <w:rsid w:val="005965CC"/>
    <w:rsid w:val="00596DCE"/>
    <w:rsid w:val="005970E8"/>
    <w:rsid w:val="0059752D"/>
    <w:rsid w:val="005975B5"/>
    <w:rsid w:val="005A0BBB"/>
    <w:rsid w:val="005A0C3E"/>
    <w:rsid w:val="005A1474"/>
    <w:rsid w:val="005A14D6"/>
    <w:rsid w:val="005A1BD7"/>
    <w:rsid w:val="005A1ECE"/>
    <w:rsid w:val="005A23BB"/>
    <w:rsid w:val="005A2A17"/>
    <w:rsid w:val="005A2E80"/>
    <w:rsid w:val="005A2EEB"/>
    <w:rsid w:val="005A30A2"/>
    <w:rsid w:val="005A3216"/>
    <w:rsid w:val="005A3958"/>
    <w:rsid w:val="005A3C20"/>
    <w:rsid w:val="005A3D34"/>
    <w:rsid w:val="005A4065"/>
    <w:rsid w:val="005A41C4"/>
    <w:rsid w:val="005A4AD9"/>
    <w:rsid w:val="005A4B32"/>
    <w:rsid w:val="005A4EB0"/>
    <w:rsid w:val="005A55B5"/>
    <w:rsid w:val="005A58BC"/>
    <w:rsid w:val="005A5AE0"/>
    <w:rsid w:val="005A5E94"/>
    <w:rsid w:val="005A646E"/>
    <w:rsid w:val="005A6C2F"/>
    <w:rsid w:val="005A717E"/>
    <w:rsid w:val="005A7218"/>
    <w:rsid w:val="005A748F"/>
    <w:rsid w:val="005A7622"/>
    <w:rsid w:val="005A78DC"/>
    <w:rsid w:val="005A7953"/>
    <w:rsid w:val="005A7A90"/>
    <w:rsid w:val="005A7AFF"/>
    <w:rsid w:val="005B035F"/>
    <w:rsid w:val="005B092F"/>
    <w:rsid w:val="005B0E58"/>
    <w:rsid w:val="005B0ED6"/>
    <w:rsid w:val="005B12D2"/>
    <w:rsid w:val="005B1FA2"/>
    <w:rsid w:val="005B273D"/>
    <w:rsid w:val="005B2A80"/>
    <w:rsid w:val="005B2BAE"/>
    <w:rsid w:val="005B302F"/>
    <w:rsid w:val="005B3276"/>
    <w:rsid w:val="005B3461"/>
    <w:rsid w:val="005B34A7"/>
    <w:rsid w:val="005B36CA"/>
    <w:rsid w:val="005B38CA"/>
    <w:rsid w:val="005B3C71"/>
    <w:rsid w:val="005B3FD2"/>
    <w:rsid w:val="005B4352"/>
    <w:rsid w:val="005B445C"/>
    <w:rsid w:val="005B4D03"/>
    <w:rsid w:val="005B577F"/>
    <w:rsid w:val="005B5823"/>
    <w:rsid w:val="005B5CCE"/>
    <w:rsid w:val="005B5DBA"/>
    <w:rsid w:val="005B6077"/>
    <w:rsid w:val="005B6738"/>
    <w:rsid w:val="005B6956"/>
    <w:rsid w:val="005B6EFF"/>
    <w:rsid w:val="005B706D"/>
    <w:rsid w:val="005B7512"/>
    <w:rsid w:val="005B7824"/>
    <w:rsid w:val="005C00AD"/>
    <w:rsid w:val="005C0135"/>
    <w:rsid w:val="005C045D"/>
    <w:rsid w:val="005C07E6"/>
    <w:rsid w:val="005C0ADF"/>
    <w:rsid w:val="005C0EC0"/>
    <w:rsid w:val="005C0F90"/>
    <w:rsid w:val="005C0FB4"/>
    <w:rsid w:val="005C1736"/>
    <w:rsid w:val="005C17FD"/>
    <w:rsid w:val="005C1FAF"/>
    <w:rsid w:val="005C27E4"/>
    <w:rsid w:val="005C280B"/>
    <w:rsid w:val="005C29A1"/>
    <w:rsid w:val="005C2B22"/>
    <w:rsid w:val="005C2CC0"/>
    <w:rsid w:val="005C3741"/>
    <w:rsid w:val="005C3F4F"/>
    <w:rsid w:val="005C4B4D"/>
    <w:rsid w:val="005C4F34"/>
    <w:rsid w:val="005C5158"/>
    <w:rsid w:val="005C5270"/>
    <w:rsid w:val="005C5506"/>
    <w:rsid w:val="005C5ABB"/>
    <w:rsid w:val="005C5ADE"/>
    <w:rsid w:val="005C60D8"/>
    <w:rsid w:val="005C67A7"/>
    <w:rsid w:val="005C6AE5"/>
    <w:rsid w:val="005C7356"/>
    <w:rsid w:val="005C743A"/>
    <w:rsid w:val="005C7557"/>
    <w:rsid w:val="005C7EE5"/>
    <w:rsid w:val="005D0807"/>
    <w:rsid w:val="005D0D84"/>
    <w:rsid w:val="005D0DE9"/>
    <w:rsid w:val="005D0F2B"/>
    <w:rsid w:val="005D1323"/>
    <w:rsid w:val="005D19B1"/>
    <w:rsid w:val="005D19D4"/>
    <w:rsid w:val="005D1DC2"/>
    <w:rsid w:val="005D2014"/>
    <w:rsid w:val="005D216A"/>
    <w:rsid w:val="005D2627"/>
    <w:rsid w:val="005D2BAE"/>
    <w:rsid w:val="005D2E8C"/>
    <w:rsid w:val="005D30DE"/>
    <w:rsid w:val="005D3277"/>
    <w:rsid w:val="005D341E"/>
    <w:rsid w:val="005D36A2"/>
    <w:rsid w:val="005D3F89"/>
    <w:rsid w:val="005D4521"/>
    <w:rsid w:val="005D488E"/>
    <w:rsid w:val="005D4BC0"/>
    <w:rsid w:val="005D4D19"/>
    <w:rsid w:val="005D50C3"/>
    <w:rsid w:val="005D5155"/>
    <w:rsid w:val="005D55A5"/>
    <w:rsid w:val="005D56C5"/>
    <w:rsid w:val="005D5786"/>
    <w:rsid w:val="005D5848"/>
    <w:rsid w:val="005D5A9B"/>
    <w:rsid w:val="005D5D84"/>
    <w:rsid w:val="005D5F65"/>
    <w:rsid w:val="005D6256"/>
    <w:rsid w:val="005D6267"/>
    <w:rsid w:val="005D65A4"/>
    <w:rsid w:val="005D6A26"/>
    <w:rsid w:val="005D7009"/>
    <w:rsid w:val="005D7407"/>
    <w:rsid w:val="005D752C"/>
    <w:rsid w:val="005D7838"/>
    <w:rsid w:val="005D7C7E"/>
    <w:rsid w:val="005D7E9E"/>
    <w:rsid w:val="005E001B"/>
    <w:rsid w:val="005E056D"/>
    <w:rsid w:val="005E07ED"/>
    <w:rsid w:val="005E0D6C"/>
    <w:rsid w:val="005E108A"/>
    <w:rsid w:val="005E1093"/>
    <w:rsid w:val="005E1979"/>
    <w:rsid w:val="005E1FD2"/>
    <w:rsid w:val="005E225D"/>
    <w:rsid w:val="005E26F0"/>
    <w:rsid w:val="005E2758"/>
    <w:rsid w:val="005E28D4"/>
    <w:rsid w:val="005E2ED4"/>
    <w:rsid w:val="005E3265"/>
    <w:rsid w:val="005E332C"/>
    <w:rsid w:val="005E33BA"/>
    <w:rsid w:val="005E38A8"/>
    <w:rsid w:val="005E3B2B"/>
    <w:rsid w:val="005E3D38"/>
    <w:rsid w:val="005E4312"/>
    <w:rsid w:val="005E460C"/>
    <w:rsid w:val="005E4978"/>
    <w:rsid w:val="005E4A71"/>
    <w:rsid w:val="005E5090"/>
    <w:rsid w:val="005E5567"/>
    <w:rsid w:val="005E6615"/>
    <w:rsid w:val="005E6691"/>
    <w:rsid w:val="005E6798"/>
    <w:rsid w:val="005E6C75"/>
    <w:rsid w:val="005E705F"/>
    <w:rsid w:val="005E72F6"/>
    <w:rsid w:val="005E7380"/>
    <w:rsid w:val="005E76C1"/>
    <w:rsid w:val="005E7BC8"/>
    <w:rsid w:val="005E7E02"/>
    <w:rsid w:val="005E7E4A"/>
    <w:rsid w:val="005E7E9B"/>
    <w:rsid w:val="005F00F4"/>
    <w:rsid w:val="005F02EA"/>
    <w:rsid w:val="005F0578"/>
    <w:rsid w:val="005F0CDA"/>
    <w:rsid w:val="005F0EE1"/>
    <w:rsid w:val="005F146A"/>
    <w:rsid w:val="005F178B"/>
    <w:rsid w:val="005F1E88"/>
    <w:rsid w:val="005F22E8"/>
    <w:rsid w:val="005F2E68"/>
    <w:rsid w:val="005F3053"/>
    <w:rsid w:val="005F38D8"/>
    <w:rsid w:val="005F3EB3"/>
    <w:rsid w:val="005F3FA3"/>
    <w:rsid w:val="005F47BB"/>
    <w:rsid w:val="005F4A83"/>
    <w:rsid w:val="005F5061"/>
    <w:rsid w:val="005F506D"/>
    <w:rsid w:val="005F5E4F"/>
    <w:rsid w:val="005F5EB7"/>
    <w:rsid w:val="005F63F0"/>
    <w:rsid w:val="005F6816"/>
    <w:rsid w:val="005F6B6F"/>
    <w:rsid w:val="005F733E"/>
    <w:rsid w:val="005F7510"/>
    <w:rsid w:val="005F7A3A"/>
    <w:rsid w:val="005F7D2C"/>
    <w:rsid w:val="0060021C"/>
    <w:rsid w:val="00600989"/>
    <w:rsid w:val="00600B49"/>
    <w:rsid w:val="00600CAD"/>
    <w:rsid w:val="00600D7F"/>
    <w:rsid w:val="0060181D"/>
    <w:rsid w:val="0060190A"/>
    <w:rsid w:val="00601BCD"/>
    <w:rsid w:val="00601D9E"/>
    <w:rsid w:val="00601E12"/>
    <w:rsid w:val="00602502"/>
    <w:rsid w:val="00602CAB"/>
    <w:rsid w:val="006039D5"/>
    <w:rsid w:val="00603A0C"/>
    <w:rsid w:val="006041D7"/>
    <w:rsid w:val="0060425E"/>
    <w:rsid w:val="006045DB"/>
    <w:rsid w:val="006048E7"/>
    <w:rsid w:val="006048F2"/>
    <w:rsid w:val="00604A4E"/>
    <w:rsid w:val="00605324"/>
    <w:rsid w:val="00605327"/>
    <w:rsid w:val="006055F0"/>
    <w:rsid w:val="00605854"/>
    <w:rsid w:val="00605BE6"/>
    <w:rsid w:val="00605D49"/>
    <w:rsid w:val="00606583"/>
    <w:rsid w:val="006066CC"/>
    <w:rsid w:val="00606730"/>
    <w:rsid w:val="00606D6B"/>
    <w:rsid w:val="006072E1"/>
    <w:rsid w:val="00607356"/>
    <w:rsid w:val="00607A6F"/>
    <w:rsid w:val="00607C62"/>
    <w:rsid w:val="00607D41"/>
    <w:rsid w:val="0061004F"/>
    <w:rsid w:val="006101A4"/>
    <w:rsid w:val="00610445"/>
    <w:rsid w:val="006107C8"/>
    <w:rsid w:val="006108DB"/>
    <w:rsid w:val="00610937"/>
    <w:rsid w:val="00611892"/>
    <w:rsid w:val="00611977"/>
    <w:rsid w:val="00611C07"/>
    <w:rsid w:val="00611E1B"/>
    <w:rsid w:val="0061203F"/>
    <w:rsid w:val="006123BC"/>
    <w:rsid w:val="0061270D"/>
    <w:rsid w:val="00612A7C"/>
    <w:rsid w:val="00612CE0"/>
    <w:rsid w:val="00612FBF"/>
    <w:rsid w:val="006130EE"/>
    <w:rsid w:val="006139EF"/>
    <w:rsid w:val="00614083"/>
    <w:rsid w:val="006140BB"/>
    <w:rsid w:val="0061446A"/>
    <w:rsid w:val="006144F3"/>
    <w:rsid w:val="00614B71"/>
    <w:rsid w:val="00614BEB"/>
    <w:rsid w:val="00614DF4"/>
    <w:rsid w:val="00615359"/>
    <w:rsid w:val="00615836"/>
    <w:rsid w:val="00615B0D"/>
    <w:rsid w:val="00615C7A"/>
    <w:rsid w:val="00615EB0"/>
    <w:rsid w:val="00615F61"/>
    <w:rsid w:val="006161A2"/>
    <w:rsid w:val="006164B9"/>
    <w:rsid w:val="006165F5"/>
    <w:rsid w:val="006166EA"/>
    <w:rsid w:val="00616741"/>
    <w:rsid w:val="006167CD"/>
    <w:rsid w:val="0061696A"/>
    <w:rsid w:val="00616C9B"/>
    <w:rsid w:val="0061769A"/>
    <w:rsid w:val="00617F8A"/>
    <w:rsid w:val="006200E2"/>
    <w:rsid w:val="00620497"/>
    <w:rsid w:val="0062069E"/>
    <w:rsid w:val="006206E2"/>
    <w:rsid w:val="00620871"/>
    <w:rsid w:val="00620B43"/>
    <w:rsid w:val="00620C99"/>
    <w:rsid w:val="006211AE"/>
    <w:rsid w:val="0062132F"/>
    <w:rsid w:val="0062145A"/>
    <w:rsid w:val="0062145F"/>
    <w:rsid w:val="006216FB"/>
    <w:rsid w:val="00621C5D"/>
    <w:rsid w:val="00621FDE"/>
    <w:rsid w:val="00622000"/>
    <w:rsid w:val="006221EA"/>
    <w:rsid w:val="006223E9"/>
    <w:rsid w:val="00622BA4"/>
    <w:rsid w:val="00623965"/>
    <w:rsid w:val="00623D92"/>
    <w:rsid w:val="006241F7"/>
    <w:rsid w:val="0062450C"/>
    <w:rsid w:val="0062470D"/>
    <w:rsid w:val="00624D01"/>
    <w:rsid w:val="00625244"/>
    <w:rsid w:val="006253EF"/>
    <w:rsid w:val="0062552B"/>
    <w:rsid w:val="006257E5"/>
    <w:rsid w:val="00625909"/>
    <w:rsid w:val="00625C23"/>
    <w:rsid w:val="00625D63"/>
    <w:rsid w:val="00626A98"/>
    <w:rsid w:val="00626F4C"/>
    <w:rsid w:val="00626FF0"/>
    <w:rsid w:val="006274BB"/>
    <w:rsid w:val="00627550"/>
    <w:rsid w:val="00627616"/>
    <w:rsid w:val="00627936"/>
    <w:rsid w:val="00627E73"/>
    <w:rsid w:val="00630AB3"/>
    <w:rsid w:val="00630AF8"/>
    <w:rsid w:val="00630C83"/>
    <w:rsid w:val="00630D31"/>
    <w:rsid w:val="00631195"/>
    <w:rsid w:val="006313D6"/>
    <w:rsid w:val="0063161E"/>
    <w:rsid w:val="0063181D"/>
    <w:rsid w:val="00631A0C"/>
    <w:rsid w:val="00631A43"/>
    <w:rsid w:val="00631A93"/>
    <w:rsid w:val="00631D3A"/>
    <w:rsid w:val="0063229C"/>
    <w:rsid w:val="00632342"/>
    <w:rsid w:val="00632423"/>
    <w:rsid w:val="00632436"/>
    <w:rsid w:val="00632BDF"/>
    <w:rsid w:val="00633498"/>
    <w:rsid w:val="0063379A"/>
    <w:rsid w:val="00633EB2"/>
    <w:rsid w:val="00633F4B"/>
    <w:rsid w:val="00633FAF"/>
    <w:rsid w:val="0063447C"/>
    <w:rsid w:val="00634B87"/>
    <w:rsid w:val="00634C6C"/>
    <w:rsid w:val="00634D27"/>
    <w:rsid w:val="006351DB"/>
    <w:rsid w:val="006352A0"/>
    <w:rsid w:val="006356DF"/>
    <w:rsid w:val="00635722"/>
    <w:rsid w:val="00635DBD"/>
    <w:rsid w:val="00636153"/>
    <w:rsid w:val="0063628F"/>
    <w:rsid w:val="00636930"/>
    <w:rsid w:val="00636D53"/>
    <w:rsid w:val="006370AD"/>
    <w:rsid w:val="0063717E"/>
    <w:rsid w:val="0063780C"/>
    <w:rsid w:val="00637F04"/>
    <w:rsid w:val="0064014A"/>
    <w:rsid w:val="00640565"/>
    <w:rsid w:val="00640AB3"/>
    <w:rsid w:val="00640EE4"/>
    <w:rsid w:val="006412BF"/>
    <w:rsid w:val="006412C5"/>
    <w:rsid w:val="006417AB"/>
    <w:rsid w:val="006418DE"/>
    <w:rsid w:val="00642EBA"/>
    <w:rsid w:val="00643243"/>
    <w:rsid w:val="00643854"/>
    <w:rsid w:val="00643A0F"/>
    <w:rsid w:val="00644F50"/>
    <w:rsid w:val="00644F6F"/>
    <w:rsid w:val="00646A07"/>
    <w:rsid w:val="006478BB"/>
    <w:rsid w:val="0064794B"/>
    <w:rsid w:val="00651760"/>
    <w:rsid w:val="0065265A"/>
    <w:rsid w:val="006526F9"/>
    <w:rsid w:val="00652884"/>
    <w:rsid w:val="00652C8C"/>
    <w:rsid w:val="00652CC1"/>
    <w:rsid w:val="00652D81"/>
    <w:rsid w:val="00652D9C"/>
    <w:rsid w:val="006535E1"/>
    <w:rsid w:val="00653976"/>
    <w:rsid w:val="00654044"/>
    <w:rsid w:val="0065422C"/>
    <w:rsid w:val="0065425C"/>
    <w:rsid w:val="0065498A"/>
    <w:rsid w:val="00654DCC"/>
    <w:rsid w:val="0065572E"/>
    <w:rsid w:val="0065573A"/>
    <w:rsid w:val="006559B6"/>
    <w:rsid w:val="00655E54"/>
    <w:rsid w:val="0065685F"/>
    <w:rsid w:val="00656A1E"/>
    <w:rsid w:val="00656A4D"/>
    <w:rsid w:val="00656B29"/>
    <w:rsid w:val="00656FA9"/>
    <w:rsid w:val="006570C3"/>
    <w:rsid w:val="0065754F"/>
    <w:rsid w:val="00657A57"/>
    <w:rsid w:val="00657E64"/>
    <w:rsid w:val="00657EE8"/>
    <w:rsid w:val="006600FA"/>
    <w:rsid w:val="0066066A"/>
    <w:rsid w:val="00660DB4"/>
    <w:rsid w:val="006616C2"/>
    <w:rsid w:val="0066188F"/>
    <w:rsid w:val="00661B6B"/>
    <w:rsid w:val="00661F97"/>
    <w:rsid w:val="00661FFD"/>
    <w:rsid w:val="0066213A"/>
    <w:rsid w:val="00662471"/>
    <w:rsid w:val="0066264D"/>
    <w:rsid w:val="00662C40"/>
    <w:rsid w:val="00662CD6"/>
    <w:rsid w:val="00662D68"/>
    <w:rsid w:val="00663AE0"/>
    <w:rsid w:val="00663D5E"/>
    <w:rsid w:val="0066425F"/>
    <w:rsid w:val="00664EEA"/>
    <w:rsid w:val="00665D2C"/>
    <w:rsid w:val="00665DA0"/>
    <w:rsid w:val="0066604C"/>
    <w:rsid w:val="006668B8"/>
    <w:rsid w:val="00666A11"/>
    <w:rsid w:val="0066731B"/>
    <w:rsid w:val="006675D3"/>
    <w:rsid w:val="006676E0"/>
    <w:rsid w:val="00667758"/>
    <w:rsid w:val="006701A8"/>
    <w:rsid w:val="006702F4"/>
    <w:rsid w:val="0067032B"/>
    <w:rsid w:val="00670598"/>
    <w:rsid w:val="00670E3B"/>
    <w:rsid w:val="00670ED5"/>
    <w:rsid w:val="00671E33"/>
    <w:rsid w:val="00671FB1"/>
    <w:rsid w:val="0067213F"/>
    <w:rsid w:val="00672230"/>
    <w:rsid w:val="006722E5"/>
    <w:rsid w:val="006728AB"/>
    <w:rsid w:val="00672BCF"/>
    <w:rsid w:val="0067314B"/>
    <w:rsid w:val="00673626"/>
    <w:rsid w:val="00673950"/>
    <w:rsid w:val="00673A59"/>
    <w:rsid w:val="006742EE"/>
    <w:rsid w:val="006746A1"/>
    <w:rsid w:val="00674EBF"/>
    <w:rsid w:val="0067528E"/>
    <w:rsid w:val="006759DC"/>
    <w:rsid w:val="00675AFD"/>
    <w:rsid w:val="00675B6A"/>
    <w:rsid w:val="00676BE7"/>
    <w:rsid w:val="00676D8E"/>
    <w:rsid w:val="00676E18"/>
    <w:rsid w:val="006771EC"/>
    <w:rsid w:val="006772EA"/>
    <w:rsid w:val="006775B8"/>
    <w:rsid w:val="00677616"/>
    <w:rsid w:val="00677786"/>
    <w:rsid w:val="006777DB"/>
    <w:rsid w:val="00677ACF"/>
    <w:rsid w:val="00677D43"/>
    <w:rsid w:val="00677F20"/>
    <w:rsid w:val="0068011E"/>
    <w:rsid w:val="00680198"/>
    <w:rsid w:val="0068048F"/>
    <w:rsid w:val="006807C0"/>
    <w:rsid w:val="00680947"/>
    <w:rsid w:val="00681591"/>
    <w:rsid w:val="006816BA"/>
    <w:rsid w:val="00681B69"/>
    <w:rsid w:val="0068209E"/>
    <w:rsid w:val="0068211C"/>
    <w:rsid w:val="006831AF"/>
    <w:rsid w:val="00683D19"/>
    <w:rsid w:val="00684ABA"/>
    <w:rsid w:val="00684BB6"/>
    <w:rsid w:val="00685561"/>
    <w:rsid w:val="0068561E"/>
    <w:rsid w:val="006857D6"/>
    <w:rsid w:val="00685AAE"/>
    <w:rsid w:val="00685C38"/>
    <w:rsid w:val="00686416"/>
    <w:rsid w:val="00686647"/>
    <w:rsid w:val="00686B67"/>
    <w:rsid w:val="006870CA"/>
    <w:rsid w:val="006871A4"/>
    <w:rsid w:val="00687700"/>
    <w:rsid w:val="00687F19"/>
    <w:rsid w:val="00687F5C"/>
    <w:rsid w:val="00690BEA"/>
    <w:rsid w:val="00690D61"/>
    <w:rsid w:val="00690DA6"/>
    <w:rsid w:val="00690F90"/>
    <w:rsid w:val="0069111B"/>
    <w:rsid w:val="00691601"/>
    <w:rsid w:val="00691750"/>
    <w:rsid w:val="0069175D"/>
    <w:rsid w:val="006918AF"/>
    <w:rsid w:val="00691D62"/>
    <w:rsid w:val="00692630"/>
    <w:rsid w:val="0069264F"/>
    <w:rsid w:val="00692DE9"/>
    <w:rsid w:val="00693841"/>
    <w:rsid w:val="00693957"/>
    <w:rsid w:val="006939EE"/>
    <w:rsid w:val="00694020"/>
    <w:rsid w:val="00694350"/>
    <w:rsid w:val="006947E9"/>
    <w:rsid w:val="006948E8"/>
    <w:rsid w:val="006953E0"/>
    <w:rsid w:val="00695504"/>
    <w:rsid w:val="00695645"/>
    <w:rsid w:val="00695B45"/>
    <w:rsid w:val="006960EA"/>
    <w:rsid w:val="0069642E"/>
    <w:rsid w:val="00696628"/>
    <w:rsid w:val="00696FD3"/>
    <w:rsid w:val="006970C6"/>
    <w:rsid w:val="0069721C"/>
    <w:rsid w:val="0069725C"/>
    <w:rsid w:val="00697AA6"/>
    <w:rsid w:val="00697D2A"/>
    <w:rsid w:val="00697D81"/>
    <w:rsid w:val="006A0893"/>
    <w:rsid w:val="006A151A"/>
    <w:rsid w:val="006A158E"/>
    <w:rsid w:val="006A164A"/>
    <w:rsid w:val="006A18AC"/>
    <w:rsid w:val="006A1C6E"/>
    <w:rsid w:val="006A22B3"/>
    <w:rsid w:val="006A2948"/>
    <w:rsid w:val="006A2AEE"/>
    <w:rsid w:val="006A2AF0"/>
    <w:rsid w:val="006A2F23"/>
    <w:rsid w:val="006A3101"/>
    <w:rsid w:val="006A3192"/>
    <w:rsid w:val="006A322C"/>
    <w:rsid w:val="006A3760"/>
    <w:rsid w:val="006A3A95"/>
    <w:rsid w:val="006A3E88"/>
    <w:rsid w:val="006A3E8A"/>
    <w:rsid w:val="006A44B1"/>
    <w:rsid w:val="006A489A"/>
    <w:rsid w:val="006A4B7F"/>
    <w:rsid w:val="006A4BC7"/>
    <w:rsid w:val="006A52D0"/>
    <w:rsid w:val="006A52F3"/>
    <w:rsid w:val="006A52F8"/>
    <w:rsid w:val="006A5475"/>
    <w:rsid w:val="006A570D"/>
    <w:rsid w:val="006A5812"/>
    <w:rsid w:val="006A5D43"/>
    <w:rsid w:val="006A5E36"/>
    <w:rsid w:val="006A60E2"/>
    <w:rsid w:val="006A6234"/>
    <w:rsid w:val="006A6423"/>
    <w:rsid w:val="006A6648"/>
    <w:rsid w:val="006A68EE"/>
    <w:rsid w:val="006A6A07"/>
    <w:rsid w:val="006A6B10"/>
    <w:rsid w:val="006A7051"/>
    <w:rsid w:val="006A719B"/>
    <w:rsid w:val="006A7263"/>
    <w:rsid w:val="006A79CA"/>
    <w:rsid w:val="006A7ADA"/>
    <w:rsid w:val="006A7DC9"/>
    <w:rsid w:val="006B00F0"/>
    <w:rsid w:val="006B026A"/>
    <w:rsid w:val="006B039B"/>
    <w:rsid w:val="006B044B"/>
    <w:rsid w:val="006B0661"/>
    <w:rsid w:val="006B0749"/>
    <w:rsid w:val="006B0961"/>
    <w:rsid w:val="006B0A21"/>
    <w:rsid w:val="006B0FB0"/>
    <w:rsid w:val="006B1426"/>
    <w:rsid w:val="006B1901"/>
    <w:rsid w:val="006B1A09"/>
    <w:rsid w:val="006B1D12"/>
    <w:rsid w:val="006B1E18"/>
    <w:rsid w:val="006B1E6A"/>
    <w:rsid w:val="006B1E88"/>
    <w:rsid w:val="006B1F25"/>
    <w:rsid w:val="006B1FCD"/>
    <w:rsid w:val="006B23A3"/>
    <w:rsid w:val="006B27EE"/>
    <w:rsid w:val="006B289A"/>
    <w:rsid w:val="006B2BE9"/>
    <w:rsid w:val="006B323B"/>
    <w:rsid w:val="006B3415"/>
    <w:rsid w:val="006B3478"/>
    <w:rsid w:val="006B353C"/>
    <w:rsid w:val="006B39B9"/>
    <w:rsid w:val="006B3A40"/>
    <w:rsid w:val="006B3E93"/>
    <w:rsid w:val="006B3EB6"/>
    <w:rsid w:val="006B405D"/>
    <w:rsid w:val="006B40D2"/>
    <w:rsid w:val="006B436A"/>
    <w:rsid w:val="006B45B2"/>
    <w:rsid w:val="006B4F40"/>
    <w:rsid w:val="006B50F6"/>
    <w:rsid w:val="006B5192"/>
    <w:rsid w:val="006B519C"/>
    <w:rsid w:val="006B5206"/>
    <w:rsid w:val="006B5B55"/>
    <w:rsid w:val="006B5DE3"/>
    <w:rsid w:val="006B6157"/>
    <w:rsid w:val="006B623D"/>
    <w:rsid w:val="006B6661"/>
    <w:rsid w:val="006B68A2"/>
    <w:rsid w:val="006B6D15"/>
    <w:rsid w:val="006B74F7"/>
    <w:rsid w:val="006B7E8A"/>
    <w:rsid w:val="006C046C"/>
    <w:rsid w:val="006C0865"/>
    <w:rsid w:val="006C0BCD"/>
    <w:rsid w:val="006C0C9E"/>
    <w:rsid w:val="006C1285"/>
    <w:rsid w:val="006C14E3"/>
    <w:rsid w:val="006C1EA1"/>
    <w:rsid w:val="006C2667"/>
    <w:rsid w:val="006C2ABB"/>
    <w:rsid w:val="006C2D5A"/>
    <w:rsid w:val="006C2DD8"/>
    <w:rsid w:val="006C2FEF"/>
    <w:rsid w:val="006C31CC"/>
    <w:rsid w:val="006C3475"/>
    <w:rsid w:val="006C35A9"/>
    <w:rsid w:val="006C3B68"/>
    <w:rsid w:val="006C3D7B"/>
    <w:rsid w:val="006C3DA8"/>
    <w:rsid w:val="006C3E0A"/>
    <w:rsid w:val="006C4078"/>
    <w:rsid w:val="006C4C37"/>
    <w:rsid w:val="006C4EB6"/>
    <w:rsid w:val="006C512E"/>
    <w:rsid w:val="006C52D9"/>
    <w:rsid w:val="006C52F6"/>
    <w:rsid w:val="006C53A8"/>
    <w:rsid w:val="006C5F11"/>
    <w:rsid w:val="006C6467"/>
    <w:rsid w:val="006C6AC5"/>
    <w:rsid w:val="006C7294"/>
    <w:rsid w:val="006C7374"/>
    <w:rsid w:val="006C7525"/>
    <w:rsid w:val="006C7575"/>
    <w:rsid w:val="006C75E7"/>
    <w:rsid w:val="006C7783"/>
    <w:rsid w:val="006C77BB"/>
    <w:rsid w:val="006C7BE8"/>
    <w:rsid w:val="006D05D0"/>
    <w:rsid w:val="006D0736"/>
    <w:rsid w:val="006D0D62"/>
    <w:rsid w:val="006D0E78"/>
    <w:rsid w:val="006D1272"/>
    <w:rsid w:val="006D1474"/>
    <w:rsid w:val="006D17E2"/>
    <w:rsid w:val="006D1E90"/>
    <w:rsid w:val="006D1F23"/>
    <w:rsid w:val="006D1F99"/>
    <w:rsid w:val="006D25DB"/>
    <w:rsid w:val="006D26B8"/>
    <w:rsid w:val="006D2A4E"/>
    <w:rsid w:val="006D31F3"/>
    <w:rsid w:val="006D360B"/>
    <w:rsid w:val="006D3AB0"/>
    <w:rsid w:val="006D3E29"/>
    <w:rsid w:val="006D45EB"/>
    <w:rsid w:val="006D4DD4"/>
    <w:rsid w:val="006D548C"/>
    <w:rsid w:val="006D5697"/>
    <w:rsid w:val="006D5806"/>
    <w:rsid w:val="006D5862"/>
    <w:rsid w:val="006D66F9"/>
    <w:rsid w:val="006D6A99"/>
    <w:rsid w:val="006D6CCF"/>
    <w:rsid w:val="006D6D87"/>
    <w:rsid w:val="006D6FE0"/>
    <w:rsid w:val="006D7756"/>
    <w:rsid w:val="006D7A9D"/>
    <w:rsid w:val="006D7DE8"/>
    <w:rsid w:val="006D7EED"/>
    <w:rsid w:val="006E029F"/>
    <w:rsid w:val="006E03F1"/>
    <w:rsid w:val="006E0776"/>
    <w:rsid w:val="006E17EA"/>
    <w:rsid w:val="006E1909"/>
    <w:rsid w:val="006E19E2"/>
    <w:rsid w:val="006E1B3A"/>
    <w:rsid w:val="006E1C1B"/>
    <w:rsid w:val="006E1C1E"/>
    <w:rsid w:val="006E2437"/>
    <w:rsid w:val="006E2976"/>
    <w:rsid w:val="006E2A6B"/>
    <w:rsid w:val="006E2F96"/>
    <w:rsid w:val="006E3BF2"/>
    <w:rsid w:val="006E3E1A"/>
    <w:rsid w:val="006E3F24"/>
    <w:rsid w:val="006E4430"/>
    <w:rsid w:val="006E4627"/>
    <w:rsid w:val="006E4AEF"/>
    <w:rsid w:val="006E4D8F"/>
    <w:rsid w:val="006E4D98"/>
    <w:rsid w:val="006E5071"/>
    <w:rsid w:val="006E51A5"/>
    <w:rsid w:val="006E587F"/>
    <w:rsid w:val="006E589E"/>
    <w:rsid w:val="006E589F"/>
    <w:rsid w:val="006E59F5"/>
    <w:rsid w:val="006E5A18"/>
    <w:rsid w:val="006E5CE1"/>
    <w:rsid w:val="006E5D49"/>
    <w:rsid w:val="006E5D6E"/>
    <w:rsid w:val="006E5EF2"/>
    <w:rsid w:val="006E610C"/>
    <w:rsid w:val="006E622B"/>
    <w:rsid w:val="006E6606"/>
    <w:rsid w:val="006E6E88"/>
    <w:rsid w:val="006E785F"/>
    <w:rsid w:val="006E7A83"/>
    <w:rsid w:val="006E7BCF"/>
    <w:rsid w:val="006E7BEE"/>
    <w:rsid w:val="006F0131"/>
    <w:rsid w:val="006F0690"/>
    <w:rsid w:val="006F08EC"/>
    <w:rsid w:val="006F0A6C"/>
    <w:rsid w:val="006F0B4A"/>
    <w:rsid w:val="006F0D2A"/>
    <w:rsid w:val="006F11F4"/>
    <w:rsid w:val="006F1208"/>
    <w:rsid w:val="006F1218"/>
    <w:rsid w:val="006F16C4"/>
    <w:rsid w:val="006F2C03"/>
    <w:rsid w:val="006F2C28"/>
    <w:rsid w:val="006F34BB"/>
    <w:rsid w:val="006F3DBE"/>
    <w:rsid w:val="006F42E1"/>
    <w:rsid w:val="006F487A"/>
    <w:rsid w:val="006F4A09"/>
    <w:rsid w:val="006F4D66"/>
    <w:rsid w:val="006F4DF0"/>
    <w:rsid w:val="006F4EF9"/>
    <w:rsid w:val="006F51C2"/>
    <w:rsid w:val="006F5800"/>
    <w:rsid w:val="006F64CF"/>
    <w:rsid w:val="006F6528"/>
    <w:rsid w:val="006F687A"/>
    <w:rsid w:val="006F6F87"/>
    <w:rsid w:val="006F708F"/>
    <w:rsid w:val="006F7201"/>
    <w:rsid w:val="006F7304"/>
    <w:rsid w:val="006F77B1"/>
    <w:rsid w:val="006F79AF"/>
    <w:rsid w:val="006F7C08"/>
    <w:rsid w:val="006F7C17"/>
    <w:rsid w:val="006F7C88"/>
    <w:rsid w:val="006F7F5B"/>
    <w:rsid w:val="007005CB"/>
    <w:rsid w:val="00700D8F"/>
    <w:rsid w:val="00700DAB"/>
    <w:rsid w:val="00700EF6"/>
    <w:rsid w:val="00701211"/>
    <w:rsid w:val="0070184F"/>
    <w:rsid w:val="007019CC"/>
    <w:rsid w:val="00701EDA"/>
    <w:rsid w:val="00702063"/>
    <w:rsid w:val="0070212D"/>
    <w:rsid w:val="007023DC"/>
    <w:rsid w:val="00702706"/>
    <w:rsid w:val="00702ADA"/>
    <w:rsid w:val="007031C3"/>
    <w:rsid w:val="00703367"/>
    <w:rsid w:val="007039C2"/>
    <w:rsid w:val="00703D1B"/>
    <w:rsid w:val="00704493"/>
    <w:rsid w:val="0070451C"/>
    <w:rsid w:val="00704520"/>
    <w:rsid w:val="00704876"/>
    <w:rsid w:val="00704B83"/>
    <w:rsid w:val="00704C89"/>
    <w:rsid w:val="00704D4F"/>
    <w:rsid w:val="00704F4A"/>
    <w:rsid w:val="00705301"/>
    <w:rsid w:val="007055DB"/>
    <w:rsid w:val="00705AA3"/>
    <w:rsid w:val="00705B69"/>
    <w:rsid w:val="00705CB8"/>
    <w:rsid w:val="00705D84"/>
    <w:rsid w:val="00706047"/>
    <w:rsid w:val="00706A62"/>
    <w:rsid w:val="00706FDF"/>
    <w:rsid w:val="00707287"/>
    <w:rsid w:val="007075D4"/>
    <w:rsid w:val="00707AFA"/>
    <w:rsid w:val="00707C9E"/>
    <w:rsid w:val="00707FFD"/>
    <w:rsid w:val="0071013D"/>
    <w:rsid w:val="00710176"/>
    <w:rsid w:val="0071053F"/>
    <w:rsid w:val="0071067E"/>
    <w:rsid w:val="00710887"/>
    <w:rsid w:val="00710A0F"/>
    <w:rsid w:val="00710B44"/>
    <w:rsid w:val="00710CC1"/>
    <w:rsid w:val="0071125D"/>
    <w:rsid w:val="00711333"/>
    <w:rsid w:val="007115C6"/>
    <w:rsid w:val="007118E1"/>
    <w:rsid w:val="00711B2B"/>
    <w:rsid w:val="00711C2B"/>
    <w:rsid w:val="00712485"/>
    <w:rsid w:val="00712722"/>
    <w:rsid w:val="0071282C"/>
    <w:rsid w:val="007128E3"/>
    <w:rsid w:val="00712909"/>
    <w:rsid w:val="00713175"/>
    <w:rsid w:val="007131C7"/>
    <w:rsid w:val="0071331E"/>
    <w:rsid w:val="007133EF"/>
    <w:rsid w:val="00713704"/>
    <w:rsid w:val="00713D93"/>
    <w:rsid w:val="0071456C"/>
    <w:rsid w:val="0071476B"/>
    <w:rsid w:val="00714FBE"/>
    <w:rsid w:val="00715160"/>
    <w:rsid w:val="00715562"/>
    <w:rsid w:val="00715CE5"/>
    <w:rsid w:val="00715E86"/>
    <w:rsid w:val="007160AF"/>
    <w:rsid w:val="00716113"/>
    <w:rsid w:val="00716585"/>
    <w:rsid w:val="00716C58"/>
    <w:rsid w:val="00716EB8"/>
    <w:rsid w:val="00717491"/>
    <w:rsid w:val="007178CD"/>
    <w:rsid w:val="00717985"/>
    <w:rsid w:val="00717EE9"/>
    <w:rsid w:val="00720042"/>
    <w:rsid w:val="007202BF"/>
    <w:rsid w:val="00720D35"/>
    <w:rsid w:val="0072116D"/>
    <w:rsid w:val="00721B29"/>
    <w:rsid w:val="00721BCF"/>
    <w:rsid w:val="00721EA7"/>
    <w:rsid w:val="007222B6"/>
    <w:rsid w:val="00722312"/>
    <w:rsid w:val="007223EF"/>
    <w:rsid w:val="00722913"/>
    <w:rsid w:val="00723316"/>
    <w:rsid w:val="0072437B"/>
    <w:rsid w:val="00724B10"/>
    <w:rsid w:val="00725537"/>
    <w:rsid w:val="00725575"/>
    <w:rsid w:val="007255CE"/>
    <w:rsid w:val="00725FCC"/>
    <w:rsid w:val="00725FE4"/>
    <w:rsid w:val="0072614E"/>
    <w:rsid w:val="007263A2"/>
    <w:rsid w:val="00726E28"/>
    <w:rsid w:val="0072703D"/>
    <w:rsid w:val="0072726A"/>
    <w:rsid w:val="007272DF"/>
    <w:rsid w:val="0072761A"/>
    <w:rsid w:val="00727827"/>
    <w:rsid w:val="00727877"/>
    <w:rsid w:val="007303A7"/>
    <w:rsid w:val="00730422"/>
    <w:rsid w:val="0073043C"/>
    <w:rsid w:val="0073074A"/>
    <w:rsid w:val="00730B48"/>
    <w:rsid w:val="00730D7D"/>
    <w:rsid w:val="00730DEC"/>
    <w:rsid w:val="00731131"/>
    <w:rsid w:val="007315FF"/>
    <w:rsid w:val="00732040"/>
    <w:rsid w:val="007322E2"/>
    <w:rsid w:val="00732644"/>
    <w:rsid w:val="0073275F"/>
    <w:rsid w:val="00732B49"/>
    <w:rsid w:val="00732DB2"/>
    <w:rsid w:val="00732F75"/>
    <w:rsid w:val="0073313F"/>
    <w:rsid w:val="0073316E"/>
    <w:rsid w:val="007331CC"/>
    <w:rsid w:val="007333A9"/>
    <w:rsid w:val="007336CF"/>
    <w:rsid w:val="0073392E"/>
    <w:rsid w:val="00733956"/>
    <w:rsid w:val="0073396C"/>
    <w:rsid w:val="00733D27"/>
    <w:rsid w:val="00733D87"/>
    <w:rsid w:val="00734488"/>
    <w:rsid w:val="007348FE"/>
    <w:rsid w:val="00734D0E"/>
    <w:rsid w:val="0073531A"/>
    <w:rsid w:val="00735952"/>
    <w:rsid w:val="00736447"/>
    <w:rsid w:val="00736BF1"/>
    <w:rsid w:val="0073720D"/>
    <w:rsid w:val="007376B8"/>
    <w:rsid w:val="00737805"/>
    <w:rsid w:val="007378D3"/>
    <w:rsid w:val="00737C0B"/>
    <w:rsid w:val="00737D33"/>
    <w:rsid w:val="00737DBA"/>
    <w:rsid w:val="00737F5A"/>
    <w:rsid w:val="007400F7"/>
    <w:rsid w:val="00740321"/>
    <w:rsid w:val="007403CC"/>
    <w:rsid w:val="00740549"/>
    <w:rsid w:val="007406E7"/>
    <w:rsid w:val="007408DB"/>
    <w:rsid w:val="00740EEB"/>
    <w:rsid w:val="0074124B"/>
    <w:rsid w:val="00741329"/>
    <w:rsid w:val="007413B3"/>
    <w:rsid w:val="0074191D"/>
    <w:rsid w:val="00741CC2"/>
    <w:rsid w:val="00741F25"/>
    <w:rsid w:val="00742002"/>
    <w:rsid w:val="0074208C"/>
    <w:rsid w:val="007420ED"/>
    <w:rsid w:val="0074232B"/>
    <w:rsid w:val="00742F74"/>
    <w:rsid w:val="0074329C"/>
    <w:rsid w:val="007435BB"/>
    <w:rsid w:val="00743654"/>
    <w:rsid w:val="007437CB"/>
    <w:rsid w:val="00743818"/>
    <w:rsid w:val="00743C45"/>
    <w:rsid w:val="00743CEB"/>
    <w:rsid w:val="00743DA6"/>
    <w:rsid w:val="00743F1C"/>
    <w:rsid w:val="00743FD0"/>
    <w:rsid w:val="00743FD1"/>
    <w:rsid w:val="00744495"/>
    <w:rsid w:val="00744D18"/>
    <w:rsid w:val="007458E7"/>
    <w:rsid w:val="00745ACE"/>
    <w:rsid w:val="00745EBE"/>
    <w:rsid w:val="00746AF9"/>
    <w:rsid w:val="00746D9D"/>
    <w:rsid w:val="00746DC1"/>
    <w:rsid w:val="00746FBE"/>
    <w:rsid w:val="00747400"/>
    <w:rsid w:val="00747FC9"/>
    <w:rsid w:val="0075001B"/>
    <w:rsid w:val="0075028E"/>
    <w:rsid w:val="007506BB"/>
    <w:rsid w:val="00750F0B"/>
    <w:rsid w:val="007514C5"/>
    <w:rsid w:val="00751716"/>
    <w:rsid w:val="00751BD7"/>
    <w:rsid w:val="00751BE6"/>
    <w:rsid w:val="00751F8E"/>
    <w:rsid w:val="00752016"/>
    <w:rsid w:val="00752073"/>
    <w:rsid w:val="00752D2C"/>
    <w:rsid w:val="00753321"/>
    <w:rsid w:val="00753AB0"/>
    <w:rsid w:val="00753B87"/>
    <w:rsid w:val="00754058"/>
    <w:rsid w:val="00754068"/>
    <w:rsid w:val="00754394"/>
    <w:rsid w:val="00754487"/>
    <w:rsid w:val="007546FC"/>
    <w:rsid w:val="00754E3A"/>
    <w:rsid w:val="0075530E"/>
    <w:rsid w:val="00755318"/>
    <w:rsid w:val="0075551B"/>
    <w:rsid w:val="007557CC"/>
    <w:rsid w:val="00755A73"/>
    <w:rsid w:val="00755BC7"/>
    <w:rsid w:val="0075649D"/>
    <w:rsid w:val="00756883"/>
    <w:rsid w:val="007572D0"/>
    <w:rsid w:val="0075760E"/>
    <w:rsid w:val="007577DB"/>
    <w:rsid w:val="00757A9B"/>
    <w:rsid w:val="00757D05"/>
    <w:rsid w:val="00757EE7"/>
    <w:rsid w:val="0076019F"/>
    <w:rsid w:val="007601B7"/>
    <w:rsid w:val="007603C5"/>
    <w:rsid w:val="0076082E"/>
    <w:rsid w:val="00760F1C"/>
    <w:rsid w:val="00760F24"/>
    <w:rsid w:val="00761782"/>
    <w:rsid w:val="007618CC"/>
    <w:rsid w:val="00761970"/>
    <w:rsid w:val="007624AC"/>
    <w:rsid w:val="00762710"/>
    <w:rsid w:val="00762FB2"/>
    <w:rsid w:val="007633AD"/>
    <w:rsid w:val="0076359E"/>
    <w:rsid w:val="00763879"/>
    <w:rsid w:val="0076480B"/>
    <w:rsid w:val="00764BCF"/>
    <w:rsid w:val="00764D85"/>
    <w:rsid w:val="00764F5C"/>
    <w:rsid w:val="00764FE2"/>
    <w:rsid w:val="007651C6"/>
    <w:rsid w:val="007655E2"/>
    <w:rsid w:val="00765B81"/>
    <w:rsid w:val="00765C17"/>
    <w:rsid w:val="00765C9B"/>
    <w:rsid w:val="00766B2F"/>
    <w:rsid w:val="00766B62"/>
    <w:rsid w:val="00766E2E"/>
    <w:rsid w:val="00767105"/>
    <w:rsid w:val="00767C4A"/>
    <w:rsid w:val="0077038B"/>
    <w:rsid w:val="0077086E"/>
    <w:rsid w:val="00770EA4"/>
    <w:rsid w:val="00770F5A"/>
    <w:rsid w:val="0077173B"/>
    <w:rsid w:val="00771AF6"/>
    <w:rsid w:val="00771CCE"/>
    <w:rsid w:val="00771D86"/>
    <w:rsid w:val="00771F8C"/>
    <w:rsid w:val="0077228B"/>
    <w:rsid w:val="0077240E"/>
    <w:rsid w:val="00772B2B"/>
    <w:rsid w:val="00772B8D"/>
    <w:rsid w:val="0077302D"/>
    <w:rsid w:val="007733FA"/>
    <w:rsid w:val="0077345F"/>
    <w:rsid w:val="007736A1"/>
    <w:rsid w:val="00773DB3"/>
    <w:rsid w:val="00774388"/>
    <w:rsid w:val="00774916"/>
    <w:rsid w:val="00774B06"/>
    <w:rsid w:val="00774B0C"/>
    <w:rsid w:val="00774BA8"/>
    <w:rsid w:val="00774F47"/>
    <w:rsid w:val="007752E7"/>
    <w:rsid w:val="0077560F"/>
    <w:rsid w:val="00775834"/>
    <w:rsid w:val="00775F00"/>
    <w:rsid w:val="00777436"/>
    <w:rsid w:val="00777A64"/>
    <w:rsid w:val="00780DE3"/>
    <w:rsid w:val="00780E0E"/>
    <w:rsid w:val="0078148E"/>
    <w:rsid w:val="00781C08"/>
    <w:rsid w:val="00782AF1"/>
    <w:rsid w:val="0078305C"/>
    <w:rsid w:val="00783A81"/>
    <w:rsid w:val="00783C24"/>
    <w:rsid w:val="00783C5C"/>
    <w:rsid w:val="00783D3B"/>
    <w:rsid w:val="0078418D"/>
    <w:rsid w:val="007849EB"/>
    <w:rsid w:val="00784B4D"/>
    <w:rsid w:val="00784BED"/>
    <w:rsid w:val="007850A2"/>
    <w:rsid w:val="0078529E"/>
    <w:rsid w:val="00785314"/>
    <w:rsid w:val="007856AF"/>
    <w:rsid w:val="00785A92"/>
    <w:rsid w:val="00785C17"/>
    <w:rsid w:val="00785D77"/>
    <w:rsid w:val="0078610B"/>
    <w:rsid w:val="00786349"/>
    <w:rsid w:val="00786520"/>
    <w:rsid w:val="00787309"/>
    <w:rsid w:val="00787389"/>
    <w:rsid w:val="00787491"/>
    <w:rsid w:val="007878DB"/>
    <w:rsid w:val="00787E47"/>
    <w:rsid w:val="007902B3"/>
    <w:rsid w:val="007902D9"/>
    <w:rsid w:val="0079054D"/>
    <w:rsid w:val="00790606"/>
    <w:rsid w:val="00790A49"/>
    <w:rsid w:val="00790A56"/>
    <w:rsid w:val="0079182F"/>
    <w:rsid w:val="00791AA8"/>
    <w:rsid w:val="00791C3B"/>
    <w:rsid w:val="007921C4"/>
    <w:rsid w:val="007923D0"/>
    <w:rsid w:val="0079281F"/>
    <w:rsid w:val="007930E7"/>
    <w:rsid w:val="00793300"/>
    <w:rsid w:val="007939B9"/>
    <w:rsid w:val="00793C9F"/>
    <w:rsid w:val="00793E46"/>
    <w:rsid w:val="007941EE"/>
    <w:rsid w:val="007949A4"/>
    <w:rsid w:val="0079575F"/>
    <w:rsid w:val="00795CDE"/>
    <w:rsid w:val="00795DB8"/>
    <w:rsid w:val="00795EE4"/>
    <w:rsid w:val="00795F20"/>
    <w:rsid w:val="00796300"/>
    <w:rsid w:val="00796656"/>
    <w:rsid w:val="00796831"/>
    <w:rsid w:val="00796884"/>
    <w:rsid w:val="00796C1D"/>
    <w:rsid w:val="00796F23"/>
    <w:rsid w:val="00797152"/>
    <w:rsid w:val="007972E6"/>
    <w:rsid w:val="00797743"/>
    <w:rsid w:val="007979B6"/>
    <w:rsid w:val="00797B3E"/>
    <w:rsid w:val="00797FCC"/>
    <w:rsid w:val="007A0614"/>
    <w:rsid w:val="007A0733"/>
    <w:rsid w:val="007A08F0"/>
    <w:rsid w:val="007A09B8"/>
    <w:rsid w:val="007A0DE3"/>
    <w:rsid w:val="007A1087"/>
    <w:rsid w:val="007A135D"/>
    <w:rsid w:val="007A1485"/>
    <w:rsid w:val="007A1BF0"/>
    <w:rsid w:val="007A1C21"/>
    <w:rsid w:val="007A2122"/>
    <w:rsid w:val="007A2196"/>
    <w:rsid w:val="007A24A5"/>
    <w:rsid w:val="007A2BAF"/>
    <w:rsid w:val="007A2FD6"/>
    <w:rsid w:val="007A31E7"/>
    <w:rsid w:val="007A3372"/>
    <w:rsid w:val="007A33CF"/>
    <w:rsid w:val="007A3614"/>
    <w:rsid w:val="007A38C1"/>
    <w:rsid w:val="007A3F61"/>
    <w:rsid w:val="007A445B"/>
    <w:rsid w:val="007A46F4"/>
    <w:rsid w:val="007A4778"/>
    <w:rsid w:val="007A5112"/>
    <w:rsid w:val="007A531D"/>
    <w:rsid w:val="007A5A4D"/>
    <w:rsid w:val="007A5BD6"/>
    <w:rsid w:val="007A622C"/>
    <w:rsid w:val="007A629A"/>
    <w:rsid w:val="007A64C9"/>
    <w:rsid w:val="007A6859"/>
    <w:rsid w:val="007A6A1B"/>
    <w:rsid w:val="007A6ABD"/>
    <w:rsid w:val="007A6D18"/>
    <w:rsid w:val="007A6DA1"/>
    <w:rsid w:val="007A7369"/>
    <w:rsid w:val="007A7602"/>
    <w:rsid w:val="007A79A8"/>
    <w:rsid w:val="007A7A9B"/>
    <w:rsid w:val="007A7EF2"/>
    <w:rsid w:val="007A7FA4"/>
    <w:rsid w:val="007B01DB"/>
    <w:rsid w:val="007B0270"/>
    <w:rsid w:val="007B0277"/>
    <w:rsid w:val="007B049F"/>
    <w:rsid w:val="007B0CCD"/>
    <w:rsid w:val="007B0E51"/>
    <w:rsid w:val="007B1DEE"/>
    <w:rsid w:val="007B2312"/>
    <w:rsid w:val="007B25BD"/>
    <w:rsid w:val="007B2983"/>
    <w:rsid w:val="007B2C30"/>
    <w:rsid w:val="007B32F0"/>
    <w:rsid w:val="007B3428"/>
    <w:rsid w:val="007B349E"/>
    <w:rsid w:val="007B3578"/>
    <w:rsid w:val="007B3683"/>
    <w:rsid w:val="007B3D84"/>
    <w:rsid w:val="007B3E6D"/>
    <w:rsid w:val="007B409A"/>
    <w:rsid w:val="007B41B7"/>
    <w:rsid w:val="007B460F"/>
    <w:rsid w:val="007B4A6E"/>
    <w:rsid w:val="007B4A94"/>
    <w:rsid w:val="007B4BAE"/>
    <w:rsid w:val="007B5824"/>
    <w:rsid w:val="007B5B5D"/>
    <w:rsid w:val="007B5BCC"/>
    <w:rsid w:val="007B66C4"/>
    <w:rsid w:val="007B687F"/>
    <w:rsid w:val="007B75AD"/>
    <w:rsid w:val="007B7E43"/>
    <w:rsid w:val="007B7E6A"/>
    <w:rsid w:val="007C01B4"/>
    <w:rsid w:val="007C0271"/>
    <w:rsid w:val="007C0F7F"/>
    <w:rsid w:val="007C0FC2"/>
    <w:rsid w:val="007C130A"/>
    <w:rsid w:val="007C13B0"/>
    <w:rsid w:val="007C20AD"/>
    <w:rsid w:val="007C2A17"/>
    <w:rsid w:val="007C2B5C"/>
    <w:rsid w:val="007C2CF3"/>
    <w:rsid w:val="007C2D15"/>
    <w:rsid w:val="007C2D74"/>
    <w:rsid w:val="007C2F55"/>
    <w:rsid w:val="007C310D"/>
    <w:rsid w:val="007C31AC"/>
    <w:rsid w:val="007C34CC"/>
    <w:rsid w:val="007C3860"/>
    <w:rsid w:val="007C3A45"/>
    <w:rsid w:val="007C3DCC"/>
    <w:rsid w:val="007C41A1"/>
    <w:rsid w:val="007C4546"/>
    <w:rsid w:val="007C4CA2"/>
    <w:rsid w:val="007C4CEB"/>
    <w:rsid w:val="007C57D1"/>
    <w:rsid w:val="007C5ED9"/>
    <w:rsid w:val="007C6505"/>
    <w:rsid w:val="007C6F37"/>
    <w:rsid w:val="007C7312"/>
    <w:rsid w:val="007C7754"/>
    <w:rsid w:val="007C7780"/>
    <w:rsid w:val="007C77B5"/>
    <w:rsid w:val="007C77E0"/>
    <w:rsid w:val="007C7823"/>
    <w:rsid w:val="007C7967"/>
    <w:rsid w:val="007C7C4E"/>
    <w:rsid w:val="007C7E81"/>
    <w:rsid w:val="007C7FDD"/>
    <w:rsid w:val="007D00E9"/>
    <w:rsid w:val="007D020A"/>
    <w:rsid w:val="007D05C3"/>
    <w:rsid w:val="007D130C"/>
    <w:rsid w:val="007D189A"/>
    <w:rsid w:val="007D1BA8"/>
    <w:rsid w:val="007D1C4C"/>
    <w:rsid w:val="007D1C9D"/>
    <w:rsid w:val="007D1F9E"/>
    <w:rsid w:val="007D216F"/>
    <w:rsid w:val="007D21AC"/>
    <w:rsid w:val="007D227E"/>
    <w:rsid w:val="007D229F"/>
    <w:rsid w:val="007D26B8"/>
    <w:rsid w:val="007D2A7E"/>
    <w:rsid w:val="007D372E"/>
    <w:rsid w:val="007D38C3"/>
    <w:rsid w:val="007D38F3"/>
    <w:rsid w:val="007D3F71"/>
    <w:rsid w:val="007D458A"/>
    <w:rsid w:val="007D4603"/>
    <w:rsid w:val="007D5261"/>
    <w:rsid w:val="007D59F6"/>
    <w:rsid w:val="007D5FBB"/>
    <w:rsid w:val="007D63E4"/>
    <w:rsid w:val="007D65E7"/>
    <w:rsid w:val="007D6610"/>
    <w:rsid w:val="007D67B5"/>
    <w:rsid w:val="007D68C7"/>
    <w:rsid w:val="007D6A76"/>
    <w:rsid w:val="007D6E1D"/>
    <w:rsid w:val="007D6F7C"/>
    <w:rsid w:val="007D7993"/>
    <w:rsid w:val="007D7D65"/>
    <w:rsid w:val="007E060B"/>
    <w:rsid w:val="007E0662"/>
    <w:rsid w:val="007E107B"/>
    <w:rsid w:val="007E1269"/>
    <w:rsid w:val="007E126F"/>
    <w:rsid w:val="007E172B"/>
    <w:rsid w:val="007E1A35"/>
    <w:rsid w:val="007E2356"/>
    <w:rsid w:val="007E2771"/>
    <w:rsid w:val="007E280E"/>
    <w:rsid w:val="007E2E02"/>
    <w:rsid w:val="007E3424"/>
    <w:rsid w:val="007E364E"/>
    <w:rsid w:val="007E3C62"/>
    <w:rsid w:val="007E40A6"/>
    <w:rsid w:val="007E4445"/>
    <w:rsid w:val="007E467D"/>
    <w:rsid w:val="007E4871"/>
    <w:rsid w:val="007E5981"/>
    <w:rsid w:val="007E599B"/>
    <w:rsid w:val="007E688A"/>
    <w:rsid w:val="007E6DC9"/>
    <w:rsid w:val="007E6ED6"/>
    <w:rsid w:val="007E6FF9"/>
    <w:rsid w:val="007E71AD"/>
    <w:rsid w:val="007E71D2"/>
    <w:rsid w:val="007E7293"/>
    <w:rsid w:val="007E76B5"/>
    <w:rsid w:val="007E7CA5"/>
    <w:rsid w:val="007E7D99"/>
    <w:rsid w:val="007E7DC0"/>
    <w:rsid w:val="007F07B9"/>
    <w:rsid w:val="007F0CC2"/>
    <w:rsid w:val="007F0EA8"/>
    <w:rsid w:val="007F0FF0"/>
    <w:rsid w:val="007F10FC"/>
    <w:rsid w:val="007F142C"/>
    <w:rsid w:val="007F14CE"/>
    <w:rsid w:val="007F1584"/>
    <w:rsid w:val="007F16D2"/>
    <w:rsid w:val="007F171B"/>
    <w:rsid w:val="007F1907"/>
    <w:rsid w:val="007F1C8E"/>
    <w:rsid w:val="007F1D01"/>
    <w:rsid w:val="007F1E82"/>
    <w:rsid w:val="007F2298"/>
    <w:rsid w:val="007F2502"/>
    <w:rsid w:val="007F2EDD"/>
    <w:rsid w:val="007F2FF2"/>
    <w:rsid w:val="007F30BD"/>
    <w:rsid w:val="007F30DE"/>
    <w:rsid w:val="007F32C2"/>
    <w:rsid w:val="007F33F2"/>
    <w:rsid w:val="007F35C9"/>
    <w:rsid w:val="007F379E"/>
    <w:rsid w:val="007F3DDA"/>
    <w:rsid w:val="007F3E56"/>
    <w:rsid w:val="007F3ED2"/>
    <w:rsid w:val="007F414B"/>
    <w:rsid w:val="007F42B2"/>
    <w:rsid w:val="007F430F"/>
    <w:rsid w:val="007F4468"/>
    <w:rsid w:val="007F44F6"/>
    <w:rsid w:val="007F4630"/>
    <w:rsid w:val="007F48CA"/>
    <w:rsid w:val="007F4C90"/>
    <w:rsid w:val="007F5472"/>
    <w:rsid w:val="007F5710"/>
    <w:rsid w:val="007F58A9"/>
    <w:rsid w:val="007F5B2B"/>
    <w:rsid w:val="007F5CBF"/>
    <w:rsid w:val="007F5E44"/>
    <w:rsid w:val="007F5FC0"/>
    <w:rsid w:val="007F624B"/>
    <w:rsid w:val="007F6B9A"/>
    <w:rsid w:val="007F6BF4"/>
    <w:rsid w:val="007F6DD6"/>
    <w:rsid w:val="007F6F05"/>
    <w:rsid w:val="007F7932"/>
    <w:rsid w:val="007F7E51"/>
    <w:rsid w:val="007F7F4B"/>
    <w:rsid w:val="0080012D"/>
    <w:rsid w:val="008002BB"/>
    <w:rsid w:val="008011C2"/>
    <w:rsid w:val="00801484"/>
    <w:rsid w:val="00801860"/>
    <w:rsid w:val="008019B4"/>
    <w:rsid w:val="00801B22"/>
    <w:rsid w:val="00801D30"/>
    <w:rsid w:val="0080223C"/>
    <w:rsid w:val="0080256D"/>
    <w:rsid w:val="0080263E"/>
    <w:rsid w:val="008028DA"/>
    <w:rsid w:val="00803161"/>
    <w:rsid w:val="008034A8"/>
    <w:rsid w:val="00803A1D"/>
    <w:rsid w:val="00803E31"/>
    <w:rsid w:val="00803EFD"/>
    <w:rsid w:val="008040AB"/>
    <w:rsid w:val="00804517"/>
    <w:rsid w:val="00804559"/>
    <w:rsid w:val="008045E1"/>
    <w:rsid w:val="00804EB3"/>
    <w:rsid w:val="00804FE1"/>
    <w:rsid w:val="00804FEB"/>
    <w:rsid w:val="00805100"/>
    <w:rsid w:val="008054D9"/>
    <w:rsid w:val="00805653"/>
    <w:rsid w:val="00805AAA"/>
    <w:rsid w:val="00805BBA"/>
    <w:rsid w:val="00805D8B"/>
    <w:rsid w:val="008065A1"/>
    <w:rsid w:val="0080673D"/>
    <w:rsid w:val="00806BF6"/>
    <w:rsid w:val="00806CB1"/>
    <w:rsid w:val="00806EAD"/>
    <w:rsid w:val="00807436"/>
    <w:rsid w:val="00807C4E"/>
    <w:rsid w:val="0081058A"/>
    <w:rsid w:val="00811020"/>
    <w:rsid w:val="008110D3"/>
    <w:rsid w:val="00811346"/>
    <w:rsid w:val="008113D3"/>
    <w:rsid w:val="00811850"/>
    <w:rsid w:val="0081191D"/>
    <w:rsid w:val="00811C35"/>
    <w:rsid w:val="0081214B"/>
    <w:rsid w:val="0081222B"/>
    <w:rsid w:val="008128A0"/>
    <w:rsid w:val="00812C47"/>
    <w:rsid w:val="00812DF6"/>
    <w:rsid w:val="00813485"/>
    <w:rsid w:val="008135D4"/>
    <w:rsid w:val="008136C8"/>
    <w:rsid w:val="00813927"/>
    <w:rsid w:val="00813A13"/>
    <w:rsid w:val="00813A33"/>
    <w:rsid w:val="00813ABC"/>
    <w:rsid w:val="00813B31"/>
    <w:rsid w:val="00813C56"/>
    <w:rsid w:val="008141E6"/>
    <w:rsid w:val="008146EB"/>
    <w:rsid w:val="0081522F"/>
    <w:rsid w:val="00815289"/>
    <w:rsid w:val="008152FE"/>
    <w:rsid w:val="0081535C"/>
    <w:rsid w:val="00815391"/>
    <w:rsid w:val="00815798"/>
    <w:rsid w:val="00815976"/>
    <w:rsid w:val="00816108"/>
    <w:rsid w:val="008161AE"/>
    <w:rsid w:val="0081633D"/>
    <w:rsid w:val="00816760"/>
    <w:rsid w:val="008167E2"/>
    <w:rsid w:val="00816DB5"/>
    <w:rsid w:val="00816E67"/>
    <w:rsid w:val="00816F60"/>
    <w:rsid w:val="00816F83"/>
    <w:rsid w:val="0081776C"/>
    <w:rsid w:val="00817860"/>
    <w:rsid w:val="008178D0"/>
    <w:rsid w:val="00817FCF"/>
    <w:rsid w:val="0082000B"/>
    <w:rsid w:val="00820222"/>
    <w:rsid w:val="008209BF"/>
    <w:rsid w:val="00820E13"/>
    <w:rsid w:val="00820F89"/>
    <w:rsid w:val="00821086"/>
    <w:rsid w:val="0082130F"/>
    <w:rsid w:val="008217C2"/>
    <w:rsid w:val="00821981"/>
    <w:rsid w:val="00821B4B"/>
    <w:rsid w:val="0082205F"/>
    <w:rsid w:val="008224DB"/>
    <w:rsid w:val="0082250E"/>
    <w:rsid w:val="00822755"/>
    <w:rsid w:val="00822998"/>
    <w:rsid w:val="0082342C"/>
    <w:rsid w:val="008234AE"/>
    <w:rsid w:val="00823A34"/>
    <w:rsid w:val="00823A56"/>
    <w:rsid w:val="00823C6C"/>
    <w:rsid w:val="00823C9E"/>
    <w:rsid w:val="00823EE1"/>
    <w:rsid w:val="00823FD0"/>
    <w:rsid w:val="00824517"/>
    <w:rsid w:val="00824523"/>
    <w:rsid w:val="00824924"/>
    <w:rsid w:val="00824946"/>
    <w:rsid w:val="00824B96"/>
    <w:rsid w:val="00824D52"/>
    <w:rsid w:val="008250E2"/>
    <w:rsid w:val="00825510"/>
    <w:rsid w:val="00825966"/>
    <w:rsid w:val="008260F1"/>
    <w:rsid w:val="00826EBC"/>
    <w:rsid w:val="008275E3"/>
    <w:rsid w:val="00827653"/>
    <w:rsid w:val="0082775D"/>
    <w:rsid w:val="00827BBB"/>
    <w:rsid w:val="00827C1C"/>
    <w:rsid w:val="00827C7F"/>
    <w:rsid w:val="00827E4C"/>
    <w:rsid w:val="00827FA2"/>
    <w:rsid w:val="00830247"/>
    <w:rsid w:val="00830796"/>
    <w:rsid w:val="00830872"/>
    <w:rsid w:val="00830AA1"/>
    <w:rsid w:val="00830CC5"/>
    <w:rsid w:val="00830D02"/>
    <w:rsid w:val="00831507"/>
    <w:rsid w:val="008317F5"/>
    <w:rsid w:val="008318F7"/>
    <w:rsid w:val="00831909"/>
    <w:rsid w:val="00831A23"/>
    <w:rsid w:val="008322E5"/>
    <w:rsid w:val="008324BE"/>
    <w:rsid w:val="0083275A"/>
    <w:rsid w:val="00832A07"/>
    <w:rsid w:val="00832D2A"/>
    <w:rsid w:val="008335C9"/>
    <w:rsid w:val="008335F2"/>
    <w:rsid w:val="00833B1D"/>
    <w:rsid w:val="00833DE0"/>
    <w:rsid w:val="00833DFF"/>
    <w:rsid w:val="008342E9"/>
    <w:rsid w:val="00834B08"/>
    <w:rsid w:val="00834FAF"/>
    <w:rsid w:val="008350E1"/>
    <w:rsid w:val="0083515A"/>
    <w:rsid w:val="00835402"/>
    <w:rsid w:val="00835669"/>
    <w:rsid w:val="0083583F"/>
    <w:rsid w:val="00835862"/>
    <w:rsid w:val="00836A20"/>
    <w:rsid w:val="00836BA8"/>
    <w:rsid w:val="00836F72"/>
    <w:rsid w:val="00837301"/>
    <w:rsid w:val="008374CA"/>
    <w:rsid w:val="0083787D"/>
    <w:rsid w:val="0083793D"/>
    <w:rsid w:val="00837D4C"/>
    <w:rsid w:val="0084006A"/>
    <w:rsid w:val="00840614"/>
    <w:rsid w:val="00840E4E"/>
    <w:rsid w:val="00840F1A"/>
    <w:rsid w:val="0084120C"/>
    <w:rsid w:val="0084256C"/>
    <w:rsid w:val="00842B2D"/>
    <w:rsid w:val="00843094"/>
    <w:rsid w:val="008433E7"/>
    <w:rsid w:val="00843414"/>
    <w:rsid w:val="0084395D"/>
    <w:rsid w:val="00843BED"/>
    <w:rsid w:val="008440BE"/>
    <w:rsid w:val="00844242"/>
    <w:rsid w:val="00844E5E"/>
    <w:rsid w:val="00845064"/>
    <w:rsid w:val="00845210"/>
    <w:rsid w:val="00845297"/>
    <w:rsid w:val="008452C5"/>
    <w:rsid w:val="008452D8"/>
    <w:rsid w:val="00845541"/>
    <w:rsid w:val="008459F2"/>
    <w:rsid w:val="00846086"/>
    <w:rsid w:val="008460A6"/>
    <w:rsid w:val="00846127"/>
    <w:rsid w:val="00846405"/>
    <w:rsid w:val="008467EF"/>
    <w:rsid w:val="008468BE"/>
    <w:rsid w:val="00846A77"/>
    <w:rsid w:val="00846B23"/>
    <w:rsid w:val="00846CFF"/>
    <w:rsid w:val="0084743D"/>
    <w:rsid w:val="00847846"/>
    <w:rsid w:val="00847871"/>
    <w:rsid w:val="00847C44"/>
    <w:rsid w:val="00850000"/>
    <w:rsid w:val="00850E64"/>
    <w:rsid w:val="00850EC1"/>
    <w:rsid w:val="00851227"/>
    <w:rsid w:val="00851494"/>
    <w:rsid w:val="008519EC"/>
    <w:rsid w:val="00851B34"/>
    <w:rsid w:val="00851BD0"/>
    <w:rsid w:val="00851BEB"/>
    <w:rsid w:val="008520AA"/>
    <w:rsid w:val="0085247F"/>
    <w:rsid w:val="0085260A"/>
    <w:rsid w:val="00852867"/>
    <w:rsid w:val="00852EAE"/>
    <w:rsid w:val="008532D8"/>
    <w:rsid w:val="00853602"/>
    <w:rsid w:val="0085369F"/>
    <w:rsid w:val="00853973"/>
    <w:rsid w:val="00853C3F"/>
    <w:rsid w:val="00853F96"/>
    <w:rsid w:val="008547AF"/>
    <w:rsid w:val="00854A37"/>
    <w:rsid w:val="00854C1A"/>
    <w:rsid w:val="00854D0C"/>
    <w:rsid w:val="00854D90"/>
    <w:rsid w:val="00854DA9"/>
    <w:rsid w:val="00854EF4"/>
    <w:rsid w:val="00854FF9"/>
    <w:rsid w:val="008553D9"/>
    <w:rsid w:val="00855462"/>
    <w:rsid w:val="008555CC"/>
    <w:rsid w:val="0085578E"/>
    <w:rsid w:val="00855A3E"/>
    <w:rsid w:val="00855C7E"/>
    <w:rsid w:val="00855E2B"/>
    <w:rsid w:val="008566DD"/>
    <w:rsid w:val="0085673E"/>
    <w:rsid w:val="00856902"/>
    <w:rsid w:val="0085694F"/>
    <w:rsid w:val="008570CA"/>
    <w:rsid w:val="0085722E"/>
    <w:rsid w:val="008572BD"/>
    <w:rsid w:val="008572CE"/>
    <w:rsid w:val="00857325"/>
    <w:rsid w:val="0085769B"/>
    <w:rsid w:val="00857723"/>
    <w:rsid w:val="0085782C"/>
    <w:rsid w:val="0086047E"/>
    <w:rsid w:val="008605C5"/>
    <w:rsid w:val="0086072F"/>
    <w:rsid w:val="0086079A"/>
    <w:rsid w:val="00860DAE"/>
    <w:rsid w:val="00860EB0"/>
    <w:rsid w:val="00861004"/>
    <w:rsid w:val="008610CA"/>
    <w:rsid w:val="00861469"/>
    <w:rsid w:val="00861EB2"/>
    <w:rsid w:val="00861FD8"/>
    <w:rsid w:val="008626F5"/>
    <w:rsid w:val="008627D2"/>
    <w:rsid w:val="00862B68"/>
    <w:rsid w:val="00862FB3"/>
    <w:rsid w:val="00863562"/>
    <w:rsid w:val="00863A4B"/>
    <w:rsid w:val="00863EB7"/>
    <w:rsid w:val="00863FBB"/>
    <w:rsid w:val="00864182"/>
    <w:rsid w:val="00864AB7"/>
    <w:rsid w:val="00864BC6"/>
    <w:rsid w:val="00864C32"/>
    <w:rsid w:val="00864DD6"/>
    <w:rsid w:val="00864E1C"/>
    <w:rsid w:val="00865D6E"/>
    <w:rsid w:val="00865F5C"/>
    <w:rsid w:val="00866022"/>
    <w:rsid w:val="008664E5"/>
    <w:rsid w:val="0086665A"/>
    <w:rsid w:val="008666BE"/>
    <w:rsid w:val="0086699A"/>
    <w:rsid w:val="00866FF3"/>
    <w:rsid w:val="0086710E"/>
    <w:rsid w:val="0086752B"/>
    <w:rsid w:val="008675E9"/>
    <w:rsid w:val="00867637"/>
    <w:rsid w:val="00867ADB"/>
    <w:rsid w:val="00870280"/>
    <w:rsid w:val="008702EF"/>
    <w:rsid w:val="00870359"/>
    <w:rsid w:val="008704FC"/>
    <w:rsid w:val="00870502"/>
    <w:rsid w:val="00870BE6"/>
    <w:rsid w:val="00870C25"/>
    <w:rsid w:val="00870E00"/>
    <w:rsid w:val="00870F77"/>
    <w:rsid w:val="00871664"/>
    <w:rsid w:val="008718A7"/>
    <w:rsid w:val="00871D5C"/>
    <w:rsid w:val="00871F42"/>
    <w:rsid w:val="00872039"/>
    <w:rsid w:val="0087308A"/>
    <w:rsid w:val="0087310A"/>
    <w:rsid w:val="00873449"/>
    <w:rsid w:val="0087348E"/>
    <w:rsid w:val="008735F6"/>
    <w:rsid w:val="00873674"/>
    <w:rsid w:val="00873936"/>
    <w:rsid w:val="00873BD4"/>
    <w:rsid w:val="00873C2D"/>
    <w:rsid w:val="00873CDD"/>
    <w:rsid w:val="00873CFE"/>
    <w:rsid w:val="008742A2"/>
    <w:rsid w:val="008742E8"/>
    <w:rsid w:val="0087436E"/>
    <w:rsid w:val="008743DF"/>
    <w:rsid w:val="00874787"/>
    <w:rsid w:val="00874A61"/>
    <w:rsid w:val="008750BA"/>
    <w:rsid w:val="008750BF"/>
    <w:rsid w:val="008752F7"/>
    <w:rsid w:val="00875860"/>
    <w:rsid w:val="00875A9E"/>
    <w:rsid w:val="0087650E"/>
    <w:rsid w:val="0087689F"/>
    <w:rsid w:val="0087694C"/>
    <w:rsid w:val="00876A21"/>
    <w:rsid w:val="00876A65"/>
    <w:rsid w:val="00876B11"/>
    <w:rsid w:val="008776F4"/>
    <w:rsid w:val="00877E66"/>
    <w:rsid w:val="00877F8E"/>
    <w:rsid w:val="00877F96"/>
    <w:rsid w:val="00880FDC"/>
    <w:rsid w:val="00881118"/>
    <w:rsid w:val="00881266"/>
    <w:rsid w:val="00881620"/>
    <w:rsid w:val="00881670"/>
    <w:rsid w:val="00881756"/>
    <w:rsid w:val="00881848"/>
    <w:rsid w:val="0088194C"/>
    <w:rsid w:val="00881A56"/>
    <w:rsid w:val="00881A5C"/>
    <w:rsid w:val="00881F06"/>
    <w:rsid w:val="008820DC"/>
    <w:rsid w:val="008822A6"/>
    <w:rsid w:val="008823F6"/>
    <w:rsid w:val="00882427"/>
    <w:rsid w:val="008824D1"/>
    <w:rsid w:val="0088257F"/>
    <w:rsid w:val="008825C5"/>
    <w:rsid w:val="00882B6F"/>
    <w:rsid w:val="00882EAB"/>
    <w:rsid w:val="00883053"/>
    <w:rsid w:val="00883150"/>
    <w:rsid w:val="00883234"/>
    <w:rsid w:val="008837D1"/>
    <w:rsid w:val="0088383F"/>
    <w:rsid w:val="00883A6C"/>
    <w:rsid w:val="00883DE3"/>
    <w:rsid w:val="00883E60"/>
    <w:rsid w:val="0088414E"/>
    <w:rsid w:val="0088462E"/>
    <w:rsid w:val="00884A15"/>
    <w:rsid w:val="00884D8E"/>
    <w:rsid w:val="008850B7"/>
    <w:rsid w:val="00885457"/>
    <w:rsid w:val="008855FB"/>
    <w:rsid w:val="00885615"/>
    <w:rsid w:val="00885943"/>
    <w:rsid w:val="00885B84"/>
    <w:rsid w:val="00885D1B"/>
    <w:rsid w:val="00886140"/>
    <w:rsid w:val="008865BD"/>
    <w:rsid w:val="00886E1A"/>
    <w:rsid w:val="00886E51"/>
    <w:rsid w:val="0088786D"/>
    <w:rsid w:val="00887BA4"/>
    <w:rsid w:val="00887D3E"/>
    <w:rsid w:val="00890063"/>
    <w:rsid w:val="0089077B"/>
    <w:rsid w:val="008909ED"/>
    <w:rsid w:val="0089113C"/>
    <w:rsid w:val="00891287"/>
    <w:rsid w:val="0089149E"/>
    <w:rsid w:val="008915D8"/>
    <w:rsid w:val="00891898"/>
    <w:rsid w:val="00891959"/>
    <w:rsid w:val="008920B5"/>
    <w:rsid w:val="008920FB"/>
    <w:rsid w:val="00892A5F"/>
    <w:rsid w:val="00892B5B"/>
    <w:rsid w:val="00892D67"/>
    <w:rsid w:val="00892EDB"/>
    <w:rsid w:val="00893910"/>
    <w:rsid w:val="008941E3"/>
    <w:rsid w:val="0089423E"/>
    <w:rsid w:val="0089435A"/>
    <w:rsid w:val="00894A15"/>
    <w:rsid w:val="00894C47"/>
    <w:rsid w:val="00894D5A"/>
    <w:rsid w:val="00895425"/>
    <w:rsid w:val="008955C2"/>
    <w:rsid w:val="008958A1"/>
    <w:rsid w:val="00895A8B"/>
    <w:rsid w:val="00895AD8"/>
    <w:rsid w:val="00895DA5"/>
    <w:rsid w:val="00895DE5"/>
    <w:rsid w:val="00895F79"/>
    <w:rsid w:val="008960C8"/>
    <w:rsid w:val="00896A08"/>
    <w:rsid w:val="00896B93"/>
    <w:rsid w:val="00896F98"/>
    <w:rsid w:val="00897205"/>
    <w:rsid w:val="00897417"/>
    <w:rsid w:val="0089791C"/>
    <w:rsid w:val="00897BBB"/>
    <w:rsid w:val="00897DF3"/>
    <w:rsid w:val="00897FA4"/>
    <w:rsid w:val="00897FD2"/>
    <w:rsid w:val="008A036E"/>
    <w:rsid w:val="008A060E"/>
    <w:rsid w:val="008A0757"/>
    <w:rsid w:val="008A0E1B"/>
    <w:rsid w:val="008A1E68"/>
    <w:rsid w:val="008A1F23"/>
    <w:rsid w:val="008A1F59"/>
    <w:rsid w:val="008A2081"/>
    <w:rsid w:val="008A2798"/>
    <w:rsid w:val="008A29B6"/>
    <w:rsid w:val="008A31B8"/>
    <w:rsid w:val="008A3301"/>
    <w:rsid w:val="008A3390"/>
    <w:rsid w:val="008A3904"/>
    <w:rsid w:val="008A40D9"/>
    <w:rsid w:val="008A4646"/>
    <w:rsid w:val="008A473B"/>
    <w:rsid w:val="008A4C95"/>
    <w:rsid w:val="008A4DAB"/>
    <w:rsid w:val="008A4F08"/>
    <w:rsid w:val="008A511B"/>
    <w:rsid w:val="008A56B2"/>
    <w:rsid w:val="008A57A4"/>
    <w:rsid w:val="008A5F47"/>
    <w:rsid w:val="008A677E"/>
    <w:rsid w:val="008A68A8"/>
    <w:rsid w:val="008A6AAB"/>
    <w:rsid w:val="008A6ED4"/>
    <w:rsid w:val="008A6F38"/>
    <w:rsid w:val="008A7235"/>
    <w:rsid w:val="008A742F"/>
    <w:rsid w:val="008A75D4"/>
    <w:rsid w:val="008A773E"/>
    <w:rsid w:val="008A7896"/>
    <w:rsid w:val="008A7A15"/>
    <w:rsid w:val="008A7A4F"/>
    <w:rsid w:val="008B0D42"/>
    <w:rsid w:val="008B0E00"/>
    <w:rsid w:val="008B136C"/>
    <w:rsid w:val="008B22B3"/>
    <w:rsid w:val="008B22BC"/>
    <w:rsid w:val="008B2468"/>
    <w:rsid w:val="008B2642"/>
    <w:rsid w:val="008B26F4"/>
    <w:rsid w:val="008B275B"/>
    <w:rsid w:val="008B283D"/>
    <w:rsid w:val="008B29F9"/>
    <w:rsid w:val="008B2C04"/>
    <w:rsid w:val="008B2DEF"/>
    <w:rsid w:val="008B2FCD"/>
    <w:rsid w:val="008B35C9"/>
    <w:rsid w:val="008B3D29"/>
    <w:rsid w:val="008B4117"/>
    <w:rsid w:val="008B4397"/>
    <w:rsid w:val="008B45D2"/>
    <w:rsid w:val="008B46E7"/>
    <w:rsid w:val="008B47EF"/>
    <w:rsid w:val="008B4F60"/>
    <w:rsid w:val="008B4F6B"/>
    <w:rsid w:val="008B4FDA"/>
    <w:rsid w:val="008B5131"/>
    <w:rsid w:val="008B5399"/>
    <w:rsid w:val="008B55BA"/>
    <w:rsid w:val="008B56E3"/>
    <w:rsid w:val="008B5B63"/>
    <w:rsid w:val="008B5C38"/>
    <w:rsid w:val="008B5D6C"/>
    <w:rsid w:val="008B5EC0"/>
    <w:rsid w:val="008B5FBE"/>
    <w:rsid w:val="008B5FFA"/>
    <w:rsid w:val="008B6264"/>
    <w:rsid w:val="008B6411"/>
    <w:rsid w:val="008B6DC2"/>
    <w:rsid w:val="008B70EB"/>
    <w:rsid w:val="008B721B"/>
    <w:rsid w:val="008B72D6"/>
    <w:rsid w:val="008B764D"/>
    <w:rsid w:val="008B76A6"/>
    <w:rsid w:val="008B771C"/>
    <w:rsid w:val="008B7FAA"/>
    <w:rsid w:val="008C0003"/>
    <w:rsid w:val="008C027F"/>
    <w:rsid w:val="008C08C0"/>
    <w:rsid w:val="008C09ED"/>
    <w:rsid w:val="008C0FC4"/>
    <w:rsid w:val="008C1247"/>
    <w:rsid w:val="008C130A"/>
    <w:rsid w:val="008C198E"/>
    <w:rsid w:val="008C1AAC"/>
    <w:rsid w:val="008C1E98"/>
    <w:rsid w:val="008C21E2"/>
    <w:rsid w:val="008C22F1"/>
    <w:rsid w:val="008C36CD"/>
    <w:rsid w:val="008C3AA7"/>
    <w:rsid w:val="008C3FBA"/>
    <w:rsid w:val="008C45E7"/>
    <w:rsid w:val="008C46AA"/>
    <w:rsid w:val="008C4872"/>
    <w:rsid w:val="008C49FF"/>
    <w:rsid w:val="008C51C0"/>
    <w:rsid w:val="008C5976"/>
    <w:rsid w:val="008C59C6"/>
    <w:rsid w:val="008C5BFE"/>
    <w:rsid w:val="008C6255"/>
    <w:rsid w:val="008C6489"/>
    <w:rsid w:val="008C655A"/>
    <w:rsid w:val="008C679F"/>
    <w:rsid w:val="008C6DCD"/>
    <w:rsid w:val="008C6EA1"/>
    <w:rsid w:val="008C74BA"/>
    <w:rsid w:val="008C789D"/>
    <w:rsid w:val="008D042F"/>
    <w:rsid w:val="008D0894"/>
    <w:rsid w:val="008D0F66"/>
    <w:rsid w:val="008D14E5"/>
    <w:rsid w:val="008D1612"/>
    <w:rsid w:val="008D16CD"/>
    <w:rsid w:val="008D16DD"/>
    <w:rsid w:val="008D1830"/>
    <w:rsid w:val="008D18D4"/>
    <w:rsid w:val="008D193B"/>
    <w:rsid w:val="008D197A"/>
    <w:rsid w:val="008D21C4"/>
    <w:rsid w:val="008D245D"/>
    <w:rsid w:val="008D2A4B"/>
    <w:rsid w:val="008D2C97"/>
    <w:rsid w:val="008D34E2"/>
    <w:rsid w:val="008D3E9A"/>
    <w:rsid w:val="008D41C8"/>
    <w:rsid w:val="008D43BB"/>
    <w:rsid w:val="008D4816"/>
    <w:rsid w:val="008D4A3A"/>
    <w:rsid w:val="008D4AB7"/>
    <w:rsid w:val="008D4D62"/>
    <w:rsid w:val="008D4E6A"/>
    <w:rsid w:val="008D50DF"/>
    <w:rsid w:val="008D51C5"/>
    <w:rsid w:val="008D5E87"/>
    <w:rsid w:val="008D6009"/>
    <w:rsid w:val="008D6B01"/>
    <w:rsid w:val="008D6CBB"/>
    <w:rsid w:val="008D6F1B"/>
    <w:rsid w:val="008D6FA7"/>
    <w:rsid w:val="008D70BD"/>
    <w:rsid w:val="008D7652"/>
    <w:rsid w:val="008D77C7"/>
    <w:rsid w:val="008D78AF"/>
    <w:rsid w:val="008D7D71"/>
    <w:rsid w:val="008D7FE0"/>
    <w:rsid w:val="008E03C7"/>
    <w:rsid w:val="008E0567"/>
    <w:rsid w:val="008E0972"/>
    <w:rsid w:val="008E097D"/>
    <w:rsid w:val="008E0E1E"/>
    <w:rsid w:val="008E1143"/>
    <w:rsid w:val="008E1ACA"/>
    <w:rsid w:val="008E1BB7"/>
    <w:rsid w:val="008E1D66"/>
    <w:rsid w:val="008E1EDE"/>
    <w:rsid w:val="008E22F6"/>
    <w:rsid w:val="008E24EF"/>
    <w:rsid w:val="008E2985"/>
    <w:rsid w:val="008E317D"/>
    <w:rsid w:val="008E3E44"/>
    <w:rsid w:val="008E41BA"/>
    <w:rsid w:val="008E4226"/>
    <w:rsid w:val="008E4276"/>
    <w:rsid w:val="008E42E7"/>
    <w:rsid w:val="008E4386"/>
    <w:rsid w:val="008E4506"/>
    <w:rsid w:val="008E459E"/>
    <w:rsid w:val="008E4DE9"/>
    <w:rsid w:val="008E588D"/>
    <w:rsid w:val="008E5FCE"/>
    <w:rsid w:val="008E6037"/>
    <w:rsid w:val="008E60AD"/>
    <w:rsid w:val="008E68C2"/>
    <w:rsid w:val="008E6E20"/>
    <w:rsid w:val="008E6F1A"/>
    <w:rsid w:val="008E7265"/>
    <w:rsid w:val="008E73A2"/>
    <w:rsid w:val="008E74F8"/>
    <w:rsid w:val="008E760D"/>
    <w:rsid w:val="008E7707"/>
    <w:rsid w:val="008E7895"/>
    <w:rsid w:val="008E7A8C"/>
    <w:rsid w:val="008E7D79"/>
    <w:rsid w:val="008E7DF1"/>
    <w:rsid w:val="008E7F25"/>
    <w:rsid w:val="008F076E"/>
    <w:rsid w:val="008F0932"/>
    <w:rsid w:val="008F105F"/>
    <w:rsid w:val="008F10A6"/>
    <w:rsid w:val="008F138A"/>
    <w:rsid w:val="008F138B"/>
    <w:rsid w:val="008F146C"/>
    <w:rsid w:val="008F1714"/>
    <w:rsid w:val="008F1D81"/>
    <w:rsid w:val="008F1D88"/>
    <w:rsid w:val="008F2477"/>
    <w:rsid w:val="008F2507"/>
    <w:rsid w:val="008F26DE"/>
    <w:rsid w:val="008F2B41"/>
    <w:rsid w:val="008F2B7C"/>
    <w:rsid w:val="008F3166"/>
    <w:rsid w:val="008F3692"/>
    <w:rsid w:val="008F3C3E"/>
    <w:rsid w:val="008F4350"/>
    <w:rsid w:val="008F4480"/>
    <w:rsid w:val="008F491C"/>
    <w:rsid w:val="008F49E1"/>
    <w:rsid w:val="008F4CE0"/>
    <w:rsid w:val="008F4D24"/>
    <w:rsid w:val="008F4DC2"/>
    <w:rsid w:val="008F4EE9"/>
    <w:rsid w:val="008F50D8"/>
    <w:rsid w:val="008F5F29"/>
    <w:rsid w:val="008F61B3"/>
    <w:rsid w:val="008F61F7"/>
    <w:rsid w:val="008F6496"/>
    <w:rsid w:val="008F694C"/>
    <w:rsid w:val="008F6D0A"/>
    <w:rsid w:val="008F70B5"/>
    <w:rsid w:val="008F7236"/>
    <w:rsid w:val="008F736C"/>
    <w:rsid w:val="008F790B"/>
    <w:rsid w:val="008F7B0C"/>
    <w:rsid w:val="008F7BDB"/>
    <w:rsid w:val="008F7D02"/>
    <w:rsid w:val="008F7DAF"/>
    <w:rsid w:val="00900132"/>
    <w:rsid w:val="009007FE"/>
    <w:rsid w:val="00900977"/>
    <w:rsid w:val="009009EB"/>
    <w:rsid w:val="00900B4A"/>
    <w:rsid w:val="00900CB7"/>
    <w:rsid w:val="00900DAB"/>
    <w:rsid w:val="0090110F"/>
    <w:rsid w:val="00901468"/>
    <w:rsid w:val="00901D86"/>
    <w:rsid w:val="00901EFE"/>
    <w:rsid w:val="00901F43"/>
    <w:rsid w:val="009022B8"/>
    <w:rsid w:val="00902921"/>
    <w:rsid w:val="00902B9A"/>
    <w:rsid w:val="00902E56"/>
    <w:rsid w:val="00902E86"/>
    <w:rsid w:val="00903B9E"/>
    <w:rsid w:val="00903C89"/>
    <w:rsid w:val="00903E1F"/>
    <w:rsid w:val="00903E9A"/>
    <w:rsid w:val="00903F98"/>
    <w:rsid w:val="00904598"/>
    <w:rsid w:val="0090493B"/>
    <w:rsid w:val="00904A74"/>
    <w:rsid w:val="00904D72"/>
    <w:rsid w:val="00904DED"/>
    <w:rsid w:val="00904E41"/>
    <w:rsid w:val="00904F0F"/>
    <w:rsid w:val="009051CA"/>
    <w:rsid w:val="009056AC"/>
    <w:rsid w:val="00905869"/>
    <w:rsid w:val="0090704F"/>
    <w:rsid w:val="009071B6"/>
    <w:rsid w:val="00907DBE"/>
    <w:rsid w:val="00910105"/>
    <w:rsid w:val="009107A0"/>
    <w:rsid w:val="00910862"/>
    <w:rsid w:val="00910C31"/>
    <w:rsid w:val="009112EA"/>
    <w:rsid w:val="0091157C"/>
    <w:rsid w:val="00911BF2"/>
    <w:rsid w:val="00911C4F"/>
    <w:rsid w:val="00911EA1"/>
    <w:rsid w:val="009125C9"/>
    <w:rsid w:val="0091277A"/>
    <w:rsid w:val="00912A52"/>
    <w:rsid w:val="00913106"/>
    <w:rsid w:val="00913953"/>
    <w:rsid w:val="00914068"/>
    <w:rsid w:val="00914096"/>
    <w:rsid w:val="00914120"/>
    <w:rsid w:val="009146EB"/>
    <w:rsid w:val="009147CC"/>
    <w:rsid w:val="009148B9"/>
    <w:rsid w:val="00914C0D"/>
    <w:rsid w:val="00915202"/>
    <w:rsid w:val="0091560E"/>
    <w:rsid w:val="0091597B"/>
    <w:rsid w:val="00915C33"/>
    <w:rsid w:val="00915F23"/>
    <w:rsid w:val="00916263"/>
    <w:rsid w:val="009162EE"/>
    <w:rsid w:val="00916488"/>
    <w:rsid w:val="0091671C"/>
    <w:rsid w:val="0091680C"/>
    <w:rsid w:val="00916A82"/>
    <w:rsid w:val="00916BE6"/>
    <w:rsid w:val="00916F78"/>
    <w:rsid w:val="009175D7"/>
    <w:rsid w:val="009177A1"/>
    <w:rsid w:val="00917ABA"/>
    <w:rsid w:val="00917CE1"/>
    <w:rsid w:val="009200E3"/>
    <w:rsid w:val="009201E9"/>
    <w:rsid w:val="00920488"/>
    <w:rsid w:val="009207EF"/>
    <w:rsid w:val="00920EA4"/>
    <w:rsid w:val="009211E2"/>
    <w:rsid w:val="00921238"/>
    <w:rsid w:val="00921743"/>
    <w:rsid w:val="00921869"/>
    <w:rsid w:val="009219E9"/>
    <w:rsid w:val="00921E38"/>
    <w:rsid w:val="00921E72"/>
    <w:rsid w:val="009222B1"/>
    <w:rsid w:val="00922336"/>
    <w:rsid w:val="00923035"/>
    <w:rsid w:val="00923178"/>
    <w:rsid w:val="00923DA9"/>
    <w:rsid w:val="009246CE"/>
    <w:rsid w:val="00924A67"/>
    <w:rsid w:val="00924C34"/>
    <w:rsid w:val="00924D95"/>
    <w:rsid w:val="00925228"/>
    <w:rsid w:val="009252C0"/>
    <w:rsid w:val="00925D96"/>
    <w:rsid w:val="0092630F"/>
    <w:rsid w:val="0092651B"/>
    <w:rsid w:val="00926558"/>
    <w:rsid w:val="00926B06"/>
    <w:rsid w:val="00926E21"/>
    <w:rsid w:val="00926F23"/>
    <w:rsid w:val="0092726C"/>
    <w:rsid w:val="0092763D"/>
    <w:rsid w:val="00927B1D"/>
    <w:rsid w:val="00927C0D"/>
    <w:rsid w:val="0093017D"/>
    <w:rsid w:val="009302E3"/>
    <w:rsid w:val="00930483"/>
    <w:rsid w:val="009309D0"/>
    <w:rsid w:val="00930A37"/>
    <w:rsid w:val="00930D25"/>
    <w:rsid w:val="00930E6D"/>
    <w:rsid w:val="00931681"/>
    <w:rsid w:val="00931BC4"/>
    <w:rsid w:val="0093255A"/>
    <w:rsid w:val="009327D8"/>
    <w:rsid w:val="00932BAA"/>
    <w:rsid w:val="00932BAE"/>
    <w:rsid w:val="00932E2B"/>
    <w:rsid w:val="0093351C"/>
    <w:rsid w:val="00933742"/>
    <w:rsid w:val="0093392D"/>
    <w:rsid w:val="00933A74"/>
    <w:rsid w:val="00933A92"/>
    <w:rsid w:val="00933AA8"/>
    <w:rsid w:val="00933B9E"/>
    <w:rsid w:val="00933D33"/>
    <w:rsid w:val="00933FF0"/>
    <w:rsid w:val="0093443B"/>
    <w:rsid w:val="009348A5"/>
    <w:rsid w:val="00934A1E"/>
    <w:rsid w:val="00934A49"/>
    <w:rsid w:val="00934A5C"/>
    <w:rsid w:val="00934C26"/>
    <w:rsid w:val="00934D76"/>
    <w:rsid w:val="00934E9B"/>
    <w:rsid w:val="0093555B"/>
    <w:rsid w:val="0093563E"/>
    <w:rsid w:val="00935789"/>
    <w:rsid w:val="009357F3"/>
    <w:rsid w:val="00935B60"/>
    <w:rsid w:val="00935C5C"/>
    <w:rsid w:val="00935E6F"/>
    <w:rsid w:val="009363F2"/>
    <w:rsid w:val="0093640E"/>
    <w:rsid w:val="00936817"/>
    <w:rsid w:val="00936A03"/>
    <w:rsid w:val="00936FBC"/>
    <w:rsid w:val="00937145"/>
    <w:rsid w:val="009373AD"/>
    <w:rsid w:val="009373B2"/>
    <w:rsid w:val="0093774E"/>
    <w:rsid w:val="00937B77"/>
    <w:rsid w:val="0094044C"/>
    <w:rsid w:val="0094055E"/>
    <w:rsid w:val="009406E5"/>
    <w:rsid w:val="0094078D"/>
    <w:rsid w:val="0094099B"/>
    <w:rsid w:val="00940AE0"/>
    <w:rsid w:val="00940B99"/>
    <w:rsid w:val="00940CD1"/>
    <w:rsid w:val="00940DCC"/>
    <w:rsid w:val="00940F78"/>
    <w:rsid w:val="00940FA3"/>
    <w:rsid w:val="009422A0"/>
    <w:rsid w:val="00942324"/>
    <w:rsid w:val="009427A5"/>
    <w:rsid w:val="00942AB4"/>
    <w:rsid w:val="00942E26"/>
    <w:rsid w:val="009432DE"/>
    <w:rsid w:val="009436F0"/>
    <w:rsid w:val="0094390D"/>
    <w:rsid w:val="00943924"/>
    <w:rsid w:val="009444D6"/>
    <w:rsid w:val="009446B8"/>
    <w:rsid w:val="00944965"/>
    <w:rsid w:val="00944A0C"/>
    <w:rsid w:val="00944C2D"/>
    <w:rsid w:val="00944C4E"/>
    <w:rsid w:val="00944F18"/>
    <w:rsid w:val="00944F2B"/>
    <w:rsid w:val="009452E2"/>
    <w:rsid w:val="009452E3"/>
    <w:rsid w:val="00945334"/>
    <w:rsid w:val="00945876"/>
    <w:rsid w:val="0094598A"/>
    <w:rsid w:val="00945B47"/>
    <w:rsid w:val="00945D9A"/>
    <w:rsid w:val="00946156"/>
    <w:rsid w:val="00946658"/>
    <w:rsid w:val="00946A77"/>
    <w:rsid w:val="009474C2"/>
    <w:rsid w:val="009478DD"/>
    <w:rsid w:val="00947989"/>
    <w:rsid w:val="009479DF"/>
    <w:rsid w:val="00947C7D"/>
    <w:rsid w:val="00947F99"/>
    <w:rsid w:val="00950480"/>
    <w:rsid w:val="00950C4E"/>
    <w:rsid w:val="00950E27"/>
    <w:rsid w:val="00951147"/>
    <w:rsid w:val="00951294"/>
    <w:rsid w:val="009516EC"/>
    <w:rsid w:val="009517E2"/>
    <w:rsid w:val="00952160"/>
    <w:rsid w:val="00952376"/>
    <w:rsid w:val="009528D2"/>
    <w:rsid w:val="00952FA0"/>
    <w:rsid w:val="00953207"/>
    <w:rsid w:val="009535EB"/>
    <w:rsid w:val="00953A90"/>
    <w:rsid w:val="00953C04"/>
    <w:rsid w:val="00953D5F"/>
    <w:rsid w:val="00953F24"/>
    <w:rsid w:val="009545A7"/>
    <w:rsid w:val="009545ED"/>
    <w:rsid w:val="00954710"/>
    <w:rsid w:val="00954726"/>
    <w:rsid w:val="00954A23"/>
    <w:rsid w:val="00954B34"/>
    <w:rsid w:val="00954FD2"/>
    <w:rsid w:val="00955797"/>
    <w:rsid w:val="00955DB1"/>
    <w:rsid w:val="00955F35"/>
    <w:rsid w:val="00955FF7"/>
    <w:rsid w:val="0095609D"/>
    <w:rsid w:val="009565C4"/>
    <w:rsid w:val="009566CB"/>
    <w:rsid w:val="00956C89"/>
    <w:rsid w:val="00956CD4"/>
    <w:rsid w:val="00956E99"/>
    <w:rsid w:val="00956EAD"/>
    <w:rsid w:val="009577E0"/>
    <w:rsid w:val="00957A9D"/>
    <w:rsid w:val="00957AD0"/>
    <w:rsid w:val="00957D85"/>
    <w:rsid w:val="00957DB1"/>
    <w:rsid w:val="0096009F"/>
    <w:rsid w:val="009600DE"/>
    <w:rsid w:val="0096014C"/>
    <w:rsid w:val="00960548"/>
    <w:rsid w:val="00960B7E"/>
    <w:rsid w:val="00960DDB"/>
    <w:rsid w:val="00960E19"/>
    <w:rsid w:val="009611A8"/>
    <w:rsid w:val="009616D8"/>
    <w:rsid w:val="0096191A"/>
    <w:rsid w:val="00961A30"/>
    <w:rsid w:val="00961E9A"/>
    <w:rsid w:val="00961F57"/>
    <w:rsid w:val="0096245A"/>
    <w:rsid w:val="00962472"/>
    <w:rsid w:val="0096255B"/>
    <w:rsid w:val="0096256E"/>
    <w:rsid w:val="009626FB"/>
    <w:rsid w:val="009629F4"/>
    <w:rsid w:val="00962B57"/>
    <w:rsid w:val="00962BFB"/>
    <w:rsid w:val="00962DEC"/>
    <w:rsid w:val="00962EAA"/>
    <w:rsid w:val="00962ED1"/>
    <w:rsid w:val="0096323F"/>
    <w:rsid w:val="009634E0"/>
    <w:rsid w:val="009636D7"/>
    <w:rsid w:val="00963BD7"/>
    <w:rsid w:val="00963C37"/>
    <w:rsid w:val="00963D69"/>
    <w:rsid w:val="0096408D"/>
    <w:rsid w:val="00964348"/>
    <w:rsid w:val="0096454F"/>
    <w:rsid w:val="00964702"/>
    <w:rsid w:val="00964EEA"/>
    <w:rsid w:val="00964FF3"/>
    <w:rsid w:val="00965A53"/>
    <w:rsid w:val="00965B44"/>
    <w:rsid w:val="00965DBD"/>
    <w:rsid w:val="009662A4"/>
    <w:rsid w:val="009665D2"/>
    <w:rsid w:val="00966A5F"/>
    <w:rsid w:val="00966F31"/>
    <w:rsid w:val="00966F34"/>
    <w:rsid w:val="00967772"/>
    <w:rsid w:val="009677D5"/>
    <w:rsid w:val="00967DC3"/>
    <w:rsid w:val="0097000F"/>
    <w:rsid w:val="009704CF"/>
    <w:rsid w:val="009717BC"/>
    <w:rsid w:val="00971C24"/>
    <w:rsid w:val="0097208E"/>
    <w:rsid w:val="00972208"/>
    <w:rsid w:val="009727FF"/>
    <w:rsid w:val="00972E1E"/>
    <w:rsid w:val="00973350"/>
    <w:rsid w:val="00973595"/>
    <w:rsid w:val="009736B9"/>
    <w:rsid w:val="00973A11"/>
    <w:rsid w:val="00974778"/>
    <w:rsid w:val="0097481D"/>
    <w:rsid w:val="0097484B"/>
    <w:rsid w:val="0097498F"/>
    <w:rsid w:val="00974A3B"/>
    <w:rsid w:val="00975269"/>
    <w:rsid w:val="0097552D"/>
    <w:rsid w:val="009756C8"/>
    <w:rsid w:val="00975B33"/>
    <w:rsid w:val="00975CB7"/>
    <w:rsid w:val="00976932"/>
    <w:rsid w:val="00976DDB"/>
    <w:rsid w:val="009772D6"/>
    <w:rsid w:val="009778C1"/>
    <w:rsid w:val="00977B91"/>
    <w:rsid w:val="00977C97"/>
    <w:rsid w:val="00977FC0"/>
    <w:rsid w:val="00977FCE"/>
    <w:rsid w:val="00980043"/>
    <w:rsid w:val="0098066D"/>
    <w:rsid w:val="009807BF"/>
    <w:rsid w:val="009808B9"/>
    <w:rsid w:val="009811E2"/>
    <w:rsid w:val="0098136D"/>
    <w:rsid w:val="009813F5"/>
    <w:rsid w:val="00981618"/>
    <w:rsid w:val="00981F48"/>
    <w:rsid w:val="009821BA"/>
    <w:rsid w:val="00982684"/>
    <w:rsid w:val="009829D8"/>
    <w:rsid w:val="0098336F"/>
    <w:rsid w:val="009833CB"/>
    <w:rsid w:val="00983490"/>
    <w:rsid w:val="00983624"/>
    <w:rsid w:val="00983D72"/>
    <w:rsid w:val="00983F2D"/>
    <w:rsid w:val="00984205"/>
    <w:rsid w:val="00984364"/>
    <w:rsid w:val="009843C7"/>
    <w:rsid w:val="00984441"/>
    <w:rsid w:val="00984568"/>
    <w:rsid w:val="0098472A"/>
    <w:rsid w:val="00984738"/>
    <w:rsid w:val="00984E35"/>
    <w:rsid w:val="00984EDF"/>
    <w:rsid w:val="009854C0"/>
    <w:rsid w:val="00985896"/>
    <w:rsid w:val="00985D93"/>
    <w:rsid w:val="00985DE2"/>
    <w:rsid w:val="00985F8A"/>
    <w:rsid w:val="00986030"/>
    <w:rsid w:val="00986584"/>
    <w:rsid w:val="00986A1D"/>
    <w:rsid w:val="00986A50"/>
    <w:rsid w:val="009875A6"/>
    <w:rsid w:val="00987BAF"/>
    <w:rsid w:val="00987E05"/>
    <w:rsid w:val="00987F24"/>
    <w:rsid w:val="0099023A"/>
    <w:rsid w:val="00990873"/>
    <w:rsid w:val="00990D82"/>
    <w:rsid w:val="00990EDE"/>
    <w:rsid w:val="00991031"/>
    <w:rsid w:val="00991216"/>
    <w:rsid w:val="0099149B"/>
    <w:rsid w:val="009915B9"/>
    <w:rsid w:val="0099179E"/>
    <w:rsid w:val="0099186B"/>
    <w:rsid w:val="00991F88"/>
    <w:rsid w:val="009921ED"/>
    <w:rsid w:val="00992220"/>
    <w:rsid w:val="00992A7A"/>
    <w:rsid w:val="0099302C"/>
    <w:rsid w:val="00993090"/>
    <w:rsid w:val="009931DC"/>
    <w:rsid w:val="00993413"/>
    <w:rsid w:val="00993418"/>
    <w:rsid w:val="0099364A"/>
    <w:rsid w:val="00993B96"/>
    <w:rsid w:val="00993C0C"/>
    <w:rsid w:val="00993ED6"/>
    <w:rsid w:val="00993F5F"/>
    <w:rsid w:val="00993F79"/>
    <w:rsid w:val="009946CA"/>
    <w:rsid w:val="00994BC9"/>
    <w:rsid w:val="00994D03"/>
    <w:rsid w:val="00994D55"/>
    <w:rsid w:val="00994FAB"/>
    <w:rsid w:val="00995326"/>
    <w:rsid w:val="00995AFB"/>
    <w:rsid w:val="00995BF0"/>
    <w:rsid w:val="00995D26"/>
    <w:rsid w:val="009961B6"/>
    <w:rsid w:val="00996297"/>
    <w:rsid w:val="00996363"/>
    <w:rsid w:val="009966F5"/>
    <w:rsid w:val="0099681B"/>
    <w:rsid w:val="0099682F"/>
    <w:rsid w:val="00996942"/>
    <w:rsid w:val="00996F47"/>
    <w:rsid w:val="00997356"/>
    <w:rsid w:val="0099752B"/>
    <w:rsid w:val="009976FC"/>
    <w:rsid w:val="00997A41"/>
    <w:rsid w:val="00997B2A"/>
    <w:rsid w:val="00997DAF"/>
    <w:rsid w:val="00997F98"/>
    <w:rsid w:val="009A0302"/>
    <w:rsid w:val="009A0CE5"/>
    <w:rsid w:val="009A0DDE"/>
    <w:rsid w:val="009A2399"/>
    <w:rsid w:val="009A2D10"/>
    <w:rsid w:val="009A3147"/>
    <w:rsid w:val="009A3633"/>
    <w:rsid w:val="009A4192"/>
    <w:rsid w:val="009A435B"/>
    <w:rsid w:val="009A4527"/>
    <w:rsid w:val="009A4609"/>
    <w:rsid w:val="009A4743"/>
    <w:rsid w:val="009A4C33"/>
    <w:rsid w:val="009A4CD2"/>
    <w:rsid w:val="009A4D6A"/>
    <w:rsid w:val="009A4F6A"/>
    <w:rsid w:val="009A50C3"/>
    <w:rsid w:val="009A53EE"/>
    <w:rsid w:val="009A5F02"/>
    <w:rsid w:val="009A604D"/>
    <w:rsid w:val="009A6073"/>
    <w:rsid w:val="009A60F0"/>
    <w:rsid w:val="009A7565"/>
    <w:rsid w:val="009A76FB"/>
    <w:rsid w:val="009A7BBF"/>
    <w:rsid w:val="009A7C25"/>
    <w:rsid w:val="009B03D6"/>
    <w:rsid w:val="009B0C55"/>
    <w:rsid w:val="009B0F31"/>
    <w:rsid w:val="009B1045"/>
    <w:rsid w:val="009B1CF7"/>
    <w:rsid w:val="009B1D1A"/>
    <w:rsid w:val="009B1F8F"/>
    <w:rsid w:val="009B1FAE"/>
    <w:rsid w:val="009B225B"/>
    <w:rsid w:val="009B2457"/>
    <w:rsid w:val="009B251E"/>
    <w:rsid w:val="009B2B2A"/>
    <w:rsid w:val="009B2CE9"/>
    <w:rsid w:val="009B36A7"/>
    <w:rsid w:val="009B3775"/>
    <w:rsid w:val="009B3C4F"/>
    <w:rsid w:val="009B3E20"/>
    <w:rsid w:val="009B3E4B"/>
    <w:rsid w:val="009B3FEA"/>
    <w:rsid w:val="009B40AF"/>
    <w:rsid w:val="009B432E"/>
    <w:rsid w:val="009B4560"/>
    <w:rsid w:val="009B45A9"/>
    <w:rsid w:val="009B486F"/>
    <w:rsid w:val="009B4B45"/>
    <w:rsid w:val="009B4CD8"/>
    <w:rsid w:val="009B4FA8"/>
    <w:rsid w:val="009B534C"/>
    <w:rsid w:val="009B5A50"/>
    <w:rsid w:val="009B5C40"/>
    <w:rsid w:val="009B5F2D"/>
    <w:rsid w:val="009B605D"/>
    <w:rsid w:val="009B64CE"/>
    <w:rsid w:val="009B6680"/>
    <w:rsid w:val="009B755D"/>
    <w:rsid w:val="009B76B7"/>
    <w:rsid w:val="009B773C"/>
    <w:rsid w:val="009B77A4"/>
    <w:rsid w:val="009B7834"/>
    <w:rsid w:val="009B799A"/>
    <w:rsid w:val="009B7DA4"/>
    <w:rsid w:val="009B7DDB"/>
    <w:rsid w:val="009B7EB1"/>
    <w:rsid w:val="009C07A1"/>
    <w:rsid w:val="009C08BC"/>
    <w:rsid w:val="009C0C3B"/>
    <w:rsid w:val="009C0F5B"/>
    <w:rsid w:val="009C0F9D"/>
    <w:rsid w:val="009C124E"/>
    <w:rsid w:val="009C15D2"/>
    <w:rsid w:val="009C2326"/>
    <w:rsid w:val="009C2444"/>
    <w:rsid w:val="009C24AF"/>
    <w:rsid w:val="009C24DE"/>
    <w:rsid w:val="009C24E3"/>
    <w:rsid w:val="009C259E"/>
    <w:rsid w:val="009C2963"/>
    <w:rsid w:val="009C2B02"/>
    <w:rsid w:val="009C2BBB"/>
    <w:rsid w:val="009C2C00"/>
    <w:rsid w:val="009C2CB2"/>
    <w:rsid w:val="009C2DE8"/>
    <w:rsid w:val="009C348D"/>
    <w:rsid w:val="009C3835"/>
    <w:rsid w:val="009C40FA"/>
    <w:rsid w:val="009C48D9"/>
    <w:rsid w:val="009C4EAE"/>
    <w:rsid w:val="009C57E9"/>
    <w:rsid w:val="009C582C"/>
    <w:rsid w:val="009C5BBE"/>
    <w:rsid w:val="009C5CFA"/>
    <w:rsid w:val="009C5E96"/>
    <w:rsid w:val="009C5F5B"/>
    <w:rsid w:val="009C60D4"/>
    <w:rsid w:val="009C631C"/>
    <w:rsid w:val="009C6453"/>
    <w:rsid w:val="009C6530"/>
    <w:rsid w:val="009C6DB3"/>
    <w:rsid w:val="009C6F1E"/>
    <w:rsid w:val="009C7665"/>
    <w:rsid w:val="009C766B"/>
    <w:rsid w:val="009C7BDE"/>
    <w:rsid w:val="009D03CA"/>
    <w:rsid w:val="009D0472"/>
    <w:rsid w:val="009D052B"/>
    <w:rsid w:val="009D0819"/>
    <w:rsid w:val="009D08D3"/>
    <w:rsid w:val="009D0B85"/>
    <w:rsid w:val="009D0C87"/>
    <w:rsid w:val="009D0F1F"/>
    <w:rsid w:val="009D1665"/>
    <w:rsid w:val="009D1684"/>
    <w:rsid w:val="009D1B4A"/>
    <w:rsid w:val="009D235B"/>
    <w:rsid w:val="009D2670"/>
    <w:rsid w:val="009D2699"/>
    <w:rsid w:val="009D2716"/>
    <w:rsid w:val="009D296C"/>
    <w:rsid w:val="009D2DDA"/>
    <w:rsid w:val="009D2EDE"/>
    <w:rsid w:val="009D331E"/>
    <w:rsid w:val="009D3A57"/>
    <w:rsid w:val="009D4544"/>
    <w:rsid w:val="009D4EBB"/>
    <w:rsid w:val="009D4FCF"/>
    <w:rsid w:val="009D500C"/>
    <w:rsid w:val="009D528D"/>
    <w:rsid w:val="009D53E4"/>
    <w:rsid w:val="009D57FC"/>
    <w:rsid w:val="009D583F"/>
    <w:rsid w:val="009D5AAD"/>
    <w:rsid w:val="009D5BA8"/>
    <w:rsid w:val="009D5C1E"/>
    <w:rsid w:val="009D5CF0"/>
    <w:rsid w:val="009D6175"/>
    <w:rsid w:val="009D63FB"/>
    <w:rsid w:val="009D6E34"/>
    <w:rsid w:val="009D6F88"/>
    <w:rsid w:val="009D7002"/>
    <w:rsid w:val="009D71C7"/>
    <w:rsid w:val="009D74E8"/>
    <w:rsid w:val="009D76CE"/>
    <w:rsid w:val="009D7731"/>
    <w:rsid w:val="009D79F8"/>
    <w:rsid w:val="009D7C87"/>
    <w:rsid w:val="009D7E5E"/>
    <w:rsid w:val="009E0145"/>
    <w:rsid w:val="009E03B6"/>
    <w:rsid w:val="009E0BE0"/>
    <w:rsid w:val="009E0E45"/>
    <w:rsid w:val="009E10BF"/>
    <w:rsid w:val="009E13C9"/>
    <w:rsid w:val="009E18F9"/>
    <w:rsid w:val="009E196E"/>
    <w:rsid w:val="009E1BE3"/>
    <w:rsid w:val="009E1FA4"/>
    <w:rsid w:val="009E2880"/>
    <w:rsid w:val="009E2F09"/>
    <w:rsid w:val="009E312B"/>
    <w:rsid w:val="009E359B"/>
    <w:rsid w:val="009E35E0"/>
    <w:rsid w:val="009E3808"/>
    <w:rsid w:val="009E3965"/>
    <w:rsid w:val="009E42F5"/>
    <w:rsid w:val="009E4509"/>
    <w:rsid w:val="009E45DB"/>
    <w:rsid w:val="009E4609"/>
    <w:rsid w:val="009E489E"/>
    <w:rsid w:val="009E4A77"/>
    <w:rsid w:val="009E4BCF"/>
    <w:rsid w:val="009E4D9A"/>
    <w:rsid w:val="009E4E23"/>
    <w:rsid w:val="009E4F54"/>
    <w:rsid w:val="009E5064"/>
    <w:rsid w:val="009E5766"/>
    <w:rsid w:val="009E5ABC"/>
    <w:rsid w:val="009E5B40"/>
    <w:rsid w:val="009E5DCB"/>
    <w:rsid w:val="009E5F97"/>
    <w:rsid w:val="009E5FF3"/>
    <w:rsid w:val="009E6AD0"/>
    <w:rsid w:val="009E6C15"/>
    <w:rsid w:val="009E6DA7"/>
    <w:rsid w:val="009E6E7B"/>
    <w:rsid w:val="009E6FD9"/>
    <w:rsid w:val="009E75FF"/>
    <w:rsid w:val="009E7D79"/>
    <w:rsid w:val="009F036D"/>
    <w:rsid w:val="009F05AE"/>
    <w:rsid w:val="009F09F6"/>
    <w:rsid w:val="009F0AF5"/>
    <w:rsid w:val="009F1207"/>
    <w:rsid w:val="009F164C"/>
    <w:rsid w:val="009F1770"/>
    <w:rsid w:val="009F1D55"/>
    <w:rsid w:val="009F2115"/>
    <w:rsid w:val="009F222D"/>
    <w:rsid w:val="009F22A8"/>
    <w:rsid w:val="009F22BE"/>
    <w:rsid w:val="009F237B"/>
    <w:rsid w:val="009F2789"/>
    <w:rsid w:val="009F2C98"/>
    <w:rsid w:val="009F341A"/>
    <w:rsid w:val="009F3442"/>
    <w:rsid w:val="009F3A2C"/>
    <w:rsid w:val="009F3BB4"/>
    <w:rsid w:val="009F43CA"/>
    <w:rsid w:val="009F4BC2"/>
    <w:rsid w:val="009F4EBE"/>
    <w:rsid w:val="009F576E"/>
    <w:rsid w:val="009F5A14"/>
    <w:rsid w:val="009F5D77"/>
    <w:rsid w:val="009F604F"/>
    <w:rsid w:val="009F665D"/>
    <w:rsid w:val="009F6B40"/>
    <w:rsid w:val="009F6E76"/>
    <w:rsid w:val="009F7179"/>
    <w:rsid w:val="009F7335"/>
    <w:rsid w:val="009F750D"/>
    <w:rsid w:val="009F757B"/>
    <w:rsid w:val="009F7D8B"/>
    <w:rsid w:val="009F7F18"/>
    <w:rsid w:val="00A00935"/>
    <w:rsid w:val="00A009CF"/>
    <w:rsid w:val="00A00EAB"/>
    <w:rsid w:val="00A017AD"/>
    <w:rsid w:val="00A01942"/>
    <w:rsid w:val="00A01AE3"/>
    <w:rsid w:val="00A01C7F"/>
    <w:rsid w:val="00A02E0A"/>
    <w:rsid w:val="00A03353"/>
    <w:rsid w:val="00A0360B"/>
    <w:rsid w:val="00A03840"/>
    <w:rsid w:val="00A0394D"/>
    <w:rsid w:val="00A03B5C"/>
    <w:rsid w:val="00A042C8"/>
    <w:rsid w:val="00A044A7"/>
    <w:rsid w:val="00A044BF"/>
    <w:rsid w:val="00A04719"/>
    <w:rsid w:val="00A047D5"/>
    <w:rsid w:val="00A0487A"/>
    <w:rsid w:val="00A04B71"/>
    <w:rsid w:val="00A053DB"/>
    <w:rsid w:val="00A061A1"/>
    <w:rsid w:val="00A066DB"/>
    <w:rsid w:val="00A0787E"/>
    <w:rsid w:val="00A07B0E"/>
    <w:rsid w:val="00A07C74"/>
    <w:rsid w:val="00A07E6B"/>
    <w:rsid w:val="00A10221"/>
    <w:rsid w:val="00A10342"/>
    <w:rsid w:val="00A10609"/>
    <w:rsid w:val="00A10745"/>
    <w:rsid w:val="00A1076C"/>
    <w:rsid w:val="00A10834"/>
    <w:rsid w:val="00A10D70"/>
    <w:rsid w:val="00A1184A"/>
    <w:rsid w:val="00A1196E"/>
    <w:rsid w:val="00A11DF7"/>
    <w:rsid w:val="00A12641"/>
    <w:rsid w:val="00A1290C"/>
    <w:rsid w:val="00A12BF2"/>
    <w:rsid w:val="00A12E67"/>
    <w:rsid w:val="00A13054"/>
    <w:rsid w:val="00A13928"/>
    <w:rsid w:val="00A13A24"/>
    <w:rsid w:val="00A13A67"/>
    <w:rsid w:val="00A14321"/>
    <w:rsid w:val="00A14863"/>
    <w:rsid w:val="00A148CD"/>
    <w:rsid w:val="00A14F38"/>
    <w:rsid w:val="00A1555F"/>
    <w:rsid w:val="00A15596"/>
    <w:rsid w:val="00A155F8"/>
    <w:rsid w:val="00A156F8"/>
    <w:rsid w:val="00A15D4A"/>
    <w:rsid w:val="00A161F1"/>
    <w:rsid w:val="00A16A2E"/>
    <w:rsid w:val="00A16F98"/>
    <w:rsid w:val="00A16FB3"/>
    <w:rsid w:val="00A17155"/>
    <w:rsid w:val="00A17F76"/>
    <w:rsid w:val="00A20098"/>
    <w:rsid w:val="00A200B2"/>
    <w:rsid w:val="00A20AAC"/>
    <w:rsid w:val="00A20E4B"/>
    <w:rsid w:val="00A20EA7"/>
    <w:rsid w:val="00A20FED"/>
    <w:rsid w:val="00A2100C"/>
    <w:rsid w:val="00A21342"/>
    <w:rsid w:val="00A215F9"/>
    <w:rsid w:val="00A21B5B"/>
    <w:rsid w:val="00A21D16"/>
    <w:rsid w:val="00A21D7B"/>
    <w:rsid w:val="00A22641"/>
    <w:rsid w:val="00A22925"/>
    <w:rsid w:val="00A22C25"/>
    <w:rsid w:val="00A22E7B"/>
    <w:rsid w:val="00A231B3"/>
    <w:rsid w:val="00A231C3"/>
    <w:rsid w:val="00A234A3"/>
    <w:rsid w:val="00A23794"/>
    <w:rsid w:val="00A237D8"/>
    <w:rsid w:val="00A23867"/>
    <w:rsid w:val="00A23DFA"/>
    <w:rsid w:val="00A247BD"/>
    <w:rsid w:val="00A249CD"/>
    <w:rsid w:val="00A24D62"/>
    <w:rsid w:val="00A2500D"/>
    <w:rsid w:val="00A25038"/>
    <w:rsid w:val="00A254C6"/>
    <w:rsid w:val="00A25936"/>
    <w:rsid w:val="00A25AB9"/>
    <w:rsid w:val="00A25D48"/>
    <w:rsid w:val="00A2642A"/>
    <w:rsid w:val="00A26C57"/>
    <w:rsid w:val="00A276D9"/>
    <w:rsid w:val="00A278CC"/>
    <w:rsid w:val="00A27B6C"/>
    <w:rsid w:val="00A27BC9"/>
    <w:rsid w:val="00A27D2D"/>
    <w:rsid w:val="00A27F44"/>
    <w:rsid w:val="00A27FC3"/>
    <w:rsid w:val="00A30393"/>
    <w:rsid w:val="00A304D8"/>
    <w:rsid w:val="00A3054A"/>
    <w:rsid w:val="00A305B3"/>
    <w:rsid w:val="00A311AC"/>
    <w:rsid w:val="00A3136F"/>
    <w:rsid w:val="00A3186F"/>
    <w:rsid w:val="00A3189B"/>
    <w:rsid w:val="00A31E59"/>
    <w:rsid w:val="00A321AD"/>
    <w:rsid w:val="00A327D9"/>
    <w:rsid w:val="00A3312F"/>
    <w:rsid w:val="00A331D3"/>
    <w:rsid w:val="00A3335C"/>
    <w:rsid w:val="00A335C9"/>
    <w:rsid w:val="00A33C75"/>
    <w:rsid w:val="00A33D6A"/>
    <w:rsid w:val="00A33E4E"/>
    <w:rsid w:val="00A33EE7"/>
    <w:rsid w:val="00A3451D"/>
    <w:rsid w:val="00A34A1A"/>
    <w:rsid w:val="00A34D3E"/>
    <w:rsid w:val="00A34DBB"/>
    <w:rsid w:val="00A34E21"/>
    <w:rsid w:val="00A35CD3"/>
    <w:rsid w:val="00A35EED"/>
    <w:rsid w:val="00A3615C"/>
    <w:rsid w:val="00A361E4"/>
    <w:rsid w:val="00A366D6"/>
    <w:rsid w:val="00A3677D"/>
    <w:rsid w:val="00A368B8"/>
    <w:rsid w:val="00A36BD6"/>
    <w:rsid w:val="00A36CA2"/>
    <w:rsid w:val="00A36FA5"/>
    <w:rsid w:val="00A37047"/>
    <w:rsid w:val="00A37321"/>
    <w:rsid w:val="00A37550"/>
    <w:rsid w:val="00A37B64"/>
    <w:rsid w:val="00A37E0F"/>
    <w:rsid w:val="00A37F01"/>
    <w:rsid w:val="00A407E1"/>
    <w:rsid w:val="00A40857"/>
    <w:rsid w:val="00A40AC4"/>
    <w:rsid w:val="00A40D88"/>
    <w:rsid w:val="00A40DA2"/>
    <w:rsid w:val="00A410D7"/>
    <w:rsid w:val="00A416A0"/>
    <w:rsid w:val="00A42506"/>
    <w:rsid w:val="00A4251E"/>
    <w:rsid w:val="00A4261A"/>
    <w:rsid w:val="00A42B6E"/>
    <w:rsid w:val="00A42D7C"/>
    <w:rsid w:val="00A43A79"/>
    <w:rsid w:val="00A43F5B"/>
    <w:rsid w:val="00A44018"/>
    <w:rsid w:val="00A44143"/>
    <w:rsid w:val="00A44172"/>
    <w:rsid w:val="00A442A6"/>
    <w:rsid w:val="00A4449A"/>
    <w:rsid w:val="00A445EE"/>
    <w:rsid w:val="00A44DD6"/>
    <w:rsid w:val="00A44FE5"/>
    <w:rsid w:val="00A45849"/>
    <w:rsid w:val="00A45B34"/>
    <w:rsid w:val="00A45CF1"/>
    <w:rsid w:val="00A45E16"/>
    <w:rsid w:val="00A46486"/>
    <w:rsid w:val="00A467A1"/>
    <w:rsid w:val="00A46978"/>
    <w:rsid w:val="00A46DBB"/>
    <w:rsid w:val="00A46F6C"/>
    <w:rsid w:val="00A47007"/>
    <w:rsid w:val="00A47187"/>
    <w:rsid w:val="00A47467"/>
    <w:rsid w:val="00A474B6"/>
    <w:rsid w:val="00A47D15"/>
    <w:rsid w:val="00A50190"/>
    <w:rsid w:val="00A50525"/>
    <w:rsid w:val="00A506AE"/>
    <w:rsid w:val="00A509C3"/>
    <w:rsid w:val="00A50E29"/>
    <w:rsid w:val="00A516CD"/>
    <w:rsid w:val="00A51F31"/>
    <w:rsid w:val="00A5231B"/>
    <w:rsid w:val="00A5263D"/>
    <w:rsid w:val="00A52714"/>
    <w:rsid w:val="00A52777"/>
    <w:rsid w:val="00A528D4"/>
    <w:rsid w:val="00A52901"/>
    <w:rsid w:val="00A52B8A"/>
    <w:rsid w:val="00A52ECC"/>
    <w:rsid w:val="00A531C8"/>
    <w:rsid w:val="00A53211"/>
    <w:rsid w:val="00A53251"/>
    <w:rsid w:val="00A53691"/>
    <w:rsid w:val="00A53905"/>
    <w:rsid w:val="00A53D65"/>
    <w:rsid w:val="00A541A0"/>
    <w:rsid w:val="00A54775"/>
    <w:rsid w:val="00A54E45"/>
    <w:rsid w:val="00A54EF7"/>
    <w:rsid w:val="00A54FF0"/>
    <w:rsid w:val="00A55113"/>
    <w:rsid w:val="00A5512C"/>
    <w:rsid w:val="00A55572"/>
    <w:rsid w:val="00A55575"/>
    <w:rsid w:val="00A5569E"/>
    <w:rsid w:val="00A558D0"/>
    <w:rsid w:val="00A55BF6"/>
    <w:rsid w:val="00A55EB6"/>
    <w:rsid w:val="00A56447"/>
    <w:rsid w:val="00A56525"/>
    <w:rsid w:val="00A56749"/>
    <w:rsid w:val="00A6020A"/>
    <w:rsid w:val="00A60401"/>
    <w:rsid w:val="00A60439"/>
    <w:rsid w:val="00A604DA"/>
    <w:rsid w:val="00A608F7"/>
    <w:rsid w:val="00A609CC"/>
    <w:rsid w:val="00A60BD5"/>
    <w:rsid w:val="00A61741"/>
    <w:rsid w:val="00A61AE5"/>
    <w:rsid w:val="00A61C9F"/>
    <w:rsid w:val="00A61E9D"/>
    <w:rsid w:val="00A62051"/>
    <w:rsid w:val="00A6218B"/>
    <w:rsid w:val="00A6255E"/>
    <w:rsid w:val="00A627FC"/>
    <w:rsid w:val="00A62870"/>
    <w:rsid w:val="00A6326F"/>
    <w:rsid w:val="00A637D6"/>
    <w:rsid w:val="00A63BE2"/>
    <w:rsid w:val="00A63D70"/>
    <w:rsid w:val="00A64ACA"/>
    <w:rsid w:val="00A65401"/>
    <w:rsid w:val="00A655B1"/>
    <w:rsid w:val="00A659A8"/>
    <w:rsid w:val="00A659AB"/>
    <w:rsid w:val="00A6645C"/>
    <w:rsid w:val="00A66771"/>
    <w:rsid w:val="00A66B6A"/>
    <w:rsid w:val="00A66C48"/>
    <w:rsid w:val="00A67110"/>
    <w:rsid w:val="00A67176"/>
    <w:rsid w:val="00A6717C"/>
    <w:rsid w:val="00A67212"/>
    <w:rsid w:val="00A6783E"/>
    <w:rsid w:val="00A679F8"/>
    <w:rsid w:val="00A67CE3"/>
    <w:rsid w:val="00A67FD2"/>
    <w:rsid w:val="00A706AD"/>
    <w:rsid w:val="00A7085C"/>
    <w:rsid w:val="00A71328"/>
    <w:rsid w:val="00A713C2"/>
    <w:rsid w:val="00A716D1"/>
    <w:rsid w:val="00A71B96"/>
    <w:rsid w:val="00A722E4"/>
    <w:rsid w:val="00A724CD"/>
    <w:rsid w:val="00A73867"/>
    <w:rsid w:val="00A73B9B"/>
    <w:rsid w:val="00A73CE4"/>
    <w:rsid w:val="00A73F3F"/>
    <w:rsid w:val="00A73FF9"/>
    <w:rsid w:val="00A74327"/>
    <w:rsid w:val="00A74845"/>
    <w:rsid w:val="00A74861"/>
    <w:rsid w:val="00A750B7"/>
    <w:rsid w:val="00A75222"/>
    <w:rsid w:val="00A752E8"/>
    <w:rsid w:val="00A75487"/>
    <w:rsid w:val="00A759EF"/>
    <w:rsid w:val="00A76097"/>
    <w:rsid w:val="00A76276"/>
    <w:rsid w:val="00A766F3"/>
    <w:rsid w:val="00A76724"/>
    <w:rsid w:val="00A76878"/>
    <w:rsid w:val="00A76989"/>
    <w:rsid w:val="00A76CB3"/>
    <w:rsid w:val="00A76F00"/>
    <w:rsid w:val="00A76F4A"/>
    <w:rsid w:val="00A774BA"/>
    <w:rsid w:val="00A776E5"/>
    <w:rsid w:val="00A77FC3"/>
    <w:rsid w:val="00A80C51"/>
    <w:rsid w:val="00A80ECB"/>
    <w:rsid w:val="00A80F6D"/>
    <w:rsid w:val="00A810A8"/>
    <w:rsid w:val="00A816D7"/>
    <w:rsid w:val="00A819FD"/>
    <w:rsid w:val="00A81BA3"/>
    <w:rsid w:val="00A82048"/>
    <w:rsid w:val="00A8204F"/>
    <w:rsid w:val="00A82231"/>
    <w:rsid w:val="00A824D0"/>
    <w:rsid w:val="00A82999"/>
    <w:rsid w:val="00A82C7F"/>
    <w:rsid w:val="00A832D8"/>
    <w:rsid w:val="00A833B5"/>
    <w:rsid w:val="00A83628"/>
    <w:rsid w:val="00A83693"/>
    <w:rsid w:val="00A83B4A"/>
    <w:rsid w:val="00A83C71"/>
    <w:rsid w:val="00A84118"/>
    <w:rsid w:val="00A84292"/>
    <w:rsid w:val="00A84DED"/>
    <w:rsid w:val="00A84FB6"/>
    <w:rsid w:val="00A85301"/>
    <w:rsid w:val="00A854FE"/>
    <w:rsid w:val="00A858ED"/>
    <w:rsid w:val="00A859EB"/>
    <w:rsid w:val="00A8631A"/>
    <w:rsid w:val="00A86B16"/>
    <w:rsid w:val="00A86F31"/>
    <w:rsid w:val="00A86FF0"/>
    <w:rsid w:val="00A87066"/>
    <w:rsid w:val="00A8779E"/>
    <w:rsid w:val="00A87A40"/>
    <w:rsid w:val="00A87BA4"/>
    <w:rsid w:val="00A87C04"/>
    <w:rsid w:val="00A9016D"/>
    <w:rsid w:val="00A9018B"/>
    <w:rsid w:val="00A90225"/>
    <w:rsid w:val="00A905F7"/>
    <w:rsid w:val="00A907E7"/>
    <w:rsid w:val="00A908F9"/>
    <w:rsid w:val="00A909BC"/>
    <w:rsid w:val="00A9136F"/>
    <w:rsid w:val="00A91377"/>
    <w:rsid w:val="00A915DF"/>
    <w:rsid w:val="00A91CB5"/>
    <w:rsid w:val="00A91F2B"/>
    <w:rsid w:val="00A921FB"/>
    <w:rsid w:val="00A92360"/>
    <w:rsid w:val="00A92465"/>
    <w:rsid w:val="00A9368D"/>
    <w:rsid w:val="00A939F1"/>
    <w:rsid w:val="00A93DDA"/>
    <w:rsid w:val="00A93F1E"/>
    <w:rsid w:val="00A93FFD"/>
    <w:rsid w:val="00A9430D"/>
    <w:rsid w:val="00A94819"/>
    <w:rsid w:val="00A94AA2"/>
    <w:rsid w:val="00A9509A"/>
    <w:rsid w:val="00A95538"/>
    <w:rsid w:val="00A95B49"/>
    <w:rsid w:val="00A95F13"/>
    <w:rsid w:val="00A95FC8"/>
    <w:rsid w:val="00A96191"/>
    <w:rsid w:val="00A96300"/>
    <w:rsid w:val="00A966F1"/>
    <w:rsid w:val="00A96966"/>
    <w:rsid w:val="00A97057"/>
    <w:rsid w:val="00A97385"/>
    <w:rsid w:val="00A97479"/>
    <w:rsid w:val="00A97504"/>
    <w:rsid w:val="00A975D4"/>
    <w:rsid w:val="00A976E0"/>
    <w:rsid w:val="00A97840"/>
    <w:rsid w:val="00A97980"/>
    <w:rsid w:val="00A97C37"/>
    <w:rsid w:val="00AA02CA"/>
    <w:rsid w:val="00AA1547"/>
    <w:rsid w:val="00AA1571"/>
    <w:rsid w:val="00AA169A"/>
    <w:rsid w:val="00AA1F54"/>
    <w:rsid w:val="00AA232E"/>
    <w:rsid w:val="00AA28BD"/>
    <w:rsid w:val="00AA2DEA"/>
    <w:rsid w:val="00AA2F9D"/>
    <w:rsid w:val="00AA33CC"/>
    <w:rsid w:val="00AA346A"/>
    <w:rsid w:val="00AA3E17"/>
    <w:rsid w:val="00AA457A"/>
    <w:rsid w:val="00AA4E87"/>
    <w:rsid w:val="00AA574E"/>
    <w:rsid w:val="00AA5A7B"/>
    <w:rsid w:val="00AA620F"/>
    <w:rsid w:val="00AA68F9"/>
    <w:rsid w:val="00AA68FB"/>
    <w:rsid w:val="00AA6DEF"/>
    <w:rsid w:val="00AA6E85"/>
    <w:rsid w:val="00AA6EA9"/>
    <w:rsid w:val="00AA71AB"/>
    <w:rsid w:val="00AA759E"/>
    <w:rsid w:val="00AA7755"/>
    <w:rsid w:val="00AA7D1A"/>
    <w:rsid w:val="00AB070A"/>
    <w:rsid w:val="00AB0716"/>
    <w:rsid w:val="00AB0731"/>
    <w:rsid w:val="00AB0AA6"/>
    <w:rsid w:val="00AB10BC"/>
    <w:rsid w:val="00AB177B"/>
    <w:rsid w:val="00AB1B5D"/>
    <w:rsid w:val="00AB2101"/>
    <w:rsid w:val="00AB2123"/>
    <w:rsid w:val="00AB282F"/>
    <w:rsid w:val="00AB285A"/>
    <w:rsid w:val="00AB2C54"/>
    <w:rsid w:val="00AB2E2E"/>
    <w:rsid w:val="00AB3112"/>
    <w:rsid w:val="00AB3ADE"/>
    <w:rsid w:val="00AB4244"/>
    <w:rsid w:val="00AB4645"/>
    <w:rsid w:val="00AB496E"/>
    <w:rsid w:val="00AB4D3B"/>
    <w:rsid w:val="00AB4F99"/>
    <w:rsid w:val="00AB50E0"/>
    <w:rsid w:val="00AB50F8"/>
    <w:rsid w:val="00AB526D"/>
    <w:rsid w:val="00AB5473"/>
    <w:rsid w:val="00AB5509"/>
    <w:rsid w:val="00AB5A67"/>
    <w:rsid w:val="00AB5D8A"/>
    <w:rsid w:val="00AB5EF3"/>
    <w:rsid w:val="00AB61FC"/>
    <w:rsid w:val="00AB6AA5"/>
    <w:rsid w:val="00AB6D72"/>
    <w:rsid w:val="00AB6F00"/>
    <w:rsid w:val="00AB71DC"/>
    <w:rsid w:val="00AB7683"/>
    <w:rsid w:val="00AB775E"/>
    <w:rsid w:val="00AB77A0"/>
    <w:rsid w:val="00AB78DA"/>
    <w:rsid w:val="00AB7A1A"/>
    <w:rsid w:val="00AB7CEE"/>
    <w:rsid w:val="00AB7DF1"/>
    <w:rsid w:val="00AB7F6E"/>
    <w:rsid w:val="00AC0816"/>
    <w:rsid w:val="00AC0BE7"/>
    <w:rsid w:val="00AC131E"/>
    <w:rsid w:val="00AC183B"/>
    <w:rsid w:val="00AC2054"/>
    <w:rsid w:val="00AC232F"/>
    <w:rsid w:val="00AC267A"/>
    <w:rsid w:val="00AC2C2F"/>
    <w:rsid w:val="00AC2C6B"/>
    <w:rsid w:val="00AC30C0"/>
    <w:rsid w:val="00AC35E4"/>
    <w:rsid w:val="00AC38E8"/>
    <w:rsid w:val="00AC3EB2"/>
    <w:rsid w:val="00AC3FA3"/>
    <w:rsid w:val="00AC4863"/>
    <w:rsid w:val="00AC494C"/>
    <w:rsid w:val="00AC496E"/>
    <w:rsid w:val="00AC49D9"/>
    <w:rsid w:val="00AC4FE1"/>
    <w:rsid w:val="00AC51DF"/>
    <w:rsid w:val="00AC53FE"/>
    <w:rsid w:val="00AC5D04"/>
    <w:rsid w:val="00AC5D34"/>
    <w:rsid w:val="00AC5D8A"/>
    <w:rsid w:val="00AC6089"/>
    <w:rsid w:val="00AC693B"/>
    <w:rsid w:val="00AC6E1E"/>
    <w:rsid w:val="00AC6ED3"/>
    <w:rsid w:val="00AC706C"/>
    <w:rsid w:val="00AC70CB"/>
    <w:rsid w:val="00AC70E6"/>
    <w:rsid w:val="00AC720C"/>
    <w:rsid w:val="00AC7564"/>
    <w:rsid w:val="00AC77B8"/>
    <w:rsid w:val="00AC7BBE"/>
    <w:rsid w:val="00AC7D64"/>
    <w:rsid w:val="00AC7EB4"/>
    <w:rsid w:val="00AD0180"/>
    <w:rsid w:val="00AD02C1"/>
    <w:rsid w:val="00AD037B"/>
    <w:rsid w:val="00AD07DD"/>
    <w:rsid w:val="00AD0A17"/>
    <w:rsid w:val="00AD0B17"/>
    <w:rsid w:val="00AD11E0"/>
    <w:rsid w:val="00AD12FB"/>
    <w:rsid w:val="00AD15B8"/>
    <w:rsid w:val="00AD1945"/>
    <w:rsid w:val="00AD1DC3"/>
    <w:rsid w:val="00AD26A5"/>
    <w:rsid w:val="00AD2F74"/>
    <w:rsid w:val="00AD3140"/>
    <w:rsid w:val="00AD3422"/>
    <w:rsid w:val="00AD371F"/>
    <w:rsid w:val="00AD3974"/>
    <w:rsid w:val="00AD3C04"/>
    <w:rsid w:val="00AD3CB2"/>
    <w:rsid w:val="00AD3EEB"/>
    <w:rsid w:val="00AD4021"/>
    <w:rsid w:val="00AD452C"/>
    <w:rsid w:val="00AD4A32"/>
    <w:rsid w:val="00AD4A77"/>
    <w:rsid w:val="00AD5451"/>
    <w:rsid w:val="00AD5527"/>
    <w:rsid w:val="00AD5836"/>
    <w:rsid w:val="00AD6112"/>
    <w:rsid w:val="00AD61C2"/>
    <w:rsid w:val="00AD6A3D"/>
    <w:rsid w:val="00AD6A4C"/>
    <w:rsid w:val="00AD6B26"/>
    <w:rsid w:val="00AD6BD8"/>
    <w:rsid w:val="00AD6D20"/>
    <w:rsid w:val="00AD6E3F"/>
    <w:rsid w:val="00AD6F23"/>
    <w:rsid w:val="00AD6F6E"/>
    <w:rsid w:val="00AD6FFD"/>
    <w:rsid w:val="00AD71A0"/>
    <w:rsid w:val="00AD71CA"/>
    <w:rsid w:val="00AD72F3"/>
    <w:rsid w:val="00AD750E"/>
    <w:rsid w:val="00AD7775"/>
    <w:rsid w:val="00AE030C"/>
    <w:rsid w:val="00AE080E"/>
    <w:rsid w:val="00AE0D7E"/>
    <w:rsid w:val="00AE1045"/>
    <w:rsid w:val="00AE151F"/>
    <w:rsid w:val="00AE19D5"/>
    <w:rsid w:val="00AE1BFD"/>
    <w:rsid w:val="00AE1F4A"/>
    <w:rsid w:val="00AE20C1"/>
    <w:rsid w:val="00AE22A8"/>
    <w:rsid w:val="00AE274B"/>
    <w:rsid w:val="00AE2B9B"/>
    <w:rsid w:val="00AE39F3"/>
    <w:rsid w:val="00AE3A37"/>
    <w:rsid w:val="00AE43D0"/>
    <w:rsid w:val="00AE46DC"/>
    <w:rsid w:val="00AE49B1"/>
    <w:rsid w:val="00AE544D"/>
    <w:rsid w:val="00AE5526"/>
    <w:rsid w:val="00AE5718"/>
    <w:rsid w:val="00AE6375"/>
    <w:rsid w:val="00AE63D2"/>
    <w:rsid w:val="00AE65FE"/>
    <w:rsid w:val="00AE692E"/>
    <w:rsid w:val="00AE6C1F"/>
    <w:rsid w:val="00AE70A5"/>
    <w:rsid w:val="00AE754C"/>
    <w:rsid w:val="00AE76BF"/>
    <w:rsid w:val="00AE7832"/>
    <w:rsid w:val="00AE7D26"/>
    <w:rsid w:val="00AF00F2"/>
    <w:rsid w:val="00AF02C0"/>
    <w:rsid w:val="00AF05CB"/>
    <w:rsid w:val="00AF071E"/>
    <w:rsid w:val="00AF07B9"/>
    <w:rsid w:val="00AF08C3"/>
    <w:rsid w:val="00AF0FDC"/>
    <w:rsid w:val="00AF1020"/>
    <w:rsid w:val="00AF118B"/>
    <w:rsid w:val="00AF1487"/>
    <w:rsid w:val="00AF16B9"/>
    <w:rsid w:val="00AF17EC"/>
    <w:rsid w:val="00AF1A7F"/>
    <w:rsid w:val="00AF1BD1"/>
    <w:rsid w:val="00AF2331"/>
    <w:rsid w:val="00AF2AF2"/>
    <w:rsid w:val="00AF3661"/>
    <w:rsid w:val="00AF3A12"/>
    <w:rsid w:val="00AF3A53"/>
    <w:rsid w:val="00AF3A65"/>
    <w:rsid w:val="00AF404B"/>
    <w:rsid w:val="00AF4478"/>
    <w:rsid w:val="00AF4533"/>
    <w:rsid w:val="00AF4ACA"/>
    <w:rsid w:val="00AF50A9"/>
    <w:rsid w:val="00AF51E3"/>
    <w:rsid w:val="00AF56D7"/>
    <w:rsid w:val="00AF5796"/>
    <w:rsid w:val="00AF58B8"/>
    <w:rsid w:val="00AF5A5A"/>
    <w:rsid w:val="00AF5F5A"/>
    <w:rsid w:val="00AF69D4"/>
    <w:rsid w:val="00AF6D7D"/>
    <w:rsid w:val="00AF71CE"/>
    <w:rsid w:val="00AF77A9"/>
    <w:rsid w:val="00AF77EF"/>
    <w:rsid w:val="00AF7D02"/>
    <w:rsid w:val="00AF7E7D"/>
    <w:rsid w:val="00AF7EB6"/>
    <w:rsid w:val="00AF7F77"/>
    <w:rsid w:val="00B0008F"/>
    <w:rsid w:val="00B0035A"/>
    <w:rsid w:val="00B0041A"/>
    <w:rsid w:val="00B0053E"/>
    <w:rsid w:val="00B00F16"/>
    <w:rsid w:val="00B0108C"/>
    <w:rsid w:val="00B010EA"/>
    <w:rsid w:val="00B01110"/>
    <w:rsid w:val="00B013E7"/>
    <w:rsid w:val="00B015FB"/>
    <w:rsid w:val="00B01898"/>
    <w:rsid w:val="00B01E14"/>
    <w:rsid w:val="00B021C8"/>
    <w:rsid w:val="00B02474"/>
    <w:rsid w:val="00B02B95"/>
    <w:rsid w:val="00B02E8F"/>
    <w:rsid w:val="00B02F89"/>
    <w:rsid w:val="00B0329C"/>
    <w:rsid w:val="00B032EA"/>
    <w:rsid w:val="00B0334D"/>
    <w:rsid w:val="00B03687"/>
    <w:rsid w:val="00B0371B"/>
    <w:rsid w:val="00B04176"/>
    <w:rsid w:val="00B04602"/>
    <w:rsid w:val="00B04606"/>
    <w:rsid w:val="00B04656"/>
    <w:rsid w:val="00B04806"/>
    <w:rsid w:val="00B04A55"/>
    <w:rsid w:val="00B05413"/>
    <w:rsid w:val="00B05C23"/>
    <w:rsid w:val="00B05D6F"/>
    <w:rsid w:val="00B05E07"/>
    <w:rsid w:val="00B05EBA"/>
    <w:rsid w:val="00B05F4C"/>
    <w:rsid w:val="00B06E73"/>
    <w:rsid w:val="00B070B3"/>
    <w:rsid w:val="00B07131"/>
    <w:rsid w:val="00B07190"/>
    <w:rsid w:val="00B073C5"/>
    <w:rsid w:val="00B10303"/>
    <w:rsid w:val="00B104AD"/>
    <w:rsid w:val="00B10604"/>
    <w:rsid w:val="00B109F8"/>
    <w:rsid w:val="00B10B4D"/>
    <w:rsid w:val="00B10DB2"/>
    <w:rsid w:val="00B10EF7"/>
    <w:rsid w:val="00B10FB3"/>
    <w:rsid w:val="00B112AF"/>
    <w:rsid w:val="00B112BF"/>
    <w:rsid w:val="00B116F5"/>
    <w:rsid w:val="00B117B8"/>
    <w:rsid w:val="00B11E49"/>
    <w:rsid w:val="00B1259D"/>
    <w:rsid w:val="00B12E30"/>
    <w:rsid w:val="00B12F5C"/>
    <w:rsid w:val="00B12FBF"/>
    <w:rsid w:val="00B13183"/>
    <w:rsid w:val="00B134DC"/>
    <w:rsid w:val="00B1359A"/>
    <w:rsid w:val="00B139D2"/>
    <w:rsid w:val="00B146A0"/>
    <w:rsid w:val="00B1516F"/>
    <w:rsid w:val="00B152EB"/>
    <w:rsid w:val="00B15CB1"/>
    <w:rsid w:val="00B15DD3"/>
    <w:rsid w:val="00B16239"/>
    <w:rsid w:val="00B1631E"/>
    <w:rsid w:val="00B16334"/>
    <w:rsid w:val="00B1679E"/>
    <w:rsid w:val="00B16A0B"/>
    <w:rsid w:val="00B16A5E"/>
    <w:rsid w:val="00B16B1D"/>
    <w:rsid w:val="00B16C86"/>
    <w:rsid w:val="00B171BB"/>
    <w:rsid w:val="00B1721F"/>
    <w:rsid w:val="00B173F4"/>
    <w:rsid w:val="00B177F9"/>
    <w:rsid w:val="00B1797B"/>
    <w:rsid w:val="00B17F2F"/>
    <w:rsid w:val="00B200F8"/>
    <w:rsid w:val="00B201F7"/>
    <w:rsid w:val="00B20314"/>
    <w:rsid w:val="00B20BD2"/>
    <w:rsid w:val="00B21EE5"/>
    <w:rsid w:val="00B222A6"/>
    <w:rsid w:val="00B222F7"/>
    <w:rsid w:val="00B22A87"/>
    <w:rsid w:val="00B22D3D"/>
    <w:rsid w:val="00B22E46"/>
    <w:rsid w:val="00B22E6F"/>
    <w:rsid w:val="00B23337"/>
    <w:rsid w:val="00B23D1B"/>
    <w:rsid w:val="00B24458"/>
    <w:rsid w:val="00B24AFA"/>
    <w:rsid w:val="00B24B32"/>
    <w:rsid w:val="00B25BFC"/>
    <w:rsid w:val="00B25C4E"/>
    <w:rsid w:val="00B26DCC"/>
    <w:rsid w:val="00B26E42"/>
    <w:rsid w:val="00B271B0"/>
    <w:rsid w:val="00B27895"/>
    <w:rsid w:val="00B27BA9"/>
    <w:rsid w:val="00B27F80"/>
    <w:rsid w:val="00B301AE"/>
    <w:rsid w:val="00B301B3"/>
    <w:rsid w:val="00B3075A"/>
    <w:rsid w:val="00B30BFE"/>
    <w:rsid w:val="00B311EE"/>
    <w:rsid w:val="00B312DA"/>
    <w:rsid w:val="00B3174C"/>
    <w:rsid w:val="00B31A0E"/>
    <w:rsid w:val="00B31C35"/>
    <w:rsid w:val="00B31DA5"/>
    <w:rsid w:val="00B32027"/>
    <w:rsid w:val="00B32839"/>
    <w:rsid w:val="00B32BD0"/>
    <w:rsid w:val="00B32F33"/>
    <w:rsid w:val="00B332C4"/>
    <w:rsid w:val="00B33412"/>
    <w:rsid w:val="00B33599"/>
    <w:rsid w:val="00B335B6"/>
    <w:rsid w:val="00B33CE0"/>
    <w:rsid w:val="00B33F7D"/>
    <w:rsid w:val="00B34277"/>
    <w:rsid w:val="00B34427"/>
    <w:rsid w:val="00B348F0"/>
    <w:rsid w:val="00B3538C"/>
    <w:rsid w:val="00B357AB"/>
    <w:rsid w:val="00B3605C"/>
    <w:rsid w:val="00B3618A"/>
    <w:rsid w:val="00B3630C"/>
    <w:rsid w:val="00B3681F"/>
    <w:rsid w:val="00B368F1"/>
    <w:rsid w:val="00B36A4F"/>
    <w:rsid w:val="00B36AB9"/>
    <w:rsid w:val="00B36AE3"/>
    <w:rsid w:val="00B36D97"/>
    <w:rsid w:val="00B373ED"/>
    <w:rsid w:val="00B377ED"/>
    <w:rsid w:val="00B37882"/>
    <w:rsid w:val="00B37A71"/>
    <w:rsid w:val="00B37FC4"/>
    <w:rsid w:val="00B401FB"/>
    <w:rsid w:val="00B40808"/>
    <w:rsid w:val="00B40849"/>
    <w:rsid w:val="00B40888"/>
    <w:rsid w:val="00B40A95"/>
    <w:rsid w:val="00B40B1F"/>
    <w:rsid w:val="00B410A8"/>
    <w:rsid w:val="00B412E8"/>
    <w:rsid w:val="00B414E6"/>
    <w:rsid w:val="00B414FB"/>
    <w:rsid w:val="00B41539"/>
    <w:rsid w:val="00B416AB"/>
    <w:rsid w:val="00B42004"/>
    <w:rsid w:val="00B424CC"/>
    <w:rsid w:val="00B42C41"/>
    <w:rsid w:val="00B43164"/>
    <w:rsid w:val="00B43692"/>
    <w:rsid w:val="00B437FF"/>
    <w:rsid w:val="00B43E1E"/>
    <w:rsid w:val="00B440B5"/>
    <w:rsid w:val="00B442EA"/>
    <w:rsid w:val="00B44C97"/>
    <w:rsid w:val="00B45024"/>
    <w:rsid w:val="00B45092"/>
    <w:rsid w:val="00B454A9"/>
    <w:rsid w:val="00B45AAF"/>
    <w:rsid w:val="00B45E94"/>
    <w:rsid w:val="00B460A2"/>
    <w:rsid w:val="00B46132"/>
    <w:rsid w:val="00B463A9"/>
    <w:rsid w:val="00B464D7"/>
    <w:rsid w:val="00B46532"/>
    <w:rsid w:val="00B4664C"/>
    <w:rsid w:val="00B467D9"/>
    <w:rsid w:val="00B46D81"/>
    <w:rsid w:val="00B46F89"/>
    <w:rsid w:val="00B47043"/>
    <w:rsid w:val="00B47256"/>
    <w:rsid w:val="00B4737E"/>
    <w:rsid w:val="00B474E4"/>
    <w:rsid w:val="00B474FC"/>
    <w:rsid w:val="00B4799C"/>
    <w:rsid w:val="00B47B50"/>
    <w:rsid w:val="00B47EC7"/>
    <w:rsid w:val="00B5018D"/>
    <w:rsid w:val="00B50309"/>
    <w:rsid w:val="00B50323"/>
    <w:rsid w:val="00B50983"/>
    <w:rsid w:val="00B5142C"/>
    <w:rsid w:val="00B5156A"/>
    <w:rsid w:val="00B5177B"/>
    <w:rsid w:val="00B52063"/>
    <w:rsid w:val="00B520C5"/>
    <w:rsid w:val="00B523E5"/>
    <w:rsid w:val="00B52415"/>
    <w:rsid w:val="00B528F3"/>
    <w:rsid w:val="00B52CEF"/>
    <w:rsid w:val="00B53046"/>
    <w:rsid w:val="00B53510"/>
    <w:rsid w:val="00B53C10"/>
    <w:rsid w:val="00B54402"/>
    <w:rsid w:val="00B5452D"/>
    <w:rsid w:val="00B549F5"/>
    <w:rsid w:val="00B54C2C"/>
    <w:rsid w:val="00B55967"/>
    <w:rsid w:val="00B55BF0"/>
    <w:rsid w:val="00B56186"/>
    <w:rsid w:val="00B56223"/>
    <w:rsid w:val="00B565B7"/>
    <w:rsid w:val="00B5672F"/>
    <w:rsid w:val="00B56C0F"/>
    <w:rsid w:val="00B56CB0"/>
    <w:rsid w:val="00B57024"/>
    <w:rsid w:val="00B570B1"/>
    <w:rsid w:val="00B573B4"/>
    <w:rsid w:val="00B57DAA"/>
    <w:rsid w:val="00B57E76"/>
    <w:rsid w:val="00B57F3D"/>
    <w:rsid w:val="00B60143"/>
    <w:rsid w:val="00B60635"/>
    <w:rsid w:val="00B6082C"/>
    <w:rsid w:val="00B60F10"/>
    <w:rsid w:val="00B6103B"/>
    <w:rsid w:val="00B61273"/>
    <w:rsid w:val="00B613FB"/>
    <w:rsid w:val="00B6163F"/>
    <w:rsid w:val="00B61770"/>
    <w:rsid w:val="00B61BA8"/>
    <w:rsid w:val="00B6212C"/>
    <w:rsid w:val="00B623EB"/>
    <w:rsid w:val="00B62C33"/>
    <w:rsid w:val="00B62CEA"/>
    <w:rsid w:val="00B62EB9"/>
    <w:rsid w:val="00B63C02"/>
    <w:rsid w:val="00B63F2F"/>
    <w:rsid w:val="00B6417E"/>
    <w:rsid w:val="00B646DA"/>
    <w:rsid w:val="00B64838"/>
    <w:rsid w:val="00B64DFC"/>
    <w:rsid w:val="00B64E76"/>
    <w:rsid w:val="00B64E77"/>
    <w:rsid w:val="00B65060"/>
    <w:rsid w:val="00B65282"/>
    <w:rsid w:val="00B653A2"/>
    <w:rsid w:val="00B6588A"/>
    <w:rsid w:val="00B65B64"/>
    <w:rsid w:val="00B65CBA"/>
    <w:rsid w:val="00B65DFD"/>
    <w:rsid w:val="00B66483"/>
    <w:rsid w:val="00B6657D"/>
    <w:rsid w:val="00B666CF"/>
    <w:rsid w:val="00B668E7"/>
    <w:rsid w:val="00B66A93"/>
    <w:rsid w:val="00B66BB8"/>
    <w:rsid w:val="00B66E32"/>
    <w:rsid w:val="00B6749A"/>
    <w:rsid w:val="00B677FF"/>
    <w:rsid w:val="00B67FB8"/>
    <w:rsid w:val="00B7015E"/>
    <w:rsid w:val="00B702E8"/>
    <w:rsid w:val="00B703BF"/>
    <w:rsid w:val="00B70BB0"/>
    <w:rsid w:val="00B70BEB"/>
    <w:rsid w:val="00B7118D"/>
    <w:rsid w:val="00B71A3D"/>
    <w:rsid w:val="00B71A73"/>
    <w:rsid w:val="00B71CB1"/>
    <w:rsid w:val="00B72175"/>
    <w:rsid w:val="00B72A2A"/>
    <w:rsid w:val="00B72BB2"/>
    <w:rsid w:val="00B72C9D"/>
    <w:rsid w:val="00B72D29"/>
    <w:rsid w:val="00B733ED"/>
    <w:rsid w:val="00B7340F"/>
    <w:rsid w:val="00B735F9"/>
    <w:rsid w:val="00B736AD"/>
    <w:rsid w:val="00B74B3D"/>
    <w:rsid w:val="00B74E94"/>
    <w:rsid w:val="00B750FE"/>
    <w:rsid w:val="00B75100"/>
    <w:rsid w:val="00B751F4"/>
    <w:rsid w:val="00B7574C"/>
    <w:rsid w:val="00B759EE"/>
    <w:rsid w:val="00B7603B"/>
    <w:rsid w:val="00B76118"/>
    <w:rsid w:val="00B76394"/>
    <w:rsid w:val="00B76397"/>
    <w:rsid w:val="00B77143"/>
    <w:rsid w:val="00B7738B"/>
    <w:rsid w:val="00B773D9"/>
    <w:rsid w:val="00B77848"/>
    <w:rsid w:val="00B77856"/>
    <w:rsid w:val="00B77A94"/>
    <w:rsid w:val="00B77E17"/>
    <w:rsid w:val="00B80173"/>
    <w:rsid w:val="00B8094A"/>
    <w:rsid w:val="00B80AC1"/>
    <w:rsid w:val="00B80DFA"/>
    <w:rsid w:val="00B8108A"/>
    <w:rsid w:val="00B81091"/>
    <w:rsid w:val="00B8166A"/>
    <w:rsid w:val="00B81AAB"/>
    <w:rsid w:val="00B81DAC"/>
    <w:rsid w:val="00B81F91"/>
    <w:rsid w:val="00B82067"/>
    <w:rsid w:val="00B82181"/>
    <w:rsid w:val="00B8244D"/>
    <w:rsid w:val="00B82668"/>
    <w:rsid w:val="00B82C56"/>
    <w:rsid w:val="00B831AB"/>
    <w:rsid w:val="00B833DA"/>
    <w:rsid w:val="00B833F6"/>
    <w:rsid w:val="00B838A1"/>
    <w:rsid w:val="00B8433B"/>
    <w:rsid w:val="00B8491D"/>
    <w:rsid w:val="00B84E66"/>
    <w:rsid w:val="00B85407"/>
    <w:rsid w:val="00B85487"/>
    <w:rsid w:val="00B85C86"/>
    <w:rsid w:val="00B85EF7"/>
    <w:rsid w:val="00B85F15"/>
    <w:rsid w:val="00B86494"/>
    <w:rsid w:val="00B868F5"/>
    <w:rsid w:val="00B86D57"/>
    <w:rsid w:val="00B870BC"/>
    <w:rsid w:val="00B870F7"/>
    <w:rsid w:val="00B87374"/>
    <w:rsid w:val="00B873E9"/>
    <w:rsid w:val="00B8750E"/>
    <w:rsid w:val="00B87A38"/>
    <w:rsid w:val="00B87B91"/>
    <w:rsid w:val="00B87F5C"/>
    <w:rsid w:val="00B90389"/>
    <w:rsid w:val="00B903A8"/>
    <w:rsid w:val="00B90791"/>
    <w:rsid w:val="00B9091F"/>
    <w:rsid w:val="00B90CC9"/>
    <w:rsid w:val="00B90FC8"/>
    <w:rsid w:val="00B913C9"/>
    <w:rsid w:val="00B915E0"/>
    <w:rsid w:val="00B91696"/>
    <w:rsid w:val="00B91A44"/>
    <w:rsid w:val="00B91C2D"/>
    <w:rsid w:val="00B921D2"/>
    <w:rsid w:val="00B92426"/>
    <w:rsid w:val="00B92442"/>
    <w:rsid w:val="00B92B6F"/>
    <w:rsid w:val="00B92EE6"/>
    <w:rsid w:val="00B93064"/>
    <w:rsid w:val="00B9321F"/>
    <w:rsid w:val="00B932A8"/>
    <w:rsid w:val="00B933EA"/>
    <w:rsid w:val="00B9340F"/>
    <w:rsid w:val="00B934AF"/>
    <w:rsid w:val="00B93A94"/>
    <w:rsid w:val="00B93CBE"/>
    <w:rsid w:val="00B93FB5"/>
    <w:rsid w:val="00B9415D"/>
    <w:rsid w:val="00B9488A"/>
    <w:rsid w:val="00B94A74"/>
    <w:rsid w:val="00B94D8B"/>
    <w:rsid w:val="00B9540B"/>
    <w:rsid w:val="00B956F1"/>
    <w:rsid w:val="00B959A7"/>
    <w:rsid w:val="00B95A11"/>
    <w:rsid w:val="00B95F6C"/>
    <w:rsid w:val="00B96175"/>
    <w:rsid w:val="00B96DEF"/>
    <w:rsid w:val="00B96F88"/>
    <w:rsid w:val="00B96FE9"/>
    <w:rsid w:val="00B97446"/>
    <w:rsid w:val="00B97690"/>
    <w:rsid w:val="00B97E83"/>
    <w:rsid w:val="00BA00CC"/>
    <w:rsid w:val="00BA033F"/>
    <w:rsid w:val="00BA045E"/>
    <w:rsid w:val="00BA0781"/>
    <w:rsid w:val="00BA0B84"/>
    <w:rsid w:val="00BA0E28"/>
    <w:rsid w:val="00BA112D"/>
    <w:rsid w:val="00BA16E3"/>
    <w:rsid w:val="00BA1851"/>
    <w:rsid w:val="00BA1A79"/>
    <w:rsid w:val="00BA1B4B"/>
    <w:rsid w:val="00BA1D0B"/>
    <w:rsid w:val="00BA2202"/>
    <w:rsid w:val="00BA2318"/>
    <w:rsid w:val="00BA2907"/>
    <w:rsid w:val="00BA2D53"/>
    <w:rsid w:val="00BA3F0A"/>
    <w:rsid w:val="00BA3F77"/>
    <w:rsid w:val="00BA4433"/>
    <w:rsid w:val="00BA49FB"/>
    <w:rsid w:val="00BA5079"/>
    <w:rsid w:val="00BA521B"/>
    <w:rsid w:val="00BA5245"/>
    <w:rsid w:val="00BA6789"/>
    <w:rsid w:val="00BA6794"/>
    <w:rsid w:val="00BA741E"/>
    <w:rsid w:val="00BA7462"/>
    <w:rsid w:val="00BA74DC"/>
    <w:rsid w:val="00BA7919"/>
    <w:rsid w:val="00BA7BDE"/>
    <w:rsid w:val="00BA7C98"/>
    <w:rsid w:val="00BA7F9E"/>
    <w:rsid w:val="00BA7FEC"/>
    <w:rsid w:val="00BB0462"/>
    <w:rsid w:val="00BB05A8"/>
    <w:rsid w:val="00BB079B"/>
    <w:rsid w:val="00BB0828"/>
    <w:rsid w:val="00BB096F"/>
    <w:rsid w:val="00BB0E48"/>
    <w:rsid w:val="00BB0EFB"/>
    <w:rsid w:val="00BB0FBA"/>
    <w:rsid w:val="00BB135D"/>
    <w:rsid w:val="00BB13FB"/>
    <w:rsid w:val="00BB163E"/>
    <w:rsid w:val="00BB171D"/>
    <w:rsid w:val="00BB1CAD"/>
    <w:rsid w:val="00BB22F7"/>
    <w:rsid w:val="00BB2AED"/>
    <w:rsid w:val="00BB38E7"/>
    <w:rsid w:val="00BB398D"/>
    <w:rsid w:val="00BB39D4"/>
    <w:rsid w:val="00BB3C11"/>
    <w:rsid w:val="00BB3C17"/>
    <w:rsid w:val="00BB3D32"/>
    <w:rsid w:val="00BB4129"/>
    <w:rsid w:val="00BB443F"/>
    <w:rsid w:val="00BB44D5"/>
    <w:rsid w:val="00BB4AE1"/>
    <w:rsid w:val="00BB4CFB"/>
    <w:rsid w:val="00BB4D4B"/>
    <w:rsid w:val="00BB5023"/>
    <w:rsid w:val="00BB5AE2"/>
    <w:rsid w:val="00BB5C85"/>
    <w:rsid w:val="00BB616A"/>
    <w:rsid w:val="00BB6588"/>
    <w:rsid w:val="00BB69CC"/>
    <w:rsid w:val="00BB713F"/>
    <w:rsid w:val="00BB78AD"/>
    <w:rsid w:val="00BC0590"/>
    <w:rsid w:val="00BC08A1"/>
    <w:rsid w:val="00BC0B03"/>
    <w:rsid w:val="00BC0B93"/>
    <w:rsid w:val="00BC0C09"/>
    <w:rsid w:val="00BC12C3"/>
    <w:rsid w:val="00BC1388"/>
    <w:rsid w:val="00BC1466"/>
    <w:rsid w:val="00BC15B0"/>
    <w:rsid w:val="00BC1650"/>
    <w:rsid w:val="00BC1C85"/>
    <w:rsid w:val="00BC1EE7"/>
    <w:rsid w:val="00BC251D"/>
    <w:rsid w:val="00BC2609"/>
    <w:rsid w:val="00BC2735"/>
    <w:rsid w:val="00BC2B5C"/>
    <w:rsid w:val="00BC327C"/>
    <w:rsid w:val="00BC340E"/>
    <w:rsid w:val="00BC3525"/>
    <w:rsid w:val="00BC3DE7"/>
    <w:rsid w:val="00BC3F73"/>
    <w:rsid w:val="00BC406A"/>
    <w:rsid w:val="00BC424D"/>
    <w:rsid w:val="00BC46AC"/>
    <w:rsid w:val="00BC48F7"/>
    <w:rsid w:val="00BC4907"/>
    <w:rsid w:val="00BC577D"/>
    <w:rsid w:val="00BC5876"/>
    <w:rsid w:val="00BC5D97"/>
    <w:rsid w:val="00BC65EF"/>
    <w:rsid w:val="00BC6C3B"/>
    <w:rsid w:val="00BC6E4D"/>
    <w:rsid w:val="00BC72E0"/>
    <w:rsid w:val="00BC739F"/>
    <w:rsid w:val="00BC7C4C"/>
    <w:rsid w:val="00BD022B"/>
    <w:rsid w:val="00BD02C2"/>
    <w:rsid w:val="00BD078B"/>
    <w:rsid w:val="00BD08C8"/>
    <w:rsid w:val="00BD099F"/>
    <w:rsid w:val="00BD0AC3"/>
    <w:rsid w:val="00BD1278"/>
    <w:rsid w:val="00BD16CD"/>
    <w:rsid w:val="00BD17F1"/>
    <w:rsid w:val="00BD2620"/>
    <w:rsid w:val="00BD2709"/>
    <w:rsid w:val="00BD2838"/>
    <w:rsid w:val="00BD2C19"/>
    <w:rsid w:val="00BD2E45"/>
    <w:rsid w:val="00BD2EC0"/>
    <w:rsid w:val="00BD3490"/>
    <w:rsid w:val="00BD3900"/>
    <w:rsid w:val="00BD397D"/>
    <w:rsid w:val="00BD3A1C"/>
    <w:rsid w:val="00BD3EA5"/>
    <w:rsid w:val="00BD3F41"/>
    <w:rsid w:val="00BD3FE5"/>
    <w:rsid w:val="00BD434D"/>
    <w:rsid w:val="00BD489B"/>
    <w:rsid w:val="00BD5112"/>
    <w:rsid w:val="00BD5234"/>
    <w:rsid w:val="00BD5590"/>
    <w:rsid w:val="00BD6876"/>
    <w:rsid w:val="00BD6CE6"/>
    <w:rsid w:val="00BD6CFD"/>
    <w:rsid w:val="00BD7A42"/>
    <w:rsid w:val="00BD7CB9"/>
    <w:rsid w:val="00BD7E5C"/>
    <w:rsid w:val="00BD7E60"/>
    <w:rsid w:val="00BE005F"/>
    <w:rsid w:val="00BE05FA"/>
    <w:rsid w:val="00BE099D"/>
    <w:rsid w:val="00BE0D0B"/>
    <w:rsid w:val="00BE19A8"/>
    <w:rsid w:val="00BE1D39"/>
    <w:rsid w:val="00BE1EE6"/>
    <w:rsid w:val="00BE276A"/>
    <w:rsid w:val="00BE27E1"/>
    <w:rsid w:val="00BE2967"/>
    <w:rsid w:val="00BE3160"/>
    <w:rsid w:val="00BE32E9"/>
    <w:rsid w:val="00BE36E4"/>
    <w:rsid w:val="00BE3929"/>
    <w:rsid w:val="00BE3C0A"/>
    <w:rsid w:val="00BE43B8"/>
    <w:rsid w:val="00BE4897"/>
    <w:rsid w:val="00BE48FC"/>
    <w:rsid w:val="00BE550D"/>
    <w:rsid w:val="00BE5A32"/>
    <w:rsid w:val="00BE63C3"/>
    <w:rsid w:val="00BE6754"/>
    <w:rsid w:val="00BE685C"/>
    <w:rsid w:val="00BE6C10"/>
    <w:rsid w:val="00BE6EC3"/>
    <w:rsid w:val="00BE71A2"/>
    <w:rsid w:val="00BE746D"/>
    <w:rsid w:val="00BE7E1E"/>
    <w:rsid w:val="00BF02E1"/>
    <w:rsid w:val="00BF0645"/>
    <w:rsid w:val="00BF1AAA"/>
    <w:rsid w:val="00BF1B81"/>
    <w:rsid w:val="00BF1BF0"/>
    <w:rsid w:val="00BF1D30"/>
    <w:rsid w:val="00BF2119"/>
    <w:rsid w:val="00BF25B8"/>
    <w:rsid w:val="00BF2CD3"/>
    <w:rsid w:val="00BF2FC0"/>
    <w:rsid w:val="00BF344B"/>
    <w:rsid w:val="00BF3E2C"/>
    <w:rsid w:val="00BF3E7F"/>
    <w:rsid w:val="00BF41C4"/>
    <w:rsid w:val="00BF4A43"/>
    <w:rsid w:val="00BF5017"/>
    <w:rsid w:val="00BF505E"/>
    <w:rsid w:val="00BF53A3"/>
    <w:rsid w:val="00BF580A"/>
    <w:rsid w:val="00BF5AB2"/>
    <w:rsid w:val="00BF6243"/>
    <w:rsid w:val="00BF62DC"/>
    <w:rsid w:val="00BF69E6"/>
    <w:rsid w:val="00BF6EF3"/>
    <w:rsid w:val="00BF7082"/>
    <w:rsid w:val="00BF70F2"/>
    <w:rsid w:val="00BF74E7"/>
    <w:rsid w:val="00BF7D71"/>
    <w:rsid w:val="00BF7F4B"/>
    <w:rsid w:val="00C00631"/>
    <w:rsid w:val="00C006D0"/>
    <w:rsid w:val="00C008CF"/>
    <w:rsid w:val="00C008E5"/>
    <w:rsid w:val="00C00CEA"/>
    <w:rsid w:val="00C00D78"/>
    <w:rsid w:val="00C017C8"/>
    <w:rsid w:val="00C024C7"/>
    <w:rsid w:val="00C028A3"/>
    <w:rsid w:val="00C02C4E"/>
    <w:rsid w:val="00C031D0"/>
    <w:rsid w:val="00C033AE"/>
    <w:rsid w:val="00C03F99"/>
    <w:rsid w:val="00C043D7"/>
    <w:rsid w:val="00C0458A"/>
    <w:rsid w:val="00C04689"/>
    <w:rsid w:val="00C04798"/>
    <w:rsid w:val="00C04819"/>
    <w:rsid w:val="00C04EE2"/>
    <w:rsid w:val="00C05759"/>
    <w:rsid w:val="00C0609A"/>
    <w:rsid w:val="00C0643F"/>
    <w:rsid w:val="00C064F8"/>
    <w:rsid w:val="00C065EC"/>
    <w:rsid w:val="00C069E0"/>
    <w:rsid w:val="00C06CF3"/>
    <w:rsid w:val="00C06EB2"/>
    <w:rsid w:val="00C07089"/>
    <w:rsid w:val="00C07258"/>
    <w:rsid w:val="00C07791"/>
    <w:rsid w:val="00C07881"/>
    <w:rsid w:val="00C07B75"/>
    <w:rsid w:val="00C07DED"/>
    <w:rsid w:val="00C07E22"/>
    <w:rsid w:val="00C07F04"/>
    <w:rsid w:val="00C100D0"/>
    <w:rsid w:val="00C1090C"/>
    <w:rsid w:val="00C109FD"/>
    <w:rsid w:val="00C10A8A"/>
    <w:rsid w:val="00C11082"/>
    <w:rsid w:val="00C11673"/>
    <w:rsid w:val="00C1243B"/>
    <w:rsid w:val="00C12720"/>
    <w:rsid w:val="00C12E02"/>
    <w:rsid w:val="00C12F71"/>
    <w:rsid w:val="00C14086"/>
    <w:rsid w:val="00C14915"/>
    <w:rsid w:val="00C1498D"/>
    <w:rsid w:val="00C14C86"/>
    <w:rsid w:val="00C1508B"/>
    <w:rsid w:val="00C151E6"/>
    <w:rsid w:val="00C157A9"/>
    <w:rsid w:val="00C15A25"/>
    <w:rsid w:val="00C17357"/>
    <w:rsid w:val="00C17448"/>
    <w:rsid w:val="00C17574"/>
    <w:rsid w:val="00C17593"/>
    <w:rsid w:val="00C17713"/>
    <w:rsid w:val="00C20CB2"/>
    <w:rsid w:val="00C20D93"/>
    <w:rsid w:val="00C20E34"/>
    <w:rsid w:val="00C21FAD"/>
    <w:rsid w:val="00C22406"/>
    <w:rsid w:val="00C230AB"/>
    <w:rsid w:val="00C230BD"/>
    <w:rsid w:val="00C238B5"/>
    <w:rsid w:val="00C23FCA"/>
    <w:rsid w:val="00C248C0"/>
    <w:rsid w:val="00C24928"/>
    <w:rsid w:val="00C24C37"/>
    <w:rsid w:val="00C24FF5"/>
    <w:rsid w:val="00C25098"/>
    <w:rsid w:val="00C257EA"/>
    <w:rsid w:val="00C2588C"/>
    <w:rsid w:val="00C25B0A"/>
    <w:rsid w:val="00C25D6A"/>
    <w:rsid w:val="00C25FA9"/>
    <w:rsid w:val="00C260E4"/>
    <w:rsid w:val="00C262BC"/>
    <w:rsid w:val="00C2647F"/>
    <w:rsid w:val="00C26BEA"/>
    <w:rsid w:val="00C27D7A"/>
    <w:rsid w:val="00C27ED3"/>
    <w:rsid w:val="00C309BD"/>
    <w:rsid w:val="00C312AA"/>
    <w:rsid w:val="00C312B5"/>
    <w:rsid w:val="00C31632"/>
    <w:rsid w:val="00C31AC1"/>
    <w:rsid w:val="00C31EE6"/>
    <w:rsid w:val="00C3227F"/>
    <w:rsid w:val="00C325AF"/>
    <w:rsid w:val="00C33008"/>
    <w:rsid w:val="00C331FF"/>
    <w:rsid w:val="00C338D5"/>
    <w:rsid w:val="00C33D1E"/>
    <w:rsid w:val="00C34009"/>
    <w:rsid w:val="00C3418B"/>
    <w:rsid w:val="00C3429E"/>
    <w:rsid w:val="00C344D5"/>
    <w:rsid w:val="00C3463E"/>
    <w:rsid w:val="00C34EF1"/>
    <w:rsid w:val="00C36168"/>
    <w:rsid w:val="00C3637A"/>
    <w:rsid w:val="00C36698"/>
    <w:rsid w:val="00C3693D"/>
    <w:rsid w:val="00C37268"/>
    <w:rsid w:val="00C375E2"/>
    <w:rsid w:val="00C3766D"/>
    <w:rsid w:val="00C3778D"/>
    <w:rsid w:val="00C37AD7"/>
    <w:rsid w:val="00C37B38"/>
    <w:rsid w:val="00C37F82"/>
    <w:rsid w:val="00C40248"/>
    <w:rsid w:val="00C407A1"/>
    <w:rsid w:val="00C40C41"/>
    <w:rsid w:val="00C40FF7"/>
    <w:rsid w:val="00C41076"/>
    <w:rsid w:val="00C4140C"/>
    <w:rsid w:val="00C414BE"/>
    <w:rsid w:val="00C4152C"/>
    <w:rsid w:val="00C41801"/>
    <w:rsid w:val="00C4196B"/>
    <w:rsid w:val="00C41AB2"/>
    <w:rsid w:val="00C41BFA"/>
    <w:rsid w:val="00C41D68"/>
    <w:rsid w:val="00C42408"/>
    <w:rsid w:val="00C426FD"/>
    <w:rsid w:val="00C42998"/>
    <w:rsid w:val="00C42BC0"/>
    <w:rsid w:val="00C42FD3"/>
    <w:rsid w:val="00C4323E"/>
    <w:rsid w:val="00C43921"/>
    <w:rsid w:val="00C43E6E"/>
    <w:rsid w:val="00C43EA5"/>
    <w:rsid w:val="00C442BA"/>
    <w:rsid w:val="00C44AFF"/>
    <w:rsid w:val="00C44E01"/>
    <w:rsid w:val="00C463FF"/>
    <w:rsid w:val="00C4650E"/>
    <w:rsid w:val="00C467C6"/>
    <w:rsid w:val="00C46DF4"/>
    <w:rsid w:val="00C47623"/>
    <w:rsid w:val="00C506A2"/>
    <w:rsid w:val="00C50D3C"/>
    <w:rsid w:val="00C50F64"/>
    <w:rsid w:val="00C517D9"/>
    <w:rsid w:val="00C51CEE"/>
    <w:rsid w:val="00C5209F"/>
    <w:rsid w:val="00C52121"/>
    <w:rsid w:val="00C52823"/>
    <w:rsid w:val="00C52B6E"/>
    <w:rsid w:val="00C52E5A"/>
    <w:rsid w:val="00C52F6D"/>
    <w:rsid w:val="00C52F7D"/>
    <w:rsid w:val="00C53526"/>
    <w:rsid w:val="00C53ECA"/>
    <w:rsid w:val="00C54567"/>
    <w:rsid w:val="00C545BC"/>
    <w:rsid w:val="00C5460E"/>
    <w:rsid w:val="00C547F3"/>
    <w:rsid w:val="00C55040"/>
    <w:rsid w:val="00C55166"/>
    <w:rsid w:val="00C5534F"/>
    <w:rsid w:val="00C55373"/>
    <w:rsid w:val="00C5548F"/>
    <w:rsid w:val="00C55B73"/>
    <w:rsid w:val="00C55C2B"/>
    <w:rsid w:val="00C55D5D"/>
    <w:rsid w:val="00C56395"/>
    <w:rsid w:val="00C5643E"/>
    <w:rsid w:val="00C56601"/>
    <w:rsid w:val="00C56B99"/>
    <w:rsid w:val="00C56F7C"/>
    <w:rsid w:val="00C57143"/>
    <w:rsid w:val="00C573EE"/>
    <w:rsid w:val="00C574DF"/>
    <w:rsid w:val="00C60992"/>
    <w:rsid w:val="00C60E47"/>
    <w:rsid w:val="00C610E3"/>
    <w:rsid w:val="00C61846"/>
    <w:rsid w:val="00C6186C"/>
    <w:rsid w:val="00C618A6"/>
    <w:rsid w:val="00C61924"/>
    <w:rsid w:val="00C6220D"/>
    <w:rsid w:val="00C6252E"/>
    <w:rsid w:val="00C62684"/>
    <w:rsid w:val="00C6294F"/>
    <w:rsid w:val="00C62AD9"/>
    <w:rsid w:val="00C62FFE"/>
    <w:rsid w:val="00C63201"/>
    <w:rsid w:val="00C63555"/>
    <w:rsid w:val="00C638BF"/>
    <w:rsid w:val="00C64064"/>
    <w:rsid w:val="00C6408D"/>
    <w:rsid w:val="00C6421D"/>
    <w:rsid w:val="00C642CC"/>
    <w:rsid w:val="00C64450"/>
    <w:rsid w:val="00C644C6"/>
    <w:rsid w:val="00C64F2E"/>
    <w:rsid w:val="00C650D9"/>
    <w:rsid w:val="00C651B5"/>
    <w:rsid w:val="00C659CD"/>
    <w:rsid w:val="00C65D8F"/>
    <w:rsid w:val="00C661D2"/>
    <w:rsid w:val="00C662F4"/>
    <w:rsid w:val="00C66447"/>
    <w:rsid w:val="00C6660C"/>
    <w:rsid w:val="00C66637"/>
    <w:rsid w:val="00C66EB3"/>
    <w:rsid w:val="00C67078"/>
    <w:rsid w:val="00C67863"/>
    <w:rsid w:val="00C678B7"/>
    <w:rsid w:val="00C678BD"/>
    <w:rsid w:val="00C704AC"/>
    <w:rsid w:val="00C705A3"/>
    <w:rsid w:val="00C70832"/>
    <w:rsid w:val="00C7093F"/>
    <w:rsid w:val="00C709F6"/>
    <w:rsid w:val="00C71032"/>
    <w:rsid w:val="00C7143D"/>
    <w:rsid w:val="00C71579"/>
    <w:rsid w:val="00C716B4"/>
    <w:rsid w:val="00C72398"/>
    <w:rsid w:val="00C725B3"/>
    <w:rsid w:val="00C72B0D"/>
    <w:rsid w:val="00C72BFB"/>
    <w:rsid w:val="00C72C75"/>
    <w:rsid w:val="00C73F8B"/>
    <w:rsid w:val="00C73F90"/>
    <w:rsid w:val="00C73FD1"/>
    <w:rsid w:val="00C749A4"/>
    <w:rsid w:val="00C74C34"/>
    <w:rsid w:val="00C74D78"/>
    <w:rsid w:val="00C74E94"/>
    <w:rsid w:val="00C7573A"/>
    <w:rsid w:val="00C7588F"/>
    <w:rsid w:val="00C75922"/>
    <w:rsid w:val="00C75BF6"/>
    <w:rsid w:val="00C768E9"/>
    <w:rsid w:val="00C76E84"/>
    <w:rsid w:val="00C77696"/>
    <w:rsid w:val="00C77B82"/>
    <w:rsid w:val="00C77D0A"/>
    <w:rsid w:val="00C80488"/>
    <w:rsid w:val="00C810DB"/>
    <w:rsid w:val="00C819EF"/>
    <w:rsid w:val="00C822F7"/>
    <w:rsid w:val="00C82E28"/>
    <w:rsid w:val="00C82F18"/>
    <w:rsid w:val="00C82FCC"/>
    <w:rsid w:val="00C82FDA"/>
    <w:rsid w:val="00C83284"/>
    <w:rsid w:val="00C836DF"/>
    <w:rsid w:val="00C8377D"/>
    <w:rsid w:val="00C83D93"/>
    <w:rsid w:val="00C83E45"/>
    <w:rsid w:val="00C83E93"/>
    <w:rsid w:val="00C83FB4"/>
    <w:rsid w:val="00C840D7"/>
    <w:rsid w:val="00C84B64"/>
    <w:rsid w:val="00C85B27"/>
    <w:rsid w:val="00C85B70"/>
    <w:rsid w:val="00C85F6D"/>
    <w:rsid w:val="00C864B8"/>
    <w:rsid w:val="00C86525"/>
    <w:rsid w:val="00C869FC"/>
    <w:rsid w:val="00C86AE2"/>
    <w:rsid w:val="00C86FA5"/>
    <w:rsid w:val="00C87721"/>
    <w:rsid w:val="00C87830"/>
    <w:rsid w:val="00C87ED6"/>
    <w:rsid w:val="00C90441"/>
    <w:rsid w:val="00C91113"/>
    <w:rsid w:val="00C911BA"/>
    <w:rsid w:val="00C91B7F"/>
    <w:rsid w:val="00C91F44"/>
    <w:rsid w:val="00C9222E"/>
    <w:rsid w:val="00C92801"/>
    <w:rsid w:val="00C932E4"/>
    <w:rsid w:val="00C934DE"/>
    <w:rsid w:val="00C9398D"/>
    <w:rsid w:val="00C939FF"/>
    <w:rsid w:val="00C93A7A"/>
    <w:rsid w:val="00C93F19"/>
    <w:rsid w:val="00C94166"/>
    <w:rsid w:val="00C9426B"/>
    <w:rsid w:val="00C943F7"/>
    <w:rsid w:val="00C944F4"/>
    <w:rsid w:val="00C948A5"/>
    <w:rsid w:val="00C948F8"/>
    <w:rsid w:val="00C94F77"/>
    <w:rsid w:val="00C9516A"/>
    <w:rsid w:val="00C95340"/>
    <w:rsid w:val="00C95645"/>
    <w:rsid w:val="00C959CA"/>
    <w:rsid w:val="00C95C88"/>
    <w:rsid w:val="00C95DFB"/>
    <w:rsid w:val="00C95E75"/>
    <w:rsid w:val="00C964A1"/>
    <w:rsid w:val="00C96793"/>
    <w:rsid w:val="00C96B1D"/>
    <w:rsid w:val="00C96ECC"/>
    <w:rsid w:val="00C97776"/>
    <w:rsid w:val="00C97ADE"/>
    <w:rsid w:val="00C97B7E"/>
    <w:rsid w:val="00CA0332"/>
    <w:rsid w:val="00CA090F"/>
    <w:rsid w:val="00CA0C6D"/>
    <w:rsid w:val="00CA12AD"/>
    <w:rsid w:val="00CA12C7"/>
    <w:rsid w:val="00CA1533"/>
    <w:rsid w:val="00CA1907"/>
    <w:rsid w:val="00CA2369"/>
    <w:rsid w:val="00CA25DB"/>
    <w:rsid w:val="00CA2BB9"/>
    <w:rsid w:val="00CA2DD4"/>
    <w:rsid w:val="00CA3334"/>
    <w:rsid w:val="00CA3621"/>
    <w:rsid w:val="00CA377A"/>
    <w:rsid w:val="00CA3D9E"/>
    <w:rsid w:val="00CA429F"/>
    <w:rsid w:val="00CA4355"/>
    <w:rsid w:val="00CA4824"/>
    <w:rsid w:val="00CA4B5E"/>
    <w:rsid w:val="00CA4BF1"/>
    <w:rsid w:val="00CA4EE3"/>
    <w:rsid w:val="00CA5363"/>
    <w:rsid w:val="00CA5541"/>
    <w:rsid w:val="00CA594C"/>
    <w:rsid w:val="00CA5CEA"/>
    <w:rsid w:val="00CA6832"/>
    <w:rsid w:val="00CA79CA"/>
    <w:rsid w:val="00CA7A08"/>
    <w:rsid w:val="00CA7B23"/>
    <w:rsid w:val="00CA7E45"/>
    <w:rsid w:val="00CA7E6B"/>
    <w:rsid w:val="00CB0033"/>
    <w:rsid w:val="00CB0037"/>
    <w:rsid w:val="00CB00B0"/>
    <w:rsid w:val="00CB00BC"/>
    <w:rsid w:val="00CB0452"/>
    <w:rsid w:val="00CB04E0"/>
    <w:rsid w:val="00CB04EB"/>
    <w:rsid w:val="00CB058F"/>
    <w:rsid w:val="00CB133B"/>
    <w:rsid w:val="00CB256F"/>
    <w:rsid w:val="00CB262F"/>
    <w:rsid w:val="00CB2A18"/>
    <w:rsid w:val="00CB35C5"/>
    <w:rsid w:val="00CB3A38"/>
    <w:rsid w:val="00CB3E9E"/>
    <w:rsid w:val="00CB480B"/>
    <w:rsid w:val="00CB4841"/>
    <w:rsid w:val="00CB4903"/>
    <w:rsid w:val="00CB5256"/>
    <w:rsid w:val="00CB52BD"/>
    <w:rsid w:val="00CB5A1C"/>
    <w:rsid w:val="00CB5B6D"/>
    <w:rsid w:val="00CB6206"/>
    <w:rsid w:val="00CB6371"/>
    <w:rsid w:val="00CB650E"/>
    <w:rsid w:val="00CB66FC"/>
    <w:rsid w:val="00CB70C2"/>
    <w:rsid w:val="00CB71C2"/>
    <w:rsid w:val="00CB71FA"/>
    <w:rsid w:val="00CB7A09"/>
    <w:rsid w:val="00CB7A6D"/>
    <w:rsid w:val="00CB7E88"/>
    <w:rsid w:val="00CC0EFC"/>
    <w:rsid w:val="00CC0F13"/>
    <w:rsid w:val="00CC10E1"/>
    <w:rsid w:val="00CC12B3"/>
    <w:rsid w:val="00CC1957"/>
    <w:rsid w:val="00CC1C32"/>
    <w:rsid w:val="00CC23C7"/>
    <w:rsid w:val="00CC23D1"/>
    <w:rsid w:val="00CC23DF"/>
    <w:rsid w:val="00CC2920"/>
    <w:rsid w:val="00CC293C"/>
    <w:rsid w:val="00CC2BED"/>
    <w:rsid w:val="00CC2C5B"/>
    <w:rsid w:val="00CC31C4"/>
    <w:rsid w:val="00CC33A8"/>
    <w:rsid w:val="00CC36BF"/>
    <w:rsid w:val="00CC3864"/>
    <w:rsid w:val="00CC3A94"/>
    <w:rsid w:val="00CC3C9D"/>
    <w:rsid w:val="00CC418F"/>
    <w:rsid w:val="00CC484D"/>
    <w:rsid w:val="00CC492A"/>
    <w:rsid w:val="00CC4ACC"/>
    <w:rsid w:val="00CC4B8D"/>
    <w:rsid w:val="00CC4F65"/>
    <w:rsid w:val="00CC51E6"/>
    <w:rsid w:val="00CC528C"/>
    <w:rsid w:val="00CC5300"/>
    <w:rsid w:val="00CC58F6"/>
    <w:rsid w:val="00CC5B94"/>
    <w:rsid w:val="00CC5F72"/>
    <w:rsid w:val="00CC614D"/>
    <w:rsid w:val="00CC631A"/>
    <w:rsid w:val="00CC6366"/>
    <w:rsid w:val="00CC73C2"/>
    <w:rsid w:val="00CC7447"/>
    <w:rsid w:val="00CC769B"/>
    <w:rsid w:val="00CC7714"/>
    <w:rsid w:val="00CC7A79"/>
    <w:rsid w:val="00CC7B40"/>
    <w:rsid w:val="00CC7D76"/>
    <w:rsid w:val="00CD02AD"/>
    <w:rsid w:val="00CD02F0"/>
    <w:rsid w:val="00CD0339"/>
    <w:rsid w:val="00CD058C"/>
    <w:rsid w:val="00CD063A"/>
    <w:rsid w:val="00CD0A5B"/>
    <w:rsid w:val="00CD0BF3"/>
    <w:rsid w:val="00CD1290"/>
    <w:rsid w:val="00CD1756"/>
    <w:rsid w:val="00CD19BD"/>
    <w:rsid w:val="00CD2549"/>
    <w:rsid w:val="00CD2769"/>
    <w:rsid w:val="00CD291B"/>
    <w:rsid w:val="00CD3298"/>
    <w:rsid w:val="00CD3591"/>
    <w:rsid w:val="00CD408D"/>
    <w:rsid w:val="00CD40AB"/>
    <w:rsid w:val="00CD4120"/>
    <w:rsid w:val="00CD4241"/>
    <w:rsid w:val="00CD42B9"/>
    <w:rsid w:val="00CD47A9"/>
    <w:rsid w:val="00CD4AE1"/>
    <w:rsid w:val="00CD4B5E"/>
    <w:rsid w:val="00CD4B94"/>
    <w:rsid w:val="00CD4CE8"/>
    <w:rsid w:val="00CD5012"/>
    <w:rsid w:val="00CD5104"/>
    <w:rsid w:val="00CD5332"/>
    <w:rsid w:val="00CD55EB"/>
    <w:rsid w:val="00CD5627"/>
    <w:rsid w:val="00CD5B37"/>
    <w:rsid w:val="00CD5CC2"/>
    <w:rsid w:val="00CD6028"/>
    <w:rsid w:val="00CD6584"/>
    <w:rsid w:val="00CD666D"/>
    <w:rsid w:val="00CD6B62"/>
    <w:rsid w:val="00CD734D"/>
    <w:rsid w:val="00CD73EA"/>
    <w:rsid w:val="00CD7474"/>
    <w:rsid w:val="00CD77FC"/>
    <w:rsid w:val="00CD78F3"/>
    <w:rsid w:val="00CE027B"/>
    <w:rsid w:val="00CE035B"/>
    <w:rsid w:val="00CE0382"/>
    <w:rsid w:val="00CE04DF"/>
    <w:rsid w:val="00CE080C"/>
    <w:rsid w:val="00CE0859"/>
    <w:rsid w:val="00CE0B85"/>
    <w:rsid w:val="00CE0DB6"/>
    <w:rsid w:val="00CE0DF0"/>
    <w:rsid w:val="00CE1590"/>
    <w:rsid w:val="00CE15EF"/>
    <w:rsid w:val="00CE1646"/>
    <w:rsid w:val="00CE1C74"/>
    <w:rsid w:val="00CE220F"/>
    <w:rsid w:val="00CE229E"/>
    <w:rsid w:val="00CE22E9"/>
    <w:rsid w:val="00CE27FF"/>
    <w:rsid w:val="00CE2830"/>
    <w:rsid w:val="00CE28C6"/>
    <w:rsid w:val="00CE2B5A"/>
    <w:rsid w:val="00CE3054"/>
    <w:rsid w:val="00CE3980"/>
    <w:rsid w:val="00CE3D17"/>
    <w:rsid w:val="00CE3E29"/>
    <w:rsid w:val="00CE3E40"/>
    <w:rsid w:val="00CE3ED9"/>
    <w:rsid w:val="00CE3F44"/>
    <w:rsid w:val="00CE429E"/>
    <w:rsid w:val="00CE4345"/>
    <w:rsid w:val="00CE4789"/>
    <w:rsid w:val="00CE484D"/>
    <w:rsid w:val="00CE4985"/>
    <w:rsid w:val="00CE4B3C"/>
    <w:rsid w:val="00CE5C00"/>
    <w:rsid w:val="00CE5CF3"/>
    <w:rsid w:val="00CE5DEF"/>
    <w:rsid w:val="00CE6154"/>
    <w:rsid w:val="00CE675B"/>
    <w:rsid w:val="00CE71A1"/>
    <w:rsid w:val="00CE73F3"/>
    <w:rsid w:val="00CF01B0"/>
    <w:rsid w:val="00CF01FF"/>
    <w:rsid w:val="00CF096F"/>
    <w:rsid w:val="00CF09CE"/>
    <w:rsid w:val="00CF0AB4"/>
    <w:rsid w:val="00CF13F4"/>
    <w:rsid w:val="00CF1487"/>
    <w:rsid w:val="00CF1724"/>
    <w:rsid w:val="00CF1872"/>
    <w:rsid w:val="00CF23FE"/>
    <w:rsid w:val="00CF2708"/>
    <w:rsid w:val="00CF2996"/>
    <w:rsid w:val="00CF2AF0"/>
    <w:rsid w:val="00CF2B65"/>
    <w:rsid w:val="00CF2D76"/>
    <w:rsid w:val="00CF2EA3"/>
    <w:rsid w:val="00CF321B"/>
    <w:rsid w:val="00CF368E"/>
    <w:rsid w:val="00CF4056"/>
    <w:rsid w:val="00CF4811"/>
    <w:rsid w:val="00CF49E2"/>
    <w:rsid w:val="00CF4B86"/>
    <w:rsid w:val="00CF52C7"/>
    <w:rsid w:val="00CF53D0"/>
    <w:rsid w:val="00CF5514"/>
    <w:rsid w:val="00CF55AC"/>
    <w:rsid w:val="00CF56FB"/>
    <w:rsid w:val="00CF5A12"/>
    <w:rsid w:val="00CF613C"/>
    <w:rsid w:val="00CF6978"/>
    <w:rsid w:val="00CF6B17"/>
    <w:rsid w:val="00CF71FA"/>
    <w:rsid w:val="00CF7A20"/>
    <w:rsid w:val="00CF7A25"/>
    <w:rsid w:val="00D00094"/>
    <w:rsid w:val="00D00129"/>
    <w:rsid w:val="00D00528"/>
    <w:rsid w:val="00D008D5"/>
    <w:rsid w:val="00D00F21"/>
    <w:rsid w:val="00D01238"/>
    <w:rsid w:val="00D012FD"/>
    <w:rsid w:val="00D0147F"/>
    <w:rsid w:val="00D016CA"/>
    <w:rsid w:val="00D01FB5"/>
    <w:rsid w:val="00D021FD"/>
    <w:rsid w:val="00D02F00"/>
    <w:rsid w:val="00D038D4"/>
    <w:rsid w:val="00D03BBC"/>
    <w:rsid w:val="00D03FDD"/>
    <w:rsid w:val="00D0411A"/>
    <w:rsid w:val="00D042AF"/>
    <w:rsid w:val="00D0437B"/>
    <w:rsid w:val="00D04466"/>
    <w:rsid w:val="00D0485C"/>
    <w:rsid w:val="00D049B4"/>
    <w:rsid w:val="00D04CEB"/>
    <w:rsid w:val="00D04F89"/>
    <w:rsid w:val="00D05640"/>
    <w:rsid w:val="00D057F6"/>
    <w:rsid w:val="00D05F18"/>
    <w:rsid w:val="00D05FB9"/>
    <w:rsid w:val="00D06812"/>
    <w:rsid w:val="00D06A87"/>
    <w:rsid w:val="00D06CA9"/>
    <w:rsid w:val="00D06F1D"/>
    <w:rsid w:val="00D070F8"/>
    <w:rsid w:val="00D0724A"/>
    <w:rsid w:val="00D07334"/>
    <w:rsid w:val="00D07379"/>
    <w:rsid w:val="00D07B51"/>
    <w:rsid w:val="00D1010F"/>
    <w:rsid w:val="00D105E2"/>
    <w:rsid w:val="00D1072B"/>
    <w:rsid w:val="00D1106C"/>
    <w:rsid w:val="00D111F6"/>
    <w:rsid w:val="00D112E8"/>
    <w:rsid w:val="00D11702"/>
    <w:rsid w:val="00D1174F"/>
    <w:rsid w:val="00D11804"/>
    <w:rsid w:val="00D11AF1"/>
    <w:rsid w:val="00D11B40"/>
    <w:rsid w:val="00D11EB9"/>
    <w:rsid w:val="00D11F6F"/>
    <w:rsid w:val="00D124D8"/>
    <w:rsid w:val="00D129EC"/>
    <w:rsid w:val="00D12A9E"/>
    <w:rsid w:val="00D12C63"/>
    <w:rsid w:val="00D12D35"/>
    <w:rsid w:val="00D12D3B"/>
    <w:rsid w:val="00D132D8"/>
    <w:rsid w:val="00D13818"/>
    <w:rsid w:val="00D13BDF"/>
    <w:rsid w:val="00D13C71"/>
    <w:rsid w:val="00D13E2D"/>
    <w:rsid w:val="00D14250"/>
    <w:rsid w:val="00D14E01"/>
    <w:rsid w:val="00D14FDF"/>
    <w:rsid w:val="00D1502B"/>
    <w:rsid w:val="00D15C27"/>
    <w:rsid w:val="00D15E00"/>
    <w:rsid w:val="00D164EA"/>
    <w:rsid w:val="00D174A5"/>
    <w:rsid w:val="00D17595"/>
    <w:rsid w:val="00D17D38"/>
    <w:rsid w:val="00D201AF"/>
    <w:rsid w:val="00D20787"/>
    <w:rsid w:val="00D20D1E"/>
    <w:rsid w:val="00D21149"/>
    <w:rsid w:val="00D217C0"/>
    <w:rsid w:val="00D21B5F"/>
    <w:rsid w:val="00D21D69"/>
    <w:rsid w:val="00D22166"/>
    <w:rsid w:val="00D2247D"/>
    <w:rsid w:val="00D2276D"/>
    <w:rsid w:val="00D22970"/>
    <w:rsid w:val="00D22BBD"/>
    <w:rsid w:val="00D23108"/>
    <w:rsid w:val="00D23501"/>
    <w:rsid w:val="00D2372F"/>
    <w:rsid w:val="00D23792"/>
    <w:rsid w:val="00D237BA"/>
    <w:rsid w:val="00D2386C"/>
    <w:rsid w:val="00D23969"/>
    <w:rsid w:val="00D23B89"/>
    <w:rsid w:val="00D23C42"/>
    <w:rsid w:val="00D23E79"/>
    <w:rsid w:val="00D2405B"/>
    <w:rsid w:val="00D247DF"/>
    <w:rsid w:val="00D24C73"/>
    <w:rsid w:val="00D24E93"/>
    <w:rsid w:val="00D24EB5"/>
    <w:rsid w:val="00D25119"/>
    <w:rsid w:val="00D254E7"/>
    <w:rsid w:val="00D25EBC"/>
    <w:rsid w:val="00D26ACE"/>
    <w:rsid w:val="00D26EB7"/>
    <w:rsid w:val="00D27274"/>
    <w:rsid w:val="00D273FE"/>
    <w:rsid w:val="00D2756F"/>
    <w:rsid w:val="00D2760D"/>
    <w:rsid w:val="00D27740"/>
    <w:rsid w:val="00D27A99"/>
    <w:rsid w:val="00D27EE7"/>
    <w:rsid w:val="00D30CF0"/>
    <w:rsid w:val="00D31102"/>
    <w:rsid w:val="00D314CE"/>
    <w:rsid w:val="00D321FA"/>
    <w:rsid w:val="00D32693"/>
    <w:rsid w:val="00D32967"/>
    <w:rsid w:val="00D3298F"/>
    <w:rsid w:val="00D32CA0"/>
    <w:rsid w:val="00D33158"/>
    <w:rsid w:val="00D33643"/>
    <w:rsid w:val="00D340A9"/>
    <w:rsid w:val="00D340B0"/>
    <w:rsid w:val="00D34203"/>
    <w:rsid w:val="00D34856"/>
    <w:rsid w:val="00D34A4B"/>
    <w:rsid w:val="00D34B90"/>
    <w:rsid w:val="00D355C3"/>
    <w:rsid w:val="00D35734"/>
    <w:rsid w:val="00D357C6"/>
    <w:rsid w:val="00D35CE1"/>
    <w:rsid w:val="00D361ED"/>
    <w:rsid w:val="00D3733F"/>
    <w:rsid w:val="00D374B9"/>
    <w:rsid w:val="00D3752A"/>
    <w:rsid w:val="00D375BC"/>
    <w:rsid w:val="00D3778C"/>
    <w:rsid w:val="00D37B36"/>
    <w:rsid w:val="00D40006"/>
    <w:rsid w:val="00D402CE"/>
    <w:rsid w:val="00D4073A"/>
    <w:rsid w:val="00D4092C"/>
    <w:rsid w:val="00D40D5F"/>
    <w:rsid w:val="00D40DF9"/>
    <w:rsid w:val="00D40EFE"/>
    <w:rsid w:val="00D411FD"/>
    <w:rsid w:val="00D4126C"/>
    <w:rsid w:val="00D415E5"/>
    <w:rsid w:val="00D41702"/>
    <w:rsid w:val="00D4178A"/>
    <w:rsid w:val="00D41C67"/>
    <w:rsid w:val="00D41DBE"/>
    <w:rsid w:val="00D41E51"/>
    <w:rsid w:val="00D422E5"/>
    <w:rsid w:val="00D42551"/>
    <w:rsid w:val="00D4277E"/>
    <w:rsid w:val="00D42AA3"/>
    <w:rsid w:val="00D43321"/>
    <w:rsid w:val="00D434C2"/>
    <w:rsid w:val="00D44621"/>
    <w:rsid w:val="00D44B5A"/>
    <w:rsid w:val="00D4581B"/>
    <w:rsid w:val="00D4609B"/>
    <w:rsid w:val="00D462E7"/>
    <w:rsid w:val="00D4684F"/>
    <w:rsid w:val="00D46D80"/>
    <w:rsid w:val="00D46DC8"/>
    <w:rsid w:val="00D47185"/>
    <w:rsid w:val="00D47212"/>
    <w:rsid w:val="00D5012B"/>
    <w:rsid w:val="00D50567"/>
    <w:rsid w:val="00D509BC"/>
    <w:rsid w:val="00D509E6"/>
    <w:rsid w:val="00D50EAE"/>
    <w:rsid w:val="00D51618"/>
    <w:rsid w:val="00D51CDE"/>
    <w:rsid w:val="00D51E01"/>
    <w:rsid w:val="00D51FE3"/>
    <w:rsid w:val="00D5255D"/>
    <w:rsid w:val="00D529DB"/>
    <w:rsid w:val="00D52E33"/>
    <w:rsid w:val="00D52F0B"/>
    <w:rsid w:val="00D54088"/>
    <w:rsid w:val="00D54380"/>
    <w:rsid w:val="00D54B29"/>
    <w:rsid w:val="00D54D2F"/>
    <w:rsid w:val="00D551C0"/>
    <w:rsid w:val="00D551D0"/>
    <w:rsid w:val="00D5567B"/>
    <w:rsid w:val="00D556F1"/>
    <w:rsid w:val="00D55721"/>
    <w:rsid w:val="00D55E5E"/>
    <w:rsid w:val="00D56150"/>
    <w:rsid w:val="00D563AB"/>
    <w:rsid w:val="00D564FA"/>
    <w:rsid w:val="00D56753"/>
    <w:rsid w:val="00D56DDC"/>
    <w:rsid w:val="00D56E5B"/>
    <w:rsid w:val="00D5736B"/>
    <w:rsid w:val="00D575C1"/>
    <w:rsid w:val="00D57F44"/>
    <w:rsid w:val="00D60496"/>
    <w:rsid w:val="00D60703"/>
    <w:rsid w:val="00D60900"/>
    <w:rsid w:val="00D609DA"/>
    <w:rsid w:val="00D60A95"/>
    <w:rsid w:val="00D60FCE"/>
    <w:rsid w:val="00D6161C"/>
    <w:rsid w:val="00D61996"/>
    <w:rsid w:val="00D61E50"/>
    <w:rsid w:val="00D62120"/>
    <w:rsid w:val="00D62632"/>
    <w:rsid w:val="00D6275F"/>
    <w:rsid w:val="00D62A16"/>
    <w:rsid w:val="00D62A64"/>
    <w:rsid w:val="00D62BA3"/>
    <w:rsid w:val="00D62D73"/>
    <w:rsid w:val="00D62EE5"/>
    <w:rsid w:val="00D63013"/>
    <w:rsid w:val="00D63898"/>
    <w:rsid w:val="00D63942"/>
    <w:rsid w:val="00D64020"/>
    <w:rsid w:val="00D6422A"/>
    <w:rsid w:val="00D648DB"/>
    <w:rsid w:val="00D64ACD"/>
    <w:rsid w:val="00D650DB"/>
    <w:rsid w:val="00D65F43"/>
    <w:rsid w:val="00D6603F"/>
    <w:rsid w:val="00D6691F"/>
    <w:rsid w:val="00D6752E"/>
    <w:rsid w:val="00D67C16"/>
    <w:rsid w:val="00D705A7"/>
    <w:rsid w:val="00D70B26"/>
    <w:rsid w:val="00D71242"/>
    <w:rsid w:val="00D712B9"/>
    <w:rsid w:val="00D71640"/>
    <w:rsid w:val="00D719FA"/>
    <w:rsid w:val="00D720DA"/>
    <w:rsid w:val="00D72104"/>
    <w:rsid w:val="00D721B3"/>
    <w:rsid w:val="00D72AE7"/>
    <w:rsid w:val="00D72B31"/>
    <w:rsid w:val="00D72DCB"/>
    <w:rsid w:val="00D73402"/>
    <w:rsid w:val="00D73482"/>
    <w:rsid w:val="00D73A0E"/>
    <w:rsid w:val="00D73EE8"/>
    <w:rsid w:val="00D73FF7"/>
    <w:rsid w:val="00D74194"/>
    <w:rsid w:val="00D74538"/>
    <w:rsid w:val="00D745E6"/>
    <w:rsid w:val="00D74667"/>
    <w:rsid w:val="00D74801"/>
    <w:rsid w:val="00D749AE"/>
    <w:rsid w:val="00D74D01"/>
    <w:rsid w:val="00D74DD7"/>
    <w:rsid w:val="00D74FA6"/>
    <w:rsid w:val="00D7513D"/>
    <w:rsid w:val="00D75924"/>
    <w:rsid w:val="00D75AC0"/>
    <w:rsid w:val="00D75B4B"/>
    <w:rsid w:val="00D75C19"/>
    <w:rsid w:val="00D75F1E"/>
    <w:rsid w:val="00D7615F"/>
    <w:rsid w:val="00D766C9"/>
    <w:rsid w:val="00D766FC"/>
    <w:rsid w:val="00D7678E"/>
    <w:rsid w:val="00D76C11"/>
    <w:rsid w:val="00D76DFC"/>
    <w:rsid w:val="00D770B6"/>
    <w:rsid w:val="00D775AE"/>
    <w:rsid w:val="00D77697"/>
    <w:rsid w:val="00D776EB"/>
    <w:rsid w:val="00D778EE"/>
    <w:rsid w:val="00D7795B"/>
    <w:rsid w:val="00D77AE2"/>
    <w:rsid w:val="00D77FAF"/>
    <w:rsid w:val="00D80237"/>
    <w:rsid w:val="00D80541"/>
    <w:rsid w:val="00D80F0A"/>
    <w:rsid w:val="00D81567"/>
    <w:rsid w:val="00D81B8B"/>
    <w:rsid w:val="00D82739"/>
    <w:rsid w:val="00D82819"/>
    <w:rsid w:val="00D82908"/>
    <w:rsid w:val="00D82ADD"/>
    <w:rsid w:val="00D83127"/>
    <w:rsid w:val="00D83719"/>
    <w:rsid w:val="00D83B2F"/>
    <w:rsid w:val="00D83F67"/>
    <w:rsid w:val="00D844BF"/>
    <w:rsid w:val="00D84B8F"/>
    <w:rsid w:val="00D84C92"/>
    <w:rsid w:val="00D84DCE"/>
    <w:rsid w:val="00D851A4"/>
    <w:rsid w:val="00D854F5"/>
    <w:rsid w:val="00D8557F"/>
    <w:rsid w:val="00D85794"/>
    <w:rsid w:val="00D8602A"/>
    <w:rsid w:val="00D8644E"/>
    <w:rsid w:val="00D865F3"/>
    <w:rsid w:val="00D86958"/>
    <w:rsid w:val="00D8697C"/>
    <w:rsid w:val="00D8698D"/>
    <w:rsid w:val="00D86A3F"/>
    <w:rsid w:val="00D86CAB"/>
    <w:rsid w:val="00D86E08"/>
    <w:rsid w:val="00D8728D"/>
    <w:rsid w:val="00D87588"/>
    <w:rsid w:val="00D876E1"/>
    <w:rsid w:val="00D87C30"/>
    <w:rsid w:val="00D87C84"/>
    <w:rsid w:val="00D87D38"/>
    <w:rsid w:val="00D87F4B"/>
    <w:rsid w:val="00D905A3"/>
    <w:rsid w:val="00D9063B"/>
    <w:rsid w:val="00D90C66"/>
    <w:rsid w:val="00D90D3B"/>
    <w:rsid w:val="00D90D49"/>
    <w:rsid w:val="00D90F3A"/>
    <w:rsid w:val="00D913AB"/>
    <w:rsid w:val="00D913AC"/>
    <w:rsid w:val="00D916FD"/>
    <w:rsid w:val="00D91920"/>
    <w:rsid w:val="00D91BC1"/>
    <w:rsid w:val="00D91BDD"/>
    <w:rsid w:val="00D91FD8"/>
    <w:rsid w:val="00D9258F"/>
    <w:rsid w:val="00D92A7E"/>
    <w:rsid w:val="00D92C17"/>
    <w:rsid w:val="00D93165"/>
    <w:rsid w:val="00D93666"/>
    <w:rsid w:val="00D936CF"/>
    <w:rsid w:val="00D93A21"/>
    <w:rsid w:val="00D9410B"/>
    <w:rsid w:val="00D94249"/>
    <w:rsid w:val="00D944C7"/>
    <w:rsid w:val="00D9460E"/>
    <w:rsid w:val="00D94827"/>
    <w:rsid w:val="00D9486C"/>
    <w:rsid w:val="00D94A8E"/>
    <w:rsid w:val="00D95160"/>
    <w:rsid w:val="00D95235"/>
    <w:rsid w:val="00D95290"/>
    <w:rsid w:val="00D956D4"/>
    <w:rsid w:val="00D958AC"/>
    <w:rsid w:val="00D95AC3"/>
    <w:rsid w:val="00D95C7C"/>
    <w:rsid w:val="00D95FC7"/>
    <w:rsid w:val="00D96576"/>
    <w:rsid w:val="00D965CE"/>
    <w:rsid w:val="00D968B0"/>
    <w:rsid w:val="00D96BE4"/>
    <w:rsid w:val="00D96EF3"/>
    <w:rsid w:val="00D9715E"/>
    <w:rsid w:val="00D97296"/>
    <w:rsid w:val="00D974E3"/>
    <w:rsid w:val="00D975E7"/>
    <w:rsid w:val="00D9784F"/>
    <w:rsid w:val="00D978CB"/>
    <w:rsid w:val="00D978F5"/>
    <w:rsid w:val="00D97D39"/>
    <w:rsid w:val="00D97E96"/>
    <w:rsid w:val="00D97F5D"/>
    <w:rsid w:val="00DA03B8"/>
    <w:rsid w:val="00DA079B"/>
    <w:rsid w:val="00DA0945"/>
    <w:rsid w:val="00DA0DEF"/>
    <w:rsid w:val="00DA11E1"/>
    <w:rsid w:val="00DA13AA"/>
    <w:rsid w:val="00DA18C5"/>
    <w:rsid w:val="00DA1908"/>
    <w:rsid w:val="00DA190E"/>
    <w:rsid w:val="00DA1AF1"/>
    <w:rsid w:val="00DA1C25"/>
    <w:rsid w:val="00DA1C54"/>
    <w:rsid w:val="00DA1DA6"/>
    <w:rsid w:val="00DA2329"/>
    <w:rsid w:val="00DA280A"/>
    <w:rsid w:val="00DA28F6"/>
    <w:rsid w:val="00DA2AAD"/>
    <w:rsid w:val="00DA2B42"/>
    <w:rsid w:val="00DA328E"/>
    <w:rsid w:val="00DA3372"/>
    <w:rsid w:val="00DA3641"/>
    <w:rsid w:val="00DA3AD9"/>
    <w:rsid w:val="00DA3D65"/>
    <w:rsid w:val="00DA3E3B"/>
    <w:rsid w:val="00DA405D"/>
    <w:rsid w:val="00DA51B4"/>
    <w:rsid w:val="00DA520D"/>
    <w:rsid w:val="00DA549C"/>
    <w:rsid w:val="00DA5568"/>
    <w:rsid w:val="00DA5999"/>
    <w:rsid w:val="00DA603C"/>
    <w:rsid w:val="00DA676E"/>
    <w:rsid w:val="00DA6C33"/>
    <w:rsid w:val="00DA6E26"/>
    <w:rsid w:val="00DA6EAA"/>
    <w:rsid w:val="00DA6F00"/>
    <w:rsid w:val="00DA6F16"/>
    <w:rsid w:val="00DA7000"/>
    <w:rsid w:val="00DA7143"/>
    <w:rsid w:val="00DA729F"/>
    <w:rsid w:val="00DA762B"/>
    <w:rsid w:val="00DA77D6"/>
    <w:rsid w:val="00DA7C76"/>
    <w:rsid w:val="00DA7E2C"/>
    <w:rsid w:val="00DB02AC"/>
    <w:rsid w:val="00DB0332"/>
    <w:rsid w:val="00DB0761"/>
    <w:rsid w:val="00DB07DA"/>
    <w:rsid w:val="00DB0CC7"/>
    <w:rsid w:val="00DB120A"/>
    <w:rsid w:val="00DB12E8"/>
    <w:rsid w:val="00DB13E4"/>
    <w:rsid w:val="00DB1402"/>
    <w:rsid w:val="00DB1504"/>
    <w:rsid w:val="00DB167F"/>
    <w:rsid w:val="00DB1ECE"/>
    <w:rsid w:val="00DB212C"/>
    <w:rsid w:val="00DB2212"/>
    <w:rsid w:val="00DB22A4"/>
    <w:rsid w:val="00DB24D0"/>
    <w:rsid w:val="00DB2895"/>
    <w:rsid w:val="00DB2951"/>
    <w:rsid w:val="00DB2A14"/>
    <w:rsid w:val="00DB3120"/>
    <w:rsid w:val="00DB3619"/>
    <w:rsid w:val="00DB444E"/>
    <w:rsid w:val="00DB44B2"/>
    <w:rsid w:val="00DB4972"/>
    <w:rsid w:val="00DB498B"/>
    <w:rsid w:val="00DB4BC5"/>
    <w:rsid w:val="00DB4CCD"/>
    <w:rsid w:val="00DB4DAD"/>
    <w:rsid w:val="00DB4ED5"/>
    <w:rsid w:val="00DB563D"/>
    <w:rsid w:val="00DB5A5D"/>
    <w:rsid w:val="00DB5C95"/>
    <w:rsid w:val="00DB6342"/>
    <w:rsid w:val="00DB6960"/>
    <w:rsid w:val="00DB6AD3"/>
    <w:rsid w:val="00DB6AFF"/>
    <w:rsid w:val="00DB717F"/>
    <w:rsid w:val="00DB730F"/>
    <w:rsid w:val="00DB7814"/>
    <w:rsid w:val="00DB7C26"/>
    <w:rsid w:val="00DB7D9C"/>
    <w:rsid w:val="00DC00A3"/>
    <w:rsid w:val="00DC0153"/>
    <w:rsid w:val="00DC034D"/>
    <w:rsid w:val="00DC05F3"/>
    <w:rsid w:val="00DC0705"/>
    <w:rsid w:val="00DC0956"/>
    <w:rsid w:val="00DC0976"/>
    <w:rsid w:val="00DC0999"/>
    <w:rsid w:val="00DC099B"/>
    <w:rsid w:val="00DC0AF3"/>
    <w:rsid w:val="00DC12ED"/>
    <w:rsid w:val="00DC16FC"/>
    <w:rsid w:val="00DC1EC4"/>
    <w:rsid w:val="00DC22CA"/>
    <w:rsid w:val="00DC260E"/>
    <w:rsid w:val="00DC3549"/>
    <w:rsid w:val="00DC3700"/>
    <w:rsid w:val="00DC38EA"/>
    <w:rsid w:val="00DC3922"/>
    <w:rsid w:val="00DC399B"/>
    <w:rsid w:val="00DC3DC9"/>
    <w:rsid w:val="00DC42C2"/>
    <w:rsid w:val="00DC4520"/>
    <w:rsid w:val="00DC4571"/>
    <w:rsid w:val="00DC4BF2"/>
    <w:rsid w:val="00DC5364"/>
    <w:rsid w:val="00DC536C"/>
    <w:rsid w:val="00DC539D"/>
    <w:rsid w:val="00DC54C5"/>
    <w:rsid w:val="00DC5667"/>
    <w:rsid w:val="00DC5E35"/>
    <w:rsid w:val="00DC602F"/>
    <w:rsid w:val="00DC642D"/>
    <w:rsid w:val="00DC67DF"/>
    <w:rsid w:val="00DC69D3"/>
    <w:rsid w:val="00DC737E"/>
    <w:rsid w:val="00DC74B8"/>
    <w:rsid w:val="00DC74F3"/>
    <w:rsid w:val="00DC75E4"/>
    <w:rsid w:val="00DC7D42"/>
    <w:rsid w:val="00DD01D6"/>
    <w:rsid w:val="00DD0209"/>
    <w:rsid w:val="00DD0777"/>
    <w:rsid w:val="00DD140C"/>
    <w:rsid w:val="00DD16B6"/>
    <w:rsid w:val="00DD1714"/>
    <w:rsid w:val="00DD17B0"/>
    <w:rsid w:val="00DD1CA6"/>
    <w:rsid w:val="00DD2157"/>
    <w:rsid w:val="00DD21D8"/>
    <w:rsid w:val="00DD2362"/>
    <w:rsid w:val="00DD2450"/>
    <w:rsid w:val="00DD2488"/>
    <w:rsid w:val="00DD2ED1"/>
    <w:rsid w:val="00DD3011"/>
    <w:rsid w:val="00DD3378"/>
    <w:rsid w:val="00DD3396"/>
    <w:rsid w:val="00DD37BF"/>
    <w:rsid w:val="00DD3C61"/>
    <w:rsid w:val="00DD3F05"/>
    <w:rsid w:val="00DD3F62"/>
    <w:rsid w:val="00DD4208"/>
    <w:rsid w:val="00DD4489"/>
    <w:rsid w:val="00DD4766"/>
    <w:rsid w:val="00DD50D1"/>
    <w:rsid w:val="00DD5194"/>
    <w:rsid w:val="00DD57AB"/>
    <w:rsid w:val="00DD5968"/>
    <w:rsid w:val="00DD5D68"/>
    <w:rsid w:val="00DD5DD7"/>
    <w:rsid w:val="00DD5E9C"/>
    <w:rsid w:val="00DD61C6"/>
    <w:rsid w:val="00DD6517"/>
    <w:rsid w:val="00DD6DCB"/>
    <w:rsid w:val="00DD6E7B"/>
    <w:rsid w:val="00DD6F29"/>
    <w:rsid w:val="00DD7007"/>
    <w:rsid w:val="00DD7022"/>
    <w:rsid w:val="00DD7566"/>
    <w:rsid w:val="00DD75FB"/>
    <w:rsid w:val="00DD782C"/>
    <w:rsid w:val="00DD7FE7"/>
    <w:rsid w:val="00DE06C6"/>
    <w:rsid w:val="00DE0876"/>
    <w:rsid w:val="00DE09CE"/>
    <w:rsid w:val="00DE1207"/>
    <w:rsid w:val="00DE13BA"/>
    <w:rsid w:val="00DE1513"/>
    <w:rsid w:val="00DE17C8"/>
    <w:rsid w:val="00DE1C0E"/>
    <w:rsid w:val="00DE1C9C"/>
    <w:rsid w:val="00DE1F24"/>
    <w:rsid w:val="00DE20D4"/>
    <w:rsid w:val="00DE2148"/>
    <w:rsid w:val="00DE2381"/>
    <w:rsid w:val="00DE264A"/>
    <w:rsid w:val="00DE28C4"/>
    <w:rsid w:val="00DE3193"/>
    <w:rsid w:val="00DE3399"/>
    <w:rsid w:val="00DE3595"/>
    <w:rsid w:val="00DE3647"/>
    <w:rsid w:val="00DE379F"/>
    <w:rsid w:val="00DE37DD"/>
    <w:rsid w:val="00DE386C"/>
    <w:rsid w:val="00DE387A"/>
    <w:rsid w:val="00DE3B1D"/>
    <w:rsid w:val="00DE3B3C"/>
    <w:rsid w:val="00DE3F0F"/>
    <w:rsid w:val="00DE41DB"/>
    <w:rsid w:val="00DE45D7"/>
    <w:rsid w:val="00DE4602"/>
    <w:rsid w:val="00DE4830"/>
    <w:rsid w:val="00DE5043"/>
    <w:rsid w:val="00DE5097"/>
    <w:rsid w:val="00DE50D0"/>
    <w:rsid w:val="00DE5111"/>
    <w:rsid w:val="00DE5766"/>
    <w:rsid w:val="00DE5D88"/>
    <w:rsid w:val="00DE5DB5"/>
    <w:rsid w:val="00DE69CD"/>
    <w:rsid w:val="00DE79C3"/>
    <w:rsid w:val="00DE7AB6"/>
    <w:rsid w:val="00DE7F0C"/>
    <w:rsid w:val="00DF02E9"/>
    <w:rsid w:val="00DF037D"/>
    <w:rsid w:val="00DF0833"/>
    <w:rsid w:val="00DF0A48"/>
    <w:rsid w:val="00DF0D9C"/>
    <w:rsid w:val="00DF0DA4"/>
    <w:rsid w:val="00DF10D5"/>
    <w:rsid w:val="00DF1262"/>
    <w:rsid w:val="00DF152E"/>
    <w:rsid w:val="00DF15B0"/>
    <w:rsid w:val="00DF16C2"/>
    <w:rsid w:val="00DF179B"/>
    <w:rsid w:val="00DF186F"/>
    <w:rsid w:val="00DF1910"/>
    <w:rsid w:val="00DF1D8A"/>
    <w:rsid w:val="00DF2109"/>
    <w:rsid w:val="00DF2332"/>
    <w:rsid w:val="00DF29D9"/>
    <w:rsid w:val="00DF2C59"/>
    <w:rsid w:val="00DF2D19"/>
    <w:rsid w:val="00DF2E07"/>
    <w:rsid w:val="00DF3003"/>
    <w:rsid w:val="00DF33D6"/>
    <w:rsid w:val="00DF43BB"/>
    <w:rsid w:val="00DF4706"/>
    <w:rsid w:val="00DF47A4"/>
    <w:rsid w:val="00DF4B7B"/>
    <w:rsid w:val="00DF54C7"/>
    <w:rsid w:val="00DF57E9"/>
    <w:rsid w:val="00DF58BD"/>
    <w:rsid w:val="00DF5F2C"/>
    <w:rsid w:val="00DF6BD8"/>
    <w:rsid w:val="00DF6EBA"/>
    <w:rsid w:val="00DF7299"/>
    <w:rsid w:val="00DF7565"/>
    <w:rsid w:val="00E00131"/>
    <w:rsid w:val="00E0019D"/>
    <w:rsid w:val="00E002F3"/>
    <w:rsid w:val="00E00423"/>
    <w:rsid w:val="00E00A4B"/>
    <w:rsid w:val="00E00AD5"/>
    <w:rsid w:val="00E0101F"/>
    <w:rsid w:val="00E0103D"/>
    <w:rsid w:val="00E018F6"/>
    <w:rsid w:val="00E01B1D"/>
    <w:rsid w:val="00E01C36"/>
    <w:rsid w:val="00E01C98"/>
    <w:rsid w:val="00E02092"/>
    <w:rsid w:val="00E02288"/>
    <w:rsid w:val="00E02374"/>
    <w:rsid w:val="00E024BB"/>
    <w:rsid w:val="00E02A19"/>
    <w:rsid w:val="00E02C7B"/>
    <w:rsid w:val="00E03292"/>
    <w:rsid w:val="00E032B8"/>
    <w:rsid w:val="00E03B38"/>
    <w:rsid w:val="00E03C4E"/>
    <w:rsid w:val="00E03F61"/>
    <w:rsid w:val="00E042EA"/>
    <w:rsid w:val="00E043DF"/>
    <w:rsid w:val="00E046E4"/>
    <w:rsid w:val="00E049BA"/>
    <w:rsid w:val="00E05041"/>
    <w:rsid w:val="00E0518D"/>
    <w:rsid w:val="00E0533D"/>
    <w:rsid w:val="00E05787"/>
    <w:rsid w:val="00E0589E"/>
    <w:rsid w:val="00E05F8C"/>
    <w:rsid w:val="00E062A2"/>
    <w:rsid w:val="00E06838"/>
    <w:rsid w:val="00E06922"/>
    <w:rsid w:val="00E07B67"/>
    <w:rsid w:val="00E07C1B"/>
    <w:rsid w:val="00E101BF"/>
    <w:rsid w:val="00E10A36"/>
    <w:rsid w:val="00E11088"/>
    <w:rsid w:val="00E1160B"/>
    <w:rsid w:val="00E12255"/>
    <w:rsid w:val="00E12422"/>
    <w:rsid w:val="00E1254D"/>
    <w:rsid w:val="00E126F3"/>
    <w:rsid w:val="00E12C60"/>
    <w:rsid w:val="00E132D7"/>
    <w:rsid w:val="00E1348C"/>
    <w:rsid w:val="00E13A4E"/>
    <w:rsid w:val="00E14325"/>
    <w:rsid w:val="00E145AB"/>
    <w:rsid w:val="00E14ADC"/>
    <w:rsid w:val="00E14DE3"/>
    <w:rsid w:val="00E14EB6"/>
    <w:rsid w:val="00E14F44"/>
    <w:rsid w:val="00E1528C"/>
    <w:rsid w:val="00E152A8"/>
    <w:rsid w:val="00E152E0"/>
    <w:rsid w:val="00E1556F"/>
    <w:rsid w:val="00E15679"/>
    <w:rsid w:val="00E15C7A"/>
    <w:rsid w:val="00E16061"/>
    <w:rsid w:val="00E160F4"/>
    <w:rsid w:val="00E160F7"/>
    <w:rsid w:val="00E162EC"/>
    <w:rsid w:val="00E166CB"/>
    <w:rsid w:val="00E16778"/>
    <w:rsid w:val="00E16A8A"/>
    <w:rsid w:val="00E16DFF"/>
    <w:rsid w:val="00E17394"/>
    <w:rsid w:val="00E173CF"/>
    <w:rsid w:val="00E176B0"/>
    <w:rsid w:val="00E1771F"/>
    <w:rsid w:val="00E17976"/>
    <w:rsid w:val="00E20AD3"/>
    <w:rsid w:val="00E20C06"/>
    <w:rsid w:val="00E216CE"/>
    <w:rsid w:val="00E21B41"/>
    <w:rsid w:val="00E21BF9"/>
    <w:rsid w:val="00E222A2"/>
    <w:rsid w:val="00E22CC6"/>
    <w:rsid w:val="00E23358"/>
    <w:rsid w:val="00E235CA"/>
    <w:rsid w:val="00E239F7"/>
    <w:rsid w:val="00E23B08"/>
    <w:rsid w:val="00E23B40"/>
    <w:rsid w:val="00E24693"/>
    <w:rsid w:val="00E24876"/>
    <w:rsid w:val="00E24C0D"/>
    <w:rsid w:val="00E24CD4"/>
    <w:rsid w:val="00E24CE4"/>
    <w:rsid w:val="00E24D85"/>
    <w:rsid w:val="00E24F25"/>
    <w:rsid w:val="00E24FD8"/>
    <w:rsid w:val="00E25360"/>
    <w:rsid w:val="00E25456"/>
    <w:rsid w:val="00E25A92"/>
    <w:rsid w:val="00E25E87"/>
    <w:rsid w:val="00E260D3"/>
    <w:rsid w:val="00E26159"/>
    <w:rsid w:val="00E261AC"/>
    <w:rsid w:val="00E2652D"/>
    <w:rsid w:val="00E26542"/>
    <w:rsid w:val="00E2697F"/>
    <w:rsid w:val="00E26A1B"/>
    <w:rsid w:val="00E26AA2"/>
    <w:rsid w:val="00E26C45"/>
    <w:rsid w:val="00E26DC0"/>
    <w:rsid w:val="00E26E4B"/>
    <w:rsid w:val="00E27038"/>
    <w:rsid w:val="00E27134"/>
    <w:rsid w:val="00E272B6"/>
    <w:rsid w:val="00E27C6E"/>
    <w:rsid w:val="00E27E1B"/>
    <w:rsid w:val="00E302AF"/>
    <w:rsid w:val="00E30B0C"/>
    <w:rsid w:val="00E30CCC"/>
    <w:rsid w:val="00E313A1"/>
    <w:rsid w:val="00E319EB"/>
    <w:rsid w:val="00E31C66"/>
    <w:rsid w:val="00E3259B"/>
    <w:rsid w:val="00E3293A"/>
    <w:rsid w:val="00E32A78"/>
    <w:rsid w:val="00E32C53"/>
    <w:rsid w:val="00E32CFE"/>
    <w:rsid w:val="00E32D6C"/>
    <w:rsid w:val="00E32DFE"/>
    <w:rsid w:val="00E33B2A"/>
    <w:rsid w:val="00E34180"/>
    <w:rsid w:val="00E3480F"/>
    <w:rsid w:val="00E34BA0"/>
    <w:rsid w:val="00E34D72"/>
    <w:rsid w:val="00E34ECA"/>
    <w:rsid w:val="00E3541D"/>
    <w:rsid w:val="00E3547D"/>
    <w:rsid w:val="00E35FAC"/>
    <w:rsid w:val="00E36179"/>
    <w:rsid w:val="00E367D6"/>
    <w:rsid w:val="00E36A0E"/>
    <w:rsid w:val="00E36B31"/>
    <w:rsid w:val="00E374E7"/>
    <w:rsid w:val="00E375CB"/>
    <w:rsid w:val="00E37685"/>
    <w:rsid w:val="00E37C0D"/>
    <w:rsid w:val="00E37FB0"/>
    <w:rsid w:val="00E401D7"/>
    <w:rsid w:val="00E40A84"/>
    <w:rsid w:val="00E40C87"/>
    <w:rsid w:val="00E40F23"/>
    <w:rsid w:val="00E4154F"/>
    <w:rsid w:val="00E417B2"/>
    <w:rsid w:val="00E41CC8"/>
    <w:rsid w:val="00E42571"/>
    <w:rsid w:val="00E427FE"/>
    <w:rsid w:val="00E4286F"/>
    <w:rsid w:val="00E42E30"/>
    <w:rsid w:val="00E42FF3"/>
    <w:rsid w:val="00E433F3"/>
    <w:rsid w:val="00E43459"/>
    <w:rsid w:val="00E4369E"/>
    <w:rsid w:val="00E44127"/>
    <w:rsid w:val="00E448A7"/>
    <w:rsid w:val="00E448CE"/>
    <w:rsid w:val="00E44DC1"/>
    <w:rsid w:val="00E44F89"/>
    <w:rsid w:val="00E458CA"/>
    <w:rsid w:val="00E459F8"/>
    <w:rsid w:val="00E45BB9"/>
    <w:rsid w:val="00E462D4"/>
    <w:rsid w:val="00E4669C"/>
    <w:rsid w:val="00E468DD"/>
    <w:rsid w:val="00E46D96"/>
    <w:rsid w:val="00E474DA"/>
    <w:rsid w:val="00E477D9"/>
    <w:rsid w:val="00E47A07"/>
    <w:rsid w:val="00E47BCC"/>
    <w:rsid w:val="00E47CE0"/>
    <w:rsid w:val="00E47E29"/>
    <w:rsid w:val="00E47E76"/>
    <w:rsid w:val="00E47EB4"/>
    <w:rsid w:val="00E50002"/>
    <w:rsid w:val="00E50B0E"/>
    <w:rsid w:val="00E51A7E"/>
    <w:rsid w:val="00E51BB9"/>
    <w:rsid w:val="00E51BD4"/>
    <w:rsid w:val="00E51E75"/>
    <w:rsid w:val="00E51F81"/>
    <w:rsid w:val="00E52669"/>
    <w:rsid w:val="00E5267C"/>
    <w:rsid w:val="00E52B23"/>
    <w:rsid w:val="00E52D64"/>
    <w:rsid w:val="00E52FC5"/>
    <w:rsid w:val="00E53257"/>
    <w:rsid w:val="00E536A7"/>
    <w:rsid w:val="00E5381B"/>
    <w:rsid w:val="00E5385F"/>
    <w:rsid w:val="00E53C0C"/>
    <w:rsid w:val="00E53C15"/>
    <w:rsid w:val="00E53C8F"/>
    <w:rsid w:val="00E53CE2"/>
    <w:rsid w:val="00E5431D"/>
    <w:rsid w:val="00E543D4"/>
    <w:rsid w:val="00E54654"/>
    <w:rsid w:val="00E5476F"/>
    <w:rsid w:val="00E54F2F"/>
    <w:rsid w:val="00E54F33"/>
    <w:rsid w:val="00E55381"/>
    <w:rsid w:val="00E55723"/>
    <w:rsid w:val="00E5576B"/>
    <w:rsid w:val="00E55BC2"/>
    <w:rsid w:val="00E55E5D"/>
    <w:rsid w:val="00E55EBC"/>
    <w:rsid w:val="00E55FB7"/>
    <w:rsid w:val="00E5618E"/>
    <w:rsid w:val="00E56454"/>
    <w:rsid w:val="00E567BC"/>
    <w:rsid w:val="00E56AC5"/>
    <w:rsid w:val="00E574B8"/>
    <w:rsid w:val="00E57672"/>
    <w:rsid w:val="00E57AEB"/>
    <w:rsid w:val="00E57DD1"/>
    <w:rsid w:val="00E57E86"/>
    <w:rsid w:val="00E57E9E"/>
    <w:rsid w:val="00E57F2C"/>
    <w:rsid w:val="00E60127"/>
    <w:rsid w:val="00E60FF1"/>
    <w:rsid w:val="00E617E0"/>
    <w:rsid w:val="00E61C6F"/>
    <w:rsid w:val="00E6227E"/>
    <w:rsid w:val="00E623C9"/>
    <w:rsid w:val="00E6271D"/>
    <w:rsid w:val="00E627DF"/>
    <w:rsid w:val="00E62C69"/>
    <w:rsid w:val="00E62D0C"/>
    <w:rsid w:val="00E63B28"/>
    <w:rsid w:val="00E63FD7"/>
    <w:rsid w:val="00E646D0"/>
    <w:rsid w:val="00E64DE8"/>
    <w:rsid w:val="00E651CA"/>
    <w:rsid w:val="00E653BC"/>
    <w:rsid w:val="00E659B9"/>
    <w:rsid w:val="00E65A6F"/>
    <w:rsid w:val="00E65DCE"/>
    <w:rsid w:val="00E65E7F"/>
    <w:rsid w:val="00E6634A"/>
    <w:rsid w:val="00E67782"/>
    <w:rsid w:val="00E677C3"/>
    <w:rsid w:val="00E67F24"/>
    <w:rsid w:val="00E700C3"/>
    <w:rsid w:val="00E7043D"/>
    <w:rsid w:val="00E70795"/>
    <w:rsid w:val="00E712AD"/>
    <w:rsid w:val="00E7141B"/>
    <w:rsid w:val="00E714D7"/>
    <w:rsid w:val="00E714DD"/>
    <w:rsid w:val="00E7194B"/>
    <w:rsid w:val="00E71CEB"/>
    <w:rsid w:val="00E71F28"/>
    <w:rsid w:val="00E7237B"/>
    <w:rsid w:val="00E72402"/>
    <w:rsid w:val="00E72526"/>
    <w:rsid w:val="00E730A8"/>
    <w:rsid w:val="00E73D20"/>
    <w:rsid w:val="00E7419D"/>
    <w:rsid w:val="00E74279"/>
    <w:rsid w:val="00E743A1"/>
    <w:rsid w:val="00E743EA"/>
    <w:rsid w:val="00E74943"/>
    <w:rsid w:val="00E74BCD"/>
    <w:rsid w:val="00E74F35"/>
    <w:rsid w:val="00E75A4F"/>
    <w:rsid w:val="00E75FBB"/>
    <w:rsid w:val="00E7611E"/>
    <w:rsid w:val="00E76F4E"/>
    <w:rsid w:val="00E774E1"/>
    <w:rsid w:val="00E7785F"/>
    <w:rsid w:val="00E778D2"/>
    <w:rsid w:val="00E778FC"/>
    <w:rsid w:val="00E77AE3"/>
    <w:rsid w:val="00E77D40"/>
    <w:rsid w:val="00E8027E"/>
    <w:rsid w:val="00E809BE"/>
    <w:rsid w:val="00E80DBB"/>
    <w:rsid w:val="00E8100B"/>
    <w:rsid w:val="00E81315"/>
    <w:rsid w:val="00E81337"/>
    <w:rsid w:val="00E813D5"/>
    <w:rsid w:val="00E8146D"/>
    <w:rsid w:val="00E81497"/>
    <w:rsid w:val="00E817AD"/>
    <w:rsid w:val="00E81D43"/>
    <w:rsid w:val="00E824D9"/>
    <w:rsid w:val="00E82FC2"/>
    <w:rsid w:val="00E8316C"/>
    <w:rsid w:val="00E83270"/>
    <w:rsid w:val="00E83794"/>
    <w:rsid w:val="00E837E5"/>
    <w:rsid w:val="00E83B66"/>
    <w:rsid w:val="00E83C10"/>
    <w:rsid w:val="00E840FE"/>
    <w:rsid w:val="00E848EF"/>
    <w:rsid w:val="00E84E0D"/>
    <w:rsid w:val="00E84E27"/>
    <w:rsid w:val="00E84E61"/>
    <w:rsid w:val="00E8563A"/>
    <w:rsid w:val="00E85731"/>
    <w:rsid w:val="00E8580E"/>
    <w:rsid w:val="00E85974"/>
    <w:rsid w:val="00E85B88"/>
    <w:rsid w:val="00E86CCE"/>
    <w:rsid w:val="00E86DE2"/>
    <w:rsid w:val="00E87467"/>
    <w:rsid w:val="00E87837"/>
    <w:rsid w:val="00E87E30"/>
    <w:rsid w:val="00E87F0F"/>
    <w:rsid w:val="00E904EA"/>
    <w:rsid w:val="00E90737"/>
    <w:rsid w:val="00E913B9"/>
    <w:rsid w:val="00E91452"/>
    <w:rsid w:val="00E91713"/>
    <w:rsid w:val="00E91958"/>
    <w:rsid w:val="00E91A22"/>
    <w:rsid w:val="00E91B38"/>
    <w:rsid w:val="00E91C5A"/>
    <w:rsid w:val="00E91D95"/>
    <w:rsid w:val="00E9201C"/>
    <w:rsid w:val="00E9225D"/>
    <w:rsid w:val="00E92623"/>
    <w:rsid w:val="00E92CCC"/>
    <w:rsid w:val="00E931AF"/>
    <w:rsid w:val="00E9359F"/>
    <w:rsid w:val="00E93C9D"/>
    <w:rsid w:val="00E93E1A"/>
    <w:rsid w:val="00E93EE4"/>
    <w:rsid w:val="00E94033"/>
    <w:rsid w:val="00E941EA"/>
    <w:rsid w:val="00E942C5"/>
    <w:rsid w:val="00E9437D"/>
    <w:rsid w:val="00E947E5"/>
    <w:rsid w:val="00E94949"/>
    <w:rsid w:val="00E94A31"/>
    <w:rsid w:val="00E94B25"/>
    <w:rsid w:val="00E94EF7"/>
    <w:rsid w:val="00E9543B"/>
    <w:rsid w:val="00E956EF"/>
    <w:rsid w:val="00E95D71"/>
    <w:rsid w:val="00E95DEA"/>
    <w:rsid w:val="00E95F7B"/>
    <w:rsid w:val="00E9605B"/>
    <w:rsid w:val="00E96338"/>
    <w:rsid w:val="00E96481"/>
    <w:rsid w:val="00E96B6F"/>
    <w:rsid w:val="00E96CBC"/>
    <w:rsid w:val="00E96FD4"/>
    <w:rsid w:val="00E9719D"/>
    <w:rsid w:val="00E9761A"/>
    <w:rsid w:val="00E979B8"/>
    <w:rsid w:val="00EA02B0"/>
    <w:rsid w:val="00EA09F7"/>
    <w:rsid w:val="00EA0AB3"/>
    <w:rsid w:val="00EA1661"/>
    <w:rsid w:val="00EA1B9A"/>
    <w:rsid w:val="00EA1D2E"/>
    <w:rsid w:val="00EA1E5A"/>
    <w:rsid w:val="00EA2027"/>
    <w:rsid w:val="00EA21DB"/>
    <w:rsid w:val="00EA27FC"/>
    <w:rsid w:val="00EA2A16"/>
    <w:rsid w:val="00EA31A3"/>
    <w:rsid w:val="00EA3351"/>
    <w:rsid w:val="00EA35F8"/>
    <w:rsid w:val="00EA37C7"/>
    <w:rsid w:val="00EA3BC0"/>
    <w:rsid w:val="00EA3EC3"/>
    <w:rsid w:val="00EA40D2"/>
    <w:rsid w:val="00EA4414"/>
    <w:rsid w:val="00EA4481"/>
    <w:rsid w:val="00EA4791"/>
    <w:rsid w:val="00EA4C2D"/>
    <w:rsid w:val="00EA4CA7"/>
    <w:rsid w:val="00EA4CF1"/>
    <w:rsid w:val="00EA4E0C"/>
    <w:rsid w:val="00EA4FB3"/>
    <w:rsid w:val="00EA4FCC"/>
    <w:rsid w:val="00EA508F"/>
    <w:rsid w:val="00EA50EB"/>
    <w:rsid w:val="00EA5239"/>
    <w:rsid w:val="00EA5297"/>
    <w:rsid w:val="00EA576F"/>
    <w:rsid w:val="00EA58CD"/>
    <w:rsid w:val="00EA590A"/>
    <w:rsid w:val="00EA5F09"/>
    <w:rsid w:val="00EA603D"/>
    <w:rsid w:val="00EA6392"/>
    <w:rsid w:val="00EA6438"/>
    <w:rsid w:val="00EA647C"/>
    <w:rsid w:val="00EA6A8D"/>
    <w:rsid w:val="00EA6B75"/>
    <w:rsid w:val="00EA727D"/>
    <w:rsid w:val="00EA774C"/>
    <w:rsid w:val="00EA79C8"/>
    <w:rsid w:val="00EA7A50"/>
    <w:rsid w:val="00EA7D14"/>
    <w:rsid w:val="00EB005B"/>
    <w:rsid w:val="00EB0132"/>
    <w:rsid w:val="00EB0426"/>
    <w:rsid w:val="00EB04E4"/>
    <w:rsid w:val="00EB0B8C"/>
    <w:rsid w:val="00EB10AD"/>
    <w:rsid w:val="00EB110C"/>
    <w:rsid w:val="00EB1B2B"/>
    <w:rsid w:val="00EB2958"/>
    <w:rsid w:val="00EB2B55"/>
    <w:rsid w:val="00EB3062"/>
    <w:rsid w:val="00EB32CD"/>
    <w:rsid w:val="00EB32D5"/>
    <w:rsid w:val="00EB34E2"/>
    <w:rsid w:val="00EB37DB"/>
    <w:rsid w:val="00EB4372"/>
    <w:rsid w:val="00EB4543"/>
    <w:rsid w:val="00EB484D"/>
    <w:rsid w:val="00EB5137"/>
    <w:rsid w:val="00EB52EC"/>
    <w:rsid w:val="00EB58D1"/>
    <w:rsid w:val="00EB591D"/>
    <w:rsid w:val="00EB5958"/>
    <w:rsid w:val="00EB5984"/>
    <w:rsid w:val="00EB59C7"/>
    <w:rsid w:val="00EB5B12"/>
    <w:rsid w:val="00EB5BE5"/>
    <w:rsid w:val="00EB5D56"/>
    <w:rsid w:val="00EB5D9D"/>
    <w:rsid w:val="00EB62C7"/>
    <w:rsid w:val="00EB637B"/>
    <w:rsid w:val="00EB65D1"/>
    <w:rsid w:val="00EB6CB2"/>
    <w:rsid w:val="00EB6F7B"/>
    <w:rsid w:val="00EB7016"/>
    <w:rsid w:val="00EB77C9"/>
    <w:rsid w:val="00EB7B78"/>
    <w:rsid w:val="00EC0A32"/>
    <w:rsid w:val="00EC0B8B"/>
    <w:rsid w:val="00EC0DCA"/>
    <w:rsid w:val="00EC11D3"/>
    <w:rsid w:val="00EC16A3"/>
    <w:rsid w:val="00EC19AC"/>
    <w:rsid w:val="00EC1B47"/>
    <w:rsid w:val="00EC2113"/>
    <w:rsid w:val="00EC254E"/>
    <w:rsid w:val="00EC28EC"/>
    <w:rsid w:val="00EC2A71"/>
    <w:rsid w:val="00EC2C81"/>
    <w:rsid w:val="00EC34DD"/>
    <w:rsid w:val="00EC36DF"/>
    <w:rsid w:val="00EC37B0"/>
    <w:rsid w:val="00EC4174"/>
    <w:rsid w:val="00EC431A"/>
    <w:rsid w:val="00EC4421"/>
    <w:rsid w:val="00EC4675"/>
    <w:rsid w:val="00EC4B78"/>
    <w:rsid w:val="00EC4DCA"/>
    <w:rsid w:val="00EC519A"/>
    <w:rsid w:val="00EC521B"/>
    <w:rsid w:val="00EC557B"/>
    <w:rsid w:val="00EC598E"/>
    <w:rsid w:val="00EC5EB6"/>
    <w:rsid w:val="00EC6149"/>
    <w:rsid w:val="00EC652E"/>
    <w:rsid w:val="00EC6548"/>
    <w:rsid w:val="00EC65B8"/>
    <w:rsid w:val="00EC6707"/>
    <w:rsid w:val="00EC75C9"/>
    <w:rsid w:val="00EC785A"/>
    <w:rsid w:val="00EC7A34"/>
    <w:rsid w:val="00EC7E28"/>
    <w:rsid w:val="00EC7E3D"/>
    <w:rsid w:val="00EC7FE3"/>
    <w:rsid w:val="00ED0A56"/>
    <w:rsid w:val="00ED12BD"/>
    <w:rsid w:val="00ED1459"/>
    <w:rsid w:val="00ED2248"/>
    <w:rsid w:val="00ED22B1"/>
    <w:rsid w:val="00ED2306"/>
    <w:rsid w:val="00ED2316"/>
    <w:rsid w:val="00ED2342"/>
    <w:rsid w:val="00ED252F"/>
    <w:rsid w:val="00ED25A3"/>
    <w:rsid w:val="00ED25E5"/>
    <w:rsid w:val="00ED2F7B"/>
    <w:rsid w:val="00ED303C"/>
    <w:rsid w:val="00ED31B6"/>
    <w:rsid w:val="00ED3A36"/>
    <w:rsid w:val="00ED3BCA"/>
    <w:rsid w:val="00ED417B"/>
    <w:rsid w:val="00ED482B"/>
    <w:rsid w:val="00ED594A"/>
    <w:rsid w:val="00ED5D16"/>
    <w:rsid w:val="00ED5FA2"/>
    <w:rsid w:val="00ED6000"/>
    <w:rsid w:val="00ED607F"/>
    <w:rsid w:val="00ED6D51"/>
    <w:rsid w:val="00ED72A8"/>
    <w:rsid w:val="00ED731E"/>
    <w:rsid w:val="00ED735C"/>
    <w:rsid w:val="00ED749D"/>
    <w:rsid w:val="00ED795D"/>
    <w:rsid w:val="00ED7FE1"/>
    <w:rsid w:val="00EE023C"/>
    <w:rsid w:val="00EE0252"/>
    <w:rsid w:val="00EE059B"/>
    <w:rsid w:val="00EE074B"/>
    <w:rsid w:val="00EE0C3C"/>
    <w:rsid w:val="00EE0DAA"/>
    <w:rsid w:val="00EE15E3"/>
    <w:rsid w:val="00EE1DAF"/>
    <w:rsid w:val="00EE23C3"/>
    <w:rsid w:val="00EE2796"/>
    <w:rsid w:val="00EE338B"/>
    <w:rsid w:val="00EE33D4"/>
    <w:rsid w:val="00EE3694"/>
    <w:rsid w:val="00EE3841"/>
    <w:rsid w:val="00EE385A"/>
    <w:rsid w:val="00EE3937"/>
    <w:rsid w:val="00EE406F"/>
    <w:rsid w:val="00EE4533"/>
    <w:rsid w:val="00EE4735"/>
    <w:rsid w:val="00EE499C"/>
    <w:rsid w:val="00EE49D3"/>
    <w:rsid w:val="00EE4E02"/>
    <w:rsid w:val="00EE533F"/>
    <w:rsid w:val="00EE542F"/>
    <w:rsid w:val="00EE54DB"/>
    <w:rsid w:val="00EE553C"/>
    <w:rsid w:val="00EE579A"/>
    <w:rsid w:val="00EE6212"/>
    <w:rsid w:val="00EE65DD"/>
    <w:rsid w:val="00EE683A"/>
    <w:rsid w:val="00EE6B6E"/>
    <w:rsid w:val="00EE6C7A"/>
    <w:rsid w:val="00EE7090"/>
    <w:rsid w:val="00EE736E"/>
    <w:rsid w:val="00EE784C"/>
    <w:rsid w:val="00EE790E"/>
    <w:rsid w:val="00EE7ACA"/>
    <w:rsid w:val="00EE7DDC"/>
    <w:rsid w:val="00EE7FE4"/>
    <w:rsid w:val="00EF037F"/>
    <w:rsid w:val="00EF0726"/>
    <w:rsid w:val="00EF074A"/>
    <w:rsid w:val="00EF0880"/>
    <w:rsid w:val="00EF10AA"/>
    <w:rsid w:val="00EF1319"/>
    <w:rsid w:val="00EF1994"/>
    <w:rsid w:val="00EF24A5"/>
    <w:rsid w:val="00EF26F0"/>
    <w:rsid w:val="00EF2956"/>
    <w:rsid w:val="00EF2B99"/>
    <w:rsid w:val="00EF3071"/>
    <w:rsid w:val="00EF32CB"/>
    <w:rsid w:val="00EF3314"/>
    <w:rsid w:val="00EF3F6C"/>
    <w:rsid w:val="00EF4127"/>
    <w:rsid w:val="00EF4450"/>
    <w:rsid w:val="00EF4592"/>
    <w:rsid w:val="00EF492E"/>
    <w:rsid w:val="00EF4A2D"/>
    <w:rsid w:val="00EF553E"/>
    <w:rsid w:val="00EF5AEC"/>
    <w:rsid w:val="00EF5AFF"/>
    <w:rsid w:val="00EF5E6C"/>
    <w:rsid w:val="00EF612C"/>
    <w:rsid w:val="00EF640C"/>
    <w:rsid w:val="00EF680A"/>
    <w:rsid w:val="00EF6BE0"/>
    <w:rsid w:val="00EF6D96"/>
    <w:rsid w:val="00EF6EF7"/>
    <w:rsid w:val="00EF74E2"/>
    <w:rsid w:val="00EF75A5"/>
    <w:rsid w:val="00EF75D6"/>
    <w:rsid w:val="00EF76A9"/>
    <w:rsid w:val="00EF76FD"/>
    <w:rsid w:val="00EF7864"/>
    <w:rsid w:val="00EF78E3"/>
    <w:rsid w:val="00EF7903"/>
    <w:rsid w:val="00EF79A3"/>
    <w:rsid w:val="00F00856"/>
    <w:rsid w:val="00F00BA7"/>
    <w:rsid w:val="00F00C78"/>
    <w:rsid w:val="00F00DD8"/>
    <w:rsid w:val="00F01307"/>
    <w:rsid w:val="00F01E5F"/>
    <w:rsid w:val="00F02005"/>
    <w:rsid w:val="00F025E6"/>
    <w:rsid w:val="00F02A31"/>
    <w:rsid w:val="00F02B39"/>
    <w:rsid w:val="00F02CE5"/>
    <w:rsid w:val="00F032E5"/>
    <w:rsid w:val="00F03732"/>
    <w:rsid w:val="00F0396A"/>
    <w:rsid w:val="00F041A6"/>
    <w:rsid w:val="00F0439F"/>
    <w:rsid w:val="00F04509"/>
    <w:rsid w:val="00F04B35"/>
    <w:rsid w:val="00F04D27"/>
    <w:rsid w:val="00F051B2"/>
    <w:rsid w:val="00F05696"/>
    <w:rsid w:val="00F0576B"/>
    <w:rsid w:val="00F0581D"/>
    <w:rsid w:val="00F05A4D"/>
    <w:rsid w:val="00F06044"/>
    <w:rsid w:val="00F06628"/>
    <w:rsid w:val="00F06AF7"/>
    <w:rsid w:val="00F06B0B"/>
    <w:rsid w:val="00F06E24"/>
    <w:rsid w:val="00F07202"/>
    <w:rsid w:val="00F07230"/>
    <w:rsid w:val="00F0730C"/>
    <w:rsid w:val="00F077CB"/>
    <w:rsid w:val="00F07CCB"/>
    <w:rsid w:val="00F07E0F"/>
    <w:rsid w:val="00F07E8E"/>
    <w:rsid w:val="00F07EA7"/>
    <w:rsid w:val="00F07EC1"/>
    <w:rsid w:val="00F07FA6"/>
    <w:rsid w:val="00F07FE3"/>
    <w:rsid w:val="00F07FF7"/>
    <w:rsid w:val="00F10195"/>
    <w:rsid w:val="00F102A8"/>
    <w:rsid w:val="00F10653"/>
    <w:rsid w:val="00F10A5A"/>
    <w:rsid w:val="00F11788"/>
    <w:rsid w:val="00F119C3"/>
    <w:rsid w:val="00F11A19"/>
    <w:rsid w:val="00F11AD9"/>
    <w:rsid w:val="00F1248D"/>
    <w:rsid w:val="00F12708"/>
    <w:rsid w:val="00F128E6"/>
    <w:rsid w:val="00F12E07"/>
    <w:rsid w:val="00F12F74"/>
    <w:rsid w:val="00F131E9"/>
    <w:rsid w:val="00F13357"/>
    <w:rsid w:val="00F13450"/>
    <w:rsid w:val="00F1352F"/>
    <w:rsid w:val="00F139CA"/>
    <w:rsid w:val="00F13CB5"/>
    <w:rsid w:val="00F13F80"/>
    <w:rsid w:val="00F140A4"/>
    <w:rsid w:val="00F143CF"/>
    <w:rsid w:val="00F14A70"/>
    <w:rsid w:val="00F14F43"/>
    <w:rsid w:val="00F15127"/>
    <w:rsid w:val="00F152C8"/>
    <w:rsid w:val="00F15B5F"/>
    <w:rsid w:val="00F15EE3"/>
    <w:rsid w:val="00F15F50"/>
    <w:rsid w:val="00F16145"/>
    <w:rsid w:val="00F16A1F"/>
    <w:rsid w:val="00F16A63"/>
    <w:rsid w:val="00F17252"/>
    <w:rsid w:val="00F17346"/>
    <w:rsid w:val="00F17B40"/>
    <w:rsid w:val="00F213E1"/>
    <w:rsid w:val="00F216F0"/>
    <w:rsid w:val="00F21A53"/>
    <w:rsid w:val="00F21AF9"/>
    <w:rsid w:val="00F2278B"/>
    <w:rsid w:val="00F228EB"/>
    <w:rsid w:val="00F22BF7"/>
    <w:rsid w:val="00F23961"/>
    <w:rsid w:val="00F23F0F"/>
    <w:rsid w:val="00F23F2B"/>
    <w:rsid w:val="00F24116"/>
    <w:rsid w:val="00F244D7"/>
    <w:rsid w:val="00F2466E"/>
    <w:rsid w:val="00F24763"/>
    <w:rsid w:val="00F24E43"/>
    <w:rsid w:val="00F2573E"/>
    <w:rsid w:val="00F2578F"/>
    <w:rsid w:val="00F2592D"/>
    <w:rsid w:val="00F25B4D"/>
    <w:rsid w:val="00F26088"/>
    <w:rsid w:val="00F264E6"/>
    <w:rsid w:val="00F26995"/>
    <w:rsid w:val="00F2699D"/>
    <w:rsid w:val="00F26E11"/>
    <w:rsid w:val="00F26E6D"/>
    <w:rsid w:val="00F26F1E"/>
    <w:rsid w:val="00F2704F"/>
    <w:rsid w:val="00F2734A"/>
    <w:rsid w:val="00F303C5"/>
    <w:rsid w:val="00F30446"/>
    <w:rsid w:val="00F30DA2"/>
    <w:rsid w:val="00F31260"/>
    <w:rsid w:val="00F312CA"/>
    <w:rsid w:val="00F3142E"/>
    <w:rsid w:val="00F31676"/>
    <w:rsid w:val="00F319AE"/>
    <w:rsid w:val="00F31B80"/>
    <w:rsid w:val="00F32172"/>
    <w:rsid w:val="00F326B9"/>
    <w:rsid w:val="00F32CED"/>
    <w:rsid w:val="00F32D33"/>
    <w:rsid w:val="00F32DA4"/>
    <w:rsid w:val="00F32F5B"/>
    <w:rsid w:val="00F33199"/>
    <w:rsid w:val="00F3333B"/>
    <w:rsid w:val="00F3360C"/>
    <w:rsid w:val="00F3383E"/>
    <w:rsid w:val="00F33E0D"/>
    <w:rsid w:val="00F33E2D"/>
    <w:rsid w:val="00F33F99"/>
    <w:rsid w:val="00F342EC"/>
    <w:rsid w:val="00F3488D"/>
    <w:rsid w:val="00F34915"/>
    <w:rsid w:val="00F34DE0"/>
    <w:rsid w:val="00F34E9F"/>
    <w:rsid w:val="00F34EA9"/>
    <w:rsid w:val="00F35B1B"/>
    <w:rsid w:val="00F35BA4"/>
    <w:rsid w:val="00F35FA2"/>
    <w:rsid w:val="00F369E2"/>
    <w:rsid w:val="00F36BF7"/>
    <w:rsid w:val="00F3702D"/>
    <w:rsid w:val="00F3756F"/>
    <w:rsid w:val="00F3794E"/>
    <w:rsid w:val="00F37B79"/>
    <w:rsid w:val="00F37BBE"/>
    <w:rsid w:val="00F4087B"/>
    <w:rsid w:val="00F418EC"/>
    <w:rsid w:val="00F42069"/>
    <w:rsid w:val="00F4215A"/>
    <w:rsid w:val="00F424C1"/>
    <w:rsid w:val="00F42D93"/>
    <w:rsid w:val="00F4306D"/>
    <w:rsid w:val="00F43587"/>
    <w:rsid w:val="00F43977"/>
    <w:rsid w:val="00F439BC"/>
    <w:rsid w:val="00F43A84"/>
    <w:rsid w:val="00F43AD9"/>
    <w:rsid w:val="00F43C6A"/>
    <w:rsid w:val="00F4446C"/>
    <w:rsid w:val="00F44C30"/>
    <w:rsid w:val="00F44CF2"/>
    <w:rsid w:val="00F44D8A"/>
    <w:rsid w:val="00F44D8F"/>
    <w:rsid w:val="00F452D3"/>
    <w:rsid w:val="00F45594"/>
    <w:rsid w:val="00F456CB"/>
    <w:rsid w:val="00F459E6"/>
    <w:rsid w:val="00F45A9A"/>
    <w:rsid w:val="00F45B2A"/>
    <w:rsid w:val="00F46749"/>
    <w:rsid w:val="00F46BAA"/>
    <w:rsid w:val="00F46C70"/>
    <w:rsid w:val="00F4711C"/>
    <w:rsid w:val="00F4725C"/>
    <w:rsid w:val="00F47C79"/>
    <w:rsid w:val="00F47E1E"/>
    <w:rsid w:val="00F5036C"/>
    <w:rsid w:val="00F506FF"/>
    <w:rsid w:val="00F507CA"/>
    <w:rsid w:val="00F50895"/>
    <w:rsid w:val="00F50B12"/>
    <w:rsid w:val="00F51A5B"/>
    <w:rsid w:val="00F51BCC"/>
    <w:rsid w:val="00F5203F"/>
    <w:rsid w:val="00F52094"/>
    <w:rsid w:val="00F523A8"/>
    <w:rsid w:val="00F5243A"/>
    <w:rsid w:val="00F532B5"/>
    <w:rsid w:val="00F53669"/>
    <w:rsid w:val="00F536BD"/>
    <w:rsid w:val="00F53936"/>
    <w:rsid w:val="00F53C20"/>
    <w:rsid w:val="00F53EA5"/>
    <w:rsid w:val="00F54047"/>
    <w:rsid w:val="00F5406A"/>
    <w:rsid w:val="00F54070"/>
    <w:rsid w:val="00F545C2"/>
    <w:rsid w:val="00F545DF"/>
    <w:rsid w:val="00F54AE0"/>
    <w:rsid w:val="00F54C9C"/>
    <w:rsid w:val="00F55019"/>
    <w:rsid w:val="00F5501F"/>
    <w:rsid w:val="00F5509D"/>
    <w:rsid w:val="00F55126"/>
    <w:rsid w:val="00F55514"/>
    <w:rsid w:val="00F557D1"/>
    <w:rsid w:val="00F559C2"/>
    <w:rsid w:val="00F55A78"/>
    <w:rsid w:val="00F55FDA"/>
    <w:rsid w:val="00F565FF"/>
    <w:rsid w:val="00F57472"/>
    <w:rsid w:val="00F57A81"/>
    <w:rsid w:val="00F57D34"/>
    <w:rsid w:val="00F57D8C"/>
    <w:rsid w:val="00F60180"/>
    <w:rsid w:val="00F6027F"/>
    <w:rsid w:val="00F60729"/>
    <w:rsid w:val="00F60751"/>
    <w:rsid w:val="00F60BC3"/>
    <w:rsid w:val="00F6106D"/>
    <w:rsid w:val="00F61665"/>
    <w:rsid w:val="00F61B7C"/>
    <w:rsid w:val="00F61B94"/>
    <w:rsid w:val="00F61D58"/>
    <w:rsid w:val="00F627FA"/>
    <w:rsid w:val="00F62876"/>
    <w:rsid w:val="00F62A86"/>
    <w:rsid w:val="00F62C99"/>
    <w:rsid w:val="00F63202"/>
    <w:rsid w:val="00F632C4"/>
    <w:rsid w:val="00F632FD"/>
    <w:rsid w:val="00F6379B"/>
    <w:rsid w:val="00F63810"/>
    <w:rsid w:val="00F63A7C"/>
    <w:rsid w:val="00F63EFC"/>
    <w:rsid w:val="00F63F99"/>
    <w:rsid w:val="00F63FCA"/>
    <w:rsid w:val="00F640C8"/>
    <w:rsid w:val="00F6435D"/>
    <w:rsid w:val="00F643AE"/>
    <w:rsid w:val="00F64A0E"/>
    <w:rsid w:val="00F64C8C"/>
    <w:rsid w:val="00F6500C"/>
    <w:rsid w:val="00F6531F"/>
    <w:rsid w:val="00F6549F"/>
    <w:rsid w:val="00F6592B"/>
    <w:rsid w:val="00F65BF7"/>
    <w:rsid w:val="00F65F8D"/>
    <w:rsid w:val="00F660BF"/>
    <w:rsid w:val="00F6638F"/>
    <w:rsid w:val="00F666DF"/>
    <w:rsid w:val="00F66AD8"/>
    <w:rsid w:val="00F66B43"/>
    <w:rsid w:val="00F66E14"/>
    <w:rsid w:val="00F672AB"/>
    <w:rsid w:val="00F6785F"/>
    <w:rsid w:val="00F6788E"/>
    <w:rsid w:val="00F67B9D"/>
    <w:rsid w:val="00F67ED8"/>
    <w:rsid w:val="00F70082"/>
    <w:rsid w:val="00F700D0"/>
    <w:rsid w:val="00F70BE8"/>
    <w:rsid w:val="00F70C6F"/>
    <w:rsid w:val="00F70D76"/>
    <w:rsid w:val="00F7135D"/>
    <w:rsid w:val="00F71482"/>
    <w:rsid w:val="00F71501"/>
    <w:rsid w:val="00F71949"/>
    <w:rsid w:val="00F71BB9"/>
    <w:rsid w:val="00F71D41"/>
    <w:rsid w:val="00F71EC3"/>
    <w:rsid w:val="00F720B0"/>
    <w:rsid w:val="00F724F1"/>
    <w:rsid w:val="00F726B4"/>
    <w:rsid w:val="00F72924"/>
    <w:rsid w:val="00F72D7E"/>
    <w:rsid w:val="00F72DD5"/>
    <w:rsid w:val="00F7327E"/>
    <w:rsid w:val="00F73640"/>
    <w:rsid w:val="00F7367F"/>
    <w:rsid w:val="00F73936"/>
    <w:rsid w:val="00F7437B"/>
    <w:rsid w:val="00F7447B"/>
    <w:rsid w:val="00F7457C"/>
    <w:rsid w:val="00F745FB"/>
    <w:rsid w:val="00F74796"/>
    <w:rsid w:val="00F747E6"/>
    <w:rsid w:val="00F74821"/>
    <w:rsid w:val="00F748FC"/>
    <w:rsid w:val="00F74C61"/>
    <w:rsid w:val="00F74FC2"/>
    <w:rsid w:val="00F7504A"/>
    <w:rsid w:val="00F752EA"/>
    <w:rsid w:val="00F7591F"/>
    <w:rsid w:val="00F7669A"/>
    <w:rsid w:val="00F7690A"/>
    <w:rsid w:val="00F76A37"/>
    <w:rsid w:val="00F76AF0"/>
    <w:rsid w:val="00F76B31"/>
    <w:rsid w:val="00F76B7F"/>
    <w:rsid w:val="00F76BE0"/>
    <w:rsid w:val="00F76DB1"/>
    <w:rsid w:val="00F76F05"/>
    <w:rsid w:val="00F770F2"/>
    <w:rsid w:val="00F7742C"/>
    <w:rsid w:val="00F774F4"/>
    <w:rsid w:val="00F77EBB"/>
    <w:rsid w:val="00F808ED"/>
    <w:rsid w:val="00F808F2"/>
    <w:rsid w:val="00F80B16"/>
    <w:rsid w:val="00F8100E"/>
    <w:rsid w:val="00F81032"/>
    <w:rsid w:val="00F81368"/>
    <w:rsid w:val="00F81386"/>
    <w:rsid w:val="00F814C4"/>
    <w:rsid w:val="00F815E4"/>
    <w:rsid w:val="00F816B1"/>
    <w:rsid w:val="00F81B96"/>
    <w:rsid w:val="00F8212E"/>
    <w:rsid w:val="00F82556"/>
    <w:rsid w:val="00F82871"/>
    <w:rsid w:val="00F83220"/>
    <w:rsid w:val="00F83893"/>
    <w:rsid w:val="00F83985"/>
    <w:rsid w:val="00F83FC1"/>
    <w:rsid w:val="00F84145"/>
    <w:rsid w:val="00F841C1"/>
    <w:rsid w:val="00F84451"/>
    <w:rsid w:val="00F84585"/>
    <w:rsid w:val="00F8467E"/>
    <w:rsid w:val="00F84B85"/>
    <w:rsid w:val="00F84D5D"/>
    <w:rsid w:val="00F84FE0"/>
    <w:rsid w:val="00F85103"/>
    <w:rsid w:val="00F85445"/>
    <w:rsid w:val="00F855D0"/>
    <w:rsid w:val="00F856CC"/>
    <w:rsid w:val="00F8573A"/>
    <w:rsid w:val="00F85768"/>
    <w:rsid w:val="00F85C71"/>
    <w:rsid w:val="00F85E1C"/>
    <w:rsid w:val="00F8629B"/>
    <w:rsid w:val="00F865B5"/>
    <w:rsid w:val="00F879B8"/>
    <w:rsid w:val="00F87ADD"/>
    <w:rsid w:val="00F87B2D"/>
    <w:rsid w:val="00F900C6"/>
    <w:rsid w:val="00F90319"/>
    <w:rsid w:val="00F9107C"/>
    <w:rsid w:val="00F91A9F"/>
    <w:rsid w:val="00F91B9A"/>
    <w:rsid w:val="00F91CB4"/>
    <w:rsid w:val="00F91D3A"/>
    <w:rsid w:val="00F91FE1"/>
    <w:rsid w:val="00F923A3"/>
    <w:rsid w:val="00F92410"/>
    <w:rsid w:val="00F9327B"/>
    <w:rsid w:val="00F932D3"/>
    <w:rsid w:val="00F939B1"/>
    <w:rsid w:val="00F93DF2"/>
    <w:rsid w:val="00F93FE1"/>
    <w:rsid w:val="00F94582"/>
    <w:rsid w:val="00F94777"/>
    <w:rsid w:val="00F94815"/>
    <w:rsid w:val="00F94AB5"/>
    <w:rsid w:val="00F94BEE"/>
    <w:rsid w:val="00F94CAF"/>
    <w:rsid w:val="00F954EA"/>
    <w:rsid w:val="00F95587"/>
    <w:rsid w:val="00F967E5"/>
    <w:rsid w:val="00F969D4"/>
    <w:rsid w:val="00F96AD1"/>
    <w:rsid w:val="00F96C39"/>
    <w:rsid w:val="00F96FE7"/>
    <w:rsid w:val="00F978FA"/>
    <w:rsid w:val="00F97A12"/>
    <w:rsid w:val="00FA01E5"/>
    <w:rsid w:val="00FA0452"/>
    <w:rsid w:val="00FA0495"/>
    <w:rsid w:val="00FA04CA"/>
    <w:rsid w:val="00FA1100"/>
    <w:rsid w:val="00FA2340"/>
    <w:rsid w:val="00FA254D"/>
    <w:rsid w:val="00FA34F7"/>
    <w:rsid w:val="00FA3B6D"/>
    <w:rsid w:val="00FA3D4F"/>
    <w:rsid w:val="00FA419D"/>
    <w:rsid w:val="00FA5022"/>
    <w:rsid w:val="00FA536C"/>
    <w:rsid w:val="00FA5614"/>
    <w:rsid w:val="00FA56A1"/>
    <w:rsid w:val="00FA56DD"/>
    <w:rsid w:val="00FA583E"/>
    <w:rsid w:val="00FA5923"/>
    <w:rsid w:val="00FA652F"/>
    <w:rsid w:val="00FA66DB"/>
    <w:rsid w:val="00FA6E28"/>
    <w:rsid w:val="00FA6E52"/>
    <w:rsid w:val="00FA6EEA"/>
    <w:rsid w:val="00FA6FD0"/>
    <w:rsid w:val="00FA7433"/>
    <w:rsid w:val="00FA7873"/>
    <w:rsid w:val="00FB0742"/>
    <w:rsid w:val="00FB07A5"/>
    <w:rsid w:val="00FB0A1F"/>
    <w:rsid w:val="00FB0C6B"/>
    <w:rsid w:val="00FB0CC8"/>
    <w:rsid w:val="00FB0EBB"/>
    <w:rsid w:val="00FB16B5"/>
    <w:rsid w:val="00FB245D"/>
    <w:rsid w:val="00FB2C00"/>
    <w:rsid w:val="00FB2F04"/>
    <w:rsid w:val="00FB36FE"/>
    <w:rsid w:val="00FB37D1"/>
    <w:rsid w:val="00FB3ADC"/>
    <w:rsid w:val="00FB3BCE"/>
    <w:rsid w:val="00FB4490"/>
    <w:rsid w:val="00FB455A"/>
    <w:rsid w:val="00FB4EB5"/>
    <w:rsid w:val="00FB55E6"/>
    <w:rsid w:val="00FB5B10"/>
    <w:rsid w:val="00FB60FA"/>
    <w:rsid w:val="00FB6112"/>
    <w:rsid w:val="00FB6342"/>
    <w:rsid w:val="00FB66BB"/>
    <w:rsid w:val="00FB66EC"/>
    <w:rsid w:val="00FB688D"/>
    <w:rsid w:val="00FB69ED"/>
    <w:rsid w:val="00FB6D94"/>
    <w:rsid w:val="00FB6F11"/>
    <w:rsid w:val="00FB7074"/>
    <w:rsid w:val="00FB77E4"/>
    <w:rsid w:val="00FB7B72"/>
    <w:rsid w:val="00FB7E90"/>
    <w:rsid w:val="00FC0731"/>
    <w:rsid w:val="00FC0987"/>
    <w:rsid w:val="00FC0EA6"/>
    <w:rsid w:val="00FC1697"/>
    <w:rsid w:val="00FC2150"/>
    <w:rsid w:val="00FC23C0"/>
    <w:rsid w:val="00FC2660"/>
    <w:rsid w:val="00FC290F"/>
    <w:rsid w:val="00FC2AF2"/>
    <w:rsid w:val="00FC2E1D"/>
    <w:rsid w:val="00FC33CA"/>
    <w:rsid w:val="00FC3B94"/>
    <w:rsid w:val="00FC3C2B"/>
    <w:rsid w:val="00FC3CA3"/>
    <w:rsid w:val="00FC3D5F"/>
    <w:rsid w:val="00FC3ED9"/>
    <w:rsid w:val="00FC3FC6"/>
    <w:rsid w:val="00FC40FB"/>
    <w:rsid w:val="00FC4AC9"/>
    <w:rsid w:val="00FC4B71"/>
    <w:rsid w:val="00FC4BB4"/>
    <w:rsid w:val="00FC4BBB"/>
    <w:rsid w:val="00FC4D6C"/>
    <w:rsid w:val="00FC4F9B"/>
    <w:rsid w:val="00FC5048"/>
    <w:rsid w:val="00FC5239"/>
    <w:rsid w:val="00FC5941"/>
    <w:rsid w:val="00FC5B2F"/>
    <w:rsid w:val="00FC63C2"/>
    <w:rsid w:val="00FC653E"/>
    <w:rsid w:val="00FC66AD"/>
    <w:rsid w:val="00FC66D0"/>
    <w:rsid w:val="00FC6742"/>
    <w:rsid w:val="00FC67F3"/>
    <w:rsid w:val="00FC6ACD"/>
    <w:rsid w:val="00FC6C58"/>
    <w:rsid w:val="00FC6F2C"/>
    <w:rsid w:val="00FC757A"/>
    <w:rsid w:val="00FC76E4"/>
    <w:rsid w:val="00FC7BB7"/>
    <w:rsid w:val="00FC7E26"/>
    <w:rsid w:val="00FD003A"/>
    <w:rsid w:val="00FD0403"/>
    <w:rsid w:val="00FD0443"/>
    <w:rsid w:val="00FD05F1"/>
    <w:rsid w:val="00FD08B5"/>
    <w:rsid w:val="00FD0B76"/>
    <w:rsid w:val="00FD0BEA"/>
    <w:rsid w:val="00FD0C93"/>
    <w:rsid w:val="00FD16C1"/>
    <w:rsid w:val="00FD19BB"/>
    <w:rsid w:val="00FD1D88"/>
    <w:rsid w:val="00FD2466"/>
    <w:rsid w:val="00FD2CB6"/>
    <w:rsid w:val="00FD2DBF"/>
    <w:rsid w:val="00FD3BF0"/>
    <w:rsid w:val="00FD3D61"/>
    <w:rsid w:val="00FD4344"/>
    <w:rsid w:val="00FD5064"/>
    <w:rsid w:val="00FD5A27"/>
    <w:rsid w:val="00FD5B3A"/>
    <w:rsid w:val="00FD5B94"/>
    <w:rsid w:val="00FD62F9"/>
    <w:rsid w:val="00FD677D"/>
    <w:rsid w:val="00FD6E6F"/>
    <w:rsid w:val="00FD717B"/>
    <w:rsid w:val="00FD76D1"/>
    <w:rsid w:val="00FD7AC1"/>
    <w:rsid w:val="00FD7B36"/>
    <w:rsid w:val="00FE013E"/>
    <w:rsid w:val="00FE02B7"/>
    <w:rsid w:val="00FE065F"/>
    <w:rsid w:val="00FE0B11"/>
    <w:rsid w:val="00FE0C18"/>
    <w:rsid w:val="00FE0CF9"/>
    <w:rsid w:val="00FE0E47"/>
    <w:rsid w:val="00FE127A"/>
    <w:rsid w:val="00FE12AC"/>
    <w:rsid w:val="00FE14F9"/>
    <w:rsid w:val="00FE1647"/>
    <w:rsid w:val="00FE1CE2"/>
    <w:rsid w:val="00FE20C0"/>
    <w:rsid w:val="00FE2396"/>
    <w:rsid w:val="00FE244A"/>
    <w:rsid w:val="00FE29ED"/>
    <w:rsid w:val="00FE2BA7"/>
    <w:rsid w:val="00FE2D96"/>
    <w:rsid w:val="00FE33A7"/>
    <w:rsid w:val="00FE33F7"/>
    <w:rsid w:val="00FE3580"/>
    <w:rsid w:val="00FE3BEE"/>
    <w:rsid w:val="00FE3EA6"/>
    <w:rsid w:val="00FE4127"/>
    <w:rsid w:val="00FE4418"/>
    <w:rsid w:val="00FE528E"/>
    <w:rsid w:val="00FE54E0"/>
    <w:rsid w:val="00FE57B2"/>
    <w:rsid w:val="00FE5E84"/>
    <w:rsid w:val="00FE5F8C"/>
    <w:rsid w:val="00FE6034"/>
    <w:rsid w:val="00FE6599"/>
    <w:rsid w:val="00FE685B"/>
    <w:rsid w:val="00FE6985"/>
    <w:rsid w:val="00FE6EE9"/>
    <w:rsid w:val="00FE7081"/>
    <w:rsid w:val="00FE71F0"/>
    <w:rsid w:val="00FE7E08"/>
    <w:rsid w:val="00FE7EBE"/>
    <w:rsid w:val="00FE7FF5"/>
    <w:rsid w:val="00FF1098"/>
    <w:rsid w:val="00FF10D7"/>
    <w:rsid w:val="00FF143E"/>
    <w:rsid w:val="00FF14F3"/>
    <w:rsid w:val="00FF1843"/>
    <w:rsid w:val="00FF1A43"/>
    <w:rsid w:val="00FF22B7"/>
    <w:rsid w:val="00FF25A2"/>
    <w:rsid w:val="00FF273F"/>
    <w:rsid w:val="00FF2779"/>
    <w:rsid w:val="00FF29A7"/>
    <w:rsid w:val="00FF2B5C"/>
    <w:rsid w:val="00FF2C82"/>
    <w:rsid w:val="00FF38FA"/>
    <w:rsid w:val="00FF397A"/>
    <w:rsid w:val="00FF3B64"/>
    <w:rsid w:val="00FF3E82"/>
    <w:rsid w:val="00FF3E90"/>
    <w:rsid w:val="00FF3F42"/>
    <w:rsid w:val="00FF432B"/>
    <w:rsid w:val="00FF4338"/>
    <w:rsid w:val="00FF4638"/>
    <w:rsid w:val="00FF4887"/>
    <w:rsid w:val="00FF49E8"/>
    <w:rsid w:val="00FF4B50"/>
    <w:rsid w:val="00FF4D4A"/>
    <w:rsid w:val="00FF507E"/>
    <w:rsid w:val="00FF519E"/>
    <w:rsid w:val="00FF51D7"/>
    <w:rsid w:val="00FF5393"/>
    <w:rsid w:val="00FF55F7"/>
    <w:rsid w:val="00FF5E0B"/>
    <w:rsid w:val="00FF5ECE"/>
    <w:rsid w:val="00FF64F0"/>
    <w:rsid w:val="00FF667F"/>
    <w:rsid w:val="00FF68EC"/>
    <w:rsid w:val="00FF6E05"/>
    <w:rsid w:val="00FF7133"/>
    <w:rsid w:val="00FF7561"/>
    <w:rsid w:val="00FF7888"/>
    <w:rsid w:val="00FF794E"/>
    <w:rsid w:val="00FF7BAF"/>
    <w:rsid w:val="00FF7E82"/>
    <w:rsid w:val="01A842C6"/>
    <w:rsid w:val="01B664A1"/>
    <w:rsid w:val="01D631A8"/>
    <w:rsid w:val="01F52A91"/>
    <w:rsid w:val="02120D87"/>
    <w:rsid w:val="023C4FA5"/>
    <w:rsid w:val="024955AC"/>
    <w:rsid w:val="027E1012"/>
    <w:rsid w:val="032052CC"/>
    <w:rsid w:val="032A2EC2"/>
    <w:rsid w:val="03400B2D"/>
    <w:rsid w:val="0346283E"/>
    <w:rsid w:val="034F2928"/>
    <w:rsid w:val="03AC38D7"/>
    <w:rsid w:val="03B959DC"/>
    <w:rsid w:val="03D3384A"/>
    <w:rsid w:val="03DA45F6"/>
    <w:rsid w:val="043F4C76"/>
    <w:rsid w:val="048E7C04"/>
    <w:rsid w:val="04E0586A"/>
    <w:rsid w:val="04EF43C3"/>
    <w:rsid w:val="05662EDB"/>
    <w:rsid w:val="058C7BA2"/>
    <w:rsid w:val="05AE2353"/>
    <w:rsid w:val="05AF5900"/>
    <w:rsid w:val="05E50FBB"/>
    <w:rsid w:val="060379FA"/>
    <w:rsid w:val="06053A86"/>
    <w:rsid w:val="061401EF"/>
    <w:rsid w:val="06536344"/>
    <w:rsid w:val="066C15D9"/>
    <w:rsid w:val="06CD6E17"/>
    <w:rsid w:val="06D82C35"/>
    <w:rsid w:val="06F15AA5"/>
    <w:rsid w:val="07074209"/>
    <w:rsid w:val="076A5F83"/>
    <w:rsid w:val="079F27F2"/>
    <w:rsid w:val="07A56FBB"/>
    <w:rsid w:val="07D01B5E"/>
    <w:rsid w:val="07E35D35"/>
    <w:rsid w:val="082160D5"/>
    <w:rsid w:val="082F30B8"/>
    <w:rsid w:val="089B3B7D"/>
    <w:rsid w:val="089F13B4"/>
    <w:rsid w:val="08FB4B75"/>
    <w:rsid w:val="091361A6"/>
    <w:rsid w:val="09554A11"/>
    <w:rsid w:val="0969482B"/>
    <w:rsid w:val="097151F5"/>
    <w:rsid w:val="09850DFD"/>
    <w:rsid w:val="09BD4E22"/>
    <w:rsid w:val="0A35213D"/>
    <w:rsid w:val="0A851D25"/>
    <w:rsid w:val="0A86237F"/>
    <w:rsid w:val="0AA979B2"/>
    <w:rsid w:val="0AB47515"/>
    <w:rsid w:val="0ADB4710"/>
    <w:rsid w:val="0ADE5145"/>
    <w:rsid w:val="0AEA77EF"/>
    <w:rsid w:val="0AF6345A"/>
    <w:rsid w:val="0B3A1976"/>
    <w:rsid w:val="0B6B1D52"/>
    <w:rsid w:val="0B923B58"/>
    <w:rsid w:val="0B9873AF"/>
    <w:rsid w:val="0BAE5D98"/>
    <w:rsid w:val="0C3923C8"/>
    <w:rsid w:val="0C6555BA"/>
    <w:rsid w:val="0C684910"/>
    <w:rsid w:val="0CAE2F5A"/>
    <w:rsid w:val="0CC15C7D"/>
    <w:rsid w:val="0CCA6E2C"/>
    <w:rsid w:val="0CF76D88"/>
    <w:rsid w:val="0D051E28"/>
    <w:rsid w:val="0D0F0D82"/>
    <w:rsid w:val="0D4C22C8"/>
    <w:rsid w:val="0D6C6927"/>
    <w:rsid w:val="0D721847"/>
    <w:rsid w:val="0D8C36D4"/>
    <w:rsid w:val="0DB72C24"/>
    <w:rsid w:val="0DF42FB8"/>
    <w:rsid w:val="0DFF7FDA"/>
    <w:rsid w:val="0E224058"/>
    <w:rsid w:val="0E4A4E62"/>
    <w:rsid w:val="0E6072E7"/>
    <w:rsid w:val="0ED27B18"/>
    <w:rsid w:val="0ED86DAC"/>
    <w:rsid w:val="0F265E38"/>
    <w:rsid w:val="0F480717"/>
    <w:rsid w:val="0FC401FA"/>
    <w:rsid w:val="0FD07D2B"/>
    <w:rsid w:val="0FE92855"/>
    <w:rsid w:val="10192C3A"/>
    <w:rsid w:val="103B4960"/>
    <w:rsid w:val="10483AEB"/>
    <w:rsid w:val="107B278C"/>
    <w:rsid w:val="10B276AF"/>
    <w:rsid w:val="10B93E79"/>
    <w:rsid w:val="10BB646A"/>
    <w:rsid w:val="10CC3E81"/>
    <w:rsid w:val="10CF2258"/>
    <w:rsid w:val="10DF7048"/>
    <w:rsid w:val="10FC4052"/>
    <w:rsid w:val="110F1949"/>
    <w:rsid w:val="11350324"/>
    <w:rsid w:val="11352DCD"/>
    <w:rsid w:val="113B5611"/>
    <w:rsid w:val="116A6549"/>
    <w:rsid w:val="118C68C6"/>
    <w:rsid w:val="11D81ED4"/>
    <w:rsid w:val="11DF5B8B"/>
    <w:rsid w:val="12BD286B"/>
    <w:rsid w:val="12E16AF5"/>
    <w:rsid w:val="12F31522"/>
    <w:rsid w:val="12F52C6C"/>
    <w:rsid w:val="12F8205D"/>
    <w:rsid w:val="13081E63"/>
    <w:rsid w:val="133731A8"/>
    <w:rsid w:val="136828AD"/>
    <w:rsid w:val="136C602E"/>
    <w:rsid w:val="1389740B"/>
    <w:rsid w:val="142E4DE5"/>
    <w:rsid w:val="143860A5"/>
    <w:rsid w:val="14496100"/>
    <w:rsid w:val="14632853"/>
    <w:rsid w:val="147C72F5"/>
    <w:rsid w:val="14953E84"/>
    <w:rsid w:val="14D257B5"/>
    <w:rsid w:val="14F054EE"/>
    <w:rsid w:val="14F36394"/>
    <w:rsid w:val="14FB20E7"/>
    <w:rsid w:val="15014F81"/>
    <w:rsid w:val="151A1B61"/>
    <w:rsid w:val="151C5CD0"/>
    <w:rsid w:val="1544009F"/>
    <w:rsid w:val="155C4C28"/>
    <w:rsid w:val="15787ABD"/>
    <w:rsid w:val="15A80030"/>
    <w:rsid w:val="15CB6D1C"/>
    <w:rsid w:val="15CE592F"/>
    <w:rsid w:val="15E7481C"/>
    <w:rsid w:val="15F00EA2"/>
    <w:rsid w:val="161918CD"/>
    <w:rsid w:val="162419F3"/>
    <w:rsid w:val="16263C66"/>
    <w:rsid w:val="16294E7C"/>
    <w:rsid w:val="1636420B"/>
    <w:rsid w:val="1637724A"/>
    <w:rsid w:val="16573B76"/>
    <w:rsid w:val="16A36DBB"/>
    <w:rsid w:val="17137E35"/>
    <w:rsid w:val="17162FF4"/>
    <w:rsid w:val="172E09D1"/>
    <w:rsid w:val="17835F7D"/>
    <w:rsid w:val="17B82EFA"/>
    <w:rsid w:val="182541F9"/>
    <w:rsid w:val="18B22D85"/>
    <w:rsid w:val="18E96437"/>
    <w:rsid w:val="190F6BFD"/>
    <w:rsid w:val="19355CC5"/>
    <w:rsid w:val="194542A9"/>
    <w:rsid w:val="195B3309"/>
    <w:rsid w:val="19802551"/>
    <w:rsid w:val="19A57603"/>
    <w:rsid w:val="19BB61D2"/>
    <w:rsid w:val="19C21FDD"/>
    <w:rsid w:val="19CF500F"/>
    <w:rsid w:val="1A0D6E9B"/>
    <w:rsid w:val="1A8B0292"/>
    <w:rsid w:val="1ADA483D"/>
    <w:rsid w:val="1AF311B8"/>
    <w:rsid w:val="1B0C676C"/>
    <w:rsid w:val="1B1E25E5"/>
    <w:rsid w:val="1B9D082B"/>
    <w:rsid w:val="1BA11E74"/>
    <w:rsid w:val="1BB3117B"/>
    <w:rsid w:val="1BB83309"/>
    <w:rsid w:val="1BBE183A"/>
    <w:rsid w:val="1BC111D7"/>
    <w:rsid w:val="1BDD4E53"/>
    <w:rsid w:val="1BF37476"/>
    <w:rsid w:val="1C1012EF"/>
    <w:rsid w:val="1C386D1E"/>
    <w:rsid w:val="1C8C42D9"/>
    <w:rsid w:val="1C931FE4"/>
    <w:rsid w:val="1CD03675"/>
    <w:rsid w:val="1D1113D0"/>
    <w:rsid w:val="1D1C3E12"/>
    <w:rsid w:val="1D5B1AD4"/>
    <w:rsid w:val="1D7C5228"/>
    <w:rsid w:val="1DD54314"/>
    <w:rsid w:val="1DE33952"/>
    <w:rsid w:val="1DEE1E52"/>
    <w:rsid w:val="1E577873"/>
    <w:rsid w:val="1E5B0D32"/>
    <w:rsid w:val="1E810F3A"/>
    <w:rsid w:val="1E8D5F4F"/>
    <w:rsid w:val="1EB57F9B"/>
    <w:rsid w:val="1ECE5260"/>
    <w:rsid w:val="1F3F5731"/>
    <w:rsid w:val="1F6A5F0E"/>
    <w:rsid w:val="1F892A6F"/>
    <w:rsid w:val="1FB84F15"/>
    <w:rsid w:val="1FE42A29"/>
    <w:rsid w:val="202076CF"/>
    <w:rsid w:val="20376BBD"/>
    <w:rsid w:val="203C56EB"/>
    <w:rsid w:val="203F0D32"/>
    <w:rsid w:val="206C1A34"/>
    <w:rsid w:val="206F4949"/>
    <w:rsid w:val="2077061A"/>
    <w:rsid w:val="207C1569"/>
    <w:rsid w:val="20E537B7"/>
    <w:rsid w:val="21137496"/>
    <w:rsid w:val="21341694"/>
    <w:rsid w:val="21361B5B"/>
    <w:rsid w:val="21AF1B2D"/>
    <w:rsid w:val="21D11841"/>
    <w:rsid w:val="21DA2518"/>
    <w:rsid w:val="21E027E8"/>
    <w:rsid w:val="220715CD"/>
    <w:rsid w:val="22111510"/>
    <w:rsid w:val="22252D7A"/>
    <w:rsid w:val="223709DC"/>
    <w:rsid w:val="22392924"/>
    <w:rsid w:val="22503A99"/>
    <w:rsid w:val="22636D83"/>
    <w:rsid w:val="22641056"/>
    <w:rsid w:val="226D0F7D"/>
    <w:rsid w:val="22971EA5"/>
    <w:rsid w:val="22CD2452"/>
    <w:rsid w:val="22E468F9"/>
    <w:rsid w:val="22FB5DDA"/>
    <w:rsid w:val="23405EA1"/>
    <w:rsid w:val="2379528B"/>
    <w:rsid w:val="237F6188"/>
    <w:rsid w:val="23AA7D40"/>
    <w:rsid w:val="23C117B7"/>
    <w:rsid w:val="24311348"/>
    <w:rsid w:val="247C3A15"/>
    <w:rsid w:val="249C2489"/>
    <w:rsid w:val="24DA580E"/>
    <w:rsid w:val="25164BFC"/>
    <w:rsid w:val="251B0028"/>
    <w:rsid w:val="253A345A"/>
    <w:rsid w:val="256E67DE"/>
    <w:rsid w:val="257418AF"/>
    <w:rsid w:val="25C14ADA"/>
    <w:rsid w:val="260C18D8"/>
    <w:rsid w:val="263854A9"/>
    <w:rsid w:val="264A194A"/>
    <w:rsid w:val="267348DA"/>
    <w:rsid w:val="26AD333E"/>
    <w:rsid w:val="271B1ECE"/>
    <w:rsid w:val="271B3851"/>
    <w:rsid w:val="272B4417"/>
    <w:rsid w:val="275B29A3"/>
    <w:rsid w:val="2791418B"/>
    <w:rsid w:val="2795663A"/>
    <w:rsid w:val="280F7CE6"/>
    <w:rsid w:val="282C1694"/>
    <w:rsid w:val="28327F9F"/>
    <w:rsid w:val="28334283"/>
    <w:rsid w:val="285B4951"/>
    <w:rsid w:val="28894FF8"/>
    <w:rsid w:val="28A01C27"/>
    <w:rsid w:val="28AF42E4"/>
    <w:rsid w:val="28CE3B87"/>
    <w:rsid w:val="28D059C8"/>
    <w:rsid w:val="29030FAE"/>
    <w:rsid w:val="29362716"/>
    <w:rsid w:val="29364810"/>
    <w:rsid w:val="29B66771"/>
    <w:rsid w:val="2A0D061F"/>
    <w:rsid w:val="2A76318C"/>
    <w:rsid w:val="2A96284D"/>
    <w:rsid w:val="2AD22F61"/>
    <w:rsid w:val="2AFE37F1"/>
    <w:rsid w:val="2B510C81"/>
    <w:rsid w:val="2B5C23FE"/>
    <w:rsid w:val="2B644127"/>
    <w:rsid w:val="2B777D40"/>
    <w:rsid w:val="2B795B18"/>
    <w:rsid w:val="2BA40DD8"/>
    <w:rsid w:val="2BAE5EE8"/>
    <w:rsid w:val="2BC25ADE"/>
    <w:rsid w:val="2BF10A3D"/>
    <w:rsid w:val="2C1A3D99"/>
    <w:rsid w:val="2C430F97"/>
    <w:rsid w:val="2C494296"/>
    <w:rsid w:val="2C4E46CD"/>
    <w:rsid w:val="2C753EBB"/>
    <w:rsid w:val="2C803DB9"/>
    <w:rsid w:val="2CBD692C"/>
    <w:rsid w:val="2CD30402"/>
    <w:rsid w:val="2CF0164E"/>
    <w:rsid w:val="2D0E4B56"/>
    <w:rsid w:val="2D485B6F"/>
    <w:rsid w:val="2D953FD8"/>
    <w:rsid w:val="2DA3078F"/>
    <w:rsid w:val="2DCD2EBC"/>
    <w:rsid w:val="2DE02D0C"/>
    <w:rsid w:val="2DF86CA2"/>
    <w:rsid w:val="2E046A5A"/>
    <w:rsid w:val="2E056A58"/>
    <w:rsid w:val="2E1450B4"/>
    <w:rsid w:val="2E516B0F"/>
    <w:rsid w:val="2E7A61FC"/>
    <w:rsid w:val="2E87112A"/>
    <w:rsid w:val="2E9F3EB4"/>
    <w:rsid w:val="2EA14B72"/>
    <w:rsid w:val="2EDE5031"/>
    <w:rsid w:val="2F0106CB"/>
    <w:rsid w:val="2F0338FB"/>
    <w:rsid w:val="2F043018"/>
    <w:rsid w:val="2F06007C"/>
    <w:rsid w:val="2F7C3DFF"/>
    <w:rsid w:val="2FC42BDA"/>
    <w:rsid w:val="30440D10"/>
    <w:rsid w:val="30665983"/>
    <w:rsid w:val="30874C00"/>
    <w:rsid w:val="30CD6C9E"/>
    <w:rsid w:val="30DA11D4"/>
    <w:rsid w:val="30DC7C57"/>
    <w:rsid w:val="31302A5B"/>
    <w:rsid w:val="316C23C9"/>
    <w:rsid w:val="31845856"/>
    <w:rsid w:val="31BE28A4"/>
    <w:rsid w:val="31E33CF0"/>
    <w:rsid w:val="321B6248"/>
    <w:rsid w:val="323B36A0"/>
    <w:rsid w:val="32466FD0"/>
    <w:rsid w:val="32786E04"/>
    <w:rsid w:val="328240F0"/>
    <w:rsid w:val="3296670F"/>
    <w:rsid w:val="32C513F0"/>
    <w:rsid w:val="32CF19DF"/>
    <w:rsid w:val="32EC272D"/>
    <w:rsid w:val="33022792"/>
    <w:rsid w:val="33146F20"/>
    <w:rsid w:val="33530000"/>
    <w:rsid w:val="33607607"/>
    <w:rsid w:val="33B4365E"/>
    <w:rsid w:val="33F020B6"/>
    <w:rsid w:val="33FB393B"/>
    <w:rsid w:val="344C06F7"/>
    <w:rsid w:val="344D3B6C"/>
    <w:rsid w:val="3489778A"/>
    <w:rsid w:val="34D7570F"/>
    <w:rsid w:val="35002B26"/>
    <w:rsid w:val="355A6925"/>
    <w:rsid w:val="357D5FA4"/>
    <w:rsid w:val="361E712D"/>
    <w:rsid w:val="366F4AE0"/>
    <w:rsid w:val="36706EB0"/>
    <w:rsid w:val="367675BF"/>
    <w:rsid w:val="36A02280"/>
    <w:rsid w:val="36B907B2"/>
    <w:rsid w:val="36C070BE"/>
    <w:rsid w:val="36CA4688"/>
    <w:rsid w:val="36D772E4"/>
    <w:rsid w:val="3726228F"/>
    <w:rsid w:val="376F147D"/>
    <w:rsid w:val="37901D4A"/>
    <w:rsid w:val="37A66936"/>
    <w:rsid w:val="37AB53FE"/>
    <w:rsid w:val="382316B2"/>
    <w:rsid w:val="38235253"/>
    <w:rsid w:val="38271C1C"/>
    <w:rsid w:val="382D1595"/>
    <w:rsid w:val="385E7F01"/>
    <w:rsid w:val="387232F5"/>
    <w:rsid w:val="38730DB8"/>
    <w:rsid w:val="38FD0DA2"/>
    <w:rsid w:val="390073B2"/>
    <w:rsid w:val="392367BA"/>
    <w:rsid w:val="397C3FD0"/>
    <w:rsid w:val="39A94AC9"/>
    <w:rsid w:val="39AE31FE"/>
    <w:rsid w:val="39B35CCB"/>
    <w:rsid w:val="39CB61F0"/>
    <w:rsid w:val="39DC4280"/>
    <w:rsid w:val="3A1114EE"/>
    <w:rsid w:val="3A4052B7"/>
    <w:rsid w:val="3ABF13E2"/>
    <w:rsid w:val="3AC12EF4"/>
    <w:rsid w:val="3AC66F27"/>
    <w:rsid w:val="3AD82C28"/>
    <w:rsid w:val="3B293274"/>
    <w:rsid w:val="3B366B34"/>
    <w:rsid w:val="3B3B4C0A"/>
    <w:rsid w:val="3B3E0726"/>
    <w:rsid w:val="3B567CBE"/>
    <w:rsid w:val="3B587760"/>
    <w:rsid w:val="3B5E5C7B"/>
    <w:rsid w:val="3B71020F"/>
    <w:rsid w:val="3C1D5246"/>
    <w:rsid w:val="3C306D0A"/>
    <w:rsid w:val="3C5753E0"/>
    <w:rsid w:val="3C594622"/>
    <w:rsid w:val="3C6448A6"/>
    <w:rsid w:val="3CA07CC0"/>
    <w:rsid w:val="3CE603B8"/>
    <w:rsid w:val="3CF26515"/>
    <w:rsid w:val="3D2F6E0D"/>
    <w:rsid w:val="3D3332BC"/>
    <w:rsid w:val="3D5A3DC8"/>
    <w:rsid w:val="3D9B6E58"/>
    <w:rsid w:val="3DC65D58"/>
    <w:rsid w:val="3E0E7E70"/>
    <w:rsid w:val="3E5C698C"/>
    <w:rsid w:val="3E6628B5"/>
    <w:rsid w:val="3ED4609F"/>
    <w:rsid w:val="3EE43DBA"/>
    <w:rsid w:val="3EFF0E03"/>
    <w:rsid w:val="3F3348D1"/>
    <w:rsid w:val="3F6E58FE"/>
    <w:rsid w:val="3F943572"/>
    <w:rsid w:val="3FA951B8"/>
    <w:rsid w:val="3FB54D4F"/>
    <w:rsid w:val="3FC840B3"/>
    <w:rsid w:val="3FCE4851"/>
    <w:rsid w:val="3FDA0A3F"/>
    <w:rsid w:val="3FDC0668"/>
    <w:rsid w:val="3FF54CDF"/>
    <w:rsid w:val="40355E95"/>
    <w:rsid w:val="403A7F1D"/>
    <w:rsid w:val="404F780F"/>
    <w:rsid w:val="40890521"/>
    <w:rsid w:val="408F6F36"/>
    <w:rsid w:val="40935583"/>
    <w:rsid w:val="40B92706"/>
    <w:rsid w:val="40C63B98"/>
    <w:rsid w:val="40E25C3F"/>
    <w:rsid w:val="411554BD"/>
    <w:rsid w:val="4133169F"/>
    <w:rsid w:val="418879EC"/>
    <w:rsid w:val="4194191C"/>
    <w:rsid w:val="4198167F"/>
    <w:rsid w:val="41A268C7"/>
    <w:rsid w:val="41EB0F0C"/>
    <w:rsid w:val="41F87D88"/>
    <w:rsid w:val="42626E8F"/>
    <w:rsid w:val="42754B75"/>
    <w:rsid w:val="42D06860"/>
    <w:rsid w:val="42D83E59"/>
    <w:rsid w:val="42E320B3"/>
    <w:rsid w:val="431B4F88"/>
    <w:rsid w:val="43410774"/>
    <w:rsid w:val="434A001A"/>
    <w:rsid w:val="434C61CF"/>
    <w:rsid w:val="435E5C94"/>
    <w:rsid w:val="437361ED"/>
    <w:rsid w:val="43B42D28"/>
    <w:rsid w:val="43F26A6D"/>
    <w:rsid w:val="43FF0EB6"/>
    <w:rsid w:val="442D2F91"/>
    <w:rsid w:val="448D0131"/>
    <w:rsid w:val="44CC1263"/>
    <w:rsid w:val="44D01CCC"/>
    <w:rsid w:val="457E0521"/>
    <w:rsid w:val="457F5EEA"/>
    <w:rsid w:val="45A83739"/>
    <w:rsid w:val="45F67E46"/>
    <w:rsid w:val="46063E27"/>
    <w:rsid w:val="46400CFA"/>
    <w:rsid w:val="46B533F3"/>
    <w:rsid w:val="46D55A57"/>
    <w:rsid w:val="46DF533E"/>
    <w:rsid w:val="46E17049"/>
    <w:rsid w:val="470D47DF"/>
    <w:rsid w:val="47637D1D"/>
    <w:rsid w:val="47CD5F26"/>
    <w:rsid w:val="480B0759"/>
    <w:rsid w:val="48111527"/>
    <w:rsid w:val="481E211E"/>
    <w:rsid w:val="482A5D81"/>
    <w:rsid w:val="488175D2"/>
    <w:rsid w:val="488A12DA"/>
    <w:rsid w:val="48951A3B"/>
    <w:rsid w:val="48BD248F"/>
    <w:rsid w:val="48F9356D"/>
    <w:rsid w:val="48FA1FBB"/>
    <w:rsid w:val="48FB58C9"/>
    <w:rsid w:val="49150755"/>
    <w:rsid w:val="49182100"/>
    <w:rsid w:val="49555444"/>
    <w:rsid w:val="495B0FC1"/>
    <w:rsid w:val="495C5565"/>
    <w:rsid w:val="4970799C"/>
    <w:rsid w:val="49751587"/>
    <w:rsid w:val="49926698"/>
    <w:rsid w:val="49A73DE5"/>
    <w:rsid w:val="49BB4395"/>
    <w:rsid w:val="4A0E0041"/>
    <w:rsid w:val="4A3738C2"/>
    <w:rsid w:val="4A5D5B11"/>
    <w:rsid w:val="4A7E72E8"/>
    <w:rsid w:val="4A8115CF"/>
    <w:rsid w:val="4A8F7A4B"/>
    <w:rsid w:val="4B4439C2"/>
    <w:rsid w:val="4B550611"/>
    <w:rsid w:val="4B627BC4"/>
    <w:rsid w:val="4BC201AE"/>
    <w:rsid w:val="4C404B18"/>
    <w:rsid w:val="4C410E5A"/>
    <w:rsid w:val="4C8A4ED5"/>
    <w:rsid w:val="4CB308A1"/>
    <w:rsid w:val="4CC26BBA"/>
    <w:rsid w:val="4CEE7FC3"/>
    <w:rsid w:val="4D111875"/>
    <w:rsid w:val="4D4D6D26"/>
    <w:rsid w:val="4D91158D"/>
    <w:rsid w:val="4DB9132B"/>
    <w:rsid w:val="4DC87F51"/>
    <w:rsid w:val="4DE671A0"/>
    <w:rsid w:val="4E546E6D"/>
    <w:rsid w:val="4E5E123E"/>
    <w:rsid w:val="4E60521B"/>
    <w:rsid w:val="4EA33FA0"/>
    <w:rsid w:val="4EA671AE"/>
    <w:rsid w:val="4EC51AAD"/>
    <w:rsid w:val="4ECF2B88"/>
    <w:rsid w:val="4EE122CB"/>
    <w:rsid w:val="4EEF723A"/>
    <w:rsid w:val="4F2168B8"/>
    <w:rsid w:val="4F4520B4"/>
    <w:rsid w:val="4F7B55A8"/>
    <w:rsid w:val="4F823199"/>
    <w:rsid w:val="4FBD5B2B"/>
    <w:rsid w:val="4FC67EEA"/>
    <w:rsid w:val="4FEA351A"/>
    <w:rsid w:val="500E383F"/>
    <w:rsid w:val="50145F88"/>
    <w:rsid w:val="50274C3A"/>
    <w:rsid w:val="504B2EFC"/>
    <w:rsid w:val="50763048"/>
    <w:rsid w:val="50895A1E"/>
    <w:rsid w:val="50B21C4F"/>
    <w:rsid w:val="51322E3B"/>
    <w:rsid w:val="514556D7"/>
    <w:rsid w:val="516603B6"/>
    <w:rsid w:val="51737045"/>
    <w:rsid w:val="51867BB6"/>
    <w:rsid w:val="51B3730B"/>
    <w:rsid w:val="51D37980"/>
    <w:rsid w:val="522805B6"/>
    <w:rsid w:val="52500DF4"/>
    <w:rsid w:val="529F0D75"/>
    <w:rsid w:val="52B80859"/>
    <w:rsid w:val="52BE22AC"/>
    <w:rsid w:val="53130EE7"/>
    <w:rsid w:val="53307F87"/>
    <w:rsid w:val="53541791"/>
    <w:rsid w:val="538D1A45"/>
    <w:rsid w:val="53E23475"/>
    <w:rsid w:val="5402266C"/>
    <w:rsid w:val="54787BA2"/>
    <w:rsid w:val="54EC557E"/>
    <w:rsid w:val="552A663B"/>
    <w:rsid w:val="555329E1"/>
    <w:rsid w:val="558A7CA2"/>
    <w:rsid w:val="55C0633B"/>
    <w:rsid w:val="55F52488"/>
    <w:rsid w:val="55F63EE4"/>
    <w:rsid w:val="55F86C96"/>
    <w:rsid w:val="56120A99"/>
    <w:rsid w:val="561F12B3"/>
    <w:rsid w:val="563D5BDD"/>
    <w:rsid w:val="566B561C"/>
    <w:rsid w:val="56865077"/>
    <w:rsid w:val="56970BF1"/>
    <w:rsid w:val="56E37DCE"/>
    <w:rsid w:val="56F9502A"/>
    <w:rsid w:val="56FA17CE"/>
    <w:rsid w:val="56FF5614"/>
    <w:rsid w:val="576B029A"/>
    <w:rsid w:val="57AC2C60"/>
    <w:rsid w:val="57B045E8"/>
    <w:rsid w:val="57C32352"/>
    <w:rsid w:val="58046065"/>
    <w:rsid w:val="58242BB1"/>
    <w:rsid w:val="584B74BA"/>
    <w:rsid w:val="588E49D7"/>
    <w:rsid w:val="58DD798B"/>
    <w:rsid w:val="58E06109"/>
    <w:rsid w:val="58F1204E"/>
    <w:rsid w:val="59434C2C"/>
    <w:rsid w:val="596D67DA"/>
    <w:rsid w:val="596F508F"/>
    <w:rsid w:val="59711CDF"/>
    <w:rsid w:val="597636D4"/>
    <w:rsid w:val="598F6EC7"/>
    <w:rsid w:val="599D06E5"/>
    <w:rsid w:val="59B637F7"/>
    <w:rsid w:val="59D26A98"/>
    <w:rsid w:val="59DB541F"/>
    <w:rsid w:val="59F4679A"/>
    <w:rsid w:val="5A095890"/>
    <w:rsid w:val="5A180156"/>
    <w:rsid w:val="5A3440E7"/>
    <w:rsid w:val="5ACE7246"/>
    <w:rsid w:val="5ACF5EAF"/>
    <w:rsid w:val="5ADD5437"/>
    <w:rsid w:val="5B1F4814"/>
    <w:rsid w:val="5B633480"/>
    <w:rsid w:val="5B69347B"/>
    <w:rsid w:val="5B8816A9"/>
    <w:rsid w:val="5B9D6810"/>
    <w:rsid w:val="5BD633B2"/>
    <w:rsid w:val="5BF86F96"/>
    <w:rsid w:val="5C0674D2"/>
    <w:rsid w:val="5C0C6266"/>
    <w:rsid w:val="5C2648E6"/>
    <w:rsid w:val="5C58783E"/>
    <w:rsid w:val="5C6F24D9"/>
    <w:rsid w:val="5CD10718"/>
    <w:rsid w:val="5CEC5C67"/>
    <w:rsid w:val="5D363590"/>
    <w:rsid w:val="5D5D783E"/>
    <w:rsid w:val="5D825D1D"/>
    <w:rsid w:val="5DCA7D57"/>
    <w:rsid w:val="5DCD24F3"/>
    <w:rsid w:val="5DD9443E"/>
    <w:rsid w:val="5DE03A1E"/>
    <w:rsid w:val="5E16631B"/>
    <w:rsid w:val="5ECA561A"/>
    <w:rsid w:val="5F27742B"/>
    <w:rsid w:val="5F3C1CA1"/>
    <w:rsid w:val="5F426EC9"/>
    <w:rsid w:val="5F5374FF"/>
    <w:rsid w:val="5F57534A"/>
    <w:rsid w:val="5F5B0F82"/>
    <w:rsid w:val="5F5C1408"/>
    <w:rsid w:val="5FB223FE"/>
    <w:rsid w:val="5FBD4E54"/>
    <w:rsid w:val="5FD255E8"/>
    <w:rsid w:val="5FDA0F1A"/>
    <w:rsid w:val="5FE67631"/>
    <w:rsid w:val="6007030B"/>
    <w:rsid w:val="6014175D"/>
    <w:rsid w:val="602056ED"/>
    <w:rsid w:val="60224DF2"/>
    <w:rsid w:val="603543CF"/>
    <w:rsid w:val="60E05AE3"/>
    <w:rsid w:val="6119109D"/>
    <w:rsid w:val="614D4221"/>
    <w:rsid w:val="62347E94"/>
    <w:rsid w:val="62436329"/>
    <w:rsid w:val="626C6EEB"/>
    <w:rsid w:val="62CA0B9D"/>
    <w:rsid w:val="62F81D46"/>
    <w:rsid w:val="62FA4117"/>
    <w:rsid w:val="6309207B"/>
    <w:rsid w:val="630D6D89"/>
    <w:rsid w:val="63414B33"/>
    <w:rsid w:val="634C071A"/>
    <w:rsid w:val="636724EC"/>
    <w:rsid w:val="641B57B0"/>
    <w:rsid w:val="641E5CA3"/>
    <w:rsid w:val="644D7295"/>
    <w:rsid w:val="646C503A"/>
    <w:rsid w:val="6520373E"/>
    <w:rsid w:val="65272D73"/>
    <w:rsid w:val="652B0CE7"/>
    <w:rsid w:val="65997057"/>
    <w:rsid w:val="65C721D9"/>
    <w:rsid w:val="66107EEC"/>
    <w:rsid w:val="66855117"/>
    <w:rsid w:val="66A73ED7"/>
    <w:rsid w:val="66AD48CB"/>
    <w:rsid w:val="66D41C46"/>
    <w:rsid w:val="67055FE2"/>
    <w:rsid w:val="6716431E"/>
    <w:rsid w:val="67472418"/>
    <w:rsid w:val="67570AB9"/>
    <w:rsid w:val="675E7762"/>
    <w:rsid w:val="6776508B"/>
    <w:rsid w:val="67A77DE6"/>
    <w:rsid w:val="67B03CA6"/>
    <w:rsid w:val="67BA4365"/>
    <w:rsid w:val="67EA409E"/>
    <w:rsid w:val="67EC5750"/>
    <w:rsid w:val="67F240B5"/>
    <w:rsid w:val="68324E76"/>
    <w:rsid w:val="683C5CF5"/>
    <w:rsid w:val="68636EA2"/>
    <w:rsid w:val="686E067C"/>
    <w:rsid w:val="688B2364"/>
    <w:rsid w:val="68A7502D"/>
    <w:rsid w:val="68C77EC2"/>
    <w:rsid w:val="68D52752"/>
    <w:rsid w:val="692B66D8"/>
    <w:rsid w:val="697D70FD"/>
    <w:rsid w:val="69A57DC3"/>
    <w:rsid w:val="6A0F02FE"/>
    <w:rsid w:val="6A517CAC"/>
    <w:rsid w:val="6A61635A"/>
    <w:rsid w:val="6A757695"/>
    <w:rsid w:val="6A7B0C14"/>
    <w:rsid w:val="6A92576F"/>
    <w:rsid w:val="6ADD61BD"/>
    <w:rsid w:val="6AED2E0B"/>
    <w:rsid w:val="6AF040D7"/>
    <w:rsid w:val="6AFB31F9"/>
    <w:rsid w:val="6B302D8C"/>
    <w:rsid w:val="6B8D739D"/>
    <w:rsid w:val="6BB12E30"/>
    <w:rsid w:val="6BB311A6"/>
    <w:rsid w:val="6BB67D2A"/>
    <w:rsid w:val="6BCD32E5"/>
    <w:rsid w:val="6BE24363"/>
    <w:rsid w:val="6C5863C0"/>
    <w:rsid w:val="6C7672FB"/>
    <w:rsid w:val="6C7740C4"/>
    <w:rsid w:val="6C9961D5"/>
    <w:rsid w:val="6CE1745B"/>
    <w:rsid w:val="6CEB6ACD"/>
    <w:rsid w:val="6D002A6E"/>
    <w:rsid w:val="6D05692D"/>
    <w:rsid w:val="6D12171A"/>
    <w:rsid w:val="6D3F05F3"/>
    <w:rsid w:val="6D620992"/>
    <w:rsid w:val="6D77480A"/>
    <w:rsid w:val="6D7831F9"/>
    <w:rsid w:val="6DDB4952"/>
    <w:rsid w:val="6DFD7CD4"/>
    <w:rsid w:val="6E46551E"/>
    <w:rsid w:val="6EB502DA"/>
    <w:rsid w:val="6EBC1149"/>
    <w:rsid w:val="6ECB7C51"/>
    <w:rsid w:val="6EE37630"/>
    <w:rsid w:val="6EF31657"/>
    <w:rsid w:val="6F191BC1"/>
    <w:rsid w:val="6F232EA2"/>
    <w:rsid w:val="6F540B10"/>
    <w:rsid w:val="6F8B3E2F"/>
    <w:rsid w:val="6FB42615"/>
    <w:rsid w:val="6FE10615"/>
    <w:rsid w:val="7004507B"/>
    <w:rsid w:val="701C37DC"/>
    <w:rsid w:val="70207CAA"/>
    <w:rsid w:val="707C315E"/>
    <w:rsid w:val="70810331"/>
    <w:rsid w:val="70872724"/>
    <w:rsid w:val="709263DE"/>
    <w:rsid w:val="70A254D7"/>
    <w:rsid w:val="70A64778"/>
    <w:rsid w:val="70AA3EA1"/>
    <w:rsid w:val="70BC22A1"/>
    <w:rsid w:val="70CE0C10"/>
    <w:rsid w:val="70EC7C9A"/>
    <w:rsid w:val="70F2257C"/>
    <w:rsid w:val="71107A97"/>
    <w:rsid w:val="71493507"/>
    <w:rsid w:val="71770F3C"/>
    <w:rsid w:val="724F1A53"/>
    <w:rsid w:val="72563E87"/>
    <w:rsid w:val="72B43F65"/>
    <w:rsid w:val="72C119E6"/>
    <w:rsid w:val="72C946D2"/>
    <w:rsid w:val="72D74F98"/>
    <w:rsid w:val="72D807F9"/>
    <w:rsid w:val="731821E2"/>
    <w:rsid w:val="7329156C"/>
    <w:rsid w:val="73323D8C"/>
    <w:rsid w:val="733F0CDF"/>
    <w:rsid w:val="735E23F7"/>
    <w:rsid w:val="73A011C7"/>
    <w:rsid w:val="73D0517B"/>
    <w:rsid w:val="73D31B83"/>
    <w:rsid w:val="73EA7192"/>
    <w:rsid w:val="73F2195D"/>
    <w:rsid w:val="741020C4"/>
    <w:rsid w:val="74416F4D"/>
    <w:rsid w:val="744747C8"/>
    <w:rsid w:val="744836CD"/>
    <w:rsid w:val="744C601C"/>
    <w:rsid w:val="74C364E5"/>
    <w:rsid w:val="7542577F"/>
    <w:rsid w:val="759E7348"/>
    <w:rsid w:val="763C5541"/>
    <w:rsid w:val="766B7770"/>
    <w:rsid w:val="766C1E9B"/>
    <w:rsid w:val="76757117"/>
    <w:rsid w:val="768F4120"/>
    <w:rsid w:val="76B03C06"/>
    <w:rsid w:val="76CB4E80"/>
    <w:rsid w:val="76FC7D28"/>
    <w:rsid w:val="76FF3D2A"/>
    <w:rsid w:val="7715766C"/>
    <w:rsid w:val="773164D3"/>
    <w:rsid w:val="773230D8"/>
    <w:rsid w:val="774C33C7"/>
    <w:rsid w:val="775F0DC4"/>
    <w:rsid w:val="77755A43"/>
    <w:rsid w:val="77B04A25"/>
    <w:rsid w:val="77C74163"/>
    <w:rsid w:val="77CF31B4"/>
    <w:rsid w:val="77F70231"/>
    <w:rsid w:val="782374D1"/>
    <w:rsid w:val="78280349"/>
    <w:rsid w:val="782E082C"/>
    <w:rsid w:val="78313914"/>
    <w:rsid w:val="7862358D"/>
    <w:rsid w:val="786F17CF"/>
    <w:rsid w:val="78CB5E73"/>
    <w:rsid w:val="799B3F11"/>
    <w:rsid w:val="79A85182"/>
    <w:rsid w:val="79B07EC7"/>
    <w:rsid w:val="79B41AD2"/>
    <w:rsid w:val="7A271CE3"/>
    <w:rsid w:val="7A2D1927"/>
    <w:rsid w:val="7A5041FA"/>
    <w:rsid w:val="7A8327D1"/>
    <w:rsid w:val="7A8C3620"/>
    <w:rsid w:val="7AB033A0"/>
    <w:rsid w:val="7ADE6415"/>
    <w:rsid w:val="7B1458F3"/>
    <w:rsid w:val="7B2D0191"/>
    <w:rsid w:val="7B3E5B8C"/>
    <w:rsid w:val="7B7A0C4D"/>
    <w:rsid w:val="7BA846EC"/>
    <w:rsid w:val="7BBE32EB"/>
    <w:rsid w:val="7C343156"/>
    <w:rsid w:val="7C472D1F"/>
    <w:rsid w:val="7C903266"/>
    <w:rsid w:val="7CF26A59"/>
    <w:rsid w:val="7CF864AB"/>
    <w:rsid w:val="7D0A51BF"/>
    <w:rsid w:val="7D522DA2"/>
    <w:rsid w:val="7D5E28E8"/>
    <w:rsid w:val="7D704356"/>
    <w:rsid w:val="7DEA3E2D"/>
    <w:rsid w:val="7E0029DB"/>
    <w:rsid w:val="7E03663C"/>
    <w:rsid w:val="7E0D6324"/>
    <w:rsid w:val="7E5059B3"/>
    <w:rsid w:val="7E5D29B3"/>
    <w:rsid w:val="7E694F12"/>
    <w:rsid w:val="7EA54FFD"/>
    <w:rsid w:val="7F133E99"/>
    <w:rsid w:val="7F5931D8"/>
    <w:rsid w:val="7F721BA4"/>
    <w:rsid w:val="7F9C5FC4"/>
    <w:rsid w:val="7FBD72C3"/>
    <w:rsid w:val="7FCF6FF7"/>
    <w:rsid w:val="7FD61583"/>
    <w:rsid w:val="7FE452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9" w:semiHidden="0" w:name="heading 8"/>
    <w:lsdException w:qFormat="1" w:unhideWhenUsed="0" w:uiPriority="99" w:semiHidden="0" w:name="heading 9"/>
    <w:lsdException w:qFormat="1" w:unhideWhenUsed="0" w:uiPriority="0" w:semiHidden="0" w:name="index 1"/>
    <w:lsdException w:qFormat="1" w:unhideWhenUsed="0" w:uiPriority="0" w:semiHidden="0"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iPriority="99" w:semiHidden="0" w:name="Normal Indent"/>
    <w:lsdException w:uiPriority="99" w:name="footnote text"/>
    <w:lsdException w:qFormat="1" w:uiPriority="0" w:semiHidden="0" w:name="annotation text"/>
    <w:lsdException w:qFormat="1" w:uiPriority="0" w:semiHidden="0" w:name="header"/>
    <w:lsdException w:qFormat="1" w:uiPriority="99" w:semiHidden="0" w:name="footer"/>
    <w:lsdException w:qFormat="1" w:unhideWhenUsed="0" w:uiPriority="99" w:semiHidden="0" w:name="index heading"/>
    <w:lsdException w:qFormat="1" w:unhideWhenUsed="0" w:uiPriority="99" w:semiHidden="0"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uiPriority="99" w:name="toa heading"/>
    <w:lsdException w:qFormat="1"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semiHidden="0"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qFormat="1" w:unhideWhenUsed="0" w:uiPriority="0" w:semiHidden="0"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99" w:semiHidden="0" w:name="Date"/>
    <w:lsdException w:qFormat="1" w:unhideWhenUsed="0" w:uiPriority="0" w:semiHidden="0" w:name="Body Text First Indent"/>
    <w:lsdException w:qFormat="1" w:unhideWhenUsed="0" w:uiPriority="99" w:semiHidden="0" w:name="Body Text First Indent 2"/>
    <w:lsdException w:qFormat="1" w:unhideWhenUsed="0" w:uiPriority="0" w:semiHidden="0" w:name="Note Heading"/>
    <w:lsdException w:qFormat="1" w:uiPriority="99"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qFormat="1" w:unhideWhenUsed="0" w:uiPriority="99" w:semiHidden="0" w:name="Block Text"/>
    <w:lsdException w:qFormat="1" w:unhideWhenUsed="0"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nhideWhenUsed="0"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99" w:semiHidden="0" w:name="Table Grid"/>
    <w:lsdException w:qFormat="1" w:unhideWhenUsed="0" w:uiPriority="0" w:semiHidden="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6">
    <w:name w:val="heading 1"/>
    <w:basedOn w:val="1"/>
    <w:next w:val="1"/>
    <w:link w:val="201"/>
    <w:autoRedefine/>
    <w:qFormat/>
    <w:uiPriority w:val="9"/>
    <w:pPr>
      <w:keepNext/>
      <w:widowControl/>
      <w:numPr>
        <w:ilvl w:val="0"/>
        <w:numId w:val="1"/>
      </w:numPr>
      <w:spacing w:before="200" w:after="200" w:line="360" w:lineRule="auto"/>
      <w:contextualSpacing/>
      <w:jc w:val="left"/>
      <w:outlineLvl w:val="0"/>
    </w:pPr>
    <w:rPr>
      <w:rFonts w:ascii="黑体" w:hAnsi="黑体" w:eastAsia="黑体"/>
      <w:sz w:val="32"/>
      <w:szCs w:val="20"/>
    </w:rPr>
  </w:style>
  <w:style w:type="paragraph" w:styleId="7">
    <w:name w:val="heading 2"/>
    <w:basedOn w:val="1"/>
    <w:next w:val="1"/>
    <w:link w:val="241"/>
    <w:autoRedefine/>
    <w:qFormat/>
    <w:uiPriority w:val="0"/>
    <w:pPr>
      <w:keepNext/>
      <w:keepLines/>
      <w:numPr>
        <w:ilvl w:val="1"/>
        <w:numId w:val="1"/>
      </w:numPr>
      <w:adjustRightInd w:val="0"/>
      <w:snapToGrid w:val="0"/>
      <w:spacing w:before="200" w:after="200" w:line="360" w:lineRule="auto"/>
      <w:jc w:val="left"/>
      <w:outlineLvl w:val="1"/>
    </w:pPr>
    <w:rPr>
      <w:rFonts w:ascii="黑体" w:hAnsi="黑体" w:eastAsia="黑体"/>
      <w:bCs/>
      <w:sz w:val="28"/>
      <w:szCs w:val="32"/>
    </w:rPr>
  </w:style>
  <w:style w:type="paragraph" w:styleId="8">
    <w:name w:val="heading 3"/>
    <w:basedOn w:val="1"/>
    <w:next w:val="1"/>
    <w:link w:val="156"/>
    <w:autoRedefine/>
    <w:qFormat/>
    <w:uiPriority w:val="9"/>
    <w:pPr>
      <w:numPr>
        <w:ilvl w:val="2"/>
        <w:numId w:val="1"/>
      </w:numPr>
      <w:spacing w:before="160" w:after="160" w:line="360" w:lineRule="auto"/>
      <w:jc w:val="left"/>
      <w:outlineLvl w:val="2"/>
    </w:pPr>
    <w:rPr>
      <w:rFonts w:ascii="黑体" w:hAnsi="黑体" w:eastAsia="黑体"/>
      <w:sz w:val="24"/>
      <w:szCs w:val="21"/>
    </w:rPr>
  </w:style>
  <w:style w:type="paragraph" w:styleId="9">
    <w:name w:val="heading 4"/>
    <w:basedOn w:val="1"/>
    <w:next w:val="1"/>
    <w:link w:val="256"/>
    <w:autoRedefine/>
    <w:qFormat/>
    <w:uiPriority w:val="0"/>
    <w:pPr>
      <w:keepNext/>
      <w:keepLines/>
      <w:adjustRightInd w:val="0"/>
      <w:snapToGrid w:val="0"/>
      <w:spacing w:line="500" w:lineRule="exact"/>
      <w:ind w:firstLine="200" w:firstLineChars="200"/>
      <w:outlineLvl w:val="3"/>
    </w:pPr>
    <w:rPr>
      <w:rFonts w:ascii="Arial" w:hAnsi="Arial"/>
      <w:bCs/>
      <w:kern w:val="0"/>
      <w:sz w:val="24"/>
      <w:szCs w:val="28"/>
      <w:lang w:val="zh-CN"/>
    </w:rPr>
  </w:style>
  <w:style w:type="paragraph" w:styleId="10">
    <w:name w:val="heading 5"/>
    <w:basedOn w:val="1"/>
    <w:next w:val="1"/>
    <w:link w:val="79"/>
    <w:autoRedefine/>
    <w:qFormat/>
    <w:uiPriority w:val="9"/>
    <w:pPr>
      <w:keepNext/>
      <w:keepLines/>
      <w:spacing w:before="280" w:after="290" w:line="376" w:lineRule="atLeast"/>
      <w:ind w:firstLine="200" w:firstLineChars="200"/>
      <w:outlineLvl w:val="4"/>
    </w:pPr>
    <w:rPr>
      <w:rFonts w:ascii="Times New Roman" w:hAnsi="Times New Roman"/>
      <w:b/>
      <w:bCs/>
      <w:kern w:val="0"/>
      <w:sz w:val="28"/>
      <w:szCs w:val="28"/>
    </w:rPr>
  </w:style>
  <w:style w:type="paragraph" w:styleId="11">
    <w:name w:val="heading 6"/>
    <w:basedOn w:val="1"/>
    <w:next w:val="1"/>
    <w:link w:val="127"/>
    <w:autoRedefine/>
    <w:qFormat/>
    <w:uiPriority w:val="9"/>
    <w:pPr>
      <w:keepNext/>
      <w:keepLines/>
      <w:spacing w:before="240" w:after="64" w:line="320" w:lineRule="atLeast"/>
      <w:ind w:firstLine="200" w:firstLineChars="200"/>
      <w:outlineLvl w:val="5"/>
    </w:pPr>
    <w:rPr>
      <w:rFonts w:ascii="Cambria" w:hAnsi="Cambria"/>
      <w:b/>
      <w:bCs/>
      <w:kern w:val="0"/>
      <w:sz w:val="24"/>
      <w:szCs w:val="24"/>
    </w:rPr>
  </w:style>
  <w:style w:type="paragraph" w:styleId="12">
    <w:name w:val="heading 7"/>
    <w:basedOn w:val="1"/>
    <w:next w:val="1"/>
    <w:link w:val="121"/>
    <w:autoRedefine/>
    <w:qFormat/>
    <w:uiPriority w:val="9"/>
    <w:pPr>
      <w:keepNext/>
      <w:keepLines/>
      <w:spacing w:before="240" w:after="64" w:line="320" w:lineRule="atLeast"/>
      <w:ind w:firstLine="200" w:firstLineChars="200"/>
      <w:outlineLvl w:val="6"/>
    </w:pPr>
    <w:rPr>
      <w:rFonts w:ascii="Times New Roman" w:hAnsi="Times New Roman"/>
      <w:b/>
      <w:bCs/>
      <w:kern w:val="0"/>
      <w:sz w:val="24"/>
      <w:szCs w:val="24"/>
    </w:rPr>
  </w:style>
  <w:style w:type="paragraph" w:styleId="13">
    <w:name w:val="heading 8"/>
    <w:basedOn w:val="1"/>
    <w:next w:val="1"/>
    <w:link w:val="87"/>
    <w:autoRedefine/>
    <w:qFormat/>
    <w:uiPriority w:val="99"/>
    <w:pPr>
      <w:keepNext/>
      <w:keepLines/>
      <w:tabs>
        <w:tab w:val="left" w:pos="1440"/>
      </w:tabs>
      <w:spacing w:before="240" w:after="64" w:line="320" w:lineRule="auto"/>
      <w:ind w:left="1440" w:hanging="1440"/>
      <w:outlineLvl w:val="7"/>
    </w:pPr>
    <w:rPr>
      <w:rFonts w:ascii="Arial" w:hAnsi="Arial" w:eastAsia="黑体"/>
      <w:kern w:val="0"/>
      <w:sz w:val="24"/>
      <w:szCs w:val="24"/>
    </w:rPr>
  </w:style>
  <w:style w:type="paragraph" w:styleId="14">
    <w:name w:val="heading 9"/>
    <w:basedOn w:val="1"/>
    <w:next w:val="1"/>
    <w:link w:val="135"/>
    <w:autoRedefine/>
    <w:qFormat/>
    <w:uiPriority w:val="99"/>
    <w:pPr>
      <w:keepNext/>
      <w:keepLines/>
      <w:tabs>
        <w:tab w:val="left" w:pos="1584"/>
      </w:tabs>
      <w:spacing w:before="240" w:after="64" w:line="320" w:lineRule="auto"/>
      <w:ind w:left="1584" w:hanging="1584"/>
      <w:outlineLvl w:val="8"/>
    </w:pPr>
    <w:rPr>
      <w:rFonts w:ascii="Arial" w:hAnsi="Arial" w:eastAsia="黑体"/>
      <w:kern w:val="0"/>
      <w:sz w:val="20"/>
      <w:szCs w:val="21"/>
    </w:rPr>
  </w:style>
  <w:style w:type="character" w:default="1" w:styleId="54">
    <w:name w:val="Default Paragraph Font"/>
    <w:unhideWhenUsed/>
    <w:qFormat/>
    <w:uiPriority w:val="1"/>
  </w:style>
  <w:style w:type="table" w:default="1" w:styleId="5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link w:val="230"/>
    <w:autoRedefine/>
    <w:qFormat/>
    <w:uiPriority w:val="99"/>
    <w:pPr>
      <w:ind w:firstLine="420" w:firstLineChars="200"/>
    </w:pPr>
  </w:style>
  <w:style w:type="paragraph" w:styleId="3">
    <w:name w:val="Body Text Indent"/>
    <w:basedOn w:val="1"/>
    <w:link w:val="93"/>
    <w:autoRedefine/>
    <w:qFormat/>
    <w:uiPriority w:val="0"/>
    <w:pPr>
      <w:spacing w:after="120"/>
      <w:ind w:left="420" w:leftChars="200"/>
    </w:pPr>
    <w:rPr>
      <w:rFonts w:ascii="Times New Roman" w:hAnsi="Times New Roman"/>
      <w:kern w:val="0"/>
      <w:sz w:val="20"/>
      <w:szCs w:val="24"/>
    </w:rPr>
  </w:style>
  <w:style w:type="paragraph" w:styleId="4">
    <w:name w:val="Body Text First Indent"/>
    <w:basedOn w:val="5"/>
    <w:link w:val="236"/>
    <w:autoRedefine/>
    <w:qFormat/>
    <w:uiPriority w:val="0"/>
    <w:pPr>
      <w:widowControl/>
      <w:ind w:firstLine="420" w:firstLineChars="100"/>
      <w:jc w:val="left"/>
    </w:pPr>
    <w:rPr>
      <w:rFonts w:ascii="宋体" w:hAnsi="宋体"/>
      <w:kern w:val="0"/>
      <w:sz w:val="24"/>
      <w:szCs w:val="24"/>
    </w:rPr>
  </w:style>
  <w:style w:type="paragraph" w:styleId="5">
    <w:name w:val="Body Text"/>
    <w:basedOn w:val="1"/>
    <w:link w:val="180"/>
    <w:autoRedefine/>
    <w:unhideWhenUsed/>
    <w:qFormat/>
    <w:uiPriority w:val="0"/>
    <w:pPr>
      <w:spacing w:after="120"/>
    </w:pPr>
  </w:style>
  <w:style w:type="paragraph" w:styleId="15">
    <w:name w:val="toc 7"/>
    <w:basedOn w:val="1"/>
    <w:next w:val="1"/>
    <w:autoRedefine/>
    <w:qFormat/>
    <w:uiPriority w:val="39"/>
    <w:pPr>
      <w:ind w:left="1260"/>
      <w:jc w:val="left"/>
    </w:pPr>
    <w:rPr>
      <w:rFonts w:cs="Calibri"/>
      <w:sz w:val="18"/>
      <w:szCs w:val="18"/>
    </w:rPr>
  </w:style>
  <w:style w:type="paragraph" w:styleId="16">
    <w:name w:val="table of authorities"/>
    <w:basedOn w:val="1"/>
    <w:next w:val="1"/>
    <w:autoRedefine/>
    <w:qFormat/>
    <w:uiPriority w:val="0"/>
    <w:pPr>
      <w:ind w:left="420" w:leftChars="200"/>
    </w:pPr>
    <w:rPr>
      <w:rFonts w:ascii="Times New Roman" w:hAnsi="Times New Roman"/>
      <w:szCs w:val="24"/>
    </w:rPr>
  </w:style>
  <w:style w:type="paragraph" w:styleId="17">
    <w:name w:val="Note Heading"/>
    <w:basedOn w:val="1"/>
    <w:next w:val="1"/>
    <w:link w:val="198"/>
    <w:autoRedefine/>
    <w:qFormat/>
    <w:uiPriority w:val="0"/>
    <w:pPr>
      <w:jc w:val="center"/>
    </w:pPr>
    <w:rPr>
      <w:rFonts w:ascii="Times New Roman" w:hAnsi="Times New Roman"/>
      <w:szCs w:val="20"/>
    </w:rPr>
  </w:style>
  <w:style w:type="paragraph" w:styleId="18">
    <w:name w:val="Normal Indent"/>
    <w:basedOn w:val="1"/>
    <w:link w:val="271"/>
    <w:autoRedefine/>
    <w:unhideWhenUsed/>
    <w:qFormat/>
    <w:uiPriority w:val="99"/>
    <w:pPr>
      <w:ind w:firstLine="420" w:firstLineChars="200"/>
    </w:pPr>
    <w:rPr>
      <w:rFonts w:ascii="Times New Roman" w:hAnsi="Times New Roman"/>
      <w:kern w:val="0"/>
      <w:sz w:val="20"/>
      <w:szCs w:val="21"/>
    </w:rPr>
  </w:style>
  <w:style w:type="paragraph" w:styleId="19">
    <w:name w:val="caption"/>
    <w:basedOn w:val="1"/>
    <w:next w:val="1"/>
    <w:link w:val="61"/>
    <w:autoRedefine/>
    <w:qFormat/>
    <w:uiPriority w:val="99"/>
    <w:pPr>
      <w:spacing w:line="500" w:lineRule="atLeast"/>
      <w:jc w:val="center"/>
    </w:pPr>
    <w:rPr>
      <w:rFonts w:ascii="黑体" w:hAnsi="黑体" w:eastAsia="黑体"/>
      <w:color w:val="EE0000"/>
      <w:szCs w:val="20"/>
    </w:rPr>
  </w:style>
  <w:style w:type="paragraph" w:styleId="20">
    <w:name w:val="Document Map"/>
    <w:basedOn w:val="1"/>
    <w:link w:val="232"/>
    <w:autoRedefine/>
    <w:unhideWhenUsed/>
    <w:qFormat/>
    <w:uiPriority w:val="99"/>
    <w:rPr>
      <w:rFonts w:ascii="宋体" w:hAnsi="Times New Roman"/>
      <w:kern w:val="0"/>
      <w:sz w:val="18"/>
      <w:szCs w:val="18"/>
    </w:rPr>
  </w:style>
  <w:style w:type="paragraph" w:styleId="21">
    <w:name w:val="annotation text"/>
    <w:basedOn w:val="1"/>
    <w:link w:val="242"/>
    <w:autoRedefine/>
    <w:unhideWhenUsed/>
    <w:qFormat/>
    <w:uiPriority w:val="0"/>
    <w:pPr>
      <w:jc w:val="left"/>
    </w:pPr>
  </w:style>
  <w:style w:type="paragraph" w:styleId="22">
    <w:name w:val="Body Text 3"/>
    <w:basedOn w:val="1"/>
    <w:link w:val="228"/>
    <w:autoRedefine/>
    <w:qFormat/>
    <w:uiPriority w:val="0"/>
    <w:rPr>
      <w:rFonts w:ascii="Times New Roman" w:hAnsi="Times New Roman"/>
      <w:sz w:val="18"/>
      <w:szCs w:val="24"/>
    </w:rPr>
  </w:style>
  <w:style w:type="paragraph" w:styleId="23">
    <w:name w:val="Block Text"/>
    <w:basedOn w:val="1"/>
    <w:autoRedefine/>
    <w:qFormat/>
    <w:uiPriority w:val="99"/>
    <w:pPr>
      <w:spacing w:line="480" w:lineRule="exact"/>
      <w:ind w:left="-125" w:right="-56" w:firstLine="570"/>
    </w:pPr>
    <w:rPr>
      <w:rFonts w:ascii="等线" w:hAnsi="等线"/>
      <w:sz w:val="28"/>
      <w:szCs w:val="24"/>
    </w:rPr>
  </w:style>
  <w:style w:type="paragraph" w:styleId="24">
    <w:name w:val="toc 5"/>
    <w:basedOn w:val="1"/>
    <w:next w:val="1"/>
    <w:autoRedefine/>
    <w:qFormat/>
    <w:uiPriority w:val="39"/>
    <w:pPr>
      <w:ind w:left="840"/>
      <w:jc w:val="left"/>
    </w:pPr>
    <w:rPr>
      <w:rFonts w:cs="Calibri"/>
      <w:sz w:val="18"/>
      <w:szCs w:val="18"/>
    </w:rPr>
  </w:style>
  <w:style w:type="paragraph" w:styleId="25">
    <w:name w:val="toc 3"/>
    <w:basedOn w:val="1"/>
    <w:next w:val="1"/>
    <w:autoRedefine/>
    <w:qFormat/>
    <w:uiPriority w:val="39"/>
    <w:pPr>
      <w:ind w:left="420"/>
      <w:jc w:val="left"/>
    </w:pPr>
    <w:rPr>
      <w:rFonts w:cs="Calibri"/>
      <w:i/>
      <w:iCs/>
      <w:sz w:val="20"/>
      <w:szCs w:val="20"/>
    </w:rPr>
  </w:style>
  <w:style w:type="paragraph" w:styleId="26">
    <w:name w:val="Plain Text"/>
    <w:basedOn w:val="1"/>
    <w:link w:val="96"/>
    <w:autoRedefine/>
    <w:qFormat/>
    <w:uiPriority w:val="99"/>
    <w:rPr>
      <w:rFonts w:ascii="宋体" w:hAnsi="Courier New"/>
      <w:kern w:val="0"/>
      <w:sz w:val="24"/>
      <w:szCs w:val="20"/>
    </w:rPr>
  </w:style>
  <w:style w:type="paragraph" w:styleId="27">
    <w:name w:val="toc 8"/>
    <w:basedOn w:val="1"/>
    <w:next w:val="1"/>
    <w:autoRedefine/>
    <w:qFormat/>
    <w:uiPriority w:val="39"/>
    <w:pPr>
      <w:ind w:left="1470"/>
      <w:jc w:val="left"/>
    </w:pPr>
    <w:rPr>
      <w:rFonts w:cs="Calibri"/>
      <w:sz w:val="18"/>
      <w:szCs w:val="18"/>
    </w:rPr>
  </w:style>
  <w:style w:type="paragraph" w:styleId="28">
    <w:name w:val="Date"/>
    <w:basedOn w:val="1"/>
    <w:next w:val="1"/>
    <w:link w:val="64"/>
    <w:autoRedefine/>
    <w:qFormat/>
    <w:uiPriority w:val="99"/>
    <w:rPr>
      <w:rFonts w:ascii="宋体" w:hAnsi="Times New Roman"/>
      <w:kern w:val="0"/>
      <w:sz w:val="20"/>
      <w:szCs w:val="20"/>
    </w:rPr>
  </w:style>
  <w:style w:type="paragraph" w:styleId="29">
    <w:name w:val="Body Text Indent 2"/>
    <w:basedOn w:val="1"/>
    <w:link w:val="104"/>
    <w:autoRedefine/>
    <w:qFormat/>
    <w:uiPriority w:val="99"/>
    <w:pPr>
      <w:spacing w:after="120" w:line="480" w:lineRule="auto"/>
      <w:ind w:left="420" w:leftChars="200"/>
    </w:pPr>
    <w:rPr>
      <w:rFonts w:ascii="Times New Roman" w:hAnsi="Times New Roman"/>
      <w:kern w:val="0"/>
      <w:sz w:val="20"/>
      <w:szCs w:val="21"/>
    </w:rPr>
  </w:style>
  <w:style w:type="paragraph" w:styleId="30">
    <w:name w:val="Balloon Text"/>
    <w:basedOn w:val="1"/>
    <w:link w:val="157"/>
    <w:autoRedefine/>
    <w:unhideWhenUsed/>
    <w:qFormat/>
    <w:uiPriority w:val="0"/>
    <w:rPr>
      <w:kern w:val="0"/>
      <w:sz w:val="18"/>
      <w:szCs w:val="18"/>
    </w:rPr>
  </w:style>
  <w:style w:type="paragraph" w:styleId="31">
    <w:name w:val="footer"/>
    <w:basedOn w:val="1"/>
    <w:link w:val="218"/>
    <w:autoRedefine/>
    <w:unhideWhenUsed/>
    <w:qFormat/>
    <w:uiPriority w:val="99"/>
    <w:pPr>
      <w:tabs>
        <w:tab w:val="center" w:pos="4153"/>
        <w:tab w:val="right" w:pos="8306"/>
      </w:tabs>
      <w:snapToGrid w:val="0"/>
      <w:jc w:val="left"/>
    </w:pPr>
    <w:rPr>
      <w:kern w:val="0"/>
      <w:sz w:val="18"/>
      <w:szCs w:val="18"/>
    </w:rPr>
  </w:style>
  <w:style w:type="paragraph" w:styleId="32">
    <w:name w:val="header"/>
    <w:basedOn w:val="1"/>
    <w:link w:val="237"/>
    <w:autoRedefine/>
    <w:unhideWhenUsed/>
    <w:qFormat/>
    <w:uiPriority w:val="0"/>
    <w:pPr>
      <w:pBdr>
        <w:bottom w:val="single" w:color="auto" w:sz="6" w:space="1"/>
      </w:pBdr>
      <w:tabs>
        <w:tab w:val="center" w:pos="4153"/>
        <w:tab w:val="right" w:pos="8306"/>
      </w:tabs>
      <w:snapToGrid w:val="0"/>
      <w:jc w:val="center"/>
    </w:pPr>
    <w:rPr>
      <w:kern w:val="0"/>
      <w:sz w:val="18"/>
      <w:szCs w:val="18"/>
    </w:rPr>
  </w:style>
  <w:style w:type="paragraph" w:styleId="33">
    <w:name w:val="toc 1"/>
    <w:basedOn w:val="1"/>
    <w:next w:val="1"/>
    <w:autoRedefine/>
    <w:qFormat/>
    <w:uiPriority w:val="39"/>
    <w:pPr>
      <w:spacing w:before="120" w:after="120" w:line="500" w:lineRule="exact"/>
    </w:pPr>
    <w:rPr>
      <w:rFonts w:ascii="宋体" w:hAnsi="宋体" w:cs="Calibri"/>
      <w:b/>
      <w:bCs/>
      <w:caps/>
      <w:sz w:val="24"/>
      <w:szCs w:val="20"/>
    </w:rPr>
  </w:style>
  <w:style w:type="paragraph" w:styleId="34">
    <w:name w:val="List Continue 4"/>
    <w:basedOn w:val="1"/>
    <w:autoRedefine/>
    <w:qFormat/>
    <w:uiPriority w:val="0"/>
    <w:pPr>
      <w:spacing w:after="120"/>
      <w:ind w:left="1680"/>
    </w:pPr>
    <w:rPr>
      <w:rFonts w:ascii="Times New Roman" w:hAnsi="Times New Roman"/>
      <w:szCs w:val="20"/>
    </w:rPr>
  </w:style>
  <w:style w:type="paragraph" w:styleId="35">
    <w:name w:val="toc 4"/>
    <w:basedOn w:val="1"/>
    <w:next w:val="1"/>
    <w:autoRedefine/>
    <w:qFormat/>
    <w:uiPriority w:val="39"/>
    <w:pPr>
      <w:ind w:left="630"/>
      <w:jc w:val="left"/>
    </w:pPr>
    <w:rPr>
      <w:rFonts w:cs="Calibri"/>
      <w:sz w:val="18"/>
      <w:szCs w:val="18"/>
    </w:rPr>
  </w:style>
  <w:style w:type="paragraph" w:styleId="36">
    <w:name w:val="index heading"/>
    <w:basedOn w:val="1"/>
    <w:next w:val="37"/>
    <w:autoRedefine/>
    <w:qFormat/>
    <w:uiPriority w:val="99"/>
    <w:rPr>
      <w:rFonts w:hint="eastAsia" w:ascii="Cambria" w:hAnsi="Cambria"/>
      <w:b/>
      <w:szCs w:val="24"/>
    </w:rPr>
  </w:style>
  <w:style w:type="paragraph" w:styleId="37">
    <w:name w:val="index 1"/>
    <w:basedOn w:val="1"/>
    <w:next w:val="1"/>
    <w:autoRedefine/>
    <w:qFormat/>
    <w:uiPriority w:val="0"/>
    <w:pPr>
      <w:spacing w:line="380" w:lineRule="exact"/>
      <w:jc w:val="center"/>
    </w:pPr>
    <w:rPr>
      <w:rFonts w:ascii="Times New Roman" w:hAnsi="Times New Roman"/>
      <w:szCs w:val="24"/>
    </w:rPr>
  </w:style>
  <w:style w:type="paragraph" w:styleId="38">
    <w:name w:val="Subtitle"/>
    <w:basedOn w:val="1"/>
    <w:next w:val="1"/>
    <w:link w:val="464"/>
    <w:autoRedefine/>
    <w:qFormat/>
    <w:uiPriority w:val="11"/>
    <w:pPr>
      <w:jc w:val="center"/>
    </w:pPr>
    <w:rPr>
      <w:rFonts w:ascii="Times New Roman" w:hAnsi="Times New Roman"/>
      <w:bCs/>
      <w:kern w:val="28"/>
      <w:szCs w:val="32"/>
    </w:rPr>
  </w:style>
  <w:style w:type="paragraph" w:styleId="39">
    <w:name w:val="List"/>
    <w:basedOn w:val="1"/>
    <w:autoRedefine/>
    <w:unhideWhenUsed/>
    <w:qFormat/>
    <w:uiPriority w:val="99"/>
    <w:pPr>
      <w:ind w:left="200" w:hanging="200" w:hangingChars="200"/>
      <w:contextualSpacing/>
    </w:pPr>
  </w:style>
  <w:style w:type="paragraph" w:styleId="40">
    <w:name w:val="toc 6"/>
    <w:basedOn w:val="1"/>
    <w:next w:val="1"/>
    <w:autoRedefine/>
    <w:qFormat/>
    <w:uiPriority w:val="39"/>
    <w:pPr>
      <w:ind w:left="1050"/>
      <w:jc w:val="left"/>
    </w:pPr>
    <w:rPr>
      <w:rFonts w:cs="Calibri"/>
      <w:sz w:val="18"/>
      <w:szCs w:val="18"/>
    </w:rPr>
  </w:style>
  <w:style w:type="paragraph" w:styleId="41">
    <w:name w:val="Body Text Indent 3"/>
    <w:basedOn w:val="1"/>
    <w:link w:val="258"/>
    <w:autoRedefine/>
    <w:qFormat/>
    <w:uiPriority w:val="0"/>
    <w:pPr>
      <w:adjustRightInd w:val="0"/>
      <w:snapToGrid w:val="0"/>
      <w:spacing w:line="300" w:lineRule="auto"/>
      <w:ind w:firstLine="538" w:firstLineChars="192"/>
    </w:pPr>
    <w:rPr>
      <w:rFonts w:ascii="宋体" w:hAnsi="Times New Roman"/>
      <w:color w:val="FF0000"/>
      <w:sz w:val="28"/>
      <w:szCs w:val="24"/>
    </w:rPr>
  </w:style>
  <w:style w:type="paragraph" w:styleId="42">
    <w:name w:val="table of figures"/>
    <w:basedOn w:val="1"/>
    <w:next w:val="1"/>
    <w:autoRedefine/>
    <w:qFormat/>
    <w:uiPriority w:val="0"/>
    <w:pPr>
      <w:spacing w:line="500" w:lineRule="exact"/>
    </w:pPr>
    <w:rPr>
      <w:rFonts w:ascii="宋体" w:hAnsi="宋体"/>
      <w:spacing w:val="-8"/>
      <w:kern w:val="0"/>
      <w:sz w:val="24"/>
      <w:szCs w:val="21"/>
    </w:rPr>
  </w:style>
  <w:style w:type="paragraph" w:styleId="43">
    <w:name w:val="toc 2"/>
    <w:basedOn w:val="1"/>
    <w:next w:val="1"/>
    <w:autoRedefine/>
    <w:qFormat/>
    <w:uiPriority w:val="39"/>
    <w:pPr>
      <w:spacing w:line="500" w:lineRule="exact"/>
      <w:ind w:left="210"/>
    </w:pPr>
    <w:rPr>
      <w:rFonts w:ascii="宋体" w:hAnsi="宋体" w:cs="Calibri"/>
      <w:smallCaps/>
      <w:sz w:val="24"/>
      <w:szCs w:val="20"/>
    </w:rPr>
  </w:style>
  <w:style w:type="paragraph" w:styleId="44">
    <w:name w:val="toc 9"/>
    <w:basedOn w:val="1"/>
    <w:next w:val="1"/>
    <w:autoRedefine/>
    <w:qFormat/>
    <w:uiPriority w:val="39"/>
    <w:pPr>
      <w:ind w:left="1680"/>
      <w:jc w:val="left"/>
    </w:pPr>
    <w:rPr>
      <w:rFonts w:cs="Calibri"/>
      <w:sz w:val="18"/>
      <w:szCs w:val="18"/>
    </w:rPr>
  </w:style>
  <w:style w:type="paragraph" w:styleId="45">
    <w:name w:val="Body Text 2"/>
    <w:basedOn w:val="1"/>
    <w:link w:val="190"/>
    <w:autoRedefine/>
    <w:unhideWhenUsed/>
    <w:qFormat/>
    <w:uiPriority w:val="99"/>
    <w:pPr>
      <w:spacing w:after="120" w:line="480" w:lineRule="auto"/>
    </w:pPr>
    <w:rPr>
      <w:rFonts w:ascii="Times New Roman" w:hAnsi="Times New Roman"/>
      <w:kern w:val="0"/>
      <w:sz w:val="20"/>
      <w:szCs w:val="21"/>
    </w:rPr>
  </w:style>
  <w:style w:type="paragraph" w:styleId="46">
    <w:name w:val="HTML Preformatted"/>
    <w:basedOn w:val="1"/>
    <w:link w:val="115"/>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Pr>
      <w:rFonts w:ascii="黑体" w:hAnsi="Courier New"/>
      <w:b/>
      <w:bCs/>
      <w:kern w:val="0"/>
      <w:sz w:val="44"/>
      <w:szCs w:val="20"/>
    </w:rPr>
  </w:style>
  <w:style w:type="paragraph" w:styleId="47">
    <w:name w:val="Normal (Web)"/>
    <w:basedOn w:val="1"/>
    <w:link w:val="469"/>
    <w:autoRedefine/>
    <w:unhideWhenUsed/>
    <w:qFormat/>
    <w:uiPriority w:val="99"/>
    <w:pPr>
      <w:widowControl/>
      <w:jc w:val="left"/>
    </w:pPr>
    <w:rPr>
      <w:rFonts w:ascii="Times New Roman" w:hAnsi="Times New Roman" w:cs="宋体"/>
      <w:kern w:val="0"/>
      <w:sz w:val="24"/>
      <w:szCs w:val="24"/>
    </w:rPr>
  </w:style>
  <w:style w:type="paragraph" w:styleId="48">
    <w:name w:val="index 2"/>
    <w:basedOn w:val="1"/>
    <w:next w:val="1"/>
    <w:autoRedefine/>
    <w:qFormat/>
    <w:uiPriority w:val="0"/>
    <w:pPr>
      <w:ind w:left="200" w:leftChars="200"/>
    </w:pPr>
    <w:rPr>
      <w:rFonts w:ascii="Times New Roman" w:hAnsi="Times New Roman"/>
      <w:szCs w:val="24"/>
    </w:rPr>
  </w:style>
  <w:style w:type="paragraph" w:styleId="49">
    <w:name w:val="Title"/>
    <w:basedOn w:val="1"/>
    <w:link w:val="106"/>
    <w:autoRedefine/>
    <w:qFormat/>
    <w:uiPriority w:val="99"/>
    <w:pPr>
      <w:spacing w:before="240" w:after="60"/>
      <w:jc w:val="center"/>
      <w:outlineLvl w:val="0"/>
    </w:pPr>
    <w:rPr>
      <w:rFonts w:ascii="Arial" w:hAnsi="Arial"/>
      <w:b/>
      <w:bCs/>
      <w:kern w:val="0"/>
      <w:sz w:val="32"/>
      <w:szCs w:val="32"/>
    </w:rPr>
  </w:style>
  <w:style w:type="paragraph" w:styleId="50">
    <w:name w:val="annotation subject"/>
    <w:basedOn w:val="21"/>
    <w:next w:val="21"/>
    <w:link w:val="251"/>
    <w:autoRedefine/>
    <w:qFormat/>
    <w:uiPriority w:val="99"/>
    <w:rPr>
      <w:rFonts w:ascii="Times New Roman" w:hAnsi="Times New Roman"/>
      <w:b/>
      <w:bCs/>
      <w:kern w:val="0"/>
      <w:sz w:val="20"/>
      <w:szCs w:val="21"/>
    </w:rPr>
  </w:style>
  <w:style w:type="table" w:styleId="52">
    <w:name w:val="Table Grid"/>
    <w:basedOn w:val="51"/>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3">
    <w:name w:val="Table Theme"/>
    <w:basedOn w:val="5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5">
    <w:name w:val="Strong"/>
    <w:autoRedefine/>
    <w:qFormat/>
    <w:uiPriority w:val="22"/>
    <w:rPr>
      <w:b/>
      <w:bCs/>
    </w:rPr>
  </w:style>
  <w:style w:type="character" w:styleId="56">
    <w:name w:val="page number"/>
    <w:autoRedefine/>
    <w:qFormat/>
    <w:uiPriority w:val="0"/>
  </w:style>
  <w:style w:type="character" w:styleId="57">
    <w:name w:val="FollowedHyperlink"/>
    <w:autoRedefine/>
    <w:unhideWhenUsed/>
    <w:qFormat/>
    <w:uiPriority w:val="99"/>
    <w:rPr>
      <w:color w:val="800080"/>
      <w:u w:val="single"/>
    </w:rPr>
  </w:style>
  <w:style w:type="character" w:styleId="58">
    <w:name w:val="Emphasis"/>
    <w:autoRedefine/>
    <w:qFormat/>
    <w:uiPriority w:val="20"/>
    <w:rPr>
      <w:i/>
      <w:iCs/>
    </w:rPr>
  </w:style>
  <w:style w:type="character" w:styleId="59">
    <w:name w:val="Hyperlink"/>
    <w:autoRedefine/>
    <w:qFormat/>
    <w:uiPriority w:val="99"/>
    <w:rPr>
      <w:color w:val="0000FF"/>
      <w:u w:val="single"/>
    </w:rPr>
  </w:style>
  <w:style w:type="character" w:styleId="60">
    <w:name w:val="annotation reference"/>
    <w:autoRedefine/>
    <w:qFormat/>
    <w:uiPriority w:val="0"/>
    <w:rPr>
      <w:sz w:val="21"/>
      <w:szCs w:val="21"/>
    </w:rPr>
  </w:style>
  <w:style w:type="character" w:customStyle="1" w:styleId="61">
    <w:name w:val="题注 字符"/>
    <w:link w:val="19"/>
    <w:autoRedefine/>
    <w:qFormat/>
    <w:uiPriority w:val="0"/>
    <w:rPr>
      <w:rFonts w:ascii="黑体" w:hAnsi="黑体" w:eastAsia="黑体"/>
      <w:color w:val="EE0000"/>
      <w:kern w:val="2"/>
      <w:sz w:val="21"/>
    </w:rPr>
  </w:style>
  <w:style w:type="paragraph" w:customStyle="1" w:styleId="62">
    <w:name w:val="表字-书"/>
    <w:basedOn w:val="1"/>
    <w:link w:val="63"/>
    <w:autoRedefine/>
    <w:qFormat/>
    <w:uiPriority w:val="0"/>
    <w:pPr>
      <w:spacing w:line="300" w:lineRule="atLeast"/>
      <w:jc w:val="center"/>
    </w:pPr>
    <w:rPr>
      <w:rFonts w:ascii="宋体" w:hAnsi="宋体"/>
      <w:kern w:val="0"/>
      <w:sz w:val="20"/>
      <w:szCs w:val="21"/>
    </w:rPr>
  </w:style>
  <w:style w:type="character" w:customStyle="1" w:styleId="63">
    <w:name w:val="表字-书 Char"/>
    <w:link w:val="62"/>
    <w:autoRedefine/>
    <w:qFormat/>
    <w:uiPriority w:val="0"/>
    <w:rPr>
      <w:rFonts w:ascii="宋体" w:hAnsi="宋体" w:eastAsia="宋体" w:cs="Arial"/>
      <w:szCs w:val="21"/>
    </w:rPr>
  </w:style>
  <w:style w:type="character" w:customStyle="1" w:styleId="64">
    <w:name w:val="日期 字符"/>
    <w:link w:val="28"/>
    <w:autoRedefine/>
    <w:qFormat/>
    <w:uiPriority w:val="99"/>
    <w:rPr>
      <w:rFonts w:ascii="宋体" w:hAnsi="Times New Roman" w:eastAsia="宋体" w:cs="Times New Roman"/>
      <w:szCs w:val="20"/>
    </w:rPr>
  </w:style>
  <w:style w:type="character" w:customStyle="1" w:styleId="65">
    <w:name w:val="标题 7 Char2"/>
    <w:autoRedefine/>
    <w:qFormat/>
    <w:uiPriority w:val="9"/>
    <w:rPr>
      <w:rFonts w:ascii="Times New Roman" w:hAnsi="Times New Roman" w:eastAsia="宋体" w:cs="Times New Roman"/>
      <w:b/>
      <w:bCs/>
      <w:kern w:val="0"/>
      <w:sz w:val="24"/>
      <w:szCs w:val="24"/>
    </w:rPr>
  </w:style>
  <w:style w:type="character" w:customStyle="1" w:styleId="66">
    <w:name w:val="样式 正文首行缩进 + 华文中宋 小四 Char"/>
    <w:link w:val="67"/>
    <w:autoRedefine/>
    <w:qFormat/>
    <w:uiPriority w:val="0"/>
    <w:rPr>
      <w:rFonts w:ascii="华文中宋" w:hAnsi="华文中宋" w:eastAsia="华文中宋"/>
      <w:kern w:val="2"/>
      <w:sz w:val="24"/>
      <w:szCs w:val="24"/>
    </w:rPr>
  </w:style>
  <w:style w:type="paragraph" w:customStyle="1" w:styleId="67">
    <w:name w:val="样式 正文首行缩进 + 华文中宋 小四"/>
    <w:basedOn w:val="4"/>
    <w:link w:val="66"/>
    <w:autoRedefine/>
    <w:qFormat/>
    <w:uiPriority w:val="0"/>
    <w:pPr>
      <w:widowControl w:val="0"/>
      <w:spacing w:after="0" w:line="300" w:lineRule="auto"/>
      <w:ind w:firstLine="200" w:firstLineChars="200"/>
      <w:jc w:val="distribute"/>
    </w:pPr>
    <w:rPr>
      <w:rFonts w:ascii="华文中宋" w:hAnsi="华文中宋" w:eastAsia="华文中宋"/>
      <w:kern w:val="2"/>
    </w:rPr>
  </w:style>
  <w:style w:type="character" w:customStyle="1" w:styleId="68">
    <w:name w:val="页脚 Char"/>
    <w:autoRedefine/>
    <w:qFormat/>
    <w:uiPriority w:val="99"/>
    <w:rPr>
      <w:kern w:val="2"/>
      <w:sz w:val="18"/>
      <w:szCs w:val="18"/>
    </w:rPr>
  </w:style>
  <w:style w:type="character" w:customStyle="1" w:styleId="69">
    <w:name w:val="标题 1 Char Char Char"/>
    <w:autoRedefine/>
    <w:qFormat/>
    <w:uiPriority w:val="0"/>
    <w:rPr>
      <w:rFonts w:ascii="宋体" w:hAnsi="宋体"/>
      <w:bCs/>
      <w:sz w:val="28"/>
    </w:rPr>
  </w:style>
  <w:style w:type="character" w:customStyle="1" w:styleId="70">
    <w:name w:val="正文首行缩进 Char1"/>
    <w:autoRedefine/>
    <w:qFormat/>
    <w:uiPriority w:val="99"/>
    <w:rPr>
      <w:rFonts w:ascii="宋体" w:hAnsi="宋体" w:eastAsia="宋体" w:cs="Times New Roman"/>
      <w:kern w:val="0"/>
      <w:sz w:val="24"/>
      <w:szCs w:val="24"/>
    </w:rPr>
  </w:style>
  <w:style w:type="character" w:customStyle="1" w:styleId="71">
    <w:name w:val="日期 Char"/>
    <w:autoRedefine/>
    <w:qFormat/>
    <w:uiPriority w:val="99"/>
    <w:rPr>
      <w:rFonts w:ascii="宋体" w:hAnsi="Times New Roman" w:eastAsia="宋体" w:cs="Times New Roman"/>
      <w:szCs w:val="20"/>
    </w:rPr>
  </w:style>
  <w:style w:type="character" w:customStyle="1" w:styleId="72">
    <w:name w:val="引用 Char"/>
    <w:autoRedefine/>
    <w:qFormat/>
    <w:uiPriority w:val="29"/>
    <w:rPr>
      <w:rFonts w:eastAsia="宋体" w:cs="Times New Roman"/>
      <w:i/>
      <w:iCs/>
      <w:color w:val="404040"/>
      <w:kern w:val="2"/>
      <w:sz w:val="24"/>
      <w:szCs w:val="22"/>
    </w:rPr>
  </w:style>
  <w:style w:type="character" w:customStyle="1" w:styleId="73">
    <w:name w:val="批注框文本 Char"/>
    <w:autoRedefine/>
    <w:qFormat/>
    <w:uiPriority w:val="99"/>
    <w:rPr>
      <w:kern w:val="2"/>
      <w:sz w:val="18"/>
      <w:szCs w:val="18"/>
    </w:rPr>
  </w:style>
  <w:style w:type="character" w:customStyle="1" w:styleId="74">
    <w:name w:val="公示正文 字符"/>
    <w:link w:val="75"/>
    <w:autoRedefine/>
    <w:qFormat/>
    <w:uiPriority w:val="0"/>
    <w:rPr>
      <w:rFonts w:ascii="宋体" w:hAnsi="宋体" w:eastAsia="宋体" w:cs="黑体"/>
      <w:kern w:val="0"/>
      <w:sz w:val="24"/>
      <w:szCs w:val="30"/>
    </w:rPr>
  </w:style>
  <w:style w:type="paragraph" w:customStyle="1" w:styleId="75">
    <w:name w:val="公示正文"/>
    <w:basedOn w:val="1"/>
    <w:link w:val="74"/>
    <w:autoRedefine/>
    <w:qFormat/>
    <w:uiPriority w:val="0"/>
    <w:pPr>
      <w:adjustRightInd w:val="0"/>
      <w:snapToGrid w:val="0"/>
      <w:spacing w:line="400" w:lineRule="exact"/>
      <w:ind w:firstLine="200" w:firstLineChars="200"/>
    </w:pPr>
    <w:rPr>
      <w:rFonts w:ascii="宋体" w:hAnsi="宋体"/>
      <w:kern w:val="0"/>
      <w:sz w:val="24"/>
      <w:szCs w:val="30"/>
    </w:rPr>
  </w:style>
  <w:style w:type="character" w:customStyle="1" w:styleId="76">
    <w:name w:val="表头 Char"/>
    <w:link w:val="77"/>
    <w:autoRedefine/>
    <w:qFormat/>
    <w:uiPriority w:val="0"/>
    <w:rPr>
      <w:rFonts w:ascii="Arial" w:hAnsi="Arial" w:eastAsia="黑体" w:cs="Arial"/>
      <w:szCs w:val="21"/>
    </w:rPr>
  </w:style>
  <w:style w:type="paragraph" w:customStyle="1" w:styleId="77">
    <w:name w:val="表头"/>
    <w:basedOn w:val="1"/>
    <w:next w:val="1"/>
    <w:link w:val="76"/>
    <w:autoRedefine/>
    <w:qFormat/>
    <w:uiPriority w:val="0"/>
    <w:pPr>
      <w:widowControl/>
      <w:spacing w:beforeLines="25" w:after="100" w:afterAutospacing="1"/>
      <w:jc w:val="center"/>
    </w:pPr>
    <w:rPr>
      <w:rFonts w:ascii="Arial" w:hAnsi="Arial" w:eastAsia="黑体"/>
      <w:kern w:val="0"/>
      <w:sz w:val="20"/>
      <w:szCs w:val="21"/>
    </w:rPr>
  </w:style>
  <w:style w:type="character" w:customStyle="1" w:styleId="78">
    <w:name w:val="批注主题 Char"/>
    <w:autoRedefine/>
    <w:qFormat/>
    <w:uiPriority w:val="0"/>
    <w:rPr>
      <w:rFonts w:ascii="Times New Roman" w:hAnsi="Times New Roman" w:eastAsia="宋体" w:cs="Times New Roman"/>
      <w:szCs w:val="21"/>
    </w:rPr>
  </w:style>
  <w:style w:type="character" w:customStyle="1" w:styleId="79">
    <w:name w:val="标题 5 字符1"/>
    <w:link w:val="10"/>
    <w:autoRedefine/>
    <w:qFormat/>
    <w:uiPriority w:val="9"/>
    <w:rPr>
      <w:rFonts w:ascii="Times New Roman" w:hAnsi="Times New Roman" w:eastAsia="宋体" w:cs="Times New Roman"/>
      <w:b/>
      <w:bCs/>
      <w:kern w:val="0"/>
      <w:sz w:val="28"/>
      <w:szCs w:val="28"/>
    </w:rPr>
  </w:style>
  <w:style w:type="character" w:customStyle="1" w:styleId="80">
    <w:name w:val="缩进 Char"/>
    <w:link w:val="81"/>
    <w:autoRedefine/>
    <w:qFormat/>
    <w:uiPriority w:val="0"/>
    <w:rPr>
      <w:sz w:val="24"/>
      <w:szCs w:val="24"/>
    </w:rPr>
  </w:style>
  <w:style w:type="paragraph" w:customStyle="1" w:styleId="81">
    <w:name w:val="缩进"/>
    <w:basedOn w:val="1"/>
    <w:link w:val="80"/>
    <w:autoRedefine/>
    <w:qFormat/>
    <w:uiPriority w:val="0"/>
    <w:pPr>
      <w:spacing w:line="360" w:lineRule="auto"/>
      <w:ind w:firstLine="200" w:firstLineChars="200"/>
    </w:pPr>
    <w:rPr>
      <w:kern w:val="0"/>
      <w:sz w:val="24"/>
      <w:szCs w:val="24"/>
    </w:rPr>
  </w:style>
  <w:style w:type="character" w:customStyle="1" w:styleId="82">
    <w:name w:val="二级标题-书 Char"/>
    <w:link w:val="83"/>
    <w:autoRedefine/>
    <w:qFormat/>
    <w:uiPriority w:val="0"/>
    <w:rPr>
      <w:rFonts w:ascii="Times New Roman" w:hAnsi="Times New Roman" w:eastAsia="宋体" w:cs="Times New Roman"/>
      <w:b/>
      <w:kern w:val="0"/>
      <w:sz w:val="30"/>
      <w:szCs w:val="20"/>
    </w:rPr>
  </w:style>
  <w:style w:type="paragraph" w:customStyle="1" w:styleId="83">
    <w:name w:val="二级标题-书"/>
    <w:basedOn w:val="1"/>
    <w:link w:val="82"/>
    <w:autoRedefine/>
    <w:qFormat/>
    <w:uiPriority w:val="0"/>
    <w:pPr>
      <w:keepNext/>
      <w:widowControl/>
      <w:spacing w:before="260" w:after="260" w:line="415" w:lineRule="auto"/>
      <w:jc w:val="left"/>
      <w:outlineLvl w:val="1"/>
    </w:pPr>
    <w:rPr>
      <w:rFonts w:ascii="Times New Roman" w:hAnsi="Times New Roman"/>
      <w:b/>
      <w:kern w:val="0"/>
      <w:sz w:val="30"/>
      <w:szCs w:val="20"/>
    </w:rPr>
  </w:style>
  <w:style w:type="character" w:customStyle="1" w:styleId="84">
    <w:name w:val="标题 6 Char"/>
    <w:autoRedefine/>
    <w:qFormat/>
    <w:uiPriority w:val="9"/>
    <w:rPr>
      <w:rFonts w:ascii="Cambria" w:hAnsi="Cambria" w:eastAsia="宋体" w:cs="Times New Roman"/>
      <w:b/>
      <w:bCs/>
      <w:kern w:val="2"/>
      <w:sz w:val="24"/>
      <w:szCs w:val="24"/>
    </w:rPr>
  </w:style>
  <w:style w:type="character" w:customStyle="1" w:styleId="85">
    <w:name w:val="00正文 Char Char"/>
    <w:link w:val="86"/>
    <w:autoRedefine/>
    <w:qFormat/>
    <w:uiPriority w:val="0"/>
    <w:rPr>
      <w:rFonts w:ascii="Arial" w:hAnsi="宋体" w:eastAsia="Arial" w:cs="Arial"/>
      <w:bCs/>
      <w:kern w:val="2"/>
      <w:sz w:val="24"/>
      <w:szCs w:val="24"/>
      <w:lang w:val="en-US" w:eastAsia="zh-CN" w:bidi="ar-SA"/>
    </w:rPr>
  </w:style>
  <w:style w:type="paragraph" w:customStyle="1" w:styleId="86">
    <w:name w:val="00正文"/>
    <w:link w:val="85"/>
    <w:autoRedefine/>
    <w:qFormat/>
    <w:uiPriority w:val="0"/>
    <w:pPr>
      <w:spacing w:line="360" w:lineRule="auto"/>
      <w:ind w:firstLine="480" w:firstLineChars="200"/>
      <w:jc w:val="both"/>
    </w:pPr>
    <w:rPr>
      <w:rFonts w:ascii="Arial" w:hAnsi="宋体" w:eastAsia="Arial" w:cs="Arial"/>
      <w:bCs/>
      <w:kern w:val="2"/>
      <w:sz w:val="24"/>
      <w:szCs w:val="24"/>
      <w:lang w:val="en-US" w:eastAsia="zh-CN" w:bidi="ar-SA"/>
    </w:rPr>
  </w:style>
  <w:style w:type="character" w:customStyle="1" w:styleId="87">
    <w:name w:val="标题 8 字符"/>
    <w:link w:val="13"/>
    <w:autoRedefine/>
    <w:qFormat/>
    <w:uiPriority w:val="99"/>
    <w:rPr>
      <w:rFonts w:ascii="Arial" w:hAnsi="Arial" w:eastAsia="黑体" w:cs="Times New Roman"/>
      <w:sz w:val="24"/>
      <w:szCs w:val="24"/>
    </w:rPr>
  </w:style>
  <w:style w:type="character" w:customStyle="1" w:styleId="88">
    <w:name w:val="标题 4 Char32"/>
    <w:autoRedefine/>
    <w:qFormat/>
    <w:uiPriority w:val="0"/>
    <w:rPr>
      <w:rFonts w:hint="default" w:ascii="Arial" w:hAnsi="Arial" w:eastAsia="黑体" w:cs="Arial"/>
      <w:b/>
      <w:kern w:val="2"/>
      <w:sz w:val="28"/>
      <w:szCs w:val="28"/>
    </w:rPr>
  </w:style>
  <w:style w:type="character" w:customStyle="1" w:styleId="89">
    <w:name w:val="标题 3 Char1"/>
    <w:autoRedefine/>
    <w:qFormat/>
    <w:uiPriority w:val="9"/>
    <w:rPr>
      <w:rFonts w:ascii="黑体" w:hAnsi="黑体" w:eastAsia="黑体"/>
      <w:kern w:val="2"/>
      <w:sz w:val="24"/>
      <w:szCs w:val="21"/>
    </w:rPr>
  </w:style>
  <w:style w:type="character" w:customStyle="1" w:styleId="90">
    <w:name w:val="标题 7 字符"/>
    <w:autoRedefine/>
    <w:semiHidden/>
    <w:qFormat/>
    <w:uiPriority w:val="9"/>
    <w:rPr>
      <w:b/>
      <w:bCs/>
      <w:sz w:val="24"/>
      <w:szCs w:val="24"/>
    </w:rPr>
  </w:style>
  <w:style w:type="character" w:customStyle="1" w:styleId="91">
    <w:name w:val="正文 楷体 Char"/>
    <w:link w:val="92"/>
    <w:autoRedefine/>
    <w:qFormat/>
    <w:uiPriority w:val="0"/>
    <w:rPr>
      <w:rFonts w:ascii="楷体_GB2312" w:hAnsi="楷体_GB2312" w:eastAsia="楷体_GB2312"/>
      <w:sz w:val="24"/>
      <w:szCs w:val="24"/>
    </w:rPr>
  </w:style>
  <w:style w:type="paragraph" w:customStyle="1" w:styleId="92">
    <w:name w:val="正文 楷体"/>
    <w:basedOn w:val="1"/>
    <w:link w:val="91"/>
    <w:autoRedefine/>
    <w:qFormat/>
    <w:uiPriority w:val="0"/>
    <w:pPr>
      <w:spacing w:line="500" w:lineRule="exact"/>
      <w:ind w:firstLine="200" w:firstLineChars="200"/>
    </w:pPr>
    <w:rPr>
      <w:rFonts w:ascii="楷体_GB2312" w:hAnsi="楷体_GB2312" w:eastAsia="楷体_GB2312"/>
      <w:kern w:val="0"/>
      <w:sz w:val="24"/>
      <w:szCs w:val="24"/>
    </w:rPr>
  </w:style>
  <w:style w:type="character" w:customStyle="1" w:styleId="93">
    <w:name w:val="正文文本缩进 字符1"/>
    <w:link w:val="3"/>
    <w:autoRedefine/>
    <w:qFormat/>
    <w:uiPriority w:val="99"/>
    <w:rPr>
      <w:rFonts w:ascii="Times New Roman" w:hAnsi="Times New Roman" w:eastAsia="宋体" w:cs="Times New Roman"/>
      <w:kern w:val="0"/>
      <w:sz w:val="20"/>
      <w:szCs w:val="24"/>
    </w:rPr>
  </w:style>
  <w:style w:type="character" w:customStyle="1" w:styleId="94">
    <w:name w:val="标题 2 字符1"/>
    <w:autoRedefine/>
    <w:qFormat/>
    <w:uiPriority w:val="9"/>
    <w:rPr>
      <w:rFonts w:ascii="宋体" w:hAnsi="宋体" w:eastAsia="黑体" w:cs="Times New Roman"/>
      <w:b/>
      <w:color w:val="000000"/>
      <w:kern w:val="10"/>
      <w:sz w:val="28"/>
      <w:szCs w:val="24"/>
      <w:lang w:val="zh-CN" w:eastAsia="zh-CN"/>
    </w:rPr>
  </w:style>
  <w:style w:type="character" w:customStyle="1" w:styleId="95">
    <w:name w:val="页脚 Char2"/>
    <w:autoRedefine/>
    <w:qFormat/>
    <w:uiPriority w:val="99"/>
    <w:rPr>
      <w:sz w:val="18"/>
      <w:szCs w:val="18"/>
    </w:rPr>
  </w:style>
  <w:style w:type="character" w:customStyle="1" w:styleId="96">
    <w:name w:val="纯文本 字符1"/>
    <w:link w:val="26"/>
    <w:autoRedefine/>
    <w:qFormat/>
    <w:uiPriority w:val="99"/>
    <w:rPr>
      <w:rFonts w:ascii="宋体" w:hAnsi="Courier New" w:eastAsia="宋体" w:cs="Times New Roman"/>
      <w:kern w:val="0"/>
      <w:sz w:val="24"/>
      <w:szCs w:val="20"/>
    </w:rPr>
  </w:style>
  <w:style w:type="character" w:customStyle="1" w:styleId="97">
    <w:name w:val="标题 3 Char"/>
    <w:autoRedefine/>
    <w:qFormat/>
    <w:uiPriority w:val="9"/>
    <w:rPr>
      <w:rFonts w:eastAsia="黑体"/>
      <w:b/>
      <w:bCs/>
      <w:kern w:val="2"/>
      <w:sz w:val="24"/>
      <w:szCs w:val="32"/>
    </w:rPr>
  </w:style>
  <w:style w:type="character" w:customStyle="1" w:styleId="98">
    <w:name w:val="标题 4 Char5"/>
    <w:autoRedefine/>
    <w:qFormat/>
    <w:uiPriority w:val="0"/>
    <w:rPr>
      <w:rFonts w:ascii="Arial" w:hAnsi="Arial" w:eastAsia="黑体" w:cs="Times New Roman"/>
      <w:b/>
      <w:bCs/>
      <w:kern w:val="0"/>
      <w:sz w:val="28"/>
      <w:szCs w:val="28"/>
      <w:lang w:val="zh-CN"/>
    </w:rPr>
  </w:style>
  <w:style w:type="character" w:customStyle="1" w:styleId="99">
    <w:name w:val="自标3 Char Char"/>
    <w:link w:val="100"/>
    <w:autoRedefine/>
    <w:qFormat/>
    <w:uiPriority w:val="0"/>
    <w:rPr>
      <w:rFonts w:eastAsia="黑体"/>
      <w:b/>
      <w:bCs/>
      <w:sz w:val="24"/>
      <w:szCs w:val="21"/>
    </w:rPr>
  </w:style>
  <w:style w:type="paragraph" w:customStyle="1" w:styleId="100">
    <w:name w:val="自标3"/>
    <w:basedOn w:val="8"/>
    <w:link w:val="99"/>
    <w:autoRedefine/>
    <w:qFormat/>
    <w:uiPriority w:val="0"/>
    <w:pPr>
      <w:keepNext/>
      <w:keepLines/>
      <w:numPr>
        <w:ilvl w:val="0"/>
        <w:numId w:val="0"/>
      </w:numPr>
      <w:spacing w:before="0" w:after="0"/>
      <w:jc w:val="both"/>
    </w:pPr>
    <w:rPr>
      <w:rFonts w:ascii="等线" w:hAnsi="等线"/>
      <w:b/>
      <w:bCs/>
      <w:kern w:val="0"/>
    </w:rPr>
  </w:style>
  <w:style w:type="character" w:customStyle="1" w:styleId="101">
    <w:name w:val="正文首行缩进 2 Char1"/>
    <w:autoRedefine/>
    <w:qFormat/>
    <w:uiPriority w:val="0"/>
    <w:rPr>
      <w:szCs w:val="24"/>
    </w:rPr>
  </w:style>
  <w:style w:type="character" w:customStyle="1" w:styleId="102">
    <w:name w:val="标题 9 Char"/>
    <w:autoRedefine/>
    <w:qFormat/>
    <w:uiPriority w:val="99"/>
    <w:rPr>
      <w:rFonts w:ascii="Arial" w:hAnsi="Arial" w:eastAsia="黑体" w:cs="Times New Roman"/>
      <w:szCs w:val="21"/>
    </w:rPr>
  </w:style>
  <w:style w:type="character" w:customStyle="1" w:styleId="103">
    <w:name w:val="纯文本 Char"/>
    <w:autoRedefine/>
    <w:qFormat/>
    <w:uiPriority w:val="0"/>
    <w:rPr>
      <w:rFonts w:hint="eastAsia" w:ascii="宋体" w:hAnsi="Courier New" w:eastAsia="宋体" w:cs="宋体"/>
      <w:sz w:val="24"/>
    </w:rPr>
  </w:style>
  <w:style w:type="character" w:customStyle="1" w:styleId="104">
    <w:name w:val="正文文本缩进 2 字符1"/>
    <w:link w:val="29"/>
    <w:autoRedefine/>
    <w:qFormat/>
    <w:uiPriority w:val="99"/>
    <w:rPr>
      <w:rFonts w:ascii="Times New Roman" w:hAnsi="Times New Roman" w:eastAsia="宋体" w:cs="Times New Roman"/>
      <w:kern w:val="0"/>
      <w:sz w:val="20"/>
      <w:szCs w:val="21"/>
    </w:rPr>
  </w:style>
  <w:style w:type="character" w:customStyle="1" w:styleId="105">
    <w:name w:val="font01"/>
    <w:autoRedefine/>
    <w:qFormat/>
    <w:uiPriority w:val="0"/>
    <w:rPr>
      <w:rFonts w:hint="eastAsia" w:ascii="宋体" w:hAnsi="宋体" w:eastAsia="宋体" w:cs="宋体"/>
      <w:color w:val="000000"/>
      <w:sz w:val="21"/>
      <w:szCs w:val="21"/>
      <w:u w:val="none"/>
    </w:rPr>
  </w:style>
  <w:style w:type="character" w:customStyle="1" w:styleId="106">
    <w:name w:val="标题 字符"/>
    <w:link w:val="49"/>
    <w:autoRedefine/>
    <w:qFormat/>
    <w:uiPriority w:val="99"/>
    <w:rPr>
      <w:rFonts w:ascii="Arial" w:hAnsi="Arial" w:eastAsia="宋体" w:cs="Times New Roman"/>
      <w:b/>
      <w:bCs/>
      <w:sz w:val="32"/>
      <w:szCs w:val="32"/>
    </w:rPr>
  </w:style>
  <w:style w:type="character" w:customStyle="1" w:styleId="107">
    <w:name w:val="正文的 Char"/>
    <w:link w:val="108"/>
    <w:autoRedefine/>
    <w:qFormat/>
    <w:uiPriority w:val="0"/>
    <w:rPr>
      <w:rFonts w:ascii="宋体" w:hAnsi="宋体"/>
      <w:snapToGrid/>
      <w:sz w:val="24"/>
      <w:szCs w:val="24"/>
    </w:rPr>
  </w:style>
  <w:style w:type="paragraph" w:customStyle="1" w:styleId="108">
    <w:name w:val="正文的"/>
    <w:basedOn w:val="1"/>
    <w:link w:val="107"/>
    <w:autoRedefine/>
    <w:qFormat/>
    <w:uiPriority w:val="0"/>
    <w:pPr>
      <w:adjustRightInd w:val="0"/>
      <w:snapToGrid w:val="0"/>
      <w:spacing w:line="360" w:lineRule="auto"/>
      <w:ind w:firstLine="480" w:firstLineChars="200"/>
    </w:pPr>
    <w:rPr>
      <w:rFonts w:ascii="宋体" w:hAnsi="宋体"/>
      <w:kern w:val="0"/>
      <w:sz w:val="24"/>
      <w:szCs w:val="24"/>
    </w:rPr>
  </w:style>
  <w:style w:type="character" w:customStyle="1" w:styleId="109">
    <w:name w:val="页脚 Char1"/>
    <w:autoRedefine/>
    <w:qFormat/>
    <w:uiPriority w:val="99"/>
    <w:rPr>
      <w:sz w:val="18"/>
      <w:szCs w:val="18"/>
    </w:rPr>
  </w:style>
  <w:style w:type="character" w:customStyle="1" w:styleId="110">
    <w:name w:val="批注主题 Char1"/>
    <w:autoRedefine/>
    <w:qFormat/>
    <w:uiPriority w:val="0"/>
    <w:rPr>
      <w:rFonts w:ascii="Calibri" w:hAnsi="Calibri"/>
      <w:b/>
      <w:bCs/>
      <w:szCs w:val="21"/>
    </w:rPr>
  </w:style>
  <w:style w:type="character" w:customStyle="1" w:styleId="111">
    <w:name w:val="YJ题注 Char"/>
    <w:link w:val="112"/>
    <w:autoRedefine/>
    <w:qFormat/>
    <w:uiPriority w:val="0"/>
    <w:rPr>
      <w:rFonts w:ascii="黑体" w:hAnsi="黑体" w:eastAsia="黑体"/>
      <w:color w:val="EE0000"/>
      <w:kern w:val="2"/>
      <w:sz w:val="21"/>
      <w:szCs w:val="22"/>
    </w:rPr>
  </w:style>
  <w:style w:type="paragraph" w:customStyle="1" w:styleId="112">
    <w:name w:val="YJ题注"/>
    <w:basedOn w:val="19"/>
    <w:link w:val="111"/>
    <w:autoRedefine/>
    <w:qFormat/>
    <w:uiPriority w:val="0"/>
    <w:pPr>
      <w:spacing w:line="520" w:lineRule="exact"/>
    </w:pPr>
    <w:rPr>
      <w:szCs w:val="22"/>
    </w:rPr>
  </w:style>
  <w:style w:type="character" w:customStyle="1" w:styleId="113">
    <w:name w:val="批注框文本 Char2"/>
    <w:autoRedefine/>
    <w:qFormat/>
    <w:uiPriority w:val="99"/>
    <w:rPr>
      <w:rFonts w:ascii="Times New Roman" w:hAnsi="Times New Roman" w:eastAsia="宋体" w:cs="Times New Roman"/>
      <w:kern w:val="0"/>
      <w:sz w:val="18"/>
      <w:szCs w:val="18"/>
    </w:rPr>
  </w:style>
  <w:style w:type="character" w:customStyle="1" w:styleId="114">
    <w:name w:val="正文文本缩进 3 字符"/>
    <w:autoRedefine/>
    <w:semiHidden/>
    <w:qFormat/>
    <w:uiPriority w:val="99"/>
    <w:rPr>
      <w:kern w:val="2"/>
      <w:sz w:val="16"/>
      <w:szCs w:val="16"/>
    </w:rPr>
  </w:style>
  <w:style w:type="character" w:customStyle="1" w:styleId="115">
    <w:name w:val="HTML 预设格式 字符1"/>
    <w:link w:val="46"/>
    <w:autoRedefine/>
    <w:qFormat/>
    <w:uiPriority w:val="0"/>
    <w:rPr>
      <w:rFonts w:ascii="黑体" w:hAnsi="Courier New" w:eastAsia="宋体" w:cs="Courier New"/>
      <w:b/>
      <w:bCs/>
      <w:sz w:val="44"/>
    </w:rPr>
  </w:style>
  <w:style w:type="character" w:customStyle="1" w:styleId="116">
    <w:name w:val="明显引用 字符1"/>
    <w:link w:val="117"/>
    <w:autoRedefine/>
    <w:qFormat/>
    <w:uiPriority w:val="30"/>
    <w:rPr>
      <w:rFonts w:ascii="Times New Roman" w:hAnsi="Times New Roman" w:eastAsia="宋体" w:cs="Times New Roman"/>
      <w:i/>
      <w:iCs/>
      <w:color w:val="4F81BD"/>
      <w:sz w:val="24"/>
    </w:rPr>
  </w:style>
  <w:style w:type="paragraph" w:customStyle="1" w:styleId="117">
    <w:name w:val="明显引用2"/>
    <w:basedOn w:val="1"/>
    <w:next w:val="1"/>
    <w:link w:val="116"/>
    <w:autoRedefine/>
    <w:qFormat/>
    <w:uiPriority w:val="30"/>
    <w:pPr>
      <w:pBdr>
        <w:top w:val="single" w:color="4F81BD" w:sz="4" w:space="10"/>
        <w:bottom w:val="single" w:color="4F81BD" w:sz="4" w:space="10"/>
      </w:pBdr>
      <w:spacing w:before="360" w:after="360" w:line="500" w:lineRule="exact"/>
      <w:ind w:left="864" w:right="864" w:firstLine="200" w:firstLineChars="200"/>
      <w:jc w:val="center"/>
    </w:pPr>
    <w:rPr>
      <w:rFonts w:ascii="Times New Roman" w:hAnsi="Times New Roman"/>
      <w:i/>
      <w:iCs/>
      <w:color w:val="4F81BD"/>
      <w:kern w:val="0"/>
      <w:sz w:val="24"/>
      <w:szCs w:val="20"/>
    </w:rPr>
  </w:style>
  <w:style w:type="character" w:customStyle="1" w:styleId="118">
    <w:name w:val="MTDisplayEquation 字符"/>
    <w:link w:val="119"/>
    <w:autoRedefine/>
    <w:qFormat/>
    <w:uiPriority w:val="0"/>
    <w:rPr>
      <w:rFonts w:ascii="Arial" w:hAnsi="Arial" w:eastAsia="宋体" w:cs="Times New Roman"/>
      <w:snapToGrid/>
      <w:spacing w:val="1"/>
      <w:position w:val="-3"/>
      <w:sz w:val="24"/>
      <w:szCs w:val="24"/>
      <w:lang w:val="zh-CN"/>
    </w:rPr>
  </w:style>
  <w:style w:type="paragraph" w:customStyle="1" w:styleId="119">
    <w:name w:val="MTDisplayEquation"/>
    <w:basedOn w:val="120"/>
    <w:next w:val="1"/>
    <w:link w:val="118"/>
    <w:autoRedefine/>
    <w:qFormat/>
    <w:uiPriority w:val="0"/>
    <w:pPr>
      <w:tabs>
        <w:tab w:val="center" w:pos="4360"/>
        <w:tab w:val="right" w:pos="8720"/>
      </w:tabs>
      <w:ind w:firstLine="484"/>
      <w:jc w:val="center"/>
    </w:pPr>
    <w:rPr>
      <w:rFonts w:ascii="Arial" w:hAnsi="Arial"/>
      <w:spacing w:val="1"/>
      <w:kern w:val="0"/>
      <w:position w:val="-3"/>
    </w:rPr>
  </w:style>
  <w:style w:type="paragraph" w:customStyle="1" w:styleId="120">
    <w:name w:val="YJ正文*"/>
    <w:basedOn w:val="1"/>
    <w:link w:val="235"/>
    <w:qFormat/>
    <w:uiPriority w:val="0"/>
    <w:pPr>
      <w:spacing w:line="500" w:lineRule="exact"/>
      <w:ind w:firstLine="480" w:firstLineChars="200"/>
    </w:pPr>
    <w:rPr>
      <w:rFonts w:ascii="宋体" w:hAnsi="宋体"/>
      <w:color w:val="EE0000"/>
      <w:sz w:val="24"/>
      <w:szCs w:val="24"/>
      <w:lang w:val="zh-CN"/>
    </w:rPr>
  </w:style>
  <w:style w:type="character" w:customStyle="1" w:styleId="121">
    <w:name w:val="标题 7 字符1"/>
    <w:link w:val="12"/>
    <w:autoRedefine/>
    <w:qFormat/>
    <w:uiPriority w:val="9"/>
    <w:rPr>
      <w:rFonts w:ascii="Times New Roman" w:hAnsi="Times New Roman" w:eastAsia="宋体" w:cs="Times New Roman"/>
      <w:b/>
      <w:bCs/>
      <w:kern w:val="0"/>
      <w:sz w:val="24"/>
      <w:szCs w:val="24"/>
    </w:rPr>
  </w:style>
  <w:style w:type="character" w:customStyle="1" w:styleId="122">
    <w:name w:val="正文文本 Char2"/>
    <w:autoRedefine/>
    <w:qFormat/>
    <w:uiPriority w:val="99"/>
  </w:style>
  <w:style w:type="character" w:customStyle="1" w:styleId="123">
    <w:name w:val="正文文本缩进 2 Char"/>
    <w:autoRedefine/>
    <w:qFormat/>
    <w:uiPriority w:val="0"/>
    <w:rPr>
      <w:rFonts w:ascii="Times New Roman" w:hAnsi="Times New Roman"/>
      <w:kern w:val="2"/>
      <w:sz w:val="21"/>
      <w:szCs w:val="21"/>
    </w:rPr>
  </w:style>
  <w:style w:type="character" w:customStyle="1" w:styleId="124">
    <w:name w:val="环评正文 Char"/>
    <w:link w:val="125"/>
    <w:autoRedefine/>
    <w:qFormat/>
    <w:uiPriority w:val="0"/>
    <w:rPr>
      <w:bCs/>
      <w:kern w:val="2"/>
      <w:sz w:val="24"/>
      <w:szCs w:val="24"/>
      <w:lang w:val="en-US" w:eastAsia="zh-CN" w:bidi="ar-SA"/>
    </w:rPr>
  </w:style>
  <w:style w:type="paragraph" w:customStyle="1" w:styleId="125">
    <w:name w:val="环评正文"/>
    <w:link w:val="124"/>
    <w:autoRedefine/>
    <w:qFormat/>
    <w:uiPriority w:val="0"/>
    <w:pPr>
      <w:spacing w:line="400" w:lineRule="exact"/>
      <w:ind w:firstLine="200" w:firstLineChars="200"/>
    </w:pPr>
    <w:rPr>
      <w:rFonts w:ascii="Calibri" w:hAnsi="Calibri" w:eastAsia="宋体" w:cs="Times New Roman"/>
      <w:bCs/>
      <w:kern w:val="2"/>
      <w:sz w:val="24"/>
      <w:szCs w:val="24"/>
      <w:lang w:val="en-US" w:eastAsia="zh-CN" w:bidi="ar-SA"/>
    </w:rPr>
  </w:style>
  <w:style w:type="character" w:customStyle="1" w:styleId="126">
    <w:name w:val="标题 7 Char1"/>
    <w:autoRedefine/>
    <w:qFormat/>
    <w:uiPriority w:val="9"/>
    <w:rPr>
      <w:rFonts w:cs="Times New Roman"/>
      <w:bCs/>
      <w:color w:val="auto"/>
      <w:sz w:val="20"/>
      <w:szCs w:val="20"/>
      <w:lang w:val="zh-CN" w:eastAsia="zh-CN"/>
    </w:rPr>
  </w:style>
  <w:style w:type="character" w:customStyle="1" w:styleId="127">
    <w:name w:val="标题 6 字符1"/>
    <w:link w:val="11"/>
    <w:autoRedefine/>
    <w:qFormat/>
    <w:uiPriority w:val="9"/>
    <w:rPr>
      <w:rFonts w:ascii="Cambria" w:hAnsi="Cambria" w:eastAsia="宋体" w:cs="Times New Roman"/>
      <w:b/>
      <w:bCs/>
      <w:kern w:val="0"/>
      <w:sz w:val="24"/>
      <w:szCs w:val="24"/>
    </w:rPr>
  </w:style>
  <w:style w:type="character" w:customStyle="1" w:styleId="128">
    <w:name w:val="标题 4 Char1"/>
    <w:autoRedefine/>
    <w:qFormat/>
    <w:uiPriority w:val="0"/>
    <w:rPr>
      <w:rFonts w:ascii="Arial" w:hAnsi="Arial" w:eastAsia="黑体"/>
      <w:b/>
      <w:bCs/>
      <w:kern w:val="2"/>
      <w:sz w:val="28"/>
      <w:szCs w:val="28"/>
    </w:rPr>
  </w:style>
  <w:style w:type="character" w:customStyle="1" w:styleId="129">
    <w:name w:val="占位符文本1"/>
    <w:autoRedefine/>
    <w:unhideWhenUsed/>
    <w:qFormat/>
    <w:uiPriority w:val="99"/>
    <w:rPr>
      <w:color w:val="808080"/>
    </w:rPr>
  </w:style>
  <w:style w:type="character" w:customStyle="1" w:styleId="130">
    <w:name w:val="表格正文 Char Char"/>
    <w:link w:val="131"/>
    <w:autoRedefine/>
    <w:qFormat/>
    <w:uiPriority w:val="0"/>
    <w:rPr>
      <w:rFonts w:ascii="宋体" w:hAnsi="宋体"/>
      <w:sz w:val="24"/>
      <w:szCs w:val="28"/>
    </w:rPr>
  </w:style>
  <w:style w:type="paragraph" w:customStyle="1" w:styleId="131">
    <w:name w:val="表格正文"/>
    <w:basedOn w:val="1"/>
    <w:link w:val="130"/>
    <w:autoRedefine/>
    <w:qFormat/>
    <w:uiPriority w:val="0"/>
    <w:rPr>
      <w:rFonts w:ascii="宋体" w:hAnsi="宋体"/>
      <w:kern w:val="0"/>
      <w:sz w:val="24"/>
      <w:szCs w:val="28"/>
    </w:rPr>
  </w:style>
  <w:style w:type="character" w:customStyle="1" w:styleId="132">
    <w:name w:val="正文格式 Char Char"/>
    <w:link w:val="133"/>
    <w:autoRedefine/>
    <w:qFormat/>
    <w:uiPriority w:val="0"/>
    <w:rPr>
      <w:sz w:val="26"/>
    </w:rPr>
  </w:style>
  <w:style w:type="paragraph" w:customStyle="1" w:styleId="133">
    <w:name w:val="正文格式"/>
    <w:basedOn w:val="1"/>
    <w:link w:val="132"/>
    <w:autoRedefine/>
    <w:qFormat/>
    <w:uiPriority w:val="0"/>
    <w:pPr>
      <w:spacing w:line="520" w:lineRule="exact"/>
      <w:ind w:firstLine="520" w:firstLineChars="200"/>
    </w:pPr>
    <w:rPr>
      <w:kern w:val="0"/>
      <w:sz w:val="26"/>
      <w:szCs w:val="20"/>
    </w:rPr>
  </w:style>
  <w:style w:type="character" w:customStyle="1" w:styleId="134">
    <w:name w:val="未处理的提及1"/>
    <w:autoRedefine/>
    <w:unhideWhenUsed/>
    <w:qFormat/>
    <w:uiPriority w:val="99"/>
    <w:rPr>
      <w:color w:val="605E5C"/>
      <w:shd w:val="clear" w:color="auto" w:fill="E1DFDD"/>
    </w:rPr>
  </w:style>
  <w:style w:type="character" w:customStyle="1" w:styleId="135">
    <w:name w:val="标题 9 字符"/>
    <w:link w:val="14"/>
    <w:autoRedefine/>
    <w:qFormat/>
    <w:uiPriority w:val="99"/>
    <w:rPr>
      <w:rFonts w:ascii="Arial" w:hAnsi="Arial" w:eastAsia="黑体" w:cs="Times New Roman"/>
      <w:szCs w:val="21"/>
    </w:rPr>
  </w:style>
  <w:style w:type="character" w:customStyle="1" w:styleId="136">
    <w:name w:val="标题 Char"/>
    <w:autoRedefine/>
    <w:qFormat/>
    <w:uiPriority w:val="99"/>
    <w:rPr>
      <w:rFonts w:ascii="Arial" w:hAnsi="Arial" w:eastAsia="宋体" w:cs="Times New Roman"/>
      <w:b/>
      <w:bCs/>
      <w:sz w:val="32"/>
      <w:szCs w:val="32"/>
    </w:rPr>
  </w:style>
  <w:style w:type="character" w:customStyle="1" w:styleId="137">
    <w:name w:val="_Style 5"/>
    <w:autoRedefine/>
    <w:qFormat/>
    <w:uiPriority w:val="0"/>
  </w:style>
  <w:style w:type="character" w:customStyle="1" w:styleId="138">
    <w:name w:val="页眉 字符1"/>
    <w:autoRedefine/>
    <w:semiHidden/>
    <w:qFormat/>
    <w:uiPriority w:val="99"/>
    <w:rPr>
      <w:bCs/>
      <w:kern w:val="2"/>
      <w:sz w:val="18"/>
      <w:szCs w:val="18"/>
    </w:rPr>
  </w:style>
  <w:style w:type="character" w:customStyle="1" w:styleId="139">
    <w:name w:val="正文首行缩进 2 Char4"/>
    <w:autoRedefine/>
    <w:qFormat/>
    <w:uiPriority w:val="0"/>
    <w:rPr>
      <w:rFonts w:eastAsia="宋体"/>
      <w:kern w:val="2"/>
      <w:sz w:val="24"/>
      <w:szCs w:val="24"/>
      <w:lang w:val="en-US" w:eastAsia="zh-CN" w:bidi="ar-SA"/>
    </w:rPr>
  </w:style>
  <w:style w:type="character" w:customStyle="1" w:styleId="140">
    <w:name w:val="标题 6 Char1"/>
    <w:autoRedefine/>
    <w:qFormat/>
    <w:uiPriority w:val="9"/>
    <w:rPr>
      <w:rFonts w:ascii="Cambria" w:hAnsi="Cambria" w:cs="Times New Roman"/>
      <w:bCs/>
      <w:color w:val="auto"/>
      <w:sz w:val="20"/>
      <w:szCs w:val="20"/>
      <w:lang w:val="zh-CN" w:eastAsia="zh-CN"/>
    </w:rPr>
  </w:style>
  <w:style w:type="character" w:customStyle="1" w:styleId="141">
    <w:name w:val="0 Char"/>
    <w:link w:val="142"/>
    <w:autoRedefine/>
    <w:semiHidden/>
    <w:qFormat/>
    <w:uiPriority w:val="0"/>
    <w:rPr>
      <w:rFonts w:ascii="Calibri" w:hAnsi="Calibri" w:eastAsia="宋体" w:cs="Times New Roman"/>
      <w:kern w:val="0"/>
      <w:sz w:val="24"/>
      <w:szCs w:val="20"/>
      <w:lang w:val="zh-CN"/>
    </w:rPr>
  </w:style>
  <w:style w:type="paragraph" w:customStyle="1" w:styleId="142">
    <w:name w:val="0"/>
    <w:basedOn w:val="1"/>
    <w:link w:val="141"/>
    <w:autoRedefine/>
    <w:semiHidden/>
    <w:qFormat/>
    <w:uiPriority w:val="0"/>
    <w:pPr>
      <w:widowControl/>
      <w:snapToGrid w:val="0"/>
      <w:jc w:val="left"/>
    </w:pPr>
    <w:rPr>
      <w:kern w:val="0"/>
      <w:sz w:val="24"/>
      <w:szCs w:val="20"/>
      <w:lang w:val="zh-CN"/>
    </w:rPr>
  </w:style>
  <w:style w:type="character" w:customStyle="1" w:styleId="143">
    <w:name w:val="正文文本 2 Char"/>
    <w:autoRedefine/>
    <w:qFormat/>
    <w:uiPriority w:val="99"/>
    <w:rPr>
      <w:rFonts w:ascii="Times New Roman" w:hAnsi="Times New Roman" w:eastAsia="宋体" w:cs="Times New Roman"/>
      <w:szCs w:val="21"/>
    </w:rPr>
  </w:style>
  <w:style w:type="character" w:customStyle="1" w:styleId="144">
    <w:name w:val="标题 5 Char2"/>
    <w:autoRedefine/>
    <w:qFormat/>
    <w:uiPriority w:val="9"/>
    <w:rPr>
      <w:rFonts w:ascii="Times New Roman" w:hAnsi="Times New Roman" w:eastAsia="宋体" w:cs="Times New Roman"/>
      <w:b/>
      <w:bCs/>
      <w:kern w:val="0"/>
      <w:sz w:val="28"/>
      <w:szCs w:val="28"/>
    </w:rPr>
  </w:style>
  <w:style w:type="character" w:customStyle="1" w:styleId="145">
    <w:name w:val="正文01 Char"/>
    <w:link w:val="146"/>
    <w:autoRedefine/>
    <w:qFormat/>
    <w:locked/>
    <w:uiPriority w:val="0"/>
    <w:rPr>
      <w:rFonts w:ascii="Times New Roman" w:hAnsi="Times New Roman" w:eastAsia="宋体"/>
      <w:bCs/>
      <w:sz w:val="24"/>
      <w:szCs w:val="24"/>
    </w:rPr>
  </w:style>
  <w:style w:type="paragraph" w:customStyle="1" w:styleId="146">
    <w:name w:val="正文01"/>
    <w:basedOn w:val="1"/>
    <w:link w:val="145"/>
    <w:autoRedefine/>
    <w:qFormat/>
    <w:uiPriority w:val="0"/>
    <w:pPr>
      <w:spacing w:before="60" w:line="460" w:lineRule="exact"/>
      <w:ind w:firstLine="200" w:firstLineChars="200"/>
    </w:pPr>
    <w:rPr>
      <w:rFonts w:ascii="Times New Roman" w:hAnsi="Times New Roman"/>
      <w:bCs/>
      <w:kern w:val="0"/>
      <w:sz w:val="24"/>
      <w:szCs w:val="24"/>
    </w:rPr>
  </w:style>
  <w:style w:type="character" w:customStyle="1" w:styleId="147">
    <w:name w:val="样式3 字符"/>
    <w:link w:val="148"/>
    <w:autoRedefine/>
    <w:qFormat/>
    <w:uiPriority w:val="0"/>
    <w:rPr>
      <w:rFonts w:ascii="宋体" w:hAnsi="宋体" w:cs="Arial"/>
      <w:b/>
      <w:bCs/>
      <w:sz w:val="24"/>
      <w:szCs w:val="24"/>
    </w:rPr>
  </w:style>
  <w:style w:type="paragraph" w:customStyle="1" w:styleId="148">
    <w:name w:val="样式3"/>
    <w:basedOn w:val="1"/>
    <w:link w:val="147"/>
    <w:autoRedefine/>
    <w:qFormat/>
    <w:uiPriority w:val="0"/>
    <w:pPr>
      <w:spacing w:line="500" w:lineRule="exact"/>
      <w:ind w:firstLine="200" w:firstLineChars="200"/>
    </w:pPr>
    <w:rPr>
      <w:rFonts w:ascii="宋体" w:hAnsi="宋体" w:cs="Arial"/>
      <w:b/>
      <w:bCs/>
      <w:kern w:val="0"/>
      <w:sz w:val="24"/>
      <w:szCs w:val="24"/>
    </w:rPr>
  </w:style>
  <w:style w:type="character" w:customStyle="1" w:styleId="149">
    <w:name w:val="10"/>
    <w:autoRedefine/>
    <w:qFormat/>
    <w:uiPriority w:val="0"/>
    <w:rPr>
      <w:rFonts w:hint="default" w:ascii="Calibri" w:hAnsi="Calibri" w:cs="Calibri"/>
    </w:rPr>
  </w:style>
  <w:style w:type="character" w:customStyle="1" w:styleId="150">
    <w:name w:val="文档结构图 Char1"/>
    <w:autoRedefine/>
    <w:qFormat/>
    <w:uiPriority w:val="0"/>
    <w:rPr>
      <w:rFonts w:ascii="宋体" w:eastAsia="宋体"/>
      <w:sz w:val="18"/>
      <w:szCs w:val="18"/>
    </w:rPr>
  </w:style>
  <w:style w:type="character" w:customStyle="1" w:styleId="151">
    <w:name w:val="标题 4 Char4"/>
    <w:autoRedefine/>
    <w:qFormat/>
    <w:uiPriority w:val="0"/>
    <w:rPr>
      <w:rFonts w:ascii="仿宋_GB2312" w:hAnsi="Arial" w:eastAsia="仿宋_GB2312" w:cs="Times New Roman"/>
      <w:bCs/>
      <w:kern w:val="0"/>
      <w:sz w:val="28"/>
      <w:szCs w:val="28"/>
    </w:rPr>
  </w:style>
  <w:style w:type="character" w:customStyle="1" w:styleId="152">
    <w:name w:val="正文(首行缩进) Char"/>
    <w:link w:val="153"/>
    <w:autoRedefine/>
    <w:qFormat/>
    <w:locked/>
    <w:uiPriority w:val="0"/>
    <w:rPr>
      <w:rFonts w:ascii="Times New Roman" w:hAnsi="Times New Roman" w:eastAsia="宋体"/>
      <w:snapToGrid/>
      <w:color w:val="000000"/>
      <w:sz w:val="24"/>
      <w:szCs w:val="21"/>
    </w:rPr>
  </w:style>
  <w:style w:type="paragraph" w:customStyle="1" w:styleId="153">
    <w:name w:val="正文(首行缩进)"/>
    <w:basedOn w:val="1"/>
    <w:next w:val="1"/>
    <w:link w:val="152"/>
    <w:autoRedefine/>
    <w:qFormat/>
    <w:uiPriority w:val="0"/>
    <w:pPr>
      <w:spacing w:line="360" w:lineRule="auto"/>
      <w:ind w:firstLine="540" w:firstLineChars="225"/>
    </w:pPr>
    <w:rPr>
      <w:rFonts w:ascii="Times New Roman" w:hAnsi="Times New Roman"/>
      <w:color w:val="000000"/>
      <w:kern w:val="0"/>
      <w:sz w:val="24"/>
      <w:szCs w:val="21"/>
    </w:rPr>
  </w:style>
  <w:style w:type="character" w:customStyle="1" w:styleId="154">
    <w:name w:val="A-z正文 Char"/>
    <w:link w:val="155"/>
    <w:autoRedefine/>
    <w:qFormat/>
    <w:uiPriority w:val="0"/>
    <w:rPr>
      <w:rFonts w:ascii="Times New Roman" w:hAnsi="Times New Roman" w:cs="宋体"/>
      <w:kern w:val="2"/>
      <w:sz w:val="24"/>
    </w:rPr>
  </w:style>
  <w:style w:type="paragraph" w:customStyle="1" w:styleId="155">
    <w:name w:val="A-z正文"/>
    <w:basedOn w:val="1"/>
    <w:link w:val="154"/>
    <w:autoRedefine/>
    <w:qFormat/>
    <w:uiPriority w:val="0"/>
    <w:pPr>
      <w:spacing w:line="360" w:lineRule="auto"/>
      <w:ind w:firstLine="200" w:firstLineChars="200"/>
    </w:pPr>
    <w:rPr>
      <w:rFonts w:ascii="Times New Roman" w:hAnsi="Times New Roman"/>
      <w:sz w:val="24"/>
      <w:szCs w:val="20"/>
    </w:rPr>
  </w:style>
  <w:style w:type="character" w:customStyle="1" w:styleId="156">
    <w:name w:val="标题 3 字符"/>
    <w:link w:val="8"/>
    <w:autoRedefine/>
    <w:qFormat/>
    <w:uiPriority w:val="9"/>
    <w:rPr>
      <w:rFonts w:ascii="黑体" w:hAnsi="黑体" w:eastAsia="黑体"/>
      <w:kern w:val="2"/>
      <w:sz w:val="24"/>
      <w:szCs w:val="21"/>
    </w:rPr>
  </w:style>
  <w:style w:type="character" w:customStyle="1" w:styleId="157">
    <w:name w:val="批注框文本 字符"/>
    <w:link w:val="30"/>
    <w:autoRedefine/>
    <w:qFormat/>
    <w:uiPriority w:val="0"/>
    <w:rPr>
      <w:sz w:val="18"/>
      <w:szCs w:val="18"/>
    </w:rPr>
  </w:style>
  <w:style w:type="character" w:customStyle="1" w:styleId="158">
    <w:name w:val="报告书正文 Char"/>
    <w:link w:val="159"/>
    <w:autoRedefine/>
    <w:qFormat/>
    <w:uiPriority w:val="0"/>
    <w:rPr>
      <w:rFonts w:ascii="Times New Roman" w:hAnsi="Times New Roman" w:eastAsia="宋体" w:cs="Times New Roman"/>
      <w:sz w:val="24"/>
      <w:szCs w:val="20"/>
      <w:lang w:val="zh-CN"/>
    </w:rPr>
  </w:style>
  <w:style w:type="paragraph" w:customStyle="1" w:styleId="159">
    <w:name w:val="报告书正文"/>
    <w:basedOn w:val="1"/>
    <w:link w:val="158"/>
    <w:autoRedefine/>
    <w:qFormat/>
    <w:uiPriority w:val="0"/>
    <w:pPr>
      <w:spacing w:line="360" w:lineRule="auto"/>
    </w:pPr>
    <w:rPr>
      <w:rFonts w:ascii="Times New Roman" w:hAnsi="Times New Roman"/>
      <w:kern w:val="0"/>
      <w:sz w:val="24"/>
      <w:szCs w:val="20"/>
      <w:lang w:val="zh-CN"/>
    </w:rPr>
  </w:style>
  <w:style w:type="character" w:customStyle="1" w:styleId="160">
    <w:name w:val="15"/>
    <w:autoRedefine/>
    <w:qFormat/>
    <w:uiPriority w:val="0"/>
    <w:rPr>
      <w:rFonts w:hint="default" w:ascii="Calibri" w:hAnsi="Calibri" w:cs="Calibri"/>
      <w:color w:val="0000FF"/>
      <w:u w:val="single"/>
    </w:rPr>
  </w:style>
  <w:style w:type="character" w:customStyle="1" w:styleId="161">
    <w:name w:val="标题 2 Char"/>
    <w:autoRedefine/>
    <w:qFormat/>
    <w:uiPriority w:val="9"/>
    <w:rPr>
      <w:rFonts w:ascii="宋体" w:hAnsi="宋体" w:eastAsia="黑体"/>
      <w:b/>
      <w:color w:val="000000"/>
      <w:kern w:val="10"/>
      <w:sz w:val="28"/>
      <w:szCs w:val="24"/>
    </w:rPr>
  </w:style>
  <w:style w:type="character" w:customStyle="1" w:styleId="162">
    <w:name w:val="标题 4 Char"/>
    <w:autoRedefine/>
    <w:qFormat/>
    <w:uiPriority w:val="9"/>
    <w:rPr>
      <w:rFonts w:ascii="Cambria" w:hAnsi="Cambria" w:eastAsia="宋体" w:cs="Times New Roman"/>
      <w:b/>
      <w:bCs/>
      <w:kern w:val="2"/>
      <w:sz w:val="28"/>
      <w:szCs w:val="28"/>
    </w:rPr>
  </w:style>
  <w:style w:type="character" w:customStyle="1" w:styleId="163">
    <w:name w:val="font61"/>
    <w:autoRedefine/>
    <w:qFormat/>
    <w:uiPriority w:val="0"/>
    <w:rPr>
      <w:rFonts w:hint="eastAsia" w:ascii="宋体" w:hAnsi="宋体" w:eastAsia="宋体" w:cs="宋体"/>
      <w:color w:val="000000"/>
      <w:sz w:val="21"/>
      <w:szCs w:val="21"/>
      <w:u w:val="none"/>
      <w:vertAlign w:val="superscript"/>
    </w:rPr>
  </w:style>
  <w:style w:type="character" w:customStyle="1" w:styleId="164">
    <w:name w:val="寇 字符"/>
    <w:link w:val="165"/>
    <w:autoRedefine/>
    <w:qFormat/>
    <w:uiPriority w:val="0"/>
    <w:rPr>
      <w:rFonts w:ascii="宋体" w:hAnsi="宋体" w:eastAsia="宋体" w:cs="Times New Roman"/>
      <w:color w:val="FF0000"/>
      <w:kern w:val="2"/>
      <w:sz w:val="24"/>
      <w:szCs w:val="24"/>
    </w:rPr>
  </w:style>
  <w:style w:type="paragraph" w:customStyle="1" w:styleId="165">
    <w:name w:val="寇"/>
    <w:basedOn w:val="120"/>
    <w:link w:val="164"/>
    <w:autoRedefine/>
    <w:qFormat/>
    <w:uiPriority w:val="0"/>
    <w:rPr>
      <w:color w:val="FF0000"/>
    </w:rPr>
  </w:style>
  <w:style w:type="character" w:customStyle="1" w:styleId="166">
    <w:name w:val="题注 字符1"/>
    <w:autoRedefine/>
    <w:qFormat/>
    <w:uiPriority w:val="99"/>
    <w:rPr>
      <w:rFonts w:ascii="黑体" w:hAnsi="黑体" w:eastAsia="黑体"/>
      <w:kern w:val="2"/>
      <w:sz w:val="21"/>
    </w:rPr>
  </w:style>
  <w:style w:type="character" w:customStyle="1" w:styleId="167">
    <w:name w:val="标题 4 Char31"/>
    <w:autoRedefine/>
    <w:qFormat/>
    <w:uiPriority w:val="0"/>
    <w:rPr>
      <w:rFonts w:ascii="Arial" w:hAnsi="Arial" w:eastAsia="黑体" w:cs="Arial"/>
      <w:b/>
      <w:kern w:val="2"/>
      <w:sz w:val="28"/>
      <w:szCs w:val="28"/>
    </w:rPr>
  </w:style>
  <w:style w:type="character" w:customStyle="1" w:styleId="168">
    <w:name w:val="书籍标题1"/>
    <w:autoRedefine/>
    <w:qFormat/>
    <w:uiPriority w:val="33"/>
    <w:rPr>
      <w:b/>
      <w:bCs/>
      <w:i/>
      <w:iCs/>
      <w:spacing w:val="5"/>
    </w:rPr>
  </w:style>
  <w:style w:type="character" w:customStyle="1" w:styleId="169">
    <w:name w:val="font51"/>
    <w:autoRedefine/>
    <w:qFormat/>
    <w:uiPriority w:val="0"/>
    <w:rPr>
      <w:rFonts w:hint="eastAsia" w:ascii="宋体" w:hAnsi="宋体" w:eastAsia="宋体" w:cs="宋体"/>
      <w:color w:val="000000"/>
      <w:sz w:val="21"/>
      <w:szCs w:val="21"/>
      <w:u w:val="none"/>
    </w:rPr>
  </w:style>
  <w:style w:type="character" w:customStyle="1" w:styleId="170">
    <w:name w:val="批注文字 Char1"/>
    <w:autoRedefine/>
    <w:qFormat/>
    <w:uiPriority w:val="0"/>
    <w:rPr>
      <w:rFonts w:ascii="Calibri" w:hAnsi="Calibri"/>
      <w:szCs w:val="21"/>
    </w:rPr>
  </w:style>
  <w:style w:type="character" w:customStyle="1" w:styleId="171">
    <w:name w:val="标题 1 Char2"/>
    <w:autoRedefine/>
    <w:qFormat/>
    <w:uiPriority w:val="9"/>
    <w:rPr>
      <w:rFonts w:ascii="Times New Roman" w:hAnsi="Times New Roman" w:eastAsia="黑体" w:cs="Arial"/>
      <w:sz w:val="32"/>
      <w:szCs w:val="20"/>
    </w:rPr>
  </w:style>
  <w:style w:type="character" w:customStyle="1" w:styleId="172">
    <w:name w:val="标题 2 Char1"/>
    <w:autoRedefine/>
    <w:qFormat/>
    <w:uiPriority w:val="9"/>
    <w:rPr>
      <w:rFonts w:ascii="黑体" w:hAnsi="黑体" w:eastAsia="黑体"/>
      <w:bCs/>
      <w:kern w:val="2"/>
      <w:sz w:val="28"/>
      <w:szCs w:val="32"/>
    </w:rPr>
  </w:style>
  <w:style w:type="character" w:customStyle="1" w:styleId="173">
    <w:name w:val="5 表字-书 字符"/>
    <w:link w:val="174"/>
    <w:autoRedefine/>
    <w:qFormat/>
    <w:uiPriority w:val="0"/>
    <w:rPr>
      <w:rFonts w:hAnsi="宋体" w:eastAsia="宋体"/>
      <w:sz w:val="21"/>
      <w:szCs w:val="21"/>
    </w:rPr>
  </w:style>
  <w:style w:type="paragraph" w:customStyle="1" w:styleId="174">
    <w:name w:val="5 表字-书"/>
    <w:basedOn w:val="1"/>
    <w:link w:val="173"/>
    <w:autoRedefine/>
    <w:qFormat/>
    <w:uiPriority w:val="0"/>
    <w:pPr>
      <w:spacing w:line="300" w:lineRule="atLeast"/>
      <w:jc w:val="center"/>
      <w:textAlignment w:val="center"/>
    </w:pPr>
    <w:rPr>
      <w:rFonts w:hAnsi="宋体"/>
      <w:kern w:val="0"/>
      <w:szCs w:val="21"/>
    </w:rPr>
  </w:style>
  <w:style w:type="character" w:customStyle="1" w:styleId="175">
    <w:name w:val="批注文字 字符1"/>
    <w:autoRedefine/>
    <w:qFormat/>
    <w:uiPriority w:val="0"/>
    <w:rPr>
      <w:rFonts w:ascii="Times New Roman" w:hAnsi="Times New Roman" w:eastAsia="宋体" w:cs="Times New Roman"/>
      <w:szCs w:val="21"/>
    </w:rPr>
  </w:style>
  <w:style w:type="character" w:customStyle="1" w:styleId="176">
    <w:name w:val="页眉 Char1"/>
    <w:autoRedefine/>
    <w:qFormat/>
    <w:uiPriority w:val="99"/>
    <w:rPr>
      <w:sz w:val="18"/>
      <w:szCs w:val="18"/>
    </w:rPr>
  </w:style>
  <w:style w:type="character" w:customStyle="1" w:styleId="177">
    <w:name w:val="正文楷体 Char"/>
    <w:link w:val="178"/>
    <w:autoRedefine/>
    <w:qFormat/>
    <w:uiPriority w:val="0"/>
    <w:rPr>
      <w:rFonts w:hAnsi="宋体"/>
      <w:sz w:val="24"/>
      <w:szCs w:val="24"/>
    </w:rPr>
  </w:style>
  <w:style w:type="paragraph" w:customStyle="1" w:styleId="178">
    <w:name w:val="正文楷体"/>
    <w:basedOn w:val="1"/>
    <w:link w:val="177"/>
    <w:autoRedefine/>
    <w:qFormat/>
    <w:uiPriority w:val="0"/>
    <w:pPr>
      <w:spacing w:line="360" w:lineRule="auto"/>
      <w:ind w:firstLine="480" w:firstLineChars="200"/>
    </w:pPr>
    <w:rPr>
      <w:rFonts w:hAnsi="宋体"/>
      <w:kern w:val="0"/>
      <w:sz w:val="24"/>
      <w:szCs w:val="24"/>
    </w:rPr>
  </w:style>
  <w:style w:type="character" w:customStyle="1" w:styleId="179">
    <w:name w:val="明显引用 字符"/>
    <w:autoRedefine/>
    <w:qFormat/>
    <w:uiPriority w:val="30"/>
    <w:rPr>
      <w:i/>
      <w:iCs/>
      <w:color w:val="4F81BD"/>
    </w:rPr>
  </w:style>
  <w:style w:type="character" w:customStyle="1" w:styleId="180">
    <w:name w:val="正文文本 字符"/>
    <w:link w:val="5"/>
    <w:autoRedefine/>
    <w:qFormat/>
    <w:uiPriority w:val="99"/>
  </w:style>
  <w:style w:type="character" w:customStyle="1" w:styleId="181">
    <w:name w:val="正文 CDD 字符"/>
    <w:link w:val="182"/>
    <w:autoRedefine/>
    <w:qFormat/>
    <w:uiPriority w:val="0"/>
    <w:rPr>
      <w:rFonts w:ascii="宋体" w:hAnsi="宋体"/>
      <w:kern w:val="2"/>
      <w:sz w:val="24"/>
    </w:rPr>
  </w:style>
  <w:style w:type="paragraph" w:customStyle="1" w:styleId="182">
    <w:name w:val="正文 CDD"/>
    <w:basedOn w:val="1"/>
    <w:link w:val="181"/>
    <w:autoRedefine/>
    <w:qFormat/>
    <w:uiPriority w:val="0"/>
    <w:pPr>
      <w:widowControl/>
      <w:spacing w:line="500" w:lineRule="exact"/>
      <w:ind w:firstLine="480"/>
      <w:jc w:val="left"/>
    </w:pPr>
    <w:rPr>
      <w:rFonts w:ascii="宋体" w:hAnsi="宋体"/>
      <w:sz w:val="24"/>
      <w:szCs w:val="20"/>
    </w:rPr>
  </w:style>
  <w:style w:type="character" w:customStyle="1" w:styleId="183">
    <w:name w:val="font11"/>
    <w:autoRedefine/>
    <w:qFormat/>
    <w:uiPriority w:val="0"/>
    <w:rPr>
      <w:rFonts w:hint="eastAsia" w:ascii="宋体" w:hAnsi="宋体" w:eastAsia="宋体"/>
      <w:color w:val="000000"/>
      <w:sz w:val="21"/>
      <w:szCs w:val="21"/>
      <w:u w:val="none"/>
      <w:vertAlign w:val="superscript"/>
    </w:rPr>
  </w:style>
  <w:style w:type="character" w:customStyle="1" w:styleId="184">
    <w:name w:val="标题 6 字符"/>
    <w:autoRedefine/>
    <w:qFormat/>
    <w:uiPriority w:val="9"/>
    <w:rPr>
      <w:rFonts w:ascii="等线 Light" w:hAnsi="等线 Light" w:eastAsia="等线 Light" w:cs="Times New Roman"/>
      <w:b/>
      <w:bCs/>
      <w:sz w:val="24"/>
      <w:szCs w:val="24"/>
    </w:rPr>
  </w:style>
  <w:style w:type="character" w:customStyle="1" w:styleId="185">
    <w:name w:val="正文首行缩进 字符"/>
    <w:autoRedefine/>
    <w:qFormat/>
    <w:uiPriority w:val="99"/>
  </w:style>
  <w:style w:type="character" w:customStyle="1" w:styleId="186">
    <w:name w:val="注释标题 字符"/>
    <w:autoRedefine/>
    <w:semiHidden/>
    <w:qFormat/>
    <w:uiPriority w:val="99"/>
    <w:rPr>
      <w:kern w:val="2"/>
      <w:sz w:val="21"/>
      <w:szCs w:val="22"/>
    </w:rPr>
  </w:style>
  <w:style w:type="character" w:customStyle="1" w:styleId="187">
    <w:name w:val="正文文本缩进 2 Char1"/>
    <w:autoRedefine/>
    <w:qFormat/>
    <w:uiPriority w:val="0"/>
    <w:rPr>
      <w:rFonts w:ascii="Times New Roman" w:hAnsi="Times New Roman"/>
    </w:rPr>
  </w:style>
  <w:style w:type="character" w:customStyle="1" w:styleId="188">
    <w:name w:val="正文文本 Char"/>
    <w:autoRedefine/>
    <w:qFormat/>
    <w:uiPriority w:val="99"/>
    <w:rPr>
      <w:rFonts w:hint="eastAsia" w:ascii="宋体" w:hAnsi="宋体" w:eastAsia="宋体" w:cs="宋体"/>
      <w:sz w:val="24"/>
      <w:szCs w:val="24"/>
    </w:rPr>
  </w:style>
  <w:style w:type="character" w:customStyle="1" w:styleId="189">
    <w:name w:val="标题 6 Char2"/>
    <w:autoRedefine/>
    <w:qFormat/>
    <w:uiPriority w:val="9"/>
    <w:rPr>
      <w:rFonts w:ascii="Cambria" w:hAnsi="Cambria" w:eastAsia="宋体" w:cs="Times New Roman"/>
      <w:b/>
      <w:bCs/>
      <w:sz w:val="24"/>
      <w:szCs w:val="24"/>
    </w:rPr>
  </w:style>
  <w:style w:type="character" w:customStyle="1" w:styleId="190">
    <w:name w:val="正文文本 2 字符"/>
    <w:link w:val="45"/>
    <w:autoRedefine/>
    <w:qFormat/>
    <w:uiPriority w:val="99"/>
    <w:rPr>
      <w:rFonts w:ascii="Times New Roman" w:hAnsi="Times New Roman" w:eastAsia="宋体" w:cs="Times New Roman"/>
      <w:szCs w:val="21"/>
    </w:rPr>
  </w:style>
  <w:style w:type="character" w:customStyle="1" w:styleId="191">
    <w:name w:val="HTML 预设格式 字符"/>
    <w:autoRedefine/>
    <w:semiHidden/>
    <w:qFormat/>
    <w:uiPriority w:val="99"/>
    <w:rPr>
      <w:rFonts w:ascii="Courier New" w:hAnsi="Courier New" w:cs="Courier New"/>
      <w:kern w:val="2"/>
    </w:rPr>
  </w:style>
  <w:style w:type="character" w:customStyle="1" w:styleId="192">
    <w:name w:val="MEL正文* 字符"/>
    <w:link w:val="193"/>
    <w:autoRedefine/>
    <w:qFormat/>
    <w:uiPriority w:val="0"/>
    <w:rPr>
      <w:rFonts w:ascii="宋体" w:hAnsi="宋体"/>
      <w:color w:val="EE0000"/>
      <w:sz w:val="24"/>
      <w:szCs w:val="24"/>
    </w:rPr>
  </w:style>
  <w:style w:type="paragraph" w:customStyle="1" w:styleId="193">
    <w:name w:val="MEL正文*"/>
    <w:basedOn w:val="1"/>
    <w:link w:val="192"/>
    <w:autoRedefine/>
    <w:qFormat/>
    <w:uiPriority w:val="0"/>
    <w:pPr>
      <w:spacing w:line="500" w:lineRule="exact"/>
      <w:ind w:firstLine="480" w:firstLineChars="200"/>
    </w:pPr>
    <w:rPr>
      <w:rFonts w:ascii="宋体" w:hAnsi="宋体"/>
      <w:color w:val="EE0000"/>
      <w:kern w:val="0"/>
      <w:sz w:val="24"/>
      <w:szCs w:val="24"/>
    </w:rPr>
  </w:style>
  <w:style w:type="character" w:customStyle="1" w:styleId="194">
    <w:name w:val="正文格式 Char"/>
    <w:autoRedefine/>
    <w:qFormat/>
    <w:locked/>
    <w:uiPriority w:val="0"/>
    <w:rPr>
      <w:rFonts w:ascii="宋体" w:hAnsi="Times New Roman" w:eastAsia="宋体"/>
      <w:kern w:val="2"/>
      <w:sz w:val="24"/>
      <w:szCs w:val="24"/>
    </w:rPr>
  </w:style>
  <w:style w:type="character" w:customStyle="1" w:styleId="195">
    <w:name w:val="正文文本缩进 2 Char2"/>
    <w:autoRedefine/>
    <w:qFormat/>
    <w:uiPriority w:val="99"/>
    <w:rPr>
      <w:rFonts w:ascii="Times New Roman" w:hAnsi="Times New Roman" w:eastAsia="宋体" w:cs="Times New Roman"/>
      <w:kern w:val="0"/>
      <w:sz w:val="20"/>
      <w:szCs w:val="21"/>
    </w:rPr>
  </w:style>
  <w:style w:type="character" w:customStyle="1" w:styleId="196">
    <w:name w:val="show-img-bd"/>
    <w:autoRedefine/>
    <w:qFormat/>
    <w:uiPriority w:val="0"/>
  </w:style>
  <w:style w:type="character" w:customStyle="1" w:styleId="197">
    <w:name w:val="正文首行缩进 2 Char"/>
    <w:autoRedefine/>
    <w:qFormat/>
    <w:uiPriority w:val="0"/>
    <w:rPr>
      <w:kern w:val="2"/>
      <w:sz w:val="21"/>
      <w:szCs w:val="24"/>
    </w:rPr>
  </w:style>
  <w:style w:type="character" w:customStyle="1" w:styleId="198">
    <w:name w:val="注释标题 字符1"/>
    <w:link w:val="17"/>
    <w:autoRedefine/>
    <w:qFormat/>
    <w:uiPriority w:val="0"/>
    <w:rPr>
      <w:rFonts w:ascii="Times New Roman" w:hAnsi="Times New Roman" w:eastAsia="宋体"/>
      <w:kern w:val="2"/>
      <w:sz w:val="21"/>
    </w:rPr>
  </w:style>
  <w:style w:type="character" w:customStyle="1" w:styleId="199">
    <w:name w:val="不明显参考1"/>
    <w:autoRedefine/>
    <w:qFormat/>
    <w:uiPriority w:val="31"/>
    <w:rPr>
      <w:smallCaps/>
      <w:color w:val="5A5A5A"/>
    </w:rPr>
  </w:style>
  <w:style w:type="character" w:customStyle="1" w:styleId="200">
    <w:name w:val="正文缩进 Char"/>
    <w:autoRedefine/>
    <w:qFormat/>
    <w:uiPriority w:val="0"/>
    <w:rPr>
      <w:rFonts w:hint="eastAsia" w:ascii="宋体" w:hAnsi="宋体" w:eastAsia="宋体" w:cs="宋体"/>
      <w:spacing w:val="6"/>
      <w:kern w:val="2"/>
      <w:sz w:val="26"/>
      <w:szCs w:val="26"/>
    </w:rPr>
  </w:style>
  <w:style w:type="character" w:customStyle="1" w:styleId="201">
    <w:name w:val="标题 1 字符"/>
    <w:link w:val="6"/>
    <w:autoRedefine/>
    <w:qFormat/>
    <w:uiPriority w:val="9"/>
    <w:rPr>
      <w:rFonts w:ascii="黑体" w:hAnsi="黑体" w:eastAsia="黑体"/>
      <w:kern w:val="2"/>
      <w:sz w:val="32"/>
    </w:rPr>
  </w:style>
  <w:style w:type="character" w:customStyle="1" w:styleId="202">
    <w:name w:val="文档结构图 Char2"/>
    <w:autoRedefine/>
    <w:qFormat/>
    <w:uiPriority w:val="99"/>
    <w:rPr>
      <w:rFonts w:ascii="宋体" w:hAnsi="Times New Roman" w:eastAsia="宋体" w:cs="Times New Roman"/>
      <w:kern w:val="0"/>
      <w:sz w:val="18"/>
      <w:szCs w:val="18"/>
    </w:rPr>
  </w:style>
  <w:style w:type="character" w:customStyle="1" w:styleId="203">
    <w:name w:val="YJ-正文 Char"/>
    <w:link w:val="204"/>
    <w:autoRedefine/>
    <w:qFormat/>
    <w:uiPriority w:val="0"/>
    <w:rPr>
      <w:rFonts w:ascii="宋体" w:hAnsi="宋体" w:eastAsia="宋体"/>
      <w:sz w:val="24"/>
      <w:szCs w:val="21"/>
    </w:rPr>
  </w:style>
  <w:style w:type="paragraph" w:customStyle="1" w:styleId="204">
    <w:name w:val="YJ-正文"/>
    <w:basedOn w:val="205"/>
    <w:link w:val="203"/>
    <w:autoRedefine/>
    <w:qFormat/>
    <w:uiPriority w:val="0"/>
    <w:pPr>
      <w:spacing w:line="500" w:lineRule="exact"/>
      <w:ind w:firstLine="200" w:firstLineChars="200"/>
    </w:pPr>
    <w:rPr>
      <w:rFonts w:ascii="宋体" w:hAnsi="宋体"/>
      <w:sz w:val="24"/>
      <w:szCs w:val="21"/>
    </w:rPr>
  </w:style>
  <w:style w:type="paragraph" w:customStyle="1" w:styleId="205">
    <w:name w:val="YJ-表标题1"/>
    <w:basedOn w:val="1"/>
    <w:autoRedefine/>
    <w:qFormat/>
    <w:uiPriority w:val="0"/>
    <w:pPr>
      <w:widowControl/>
      <w:spacing w:line="520" w:lineRule="exact"/>
      <w:jc w:val="left"/>
      <w:outlineLvl w:val="1"/>
    </w:pPr>
    <w:rPr>
      <w:b/>
      <w:kern w:val="0"/>
      <w:sz w:val="30"/>
    </w:rPr>
  </w:style>
  <w:style w:type="character" w:customStyle="1" w:styleId="206">
    <w:name w:val="页眉 Char"/>
    <w:autoRedefine/>
    <w:qFormat/>
    <w:uiPriority w:val="0"/>
    <w:rPr>
      <w:kern w:val="2"/>
      <w:sz w:val="18"/>
      <w:szCs w:val="18"/>
    </w:rPr>
  </w:style>
  <w:style w:type="character" w:customStyle="1" w:styleId="207">
    <w:name w:val="标题 7 Char"/>
    <w:autoRedefine/>
    <w:qFormat/>
    <w:uiPriority w:val="9"/>
    <w:rPr>
      <w:rFonts w:eastAsia="宋体" w:cs="Times New Roman"/>
      <w:b/>
      <w:bCs/>
      <w:kern w:val="2"/>
      <w:sz w:val="24"/>
      <w:szCs w:val="24"/>
    </w:rPr>
  </w:style>
  <w:style w:type="character" w:customStyle="1" w:styleId="208">
    <w:name w:val="标题1"/>
    <w:autoRedefine/>
    <w:qFormat/>
    <w:uiPriority w:val="0"/>
  </w:style>
  <w:style w:type="character" w:customStyle="1" w:styleId="209">
    <w:name w:val="YJ表中字体 Char"/>
    <w:link w:val="210"/>
    <w:autoRedefine/>
    <w:qFormat/>
    <w:uiPriority w:val="0"/>
    <w:rPr>
      <w:rFonts w:ascii="宋体" w:hAnsi="宋体"/>
      <w:color w:val="EE0000"/>
      <w:sz w:val="21"/>
    </w:rPr>
  </w:style>
  <w:style w:type="paragraph" w:customStyle="1" w:styleId="210">
    <w:name w:val="YJ表中字体"/>
    <w:basedOn w:val="18"/>
    <w:link w:val="209"/>
    <w:autoRedefine/>
    <w:qFormat/>
    <w:uiPriority w:val="0"/>
    <w:pPr>
      <w:tabs>
        <w:tab w:val="left" w:pos="8176"/>
      </w:tabs>
      <w:adjustRightInd w:val="0"/>
      <w:snapToGrid w:val="0"/>
      <w:spacing w:line="300" w:lineRule="exact"/>
      <w:ind w:firstLine="0" w:firstLineChars="0"/>
      <w:contextualSpacing/>
      <w:jc w:val="center"/>
    </w:pPr>
    <w:rPr>
      <w:rFonts w:ascii="宋体" w:hAnsi="宋体"/>
      <w:color w:val="EE0000"/>
      <w:sz w:val="21"/>
      <w:szCs w:val="20"/>
    </w:rPr>
  </w:style>
  <w:style w:type="character" w:customStyle="1" w:styleId="211">
    <w:name w:val="一级标题-书 Char"/>
    <w:link w:val="212"/>
    <w:autoRedefine/>
    <w:qFormat/>
    <w:uiPriority w:val="0"/>
    <w:rPr>
      <w:rFonts w:ascii="Times New Roman" w:hAnsi="Times New Roman" w:eastAsia="宋体" w:cs="Arial"/>
      <w:b/>
      <w:sz w:val="32"/>
      <w:szCs w:val="20"/>
    </w:rPr>
  </w:style>
  <w:style w:type="paragraph" w:customStyle="1" w:styleId="212">
    <w:name w:val="一级标题-书"/>
    <w:basedOn w:val="1"/>
    <w:link w:val="211"/>
    <w:autoRedefine/>
    <w:qFormat/>
    <w:uiPriority w:val="0"/>
    <w:pPr>
      <w:keepNext/>
      <w:widowControl/>
      <w:spacing w:line="600" w:lineRule="exact"/>
      <w:jc w:val="left"/>
      <w:outlineLvl w:val="0"/>
    </w:pPr>
    <w:rPr>
      <w:rFonts w:ascii="Times New Roman" w:hAnsi="Times New Roman"/>
      <w:b/>
      <w:kern w:val="0"/>
      <w:sz w:val="32"/>
      <w:szCs w:val="20"/>
    </w:rPr>
  </w:style>
  <w:style w:type="character" w:customStyle="1" w:styleId="213">
    <w:name w:val="4刘群正文* Char"/>
    <w:link w:val="214"/>
    <w:autoRedefine/>
    <w:qFormat/>
    <w:uiPriority w:val="0"/>
    <w:rPr>
      <w:rFonts w:ascii="Times New Roman" w:hAnsi="Times New Roman" w:cs="Times New Roman"/>
      <w:sz w:val="24"/>
      <w:szCs w:val="24"/>
      <w:lang w:val="zh-CN"/>
    </w:rPr>
  </w:style>
  <w:style w:type="paragraph" w:customStyle="1" w:styleId="214">
    <w:name w:val="4刘群正文 *"/>
    <w:basedOn w:val="1"/>
    <w:link w:val="213"/>
    <w:autoRedefine/>
    <w:qFormat/>
    <w:uiPriority w:val="0"/>
    <w:pPr>
      <w:spacing w:line="520" w:lineRule="exact"/>
      <w:ind w:firstLine="480" w:firstLineChars="200"/>
    </w:pPr>
    <w:rPr>
      <w:rFonts w:ascii="Times New Roman" w:hAnsi="Times New Roman"/>
      <w:kern w:val="0"/>
      <w:sz w:val="24"/>
      <w:szCs w:val="24"/>
      <w:lang w:val="zh-CN"/>
    </w:rPr>
  </w:style>
  <w:style w:type="character" w:customStyle="1" w:styleId="215">
    <w:name w:val="标题 1 Char"/>
    <w:autoRedefine/>
    <w:qFormat/>
    <w:uiPriority w:val="9"/>
    <w:rPr>
      <w:rFonts w:ascii="宋体" w:hAnsi="宋体" w:eastAsia="黑体"/>
      <w:b/>
      <w:sz w:val="32"/>
      <w:szCs w:val="28"/>
    </w:rPr>
  </w:style>
  <w:style w:type="character" w:customStyle="1" w:styleId="216">
    <w:name w:val="3级标题 字符"/>
    <w:link w:val="217"/>
    <w:autoRedefine/>
    <w:qFormat/>
    <w:uiPriority w:val="0"/>
    <w:rPr>
      <w:rFonts w:ascii="宋体" w:hAnsi="宋体" w:eastAsia="黑体" w:cs="宋体"/>
      <w:color w:val="000000"/>
      <w:spacing w:val="4"/>
      <w:kern w:val="2"/>
      <w:sz w:val="24"/>
      <w:szCs w:val="24"/>
    </w:rPr>
  </w:style>
  <w:style w:type="paragraph" w:customStyle="1" w:styleId="217">
    <w:name w:val="3级标题"/>
    <w:basedOn w:val="1"/>
    <w:link w:val="216"/>
    <w:autoRedefine/>
    <w:qFormat/>
    <w:uiPriority w:val="0"/>
    <w:pPr>
      <w:adjustRightInd w:val="0"/>
      <w:snapToGrid w:val="0"/>
      <w:spacing w:before="160" w:after="160" w:line="360" w:lineRule="auto"/>
      <w:jc w:val="left"/>
      <w:outlineLvl w:val="2"/>
    </w:pPr>
    <w:rPr>
      <w:rFonts w:ascii="宋体" w:hAnsi="宋体" w:eastAsia="黑体" w:cs="宋体"/>
      <w:color w:val="000000"/>
      <w:spacing w:val="4"/>
      <w:sz w:val="24"/>
      <w:szCs w:val="24"/>
    </w:rPr>
  </w:style>
  <w:style w:type="character" w:customStyle="1" w:styleId="218">
    <w:name w:val="页脚 字符"/>
    <w:link w:val="31"/>
    <w:autoRedefine/>
    <w:qFormat/>
    <w:uiPriority w:val="99"/>
    <w:rPr>
      <w:sz w:val="18"/>
      <w:szCs w:val="18"/>
    </w:rPr>
  </w:style>
  <w:style w:type="character" w:customStyle="1" w:styleId="219">
    <w:name w:val="font21"/>
    <w:autoRedefine/>
    <w:qFormat/>
    <w:uiPriority w:val="0"/>
    <w:rPr>
      <w:rFonts w:hint="eastAsia" w:ascii="宋体" w:hAnsi="宋体" w:eastAsia="宋体"/>
      <w:color w:val="000000"/>
      <w:sz w:val="21"/>
      <w:szCs w:val="21"/>
      <w:u w:val="none"/>
    </w:rPr>
  </w:style>
  <w:style w:type="character" w:customStyle="1" w:styleId="220">
    <w:name w:val="纯文本 Char1"/>
    <w:autoRedefine/>
    <w:qFormat/>
    <w:uiPriority w:val="0"/>
    <w:rPr>
      <w:rFonts w:hint="eastAsia" w:ascii="宋体" w:hAnsi="Courier New" w:eastAsia="宋体" w:cs="Courier New"/>
      <w:kern w:val="2"/>
      <w:sz w:val="21"/>
      <w:szCs w:val="21"/>
    </w:rPr>
  </w:style>
  <w:style w:type="character" w:customStyle="1" w:styleId="221">
    <w:name w:val="引用 字符"/>
    <w:autoRedefine/>
    <w:qFormat/>
    <w:uiPriority w:val="29"/>
    <w:rPr>
      <w:i/>
      <w:iCs/>
      <w:color w:val="3F3F3F"/>
    </w:rPr>
  </w:style>
  <w:style w:type="character" w:customStyle="1" w:styleId="222">
    <w:name w:val="标题 2 Char2"/>
    <w:autoRedefine/>
    <w:qFormat/>
    <w:uiPriority w:val="9"/>
    <w:rPr>
      <w:rFonts w:ascii="黑体" w:hAnsi="黑体" w:eastAsia="黑体" w:cs="Times New Roman"/>
      <w:bCs/>
      <w:sz w:val="28"/>
      <w:szCs w:val="32"/>
    </w:rPr>
  </w:style>
  <w:style w:type="character" w:customStyle="1" w:styleId="223">
    <w:name w:val="批注文字 Char"/>
    <w:autoRedefine/>
    <w:qFormat/>
    <w:uiPriority w:val="0"/>
    <w:rPr>
      <w:kern w:val="2"/>
      <w:sz w:val="21"/>
      <w:szCs w:val="21"/>
    </w:rPr>
  </w:style>
  <w:style w:type="character" w:customStyle="1" w:styleId="224">
    <w:name w:val="附件 字符"/>
    <w:link w:val="225"/>
    <w:autoRedefine/>
    <w:qFormat/>
    <w:uiPriority w:val="0"/>
    <w:rPr>
      <w:rFonts w:ascii="宋体" w:hAnsi="宋体" w:eastAsia="宋体"/>
      <w:b/>
      <w:kern w:val="2"/>
      <w:sz w:val="24"/>
      <w:szCs w:val="21"/>
    </w:rPr>
  </w:style>
  <w:style w:type="paragraph" w:customStyle="1" w:styleId="225">
    <w:name w:val="附件"/>
    <w:basedOn w:val="1"/>
    <w:link w:val="224"/>
    <w:autoRedefine/>
    <w:qFormat/>
    <w:uiPriority w:val="0"/>
    <w:pPr>
      <w:ind w:firstLine="200" w:firstLineChars="200"/>
      <w:outlineLvl w:val="3"/>
    </w:pPr>
    <w:rPr>
      <w:rFonts w:ascii="宋体" w:hAnsi="宋体"/>
      <w:b/>
      <w:sz w:val="24"/>
      <w:szCs w:val="21"/>
    </w:rPr>
  </w:style>
  <w:style w:type="character" w:customStyle="1" w:styleId="226">
    <w:name w:val="明显参考11"/>
    <w:autoRedefine/>
    <w:qFormat/>
    <w:uiPriority w:val="32"/>
    <w:rPr>
      <w:b/>
      <w:bCs/>
      <w:smallCaps/>
      <w:color w:val="4F81BD"/>
      <w:spacing w:val="5"/>
    </w:rPr>
  </w:style>
  <w:style w:type="character" w:customStyle="1" w:styleId="227">
    <w:name w:val="标题 5 Char1"/>
    <w:autoRedefine/>
    <w:qFormat/>
    <w:uiPriority w:val="9"/>
    <w:rPr>
      <w:rFonts w:cs="Times New Roman"/>
      <w:bCs/>
      <w:color w:val="auto"/>
      <w:sz w:val="28"/>
      <w:szCs w:val="28"/>
      <w:lang w:val="zh-CN" w:eastAsia="zh-CN"/>
    </w:rPr>
  </w:style>
  <w:style w:type="character" w:customStyle="1" w:styleId="228">
    <w:name w:val="正文文本 3 字符1"/>
    <w:link w:val="22"/>
    <w:autoRedefine/>
    <w:qFormat/>
    <w:uiPriority w:val="0"/>
    <w:rPr>
      <w:rFonts w:ascii="Times New Roman" w:hAnsi="Times New Roman" w:eastAsia="宋体"/>
      <w:kern w:val="2"/>
      <w:sz w:val="18"/>
      <w:szCs w:val="24"/>
    </w:rPr>
  </w:style>
  <w:style w:type="character" w:customStyle="1" w:styleId="229">
    <w:name w:val="正文文本缩进 2 字符"/>
    <w:autoRedefine/>
    <w:qFormat/>
    <w:uiPriority w:val="99"/>
  </w:style>
  <w:style w:type="character" w:customStyle="1" w:styleId="230">
    <w:name w:val="正文文本首行缩进 2 字符"/>
    <w:link w:val="2"/>
    <w:autoRedefine/>
    <w:qFormat/>
    <w:uiPriority w:val="99"/>
    <w:rPr>
      <w:rFonts w:ascii="Times New Roman" w:hAnsi="Times New Roman" w:eastAsia="宋体" w:cs="Times New Roman"/>
      <w:kern w:val="0"/>
      <w:sz w:val="20"/>
      <w:szCs w:val="24"/>
    </w:rPr>
  </w:style>
  <w:style w:type="character" w:customStyle="1" w:styleId="231">
    <w:name w:val="标题 1 Char1"/>
    <w:autoRedefine/>
    <w:qFormat/>
    <w:uiPriority w:val="9"/>
    <w:rPr>
      <w:rFonts w:ascii="Times New Roman" w:hAnsi="Times New Roman" w:eastAsia="黑体" w:cs="Arial"/>
      <w:kern w:val="2"/>
      <w:sz w:val="32"/>
    </w:rPr>
  </w:style>
  <w:style w:type="character" w:customStyle="1" w:styleId="232">
    <w:name w:val="文档结构图 字符"/>
    <w:link w:val="20"/>
    <w:autoRedefine/>
    <w:qFormat/>
    <w:uiPriority w:val="99"/>
    <w:rPr>
      <w:rFonts w:ascii="宋体" w:hAnsi="Times New Roman" w:eastAsia="宋体" w:cs="Times New Roman"/>
      <w:kern w:val="0"/>
      <w:sz w:val="18"/>
      <w:szCs w:val="18"/>
    </w:rPr>
  </w:style>
  <w:style w:type="character" w:customStyle="1" w:styleId="233">
    <w:name w:val="fontstyle01"/>
    <w:autoRedefine/>
    <w:qFormat/>
    <w:uiPriority w:val="0"/>
    <w:rPr>
      <w:rFonts w:hint="eastAsia" w:ascii="宋体" w:hAnsi="宋体" w:eastAsia="宋体"/>
      <w:color w:val="000000"/>
      <w:sz w:val="22"/>
      <w:szCs w:val="22"/>
    </w:rPr>
  </w:style>
  <w:style w:type="character" w:customStyle="1" w:styleId="234">
    <w:name w:val="标题 4 Char2"/>
    <w:autoRedefine/>
    <w:qFormat/>
    <w:uiPriority w:val="0"/>
    <w:rPr>
      <w:rFonts w:ascii="Arial" w:hAnsi="Arial" w:eastAsia="黑体" w:cs="Times New Roman"/>
      <w:bCs/>
      <w:color w:val="auto"/>
      <w:sz w:val="28"/>
      <w:szCs w:val="28"/>
      <w:lang w:val="zh-CN" w:eastAsia="zh-CN"/>
    </w:rPr>
  </w:style>
  <w:style w:type="character" w:customStyle="1" w:styleId="235">
    <w:name w:val="YJ正文* 字符"/>
    <w:link w:val="120"/>
    <w:autoRedefine/>
    <w:qFormat/>
    <w:uiPriority w:val="0"/>
    <w:rPr>
      <w:rFonts w:ascii="宋体" w:hAnsi="宋体"/>
      <w:color w:val="EE0000"/>
      <w:kern w:val="2"/>
      <w:sz w:val="24"/>
      <w:szCs w:val="24"/>
      <w:lang w:val="zh-CN"/>
    </w:rPr>
  </w:style>
  <w:style w:type="character" w:customStyle="1" w:styleId="236">
    <w:name w:val="正文文本首行缩进 字符"/>
    <w:link w:val="4"/>
    <w:autoRedefine/>
    <w:qFormat/>
    <w:uiPriority w:val="0"/>
    <w:rPr>
      <w:rFonts w:ascii="宋体" w:hAnsi="宋体" w:eastAsia="宋体" w:cs="Times New Roman"/>
      <w:kern w:val="0"/>
      <w:sz w:val="24"/>
      <w:szCs w:val="24"/>
    </w:rPr>
  </w:style>
  <w:style w:type="character" w:customStyle="1" w:styleId="237">
    <w:name w:val="页眉 字符"/>
    <w:link w:val="32"/>
    <w:autoRedefine/>
    <w:qFormat/>
    <w:uiPriority w:val="0"/>
    <w:rPr>
      <w:sz w:val="18"/>
      <w:szCs w:val="18"/>
    </w:rPr>
  </w:style>
  <w:style w:type="character" w:customStyle="1" w:styleId="238">
    <w:name w:val="标题 3 字符1"/>
    <w:autoRedefine/>
    <w:qFormat/>
    <w:uiPriority w:val="9"/>
    <w:rPr>
      <w:rFonts w:ascii="Times New Roman" w:hAnsi="Times New Roman" w:eastAsia="黑体" w:cs="Times New Roman"/>
      <w:b/>
      <w:bCs/>
      <w:sz w:val="24"/>
      <w:szCs w:val="32"/>
      <w:lang w:val="zh-CN" w:eastAsia="zh-CN"/>
    </w:rPr>
  </w:style>
  <w:style w:type="character" w:customStyle="1" w:styleId="239">
    <w:name w:val="标题 6 Char3"/>
    <w:autoRedefine/>
    <w:qFormat/>
    <w:uiPriority w:val="9"/>
    <w:rPr>
      <w:rFonts w:ascii="Cambria" w:hAnsi="Cambria" w:eastAsia="宋体" w:cs="Times New Roman"/>
      <w:b/>
      <w:bCs/>
      <w:kern w:val="0"/>
      <w:sz w:val="24"/>
      <w:szCs w:val="24"/>
    </w:rPr>
  </w:style>
  <w:style w:type="character" w:customStyle="1" w:styleId="240">
    <w:name w:val="书籍标题11"/>
    <w:autoRedefine/>
    <w:qFormat/>
    <w:uiPriority w:val="33"/>
    <w:rPr>
      <w:b/>
      <w:bCs/>
      <w:i/>
      <w:iCs/>
      <w:spacing w:val="5"/>
    </w:rPr>
  </w:style>
  <w:style w:type="character" w:customStyle="1" w:styleId="241">
    <w:name w:val="标题 2 字符"/>
    <w:link w:val="7"/>
    <w:autoRedefine/>
    <w:qFormat/>
    <w:uiPriority w:val="0"/>
    <w:rPr>
      <w:rFonts w:ascii="黑体" w:hAnsi="黑体" w:eastAsia="黑体"/>
      <w:bCs/>
      <w:kern w:val="2"/>
      <w:sz w:val="28"/>
      <w:szCs w:val="32"/>
    </w:rPr>
  </w:style>
  <w:style w:type="character" w:customStyle="1" w:styleId="242">
    <w:name w:val="批注文字 字符"/>
    <w:link w:val="21"/>
    <w:autoRedefine/>
    <w:qFormat/>
    <w:uiPriority w:val="0"/>
  </w:style>
  <w:style w:type="character" w:customStyle="1" w:styleId="243">
    <w:name w:val="正文文本缩进 Char1"/>
    <w:autoRedefine/>
    <w:qFormat/>
    <w:uiPriority w:val="0"/>
    <w:rPr>
      <w:rFonts w:ascii="Calibri" w:hAnsi="Calibri" w:cs="Chiller"/>
      <w:b/>
      <w:color w:val="231F1F"/>
      <w:kern w:val="0"/>
      <w:sz w:val="24"/>
      <w:szCs w:val="24"/>
    </w:rPr>
  </w:style>
  <w:style w:type="character" w:customStyle="1" w:styleId="244">
    <w:name w:val="批注框文本 Char1"/>
    <w:autoRedefine/>
    <w:qFormat/>
    <w:uiPriority w:val="99"/>
    <w:rPr>
      <w:rFonts w:ascii="Calibri" w:hAnsi="Calibri"/>
      <w:sz w:val="18"/>
      <w:szCs w:val="18"/>
    </w:rPr>
  </w:style>
  <w:style w:type="character" w:customStyle="1" w:styleId="245">
    <w:name w:val="标题 8 Char"/>
    <w:autoRedefine/>
    <w:qFormat/>
    <w:uiPriority w:val="99"/>
    <w:rPr>
      <w:rFonts w:ascii="Arial" w:hAnsi="Arial" w:eastAsia="黑体" w:cs="Times New Roman"/>
      <w:sz w:val="24"/>
      <w:szCs w:val="24"/>
    </w:rPr>
  </w:style>
  <w:style w:type="character" w:customStyle="1" w:styleId="246">
    <w:name w:val="报告正文 Char1"/>
    <w:link w:val="247"/>
    <w:autoRedefine/>
    <w:qFormat/>
    <w:uiPriority w:val="0"/>
    <w:rPr>
      <w:rFonts w:ascii="宋体" w:hAnsi="宋体" w:eastAsia="宋体" w:cs="宋体"/>
      <w:sz w:val="24"/>
      <w:szCs w:val="21"/>
    </w:rPr>
  </w:style>
  <w:style w:type="paragraph" w:customStyle="1" w:styleId="247">
    <w:name w:val="报告正文"/>
    <w:basedOn w:val="1"/>
    <w:link w:val="246"/>
    <w:autoRedefine/>
    <w:qFormat/>
    <w:uiPriority w:val="0"/>
    <w:pPr>
      <w:widowControl/>
      <w:adjustRightInd w:val="0"/>
      <w:snapToGrid w:val="0"/>
      <w:spacing w:beforeLines="50"/>
      <w:ind w:firstLine="200" w:firstLineChars="200"/>
      <w:jc w:val="left"/>
    </w:pPr>
    <w:rPr>
      <w:rFonts w:ascii="宋体" w:hAnsi="宋体" w:cs="宋体"/>
      <w:kern w:val="0"/>
      <w:sz w:val="24"/>
      <w:szCs w:val="21"/>
    </w:rPr>
  </w:style>
  <w:style w:type="character" w:customStyle="1" w:styleId="248">
    <w:name w:val="表正文 Char1"/>
    <w:link w:val="249"/>
    <w:autoRedefine/>
    <w:unhideWhenUsed/>
    <w:qFormat/>
    <w:uiPriority w:val="0"/>
  </w:style>
  <w:style w:type="paragraph" w:customStyle="1" w:styleId="249">
    <w:name w:val="正文缩进2"/>
    <w:basedOn w:val="1"/>
    <w:link w:val="248"/>
    <w:autoRedefine/>
    <w:unhideWhenUsed/>
    <w:qFormat/>
    <w:uiPriority w:val="0"/>
    <w:pPr>
      <w:ind w:firstLine="420" w:firstLineChars="200"/>
    </w:pPr>
  </w:style>
  <w:style w:type="character" w:customStyle="1" w:styleId="250">
    <w:name w:val="正文首行缩进 2 Char2"/>
    <w:autoRedefine/>
    <w:qFormat/>
    <w:uiPriority w:val="99"/>
    <w:rPr>
      <w:rFonts w:ascii="Times New Roman" w:hAnsi="Times New Roman" w:eastAsia="宋体" w:cs="Times New Roman"/>
      <w:kern w:val="0"/>
      <w:sz w:val="20"/>
      <w:szCs w:val="24"/>
    </w:rPr>
  </w:style>
  <w:style w:type="character" w:customStyle="1" w:styleId="251">
    <w:name w:val="批注主题 字符"/>
    <w:link w:val="50"/>
    <w:autoRedefine/>
    <w:qFormat/>
    <w:uiPriority w:val="99"/>
    <w:rPr>
      <w:rFonts w:ascii="Times New Roman" w:hAnsi="Times New Roman" w:eastAsia="宋体" w:cs="Times New Roman"/>
      <w:b/>
      <w:bCs/>
      <w:kern w:val="0"/>
      <w:sz w:val="20"/>
      <w:szCs w:val="21"/>
    </w:rPr>
  </w:style>
  <w:style w:type="character" w:customStyle="1" w:styleId="252">
    <w:name w:val="正文缩进 Char1"/>
    <w:autoRedefine/>
    <w:qFormat/>
    <w:uiPriority w:val="99"/>
    <w:rPr>
      <w:rFonts w:ascii="Times New Roman" w:hAnsi="Times New Roman" w:eastAsia="宋体" w:cs="Times New Roman"/>
      <w:szCs w:val="21"/>
    </w:rPr>
  </w:style>
  <w:style w:type="character" w:customStyle="1" w:styleId="253">
    <w:name w:val="标题 5 字符"/>
    <w:autoRedefine/>
    <w:semiHidden/>
    <w:qFormat/>
    <w:uiPriority w:val="9"/>
    <w:rPr>
      <w:b/>
      <w:bCs/>
      <w:sz w:val="28"/>
      <w:szCs w:val="28"/>
    </w:rPr>
  </w:style>
  <w:style w:type="character" w:customStyle="1" w:styleId="254">
    <w:name w:val="批注主题 Char2"/>
    <w:autoRedefine/>
    <w:qFormat/>
    <w:uiPriority w:val="99"/>
    <w:rPr>
      <w:rFonts w:ascii="Times New Roman" w:hAnsi="Times New Roman" w:eastAsia="宋体" w:cs="Times New Roman"/>
      <w:b/>
      <w:bCs/>
      <w:kern w:val="0"/>
      <w:sz w:val="20"/>
      <w:szCs w:val="21"/>
    </w:rPr>
  </w:style>
  <w:style w:type="character" w:customStyle="1" w:styleId="255">
    <w:name w:val="页眉 Char2"/>
    <w:autoRedefine/>
    <w:qFormat/>
    <w:uiPriority w:val="99"/>
    <w:rPr>
      <w:sz w:val="18"/>
      <w:szCs w:val="18"/>
    </w:rPr>
  </w:style>
  <w:style w:type="character" w:customStyle="1" w:styleId="256">
    <w:name w:val="标题 4 字符1"/>
    <w:link w:val="9"/>
    <w:autoRedefine/>
    <w:qFormat/>
    <w:uiPriority w:val="0"/>
    <w:rPr>
      <w:rFonts w:ascii="Arial" w:hAnsi="Arial"/>
      <w:bCs/>
      <w:sz w:val="24"/>
      <w:szCs w:val="28"/>
      <w:lang w:val="zh-CN"/>
    </w:rPr>
  </w:style>
  <w:style w:type="character" w:customStyle="1" w:styleId="257">
    <w:name w:val="批注文字 Char2"/>
    <w:autoRedefine/>
    <w:qFormat/>
    <w:uiPriority w:val="0"/>
  </w:style>
  <w:style w:type="character" w:customStyle="1" w:styleId="258">
    <w:name w:val="正文文本缩进 3 字符1"/>
    <w:link w:val="41"/>
    <w:autoRedefine/>
    <w:qFormat/>
    <w:uiPriority w:val="0"/>
    <w:rPr>
      <w:rFonts w:ascii="宋体" w:hAnsi="Times New Roman" w:eastAsia="宋体"/>
      <w:color w:val="FF0000"/>
      <w:kern w:val="2"/>
      <w:sz w:val="28"/>
      <w:szCs w:val="24"/>
    </w:rPr>
  </w:style>
  <w:style w:type="character" w:customStyle="1" w:styleId="259">
    <w:name w:val="标题 1 Char3"/>
    <w:autoRedefine/>
    <w:qFormat/>
    <w:uiPriority w:val="9"/>
    <w:rPr>
      <w:rFonts w:ascii="黑体" w:hAnsi="黑体" w:eastAsia="黑体"/>
      <w:sz w:val="32"/>
    </w:rPr>
  </w:style>
  <w:style w:type="character" w:customStyle="1" w:styleId="260">
    <w:name w:val="正文文本 Char1"/>
    <w:autoRedefine/>
    <w:qFormat/>
    <w:uiPriority w:val="99"/>
  </w:style>
  <w:style w:type="character" w:customStyle="1" w:styleId="261">
    <w:name w:val="三级标题-书 Char"/>
    <w:link w:val="262"/>
    <w:autoRedefine/>
    <w:qFormat/>
    <w:uiPriority w:val="0"/>
    <w:rPr>
      <w:rFonts w:ascii="Times New Roman" w:hAnsi="Times New Roman" w:eastAsia="宋体" w:cs="Arial"/>
      <w:b/>
      <w:sz w:val="28"/>
      <w:szCs w:val="20"/>
    </w:rPr>
  </w:style>
  <w:style w:type="paragraph" w:customStyle="1" w:styleId="262">
    <w:name w:val="三级标题-书"/>
    <w:basedOn w:val="83"/>
    <w:link w:val="261"/>
    <w:autoRedefine/>
    <w:qFormat/>
    <w:uiPriority w:val="0"/>
    <w:pPr>
      <w:spacing w:line="360" w:lineRule="auto"/>
      <w:outlineLvl w:val="2"/>
    </w:pPr>
    <w:rPr>
      <w:sz w:val="28"/>
    </w:rPr>
  </w:style>
  <w:style w:type="character" w:customStyle="1" w:styleId="263">
    <w:name w:val="正文文本缩进 Char"/>
    <w:autoRedefine/>
    <w:qFormat/>
    <w:uiPriority w:val="0"/>
    <w:rPr>
      <w:kern w:val="2"/>
      <w:sz w:val="21"/>
      <w:szCs w:val="24"/>
    </w:rPr>
  </w:style>
  <w:style w:type="character" w:customStyle="1" w:styleId="264">
    <w:name w:val="不明显强调1"/>
    <w:autoRedefine/>
    <w:qFormat/>
    <w:uiPriority w:val="19"/>
    <w:rPr>
      <w:i/>
      <w:iCs/>
      <w:color w:val="404040"/>
    </w:rPr>
  </w:style>
  <w:style w:type="character" w:customStyle="1" w:styleId="265">
    <w:name w:val="正文首行缩进 2 字符"/>
    <w:autoRedefine/>
    <w:qFormat/>
    <w:uiPriority w:val="99"/>
  </w:style>
  <w:style w:type="character" w:customStyle="1" w:styleId="266">
    <w:name w:val="表字-书 Char Char"/>
    <w:autoRedefine/>
    <w:qFormat/>
    <w:uiPriority w:val="0"/>
    <w:rPr>
      <w:rFonts w:ascii="宋体" w:hAnsi="宋体" w:eastAsia="宋体" w:cs="Arial"/>
      <w:szCs w:val="21"/>
    </w:rPr>
  </w:style>
  <w:style w:type="character" w:customStyle="1" w:styleId="267">
    <w:name w:val="标题 4 字符"/>
    <w:autoRedefine/>
    <w:qFormat/>
    <w:uiPriority w:val="0"/>
    <w:rPr>
      <w:rFonts w:ascii="等线 Light" w:hAnsi="等线 Light" w:eastAsia="等线 Light" w:cs="Times New Roman"/>
      <w:b/>
      <w:bCs/>
      <w:sz w:val="28"/>
      <w:szCs w:val="28"/>
    </w:rPr>
  </w:style>
  <w:style w:type="character" w:customStyle="1" w:styleId="268">
    <w:name w:val="YJ附图附件 Char"/>
    <w:link w:val="269"/>
    <w:autoRedefine/>
    <w:qFormat/>
    <w:uiPriority w:val="0"/>
    <w:rPr>
      <w:b/>
      <w:sz w:val="24"/>
      <w:lang w:val="zh-CN"/>
    </w:rPr>
  </w:style>
  <w:style w:type="paragraph" w:customStyle="1" w:styleId="269">
    <w:name w:val="YJ附图附件"/>
    <w:basedOn w:val="1"/>
    <w:link w:val="268"/>
    <w:autoRedefine/>
    <w:qFormat/>
    <w:uiPriority w:val="0"/>
    <w:pPr>
      <w:widowControl/>
      <w:spacing w:line="520" w:lineRule="exact"/>
      <w:ind w:firstLine="200" w:firstLineChars="200"/>
      <w:jc w:val="left"/>
      <w:outlineLvl w:val="0"/>
    </w:pPr>
    <w:rPr>
      <w:b/>
      <w:kern w:val="0"/>
      <w:sz w:val="24"/>
      <w:szCs w:val="20"/>
      <w:lang w:val="zh-CN"/>
    </w:rPr>
  </w:style>
  <w:style w:type="character" w:customStyle="1" w:styleId="270">
    <w:name w:val="标题 5 Char3"/>
    <w:autoRedefine/>
    <w:qFormat/>
    <w:uiPriority w:val="9"/>
    <w:rPr>
      <w:rFonts w:ascii="Times New Roman" w:hAnsi="Times New Roman" w:eastAsia="宋体" w:cs="Times New Roman"/>
      <w:b/>
      <w:bCs/>
      <w:kern w:val="0"/>
      <w:sz w:val="28"/>
      <w:szCs w:val="28"/>
    </w:rPr>
  </w:style>
  <w:style w:type="character" w:customStyle="1" w:styleId="271">
    <w:name w:val="正文缩进 字符"/>
    <w:link w:val="18"/>
    <w:autoRedefine/>
    <w:qFormat/>
    <w:uiPriority w:val="99"/>
    <w:rPr>
      <w:rFonts w:ascii="Times New Roman" w:hAnsi="Times New Roman" w:eastAsia="宋体" w:cs="Times New Roman"/>
      <w:szCs w:val="21"/>
    </w:rPr>
  </w:style>
  <w:style w:type="character" w:customStyle="1" w:styleId="272">
    <w:name w:val="不明显参考11"/>
    <w:autoRedefine/>
    <w:qFormat/>
    <w:uiPriority w:val="31"/>
    <w:rPr>
      <w:smallCaps/>
      <w:color w:val="5A5A5A"/>
    </w:rPr>
  </w:style>
  <w:style w:type="character" w:customStyle="1" w:styleId="273">
    <w:name w:val="纯文本 Char2"/>
    <w:autoRedefine/>
    <w:qFormat/>
    <w:uiPriority w:val="99"/>
    <w:rPr>
      <w:rFonts w:ascii="宋体" w:hAnsi="Courier New" w:eastAsia="宋体" w:cs="Times New Roman"/>
      <w:kern w:val="0"/>
      <w:sz w:val="24"/>
      <w:szCs w:val="20"/>
    </w:rPr>
  </w:style>
  <w:style w:type="character" w:customStyle="1" w:styleId="274">
    <w:name w:val="ZQL-表图标题 Char"/>
    <w:link w:val="275"/>
    <w:autoRedefine/>
    <w:qFormat/>
    <w:uiPriority w:val="0"/>
    <w:rPr>
      <w:b/>
    </w:rPr>
  </w:style>
  <w:style w:type="paragraph" w:customStyle="1" w:styleId="275">
    <w:name w:val="ZQL-表图标题"/>
    <w:basedOn w:val="1"/>
    <w:link w:val="274"/>
    <w:autoRedefine/>
    <w:qFormat/>
    <w:uiPriority w:val="0"/>
    <w:pPr>
      <w:widowControl/>
      <w:adjustRightInd w:val="0"/>
      <w:snapToGrid w:val="0"/>
      <w:spacing w:line="500" w:lineRule="exact"/>
      <w:jc w:val="center"/>
      <w:outlineLvl w:val="1"/>
    </w:pPr>
    <w:rPr>
      <w:b/>
      <w:kern w:val="0"/>
      <w:sz w:val="20"/>
      <w:szCs w:val="20"/>
    </w:rPr>
  </w:style>
  <w:style w:type="character" w:customStyle="1" w:styleId="276">
    <w:name w:val="正文文本缩进 Char2"/>
    <w:autoRedefine/>
    <w:qFormat/>
    <w:uiPriority w:val="99"/>
    <w:rPr>
      <w:rFonts w:ascii="Times New Roman" w:hAnsi="Times New Roman" w:eastAsia="宋体" w:cs="Times New Roman"/>
      <w:kern w:val="0"/>
      <w:sz w:val="20"/>
      <w:szCs w:val="24"/>
    </w:rPr>
  </w:style>
  <w:style w:type="character" w:customStyle="1" w:styleId="277">
    <w:name w:val="标题 5 Char"/>
    <w:autoRedefine/>
    <w:qFormat/>
    <w:uiPriority w:val="9"/>
    <w:rPr>
      <w:rFonts w:eastAsia="宋体" w:cs="Times New Roman"/>
      <w:b/>
      <w:bCs/>
      <w:kern w:val="2"/>
      <w:sz w:val="28"/>
      <w:szCs w:val="28"/>
    </w:rPr>
  </w:style>
  <w:style w:type="character" w:customStyle="1" w:styleId="278">
    <w:name w:val="标题 7 Char3"/>
    <w:autoRedefine/>
    <w:qFormat/>
    <w:uiPriority w:val="9"/>
    <w:rPr>
      <w:rFonts w:ascii="Times New Roman" w:hAnsi="Times New Roman" w:eastAsia="宋体" w:cs="Times New Roman"/>
      <w:b/>
      <w:bCs/>
      <w:kern w:val="0"/>
      <w:sz w:val="24"/>
      <w:szCs w:val="24"/>
    </w:rPr>
  </w:style>
  <w:style w:type="character" w:customStyle="1" w:styleId="279">
    <w:name w:val="MEL表字-书 字符"/>
    <w:link w:val="280"/>
    <w:autoRedefine/>
    <w:qFormat/>
    <w:uiPriority w:val="0"/>
    <w:rPr>
      <w:rFonts w:ascii="宋体" w:hAnsi="宋体"/>
      <w:color w:val="EE0000"/>
      <w:sz w:val="21"/>
      <w:szCs w:val="21"/>
    </w:rPr>
  </w:style>
  <w:style w:type="paragraph" w:customStyle="1" w:styleId="280">
    <w:name w:val="MEL表字-书"/>
    <w:basedOn w:val="1"/>
    <w:link w:val="279"/>
    <w:autoRedefine/>
    <w:qFormat/>
    <w:uiPriority w:val="0"/>
    <w:pPr>
      <w:adjustRightInd w:val="0"/>
      <w:snapToGrid w:val="0"/>
      <w:jc w:val="center"/>
    </w:pPr>
    <w:rPr>
      <w:rFonts w:ascii="宋体" w:hAnsi="宋体"/>
      <w:color w:val="EE0000"/>
      <w:kern w:val="0"/>
      <w:szCs w:val="21"/>
    </w:rPr>
  </w:style>
  <w:style w:type="character" w:customStyle="1" w:styleId="281">
    <w:name w:val="明显引用 Char"/>
    <w:autoRedefine/>
    <w:qFormat/>
    <w:uiPriority w:val="30"/>
    <w:rPr>
      <w:rFonts w:eastAsia="宋体" w:cs="Times New Roman"/>
      <w:i/>
      <w:iCs/>
      <w:color w:val="4F81BD"/>
      <w:kern w:val="2"/>
      <w:sz w:val="24"/>
      <w:szCs w:val="22"/>
    </w:rPr>
  </w:style>
  <w:style w:type="character" w:customStyle="1" w:styleId="282">
    <w:name w:val="引用 字符1"/>
    <w:link w:val="283"/>
    <w:autoRedefine/>
    <w:qFormat/>
    <w:uiPriority w:val="29"/>
    <w:rPr>
      <w:rFonts w:ascii="Times New Roman" w:hAnsi="Times New Roman" w:eastAsia="宋体" w:cs="Times New Roman"/>
      <w:i/>
      <w:iCs/>
      <w:color w:val="404040"/>
      <w:sz w:val="24"/>
    </w:rPr>
  </w:style>
  <w:style w:type="paragraph" w:customStyle="1" w:styleId="283">
    <w:name w:val="引用2"/>
    <w:basedOn w:val="1"/>
    <w:next w:val="1"/>
    <w:link w:val="282"/>
    <w:autoRedefine/>
    <w:qFormat/>
    <w:uiPriority w:val="29"/>
    <w:pPr>
      <w:spacing w:before="200" w:after="160" w:line="500" w:lineRule="exact"/>
      <w:ind w:left="864" w:right="864" w:firstLine="200" w:firstLineChars="200"/>
      <w:jc w:val="center"/>
    </w:pPr>
    <w:rPr>
      <w:rFonts w:ascii="Times New Roman" w:hAnsi="Times New Roman"/>
      <w:i/>
      <w:iCs/>
      <w:color w:val="404040"/>
      <w:kern w:val="0"/>
      <w:sz w:val="24"/>
      <w:szCs w:val="20"/>
    </w:rPr>
  </w:style>
  <w:style w:type="character" w:customStyle="1" w:styleId="284">
    <w:name w:val="文档结构图 Char"/>
    <w:autoRedefine/>
    <w:qFormat/>
    <w:uiPriority w:val="0"/>
    <w:rPr>
      <w:rFonts w:ascii="宋体"/>
      <w:kern w:val="2"/>
      <w:sz w:val="18"/>
      <w:szCs w:val="18"/>
    </w:rPr>
  </w:style>
  <w:style w:type="character" w:customStyle="1" w:styleId="285">
    <w:name w:val="表格 Char"/>
    <w:link w:val="286"/>
    <w:autoRedefine/>
    <w:qFormat/>
    <w:uiPriority w:val="0"/>
    <w:rPr>
      <w:rFonts w:ascii="宋体" w:hAnsi="Times New Roman"/>
      <w:spacing w:val="6"/>
      <w:szCs w:val="21"/>
    </w:rPr>
  </w:style>
  <w:style w:type="paragraph" w:customStyle="1" w:styleId="286">
    <w:name w:val="表格"/>
    <w:basedOn w:val="1"/>
    <w:link w:val="285"/>
    <w:autoRedefine/>
    <w:qFormat/>
    <w:uiPriority w:val="0"/>
    <w:pPr>
      <w:spacing w:before="40" w:after="40"/>
      <w:jc w:val="center"/>
      <w:textAlignment w:val="center"/>
    </w:pPr>
    <w:rPr>
      <w:rFonts w:ascii="宋体" w:hAnsi="Times New Roman"/>
      <w:spacing w:val="6"/>
      <w:kern w:val="0"/>
      <w:sz w:val="20"/>
      <w:szCs w:val="21"/>
    </w:rPr>
  </w:style>
  <w:style w:type="character" w:customStyle="1" w:styleId="287">
    <w:name w:val="明显参考1"/>
    <w:autoRedefine/>
    <w:qFormat/>
    <w:uiPriority w:val="32"/>
    <w:rPr>
      <w:b/>
      <w:bCs/>
      <w:smallCaps/>
      <w:color w:val="4F81BD"/>
      <w:spacing w:val="5"/>
    </w:rPr>
  </w:style>
  <w:style w:type="character" w:customStyle="1" w:styleId="288">
    <w:name w:val="标题 4 Char3"/>
    <w:autoRedefine/>
    <w:qFormat/>
    <w:uiPriority w:val="0"/>
    <w:rPr>
      <w:rFonts w:ascii="Arial" w:hAnsi="Arial" w:eastAsia="黑体"/>
      <w:b/>
      <w:bCs/>
      <w:kern w:val="2"/>
      <w:sz w:val="28"/>
      <w:szCs w:val="28"/>
      <w:lang w:val="en-US" w:eastAsia="zh-CN" w:bidi="ar-SA"/>
    </w:rPr>
  </w:style>
  <w:style w:type="character" w:customStyle="1" w:styleId="289">
    <w:name w:val="正文首行缩进 Char"/>
    <w:autoRedefine/>
    <w:qFormat/>
    <w:uiPriority w:val="99"/>
    <w:rPr>
      <w:rFonts w:hint="eastAsia" w:ascii="宋体" w:hAnsi="宋体" w:eastAsia="宋体" w:cs="宋体"/>
      <w:sz w:val="24"/>
      <w:szCs w:val="24"/>
    </w:rPr>
  </w:style>
  <w:style w:type="character" w:customStyle="1" w:styleId="290">
    <w:name w:val="正文文本 3 字符"/>
    <w:autoRedefine/>
    <w:semiHidden/>
    <w:qFormat/>
    <w:uiPriority w:val="99"/>
    <w:rPr>
      <w:kern w:val="2"/>
      <w:sz w:val="16"/>
      <w:szCs w:val="16"/>
    </w:rPr>
  </w:style>
  <w:style w:type="character" w:customStyle="1" w:styleId="291">
    <w:name w:val="正文文本缩进 字符"/>
    <w:autoRedefine/>
    <w:qFormat/>
    <w:uiPriority w:val="0"/>
  </w:style>
  <w:style w:type="character" w:customStyle="1" w:styleId="292">
    <w:name w:val="批注文字 字符2"/>
    <w:autoRedefine/>
    <w:semiHidden/>
    <w:qFormat/>
    <w:uiPriority w:val="99"/>
    <w:rPr>
      <w:rFonts w:ascii="等线" w:hAnsi="等线" w:eastAsia="等线" w:cs="Times New Roman"/>
    </w:rPr>
  </w:style>
  <w:style w:type="character" w:customStyle="1" w:styleId="293">
    <w:name w:val="纯文本 字符"/>
    <w:autoRedefine/>
    <w:qFormat/>
    <w:uiPriority w:val="0"/>
    <w:rPr>
      <w:rFonts w:ascii="等线" w:hAnsi="Courier New" w:cs="Courier New"/>
    </w:rPr>
  </w:style>
  <w:style w:type="paragraph" w:customStyle="1" w:styleId="294">
    <w:name w:val="修订2"/>
    <w:autoRedefine/>
    <w:unhideWhenUsed/>
    <w:qFormat/>
    <w:uiPriority w:val="99"/>
    <w:rPr>
      <w:rFonts w:ascii="Calibri" w:hAnsi="Calibri" w:eastAsia="宋体" w:cs="Times New Roman"/>
      <w:kern w:val="2"/>
      <w:sz w:val="21"/>
      <w:szCs w:val="21"/>
      <w:lang w:val="en-US" w:eastAsia="zh-CN" w:bidi="ar-SA"/>
    </w:rPr>
  </w:style>
  <w:style w:type="paragraph" w:customStyle="1" w:styleId="295">
    <w:name w:val="正文3"/>
    <w:basedOn w:val="1"/>
    <w:autoRedefine/>
    <w:qFormat/>
    <w:uiPriority w:val="99"/>
    <w:pPr>
      <w:widowControl/>
    </w:pPr>
    <w:rPr>
      <w:rFonts w:ascii="Times New Roman" w:hAnsi="Times New Roman"/>
      <w:szCs w:val="21"/>
    </w:rPr>
  </w:style>
  <w:style w:type="paragraph" w:customStyle="1" w:styleId="296">
    <w:name w:val="字母编号列项（一级）"/>
    <w:autoRedefine/>
    <w:qFormat/>
    <w:uiPriority w:val="0"/>
    <w:pPr>
      <w:ind w:left="840" w:leftChars="200" w:hanging="420" w:hangingChars="200"/>
      <w:jc w:val="both"/>
    </w:pPr>
    <w:rPr>
      <w:rFonts w:ascii="宋体" w:hAnsi="Calibri" w:eastAsia="宋体" w:cs="Times New Roman"/>
      <w:sz w:val="21"/>
      <w:lang w:val="en-US" w:eastAsia="zh-CN" w:bidi="ar-SA"/>
    </w:rPr>
  </w:style>
  <w:style w:type="paragraph" w:customStyle="1" w:styleId="297">
    <w:name w:val="样式 标题 3 + (中文) 楷体_GB2312 小四 非加粗 段前: 10 磅 段后: 10 磅"/>
    <w:autoRedefine/>
    <w:qFormat/>
    <w:uiPriority w:val="0"/>
    <w:pPr>
      <w:spacing w:line="360" w:lineRule="auto"/>
    </w:pPr>
    <w:rPr>
      <w:rFonts w:ascii="Calibri" w:hAnsi="Calibri" w:eastAsia="楷体_GB2312" w:cs="宋体"/>
      <w:b/>
      <w:bCs/>
      <w:sz w:val="24"/>
      <w:lang w:val="en-US" w:eastAsia="zh-CN" w:bidi="ar-SA"/>
    </w:rPr>
  </w:style>
  <w:style w:type="paragraph" w:customStyle="1" w:styleId="298">
    <w:name w:val="Char Char20 Char Char"/>
    <w:basedOn w:val="1"/>
    <w:autoRedefine/>
    <w:qFormat/>
    <w:uiPriority w:val="99"/>
    <w:rPr>
      <w:rFonts w:ascii="Times New Roman" w:hAnsi="Times New Roman"/>
      <w:szCs w:val="24"/>
    </w:rPr>
  </w:style>
  <w:style w:type="paragraph" w:customStyle="1" w:styleId="299">
    <w:name w:val="正文8"/>
    <w:autoRedefine/>
    <w:qFormat/>
    <w:uiPriority w:val="99"/>
    <w:pPr>
      <w:jc w:val="both"/>
    </w:pPr>
    <w:rPr>
      <w:rFonts w:ascii="Calibri" w:hAnsi="Calibri" w:eastAsia="宋体" w:cs="Times New Roman"/>
      <w:kern w:val="2"/>
      <w:sz w:val="21"/>
      <w:szCs w:val="21"/>
      <w:lang w:val="en-US" w:eastAsia="zh-CN" w:bidi="ar-SA"/>
    </w:rPr>
  </w:style>
  <w:style w:type="paragraph" w:customStyle="1" w:styleId="300">
    <w:name w:val="font6"/>
    <w:basedOn w:val="1"/>
    <w:autoRedefine/>
    <w:qFormat/>
    <w:uiPriority w:val="99"/>
    <w:pPr>
      <w:widowControl/>
      <w:spacing w:before="100" w:beforeAutospacing="1" w:after="100" w:afterAutospacing="1"/>
      <w:jc w:val="left"/>
    </w:pPr>
    <w:rPr>
      <w:rFonts w:ascii="等线" w:hAnsi="等线" w:eastAsia="等线" w:cs="宋体"/>
      <w:kern w:val="0"/>
      <w:sz w:val="18"/>
      <w:szCs w:val="18"/>
    </w:rPr>
  </w:style>
  <w:style w:type="paragraph" w:customStyle="1" w:styleId="301">
    <w:name w:val="表"/>
    <w:basedOn w:val="1"/>
    <w:autoRedefine/>
    <w:qFormat/>
    <w:uiPriority w:val="99"/>
    <w:pPr>
      <w:snapToGrid w:val="0"/>
      <w:spacing w:line="400" w:lineRule="exact"/>
      <w:jc w:val="center"/>
    </w:pPr>
    <w:rPr>
      <w:rFonts w:ascii="Times New Roman" w:hAnsi="Times New Roman"/>
      <w:spacing w:val="2"/>
      <w:szCs w:val="20"/>
    </w:rPr>
  </w:style>
  <w:style w:type="paragraph" w:styleId="302">
    <w:name w:val="List Paragraph"/>
    <w:basedOn w:val="1"/>
    <w:link w:val="501"/>
    <w:autoRedefine/>
    <w:qFormat/>
    <w:uiPriority w:val="1"/>
    <w:pPr>
      <w:ind w:firstLine="420" w:firstLineChars="200"/>
    </w:pPr>
    <w:rPr>
      <w:rFonts w:ascii="Times New Roman" w:hAnsi="Times New Roman"/>
      <w:szCs w:val="21"/>
    </w:rPr>
  </w:style>
  <w:style w:type="paragraph" w:customStyle="1" w:styleId="303">
    <w:name w:val="样式 Arial 五号 非加粗 居中 行距: 固定值 12 磅"/>
    <w:basedOn w:val="1"/>
    <w:autoRedefine/>
    <w:qFormat/>
    <w:uiPriority w:val="99"/>
    <w:pPr>
      <w:spacing w:line="240" w:lineRule="exact"/>
      <w:jc w:val="center"/>
    </w:pPr>
    <w:rPr>
      <w:rFonts w:ascii="Arial" w:hAnsi="宋体"/>
      <w:szCs w:val="20"/>
    </w:rPr>
  </w:style>
  <w:style w:type="paragraph" w:customStyle="1" w:styleId="304">
    <w:name w:val="正文秦斐"/>
    <w:basedOn w:val="1"/>
    <w:autoRedefine/>
    <w:qFormat/>
    <w:uiPriority w:val="0"/>
    <w:pPr>
      <w:snapToGrid w:val="0"/>
      <w:spacing w:line="360" w:lineRule="auto"/>
      <w:ind w:firstLine="560" w:firstLineChars="200"/>
    </w:pPr>
    <w:rPr>
      <w:rFonts w:ascii="仿宋" w:hAnsi="仿宋" w:eastAsia="仿宋"/>
      <w:sz w:val="28"/>
      <w:szCs w:val="28"/>
    </w:rPr>
  </w:style>
  <w:style w:type="paragraph" w:customStyle="1" w:styleId="305">
    <w:name w:val="表格小"/>
    <w:basedOn w:val="1"/>
    <w:autoRedefine/>
    <w:qFormat/>
    <w:uiPriority w:val="99"/>
    <w:pPr>
      <w:widowControl/>
      <w:jc w:val="center"/>
    </w:pPr>
    <w:rPr>
      <w:sz w:val="18"/>
      <w:szCs w:val="20"/>
    </w:rPr>
  </w:style>
  <w:style w:type="paragraph" w:customStyle="1" w:styleId="306">
    <w:name w:val="5级正文"/>
    <w:basedOn w:val="1"/>
    <w:next w:val="81"/>
    <w:autoRedefine/>
    <w:qFormat/>
    <w:uiPriority w:val="99"/>
    <w:pPr>
      <w:numPr>
        <w:ilvl w:val="0"/>
        <w:numId w:val="2"/>
      </w:numPr>
      <w:spacing w:line="360" w:lineRule="auto"/>
      <w:outlineLvl w:val="4"/>
    </w:pPr>
    <w:rPr>
      <w:rFonts w:ascii="Times New Roman" w:hAnsi="Times New Roman"/>
      <w:b/>
      <w:sz w:val="24"/>
      <w:szCs w:val="24"/>
    </w:rPr>
  </w:style>
  <w:style w:type="paragraph" w:customStyle="1" w:styleId="307">
    <w:name w:val="正文4"/>
    <w:autoRedefine/>
    <w:qFormat/>
    <w:uiPriority w:val="99"/>
    <w:pPr>
      <w:jc w:val="both"/>
    </w:pPr>
    <w:rPr>
      <w:rFonts w:ascii="Calibri" w:hAnsi="Calibri" w:eastAsia="宋体" w:cs="Times New Roman"/>
      <w:kern w:val="2"/>
      <w:sz w:val="21"/>
      <w:szCs w:val="21"/>
      <w:lang w:val="en-US" w:eastAsia="zh-CN" w:bidi="ar-SA"/>
    </w:rPr>
  </w:style>
  <w:style w:type="paragraph" w:customStyle="1" w:styleId="308">
    <w:name w:val="样式 正文首行缩进 + 首行缩进:  2 字符"/>
    <w:basedOn w:val="4"/>
    <w:autoRedefine/>
    <w:qFormat/>
    <w:uiPriority w:val="0"/>
    <w:pPr>
      <w:widowControl w:val="0"/>
      <w:spacing w:after="0" w:line="520" w:lineRule="exact"/>
      <w:ind w:firstLine="520" w:firstLineChars="200"/>
      <w:jc w:val="both"/>
    </w:pPr>
    <w:rPr>
      <w:rFonts w:ascii="Times New Roman" w:hAnsi="Times New Roman" w:cs="宋体"/>
      <w:spacing w:val="10"/>
      <w:kern w:val="2"/>
      <w:sz w:val="26"/>
      <w:szCs w:val="20"/>
    </w:rPr>
  </w:style>
  <w:style w:type="paragraph" w:customStyle="1" w:styleId="309">
    <w:name w:val="燕山正文"/>
    <w:basedOn w:val="1"/>
    <w:autoRedefine/>
    <w:qFormat/>
    <w:uiPriority w:val="0"/>
    <w:pPr>
      <w:tabs>
        <w:tab w:val="left" w:pos="4680"/>
      </w:tabs>
      <w:adjustRightInd w:val="0"/>
      <w:snapToGrid w:val="0"/>
      <w:spacing w:line="500" w:lineRule="exact"/>
      <w:ind w:firstLine="456" w:firstLineChars="200"/>
    </w:pPr>
    <w:rPr>
      <w:rFonts w:ascii="宋体" w:hAnsi="宋体"/>
      <w:snapToGrid w:val="0"/>
      <w:color w:val="000000"/>
      <w:spacing w:val="-6"/>
      <w:kern w:val="0"/>
      <w:sz w:val="24"/>
      <w:szCs w:val="24"/>
      <w:shd w:val="clear" w:color="auto" w:fill="FFFFFF"/>
    </w:rPr>
  </w:style>
  <w:style w:type="paragraph" w:customStyle="1" w:styleId="310">
    <w:name w:val="修订1"/>
    <w:autoRedefine/>
    <w:unhideWhenUsed/>
    <w:qFormat/>
    <w:uiPriority w:val="99"/>
    <w:rPr>
      <w:rFonts w:ascii="Calibri" w:hAnsi="Calibri" w:eastAsia="宋体" w:cs="Times New Roman"/>
      <w:kern w:val="2"/>
      <w:sz w:val="21"/>
      <w:szCs w:val="21"/>
      <w:lang w:val="en-US" w:eastAsia="zh-CN" w:bidi="ar-SA"/>
    </w:rPr>
  </w:style>
  <w:style w:type="paragraph" w:customStyle="1" w:styleId="311">
    <w:name w:val="引用1"/>
    <w:basedOn w:val="1"/>
    <w:next w:val="1"/>
    <w:autoRedefine/>
    <w:qFormat/>
    <w:uiPriority w:val="29"/>
    <w:pPr>
      <w:spacing w:before="200" w:after="160" w:line="500" w:lineRule="exact"/>
      <w:ind w:left="864" w:right="864" w:firstLine="200" w:firstLineChars="200"/>
      <w:jc w:val="center"/>
    </w:pPr>
    <w:rPr>
      <w:i/>
      <w:iCs/>
      <w:color w:val="404040"/>
      <w:sz w:val="24"/>
    </w:rPr>
  </w:style>
  <w:style w:type="paragraph" w:customStyle="1" w:styleId="312">
    <w:name w:val="表格后"/>
    <w:basedOn w:val="1"/>
    <w:next w:val="1"/>
    <w:autoRedefine/>
    <w:qFormat/>
    <w:uiPriority w:val="0"/>
    <w:pPr>
      <w:spacing w:beforeLines="50" w:line="360" w:lineRule="auto"/>
      <w:ind w:firstLine="200" w:firstLineChars="200"/>
    </w:pPr>
    <w:rPr>
      <w:rFonts w:ascii="Times New Roman" w:hAnsi="Times New Roman"/>
      <w:sz w:val="24"/>
      <w:szCs w:val="24"/>
    </w:rPr>
  </w:style>
  <w:style w:type="paragraph" w:customStyle="1" w:styleId="313">
    <w:name w:val="0正文 塔中"/>
    <w:basedOn w:val="1"/>
    <w:autoRedefine/>
    <w:qFormat/>
    <w:uiPriority w:val="99"/>
    <w:pPr>
      <w:spacing w:line="360" w:lineRule="auto"/>
      <w:ind w:firstLine="200" w:firstLineChars="200"/>
    </w:pPr>
    <w:rPr>
      <w:rFonts w:ascii="Times New Roman" w:hAnsi="Times New Roman"/>
      <w:sz w:val="24"/>
      <w:szCs w:val="24"/>
    </w:rPr>
  </w:style>
  <w:style w:type="paragraph" w:customStyle="1" w:styleId="314">
    <w:name w:val="标准"/>
    <w:basedOn w:val="1"/>
    <w:autoRedefine/>
    <w:qFormat/>
    <w:uiPriority w:val="0"/>
    <w:pPr>
      <w:adjustRightInd w:val="0"/>
      <w:spacing w:before="120" w:line="336" w:lineRule="auto"/>
      <w:jc w:val="center"/>
    </w:pPr>
    <w:rPr>
      <w:rFonts w:hint="eastAsia" w:ascii="黑体" w:hAnsi="Times New Roman" w:eastAsia="黑体"/>
      <w:szCs w:val="20"/>
    </w:rPr>
  </w:style>
  <w:style w:type="paragraph" w:customStyle="1" w:styleId="315">
    <w:name w:val="4 正文"/>
    <w:basedOn w:val="1"/>
    <w:autoRedefine/>
    <w:qFormat/>
    <w:uiPriority w:val="0"/>
    <w:pPr>
      <w:spacing w:line="500" w:lineRule="exact"/>
      <w:ind w:firstLine="200" w:firstLineChars="200"/>
    </w:pPr>
    <w:rPr>
      <w:rFonts w:ascii="Times New Roman" w:hAnsi="Times New Roman"/>
      <w:sz w:val="24"/>
      <w:szCs w:val="24"/>
      <w:lang w:val="zh-CN"/>
    </w:rPr>
  </w:style>
  <w:style w:type="paragraph" w:customStyle="1" w:styleId="316">
    <w:name w:val="Char Char Char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317">
    <w:name w:val="自标4"/>
    <w:basedOn w:val="9"/>
    <w:autoRedefine/>
    <w:qFormat/>
    <w:uiPriority w:val="0"/>
    <w:pPr>
      <w:spacing w:line="360" w:lineRule="auto"/>
    </w:pPr>
    <w:rPr>
      <w:rFonts w:ascii="宋体"/>
      <w:b/>
      <w:kern w:val="2"/>
      <w:lang w:val="en-US"/>
    </w:rPr>
  </w:style>
  <w:style w:type="paragraph" w:customStyle="1" w:styleId="318">
    <w:name w:val="yf_正文"/>
    <w:basedOn w:val="1"/>
    <w:autoRedefine/>
    <w:qFormat/>
    <w:uiPriority w:val="99"/>
    <w:pPr>
      <w:widowControl/>
      <w:spacing w:line="324" w:lineRule="auto"/>
      <w:ind w:firstLine="480" w:firstLineChars="200"/>
    </w:pPr>
    <w:rPr>
      <w:rFonts w:ascii="Times New Roman" w:hAnsi="Times New Roman"/>
      <w:sz w:val="24"/>
      <w:szCs w:val="24"/>
    </w:rPr>
  </w:style>
  <w:style w:type="paragraph" w:customStyle="1" w:styleId="319">
    <w:name w:val="图表标题"/>
    <w:basedOn w:val="1"/>
    <w:autoRedefine/>
    <w:qFormat/>
    <w:uiPriority w:val="0"/>
    <w:pPr>
      <w:snapToGrid w:val="0"/>
      <w:spacing w:line="500" w:lineRule="exact"/>
      <w:jc w:val="center"/>
    </w:pPr>
    <w:rPr>
      <w:rFonts w:ascii="Times New Roman" w:hAnsi="Times New Roman"/>
      <w:b/>
      <w:bCs/>
      <w:kern w:val="0"/>
      <w:szCs w:val="21"/>
    </w:rPr>
  </w:style>
  <w:style w:type="paragraph" w:customStyle="1" w:styleId="320">
    <w:name w:val="Char Char3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321">
    <w:name w:val="例"/>
    <w:basedOn w:val="1"/>
    <w:autoRedefine/>
    <w:qFormat/>
    <w:uiPriority w:val="0"/>
    <w:pPr>
      <w:widowControl/>
      <w:spacing w:line="500" w:lineRule="exact"/>
      <w:ind w:firstLine="720" w:firstLineChars="257"/>
    </w:pPr>
    <w:rPr>
      <w:rFonts w:ascii="仿宋_GB2312" w:hAnsi="Times New Roman" w:eastAsia="仿宋_GB2312"/>
      <w:bCs/>
      <w:sz w:val="28"/>
      <w:szCs w:val="24"/>
    </w:rPr>
  </w:style>
  <w:style w:type="paragraph" w:customStyle="1" w:styleId="322">
    <w:name w:val="表格内容"/>
    <w:basedOn w:val="1"/>
    <w:next w:val="1"/>
    <w:autoRedefine/>
    <w:qFormat/>
    <w:uiPriority w:val="0"/>
    <w:pPr>
      <w:spacing w:line="240" w:lineRule="exact"/>
      <w:jc w:val="center"/>
    </w:pPr>
    <w:rPr>
      <w:rFonts w:ascii="宋体" w:hAnsi="宋体"/>
      <w:color w:val="000000"/>
      <w:w w:val="50"/>
      <w:sz w:val="18"/>
      <w:szCs w:val="18"/>
    </w:rPr>
  </w:style>
  <w:style w:type="paragraph" w:customStyle="1" w:styleId="323">
    <w:name w:val="样式 正文首行缩进 + 首行缩进:  2 字符1"/>
    <w:basedOn w:val="4"/>
    <w:autoRedefine/>
    <w:qFormat/>
    <w:uiPriority w:val="0"/>
    <w:pPr>
      <w:widowControl w:val="0"/>
      <w:spacing w:after="0" w:line="360" w:lineRule="auto"/>
      <w:ind w:firstLine="480" w:firstLineChars="200"/>
      <w:jc w:val="both"/>
    </w:pPr>
    <w:rPr>
      <w:rFonts w:ascii="Times New Roman" w:hAnsi="Times New Roman"/>
      <w:kern w:val="2"/>
    </w:rPr>
  </w:style>
  <w:style w:type="paragraph" w:customStyle="1" w:styleId="324">
    <w:name w:val="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325">
    <w:name w:val="报告"/>
    <w:basedOn w:val="1"/>
    <w:autoRedefine/>
    <w:qFormat/>
    <w:uiPriority w:val="99"/>
    <w:pPr>
      <w:adjustRightInd w:val="0"/>
      <w:spacing w:line="360" w:lineRule="auto"/>
      <w:ind w:firstLine="505"/>
      <w:textAlignment w:val="baseline"/>
    </w:pPr>
    <w:rPr>
      <w:rFonts w:ascii="Times New Roman" w:hAnsi="Times New Roman"/>
      <w:kern w:val="0"/>
      <w:sz w:val="24"/>
      <w:szCs w:val="20"/>
    </w:rPr>
  </w:style>
  <w:style w:type="paragraph" w:customStyle="1" w:styleId="326">
    <w:name w:val="样式 燕山正文 + 首行缩进:  3.5 字符2"/>
    <w:basedOn w:val="309"/>
    <w:autoRedefine/>
    <w:qFormat/>
    <w:uiPriority w:val="0"/>
    <w:rPr>
      <w:szCs w:val="20"/>
    </w:rPr>
  </w:style>
  <w:style w:type="paragraph" w:customStyle="1" w:styleId="327">
    <w:name w:val="列出段落11"/>
    <w:basedOn w:val="1"/>
    <w:autoRedefine/>
    <w:qFormat/>
    <w:uiPriority w:val="34"/>
    <w:pPr>
      <w:ind w:firstLine="420" w:firstLineChars="200"/>
    </w:pPr>
    <w:rPr>
      <w:szCs w:val="21"/>
    </w:rPr>
  </w:style>
  <w:style w:type="paragraph" w:customStyle="1" w:styleId="328">
    <w:name w:val="TOC 标题1"/>
    <w:basedOn w:val="6"/>
    <w:next w:val="1"/>
    <w:autoRedefine/>
    <w:unhideWhenUsed/>
    <w:qFormat/>
    <w:uiPriority w:val="39"/>
    <w:pPr>
      <w:keepNext w:val="0"/>
      <w:keepLines/>
      <w:widowControl w:val="0"/>
      <w:numPr>
        <w:numId w:val="0"/>
      </w:numPr>
      <w:spacing w:before="240" w:after="0" w:line="259" w:lineRule="auto"/>
      <w:jc w:val="both"/>
      <w:outlineLvl w:val="9"/>
    </w:pPr>
    <w:rPr>
      <w:rFonts w:ascii="Cambria" w:hAnsi="Cambria" w:eastAsia="宋体"/>
      <w:color w:val="366091"/>
      <w:kern w:val="0"/>
      <w:szCs w:val="32"/>
    </w:rPr>
  </w:style>
  <w:style w:type="paragraph" w:customStyle="1" w:styleId="329">
    <w:name w:val="正文缩进1"/>
    <w:basedOn w:val="1"/>
    <w:autoRedefine/>
    <w:qFormat/>
    <w:uiPriority w:val="0"/>
    <w:pPr>
      <w:ind w:firstLine="420" w:firstLineChars="200"/>
    </w:pPr>
    <w:rPr>
      <w:rFonts w:ascii="Times New Roman" w:hAnsi="Times New Roman"/>
      <w:szCs w:val="20"/>
    </w:rPr>
  </w:style>
  <w:style w:type="paragraph" w:customStyle="1" w:styleId="330">
    <w:name w:val="表格标题"/>
    <w:basedOn w:val="5"/>
    <w:autoRedefine/>
    <w:qFormat/>
    <w:uiPriority w:val="0"/>
    <w:pPr>
      <w:spacing w:before="156" w:beforeLines="50" w:after="156" w:afterLines="50" w:line="360" w:lineRule="auto"/>
      <w:jc w:val="center"/>
    </w:pPr>
    <w:rPr>
      <w:rFonts w:ascii="黑体" w:hAnsi="Times New Roman" w:eastAsia="黑体"/>
      <w:kern w:val="40"/>
      <w:sz w:val="24"/>
      <w:szCs w:val="30"/>
    </w:rPr>
  </w:style>
  <w:style w:type="paragraph" w:customStyle="1" w:styleId="331">
    <w:name w:val="Char1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332">
    <w:name w:val="JXU-正文"/>
    <w:autoRedefine/>
    <w:qFormat/>
    <w:uiPriority w:val="99"/>
    <w:pPr>
      <w:widowControl w:val="0"/>
      <w:adjustRightInd w:val="0"/>
      <w:snapToGrid w:val="0"/>
      <w:spacing w:line="500" w:lineRule="exact"/>
      <w:ind w:firstLine="510"/>
    </w:pPr>
    <w:rPr>
      <w:rFonts w:ascii="Calibri" w:hAnsi="Calibri" w:eastAsia="宋体" w:cs="Times New Roman"/>
      <w:color w:val="000000"/>
      <w:kern w:val="2"/>
      <w:sz w:val="24"/>
      <w:szCs w:val="24"/>
      <w:lang w:val="en-US" w:eastAsia="zh-CN" w:bidi="ar-SA"/>
    </w:rPr>
  </w:style>
  <w:style w:type="paragraph" w:customStyle="1" w:styleId="333">
    <w:name w:val="正文 内容"/>
    <w:basedOn w:val="1"/>
    <w:autoRedefine/>
    <w:qFormat/>
    <w:uiPriority w:val="0"/>
    <w:pPr>
      <w:autoSpaceDE w:val="0"/>
      <w:autoSpaceDN w:val="0"/>
      <w:adjustRightInd w:val="0"/>
      <w:snapToGrid w:val="0"/>
      <w:spacing w:line="360" w:lineRule="auto"/>
      <w:ind w:firstLine="200" w:firstLineChars="200"/>
    </w:pPr>
    <w:rPr>
      <w:kern w:val="0"/>
      <w:sz w:val="24"/>
      <w:szCs w:val="20"/>
    </w:rPr>
  </w:style>
  <w:style w:type="paragraph" w:customStyle="1" w:styleId="334">
    <w:name w:val="TOC 标题2"/>
    <w:basedOn w:val="6"/>
    <w:next w:val="1"/>
    <w:autoRedefine/>
    <w:qFormat/>
    <w:uiPriority w:val="39"/>
    <w:pPr>
      <w:keepLines/>
      <w:numPr>
        <w:numId w:val="0"/>
      </w:numPr>
      <w:spacing w:before="480" w:after="0" w:line="276" w:lineRule="auto"/>
      <w:outlineLvl w:val="9"/>
    </w:pPr>
    <w:rPr>
      <w:rFonts w:ascii="Cambria" w:hAnsi="Cambria" w:eastAsia="宋体"/>
      <w:b/>
      <w:bCs/>
      <w:color w:val="365F91"/>
      <w:kern w:val="0"/>
      <w:sz w:val="28"/>
      <w:szCs w:val="28"/>
    </w:rPr>
  </w:style>
  <w:style w:type="paragraph" w:customStyle="1" w:styleId="335">
    <w:name w:val="表内5中"/>
    <w:basedOn w:val="26"/>
    <w:autoRedefine/>
    <w:qFormat/>
    <w:uiPriority w:val="0"/>
    <w:pPr>
      <w:spacing w:line="240" w:lineRule="exact"/>
      <w:jc w:val="center"/>
    </w:pPr>
    <w:rPr>
      <w:rFonts w:ascii="Times New Roman" w:hAnsi="Times New Roman"/>
      <w:kern w:val="2"/>
      <w:sz w:val="21"/>
      <w:szCs w:val="24"/>
    </w:rPr>
  </w:style>
  <w:style w:type="paragraph" w:customStyle="1" w:styleId="336">
    <w:name w:val="_Style 1"/>
    <w:basedOn w:val="1"/>
    <w:autoRedefine/>
    <w:qFormat/>
    <w:uiPriority w:val="34"/>
    <w:pPr>
      <w:ind w:firstLine="420" w:firstLineChars="200"/>
    </w:pPr>
    <w:rPr>
      <w:rFonts w:ascii="Times New Roman" w:hAnsi="Times New Roman"/>
      <w:szCs w:val="21"/>
    </w:rPr>
  </w:style>
  <w:style w:type="paragraph" w:customStyle="1" w:styleId="337">
    <w:name w:val="13点"/>
    <w:basedOn w:val="1"/>
    <w:autoRedefine/>
    <w:qFormat/>
    <w:uiPriority w:val="0"/>
    <w:pPr>
      <w:adjustRightInd w:val="0"/>
      <w:snapToGrid w:val="0"/>
      <w:ind w:left="-105" w:leftChars="-50" w:right="-105" w:rightChars="-50"/>
      <w:jc w:val="center"/>
    </w:pPr>
    <w:rPr>
      <w:rFonts w:ascii="宋体" w:hAnsi="宋体"/>
      <w:sz w:val="24"/>
      <w:szCs w:val="28"/>
    </w:rPr>
  </w:style>
  <w:style w:type="paragraph" w:customStyle="1" w:styleId="338">
    <w:name w:val="Char2"/>
    <w:basedOn w:val="1"/>
    <w:autoRedefine/>
    <w:qFormat/>
    <w:uiPriority w:val="0"/>
    <w:rPr>
      <w:rFonts w:ascii="Times New Roman" w:hAnsi="Times New Roman"/>
      <w:szCs w:val="20"/>
    </w:rPr>
  </w:style>
  <w:style w:type="paragraph" w:customStyle="1" w:styleId="339">
    <w:name w:val="正文表标题"/>
    <w:next w:val="1"/>
    <w:autoRedefine/>
    <w:qFormat/>
    <w:uiPriority w:val="99"/>
    <w:pPr>
      <w:spacing w:beforeLines="50" w:afterLines="50"/>
      <w:jc w:val="center"/>
    </w:pPr>
    <w:rPr>
      <w:rFonts w:ascii="黑体" w:hAnsi="Calibri" w:eastAsia="黑体" w:cs="Times New Roman"/>
      <w:sz w:val="21"/>
      <w:szCs w:val="22"/>
      <w:lang w:val="en-US" w:eastAsia="zh-CN" w:bidi="ar-SA"/>
    </w:rPr>
  </w:style>
  <w:style w:type="paragraph" w:customStyle="1" w:styleId="340">
    <w:name w:val="4刘群正文*"/>
    <w:basedOn w:val="1"/>
    <w:autoRedefine/>
    <w:qFormat/>
    <w:uiPriority w:val="0"/>
    <w:pPr>
      <w:spacing w:line="520" w:lineRule="exact"/>
      <w:ind w:firstLine="480" w:firstLineChars="200"/>
    </w:pPr>
    <w:rPr>
      <w:rFonts w:ascii="Times New Roman" w:hAnsi="Times New Roman"/>
      <w:sz w:val="24"/>
      <w:szCs w:val="24"/>
    </w:rPr>
  </w:style>
  <w:style w:type="paragraph" w:customStyle="1" w:styleId="341">
    <w:name w:val="关键词"/>
    <w:autoRedefine/>
    <w:qFormat/>
    <w:uiPriority w:val="0"/>
    <w:pPr>
      <w:widowControl w:val="0"/>
      <w:adjustRightInd w:val="0"/>
      <w:spacing w:line="360" w:lineRule="auto"/>
      <w:jc w:val="both"/>
      <w:textAlignment w:val="baseline"/>
    </w:pPr>
    <w:rPr>
      <w:rFonts w:ascii="Calibri" w:hAnsi="Calibri" w:eastAsia="黑体" w:cs="Times New Roman"/>
      <w:sz w:val="24"/>
      <w:szCs w:val="24"/>
      <w:lang w:val="en-US" w:eastAsia="zh-CN" w:bidi="ar-SA"/>
    </w:rPr>
  </w:style>
  <w:style w:type="paragraph" w:customStyle="1" w:styleId="342">
    <w:name w:val="Table Paragraph"/>
    <w:basedOn w:val="1"/>
    <w:autoRedefine/>
    <w:qFormat/>
    <w:uiPriority w:val="0"/>
    <w:pPr>
      <w:autoSpaceDE w:val="0"/>
      <w:autoSpaceDN w:val="0"/>
      <w:adjustRightInd w:val="0"/>
      <w:jc w:val="center"/>
    </w:pPr>
    <w:rPr>
      <w:rFonts w:ascii="宋体" w:hAnsi="Times New Roman" w:cs="宋体"/>
      <w:kern w:val="0"/>
      <w:sz w:val="24"/>
      <w:szCs w:val="24"/>
    </w:rPr>
  </w:style>
  <w:style w:type="paragraph" w:customStyle="1" w:styleId="343">
    <w:name w:val="ht正文"/>
    <w:basedOn w:val="1"/>
    <w:autoRedefine/>
    <w:qFormat/>
    <w:uiPriority w:val="99"/>
    <w:pPr>
      <w:spacing w:line="360" w:lineRule="auto"/>
      <w:ind w:firstLine="496" w:firstLineChars="200"/>
    </w:pPr>
    <w:rPr>
      <w:rFonts w:ascii="宋体" w:hAnsi="宋体" w:cs="宋体"/>
      <w:spacing w:val="4"/>
      <w:sz w:val="24"/>
      <w:szCs w:val="24"/>
    </w:rPr>
  </w:style>
  <w:style w:type="paragraph" w:customStyle="1" w:styleId="344">
    <w:name w:val="正文11"/>
    <w:autoRedefine/>
    <w:qFormat/>
    <w:uiPriority w:val="0"/>
    <w:pPr>
      <w:jc w:val="both"/>
    </w:pPr>
    <w:rPr>
      <w:rFonts w:ascii="Calibri" w:hAnsi="Calibri" w:eastAsia="宋体" w:cs="Times New Roman"/>
      <w:kern w:val="2"/>
      <w:sz w:val="21"/>
      <w:szCs w:val="21"/>
      <w:lang w:val="en-US" w:eastAsia="zh-CN" w:bidi="ar-SA"/>
    </w:rPr>
  </w:style>
  <w:style w:type="paragraph" w:customStyle="1" w:styleId="345">
    <w:name w:val="WPS Plain"/>
    <w:autoRedefine/>
    <w:qFormat/>
    <w:uiPriority w:val="99"/>
    <w:rPr>
      <w:rFonts w:ascii="Calibri" w:hAnsi="Calibri" w:eastAsia="宋体" w:cs="Times New Roman"/>
      <w:sz w:val="21"/>
      <w:szCs w:val="22"/>
      <w:lang w:val="en-US" w:eastAsia="zh-CN" w:bidi="ar-SA"/>
    </w:rPr>
  </w:style>
  <w:style w:type="paragraph" w:customStyle="1" w:styleId="346">
    <w:name w:val="正文5"/>
    <w:autoRedefine/>
    <w:qFormat/>
    <w:uiPriority w:val="99"/>
    <w:pPr>
      <w:jc w:val="both"/>
    </w:pPr>
    <w:rPr>
      <w:rFonts w:ascii="Calibri" w:hAnsi="Calibri" w:eastAsia="宋体" w:cs="Times New Roman"/>
      <w:kern w:val="2"/>
      <w:sz w:val="21"/>
      <w:szCs w:val="21"/>
      <w:lang w:val="en-US" w:eastAsia="zh-CN" w:bidi="ar-SA"/>
    </w:rPr>
  </w:style>
  <w:style w:type="paragraph" w:customStyle="1" w:styleId="347">
    <w:name w:val="表格2"/>
    <w:autoRedefine/>
    <w:qFormat/>
    <w:uiPriority w:val="0"/>
    <w:pPr>
      <w:spacing w:line="400" w:lineRule="exact"/>
      <w:jc w:val="center"/>
    </w:pPr>
    <w:rPr>
      <w:rFonts w:ascii="Calibri" w:hAnsi="Calibri" w:eastAsia="宋体" w:cs="Times New Roman"/>
      <w:sz w:val="21"/>
      <w:lang w:val="en-US" w:eastAsia="zh-CN" w:bidi="ar-SA"/>
    </w:rPr>
  </w:style>
  <w:style w:type="paragraph" w:customStyle="1" w:styleId="348">
    <w:name w:val="样式 标题 1 + (西文) Arial (中文) 黑体 三号 两端对齐 首行缩进:  0.87 厘米 段前: 6 磅..."/>
    <w:basedOn w:val="6"/>
    <w:autoRedefine/>
    <w:qFormat/>
    <w:uiPriority w:val="0"/>
    <w:pPr>
      <w:pageBreakBefore/>
      <w:numPr>
        <w:numId w:val="0"/>
      </w:numPr>
      <w:spacing w:before="160" w:after="160" w:line="500" w:lineRule="exact"/>
      <w:ind w:firstLine="493"/>
      <w:jc w:val="both"/>
    </w:pPr>
    <w:rPr>
      <w:rFonts w:ascii="Arial" w:hAnsi="Arial" w:cs="宋体"/>
      <w:spacing w:val="16"/>
      <w:w w:val="90"/>
      <w:kern w:val="32"/>
      <w:szCs w:val="32"/>
    </w:rPr>
  </w:style>
  <w:style w:type="paragraph" w:customStyle="1" w:styleId="349">
    <w:name w:val="样式 样式 样式 样式 首行缩进:  2 字符1 + 首行缩进:  2 字符 + 首行缩进:  2 字符 + 首行缩进:  2 ..."/>
    <w:basedOn w:val="1"/>
    <w:autoRedefine/>
    <w:qFormat/>
    <w:uiPriority w:val="0"/>
    <w:pPr>
      <w:ind w:firstLine="500" w:firstLineChars="200"/>
    </w:pPr>
    <w:rPr>
      <w:rFonts w:ascii="Times New Roman" w:hAnsi="Times New Roman" w:cs="宋体"/>
      <w:sz w:val="24"/>
      <w:szCs w:val="20"/>
    </w:rPr>
  </w:style>
  <w:style w:type="paragraph" w:customStyle="1" w:styleId="350">
    <w:name w:val="文本"/>
    <w:autoRedefine/>
    <w:qFormat/>
    <w:uiPriority w:val="99"/>
    <w:pPr>
      <w:adjustRightInd w:val="0"/>
      <w:snapToGrid w:val="0"/>
      <w:spacing w:line="500" w:lineRule="exact"/>
      <w:ind w:firstLine="524" w:firstLineChars="200"/>
      <w:jc w:val="both"/>
    </w:pPr>
    <w:rPr>
      <w:rFonts w:ascii="仿宋_GB2312" w:hAnsi="Calibri" w:eastAsia="仿宋_GB2312" w:cs="Times New Roman"/>
      <w:sz w:val="24"/>
      <w:szCs w:val="22"/>
      <w:lang w:val="en-US" w:eastAsia="zh-CN" w:bidi="ar-SA"/>
    </w:rPr>
  </w:style>
  <w:style w:type="paragraph" w:customStyle="1" w:styleId="351">
    <w:name w:val="标题 2，二级标题"/>
    <w:basedOn w:val="7"/>
    <w:autoRedefine/>
    <w:qFormat/>
    <w:uiPriority w:val="99"/>
    <w:pPr>
      <w:numPr>
        <w:ilvl w:val="0"/>
        <w:numId w:val="0"/>
      </w:numPr>
      <w:spacing w:before="260" w:after="260" w:line="415" w:lineRule="auto"/>
      <w:jc w:val="both"/>
    </w:pPr>
    <w:rPr>
      <w:rFonts w:ascii="Arial" w:hAnsi="Arial"/>
      <w:bCs w:val="0"/>
      <w:sz w:val="24"/>
      <w:szCs w:val="24"/>
    </w:rPr>
  </w:style>
  <w:style w:type="paragraph" w:customStyle="1" w:styleId="352">
    <w:name w:val="正文10"/>
    <w:autoRedefine/>
    <w:qFormat/>
    <w:uiPriority w:val="0"/>
    <w:pPr>
      <w:jc w:val="both"/>
    </w:pPr>
    <w:rPr>
      <w:rFonts w:ascii="Calibri" w:hAnsi="Calibri" w:eastAsia="宋体" w:cs="Times New Roman"/>
      <w:kern w:val="2"/>
      <w:sz w:val="21"/>
      <w:szCs w:val="21"/>
      <w:lang w:val="en-US" w:eastAsia="zh-CN" w:bidi="ar-SA"/>
    </w:rPr>
  </w:style>
  <w:style w:type="paragraph" w:customStyle="1" w:styleId="353">
    <w:name w:val="明显引用1"/>
    <w:basedOn w:val="1"/>
    <w:next w:val="1"/>
    <w:autoRedefine/>
    <w:qFormat/>
    <w:uiPriority w:val="30"/>
    <w:pPr>
      <w:pBdr>
        <w:top w:val="single" w:color="4F81BD" w:sz="4" w:space="10"/>
        <w:bottom w:val="single" w:color="4F81BD" w:sz="4" w:space="10"/>
      </w:pBdr>
      <w:spacing w:before="360" w:after="360" w:line="500" w:lineRule="exact"/>
      <w:ind w:left="864" w:right="864" w:firstLine="200" w:firstLineChars="200"/>
      <w:jc w:val="center"/>
    </w:pPr>
    <w:rPr>
      <w:i/>
      <w:iCs/>
      <w:color w:val="4F81BD"/>
      <w:sz w:val="24"/>
    </w:rPr>
  </w:style>
  <w:style w:type="paragraph" w:customStyle="1" w:styleId="354">
    <w:name w:val="xl66"/>
    <w:basedOn w:val="1"/>
    <w:autoRedefine/>
    <w:qFormat/>
    <w:uiPriority w:val="0"/>
    <w:pPr>
      <w:widowControl/>
      <w:pBdr>
        <w:left w:val="single" w:color="auto" w:sz="4" w:space="0"/>
        <w:bottom w:val="single" w:color="auto" w:sz="4" w:space="0"/>
      </w:pBdr>
      <w:spacing w:before="100" w:beforeAutospacing="1" w:after="100" w:afterAutospacing="1"/>
      <w:jc w:val="center"/>
      <w:textAlignment w:val="center"/>
    </w:pPr>
    <w:rPr>
      <w:rFonts w:ascii="Times New Roman" w:hAnsi="Times New Roman"/>
      <w:kern w:val="0"/>
      <w:szCs w:val="21"/>
    </w:rPr>
  </w:style>
  <w:style w:type="paragraph" w:customStyle="1" w:styleId="355">
    <w:name w:val="默认段落字体 Para Char"/>
    <w:basedOn w:val="1"/>
    <w:next w:val="1"/>
    <w:autoRedefine/>
    <w:qFormat/>
    <w:uiPriority w:val="0"/>
    <w:pPr>
      <w:spacing w:line="360" w:lineRule="auto"/>
      <w:ind w:firstLine="200" w:firstLineChars="200"/>
    </w:pPr>
    <w:rPr>
      <w:rFonts w:ascii="宋体" w:hAnsi="宋体" w:cs="宋体"/>
      <w:sz w:val="24"/>
      <w:szCs w:val="21"/>
    </w:rPr>
  </w:style>
  <w:style w:type="paragraph" w:customStyle="1" w:styleId="356">
    <w:name w:val="图标题"/>
    <w:basedOn w:val="77"/>
    <w:autoRedefine/>
    <w:qFormat/>
    <w:uiPriority w:val="99"/>
    <w:pPr>
      <w:spacing w:after="0" w:afterAutospacing="0" w:line="360" w:lineRule="auto"/>
    </w:pPr>
    <w:rPr>
      <w:bCs/>
      <w:sz w:val="24"/>
      <w:szCs w:val="24"/>
    </w:rPr>
  </w:style>
  <w:style w:type="paragraph" w:customStyle="1" w:styleId="357">
    <w:name w:val="正文21"/>
    <w:basedOn w:val="1"/>
    <w:autoRedefine/>
    <w:qFormat/>
    <w:uiPriority w:val="99"/>
    <w:pPr>
      <w:widowControl/>
    </w:pPr>
    <w:rPr>
      <w:rFonts w:cs="宋体"/>
      <w:szCs w:val="21"/>
    </w:rPr>
  </w:style>
  <w:style w:type="paragraph" w:customStyle="1" w:styleId="358">
    <w:name w:val="TOC 标题11"/>
    <w:basedOn w:val="6"/>
    <w:next w:val="1"/>
    <w:autoRedefine/>
    <w:unhideWhenUsed/>
    <w:qFormat/>
    <w:uiPriority w:val="39"/>
    <w:pPr>
      <w:keepLines/>
      <w:numPr>
        <w:numId w:val="0"/>
      </w:numPr>
      <w:spacing w:before="240" w:after="0" w:line="259" w:lineRule="auto"/>
      <w:outlineLvl w:val="9"/>
    </w:pPr>
    <w:rPr>
      <w:rFonts w:ascii="Cambria" w:hAnsi="Cambria" w:eastAsia="宋体"/>
      <w:b/>
      <w:color w:val="366091"/>
      <w:kern w:val="0"/>
      <w:szCs w:val="32"/>
    </w:rPr>
  </w:style>
  <w:style w:type="paragraph" w:customStyle="1" w:styleId="359">
    <w:name w:val="列出段落1"/>
    <w:basedOn w:val="1"/>
    <w:autoRedefine/>
    <w:unhideWhenUsed/>
    <w:qFormat/>
    <w:uiPriority w:val="99"/>
    <w:pPr>
      <w:ind w:firstLine="420" w:firstLineChars="200"/>
    </w:pPr>
    <w:rPr>
      <w:szCs w:val="21"/>
    </w:rPr>
  </w:style>
  <w:style w:type="paragraph" w:customStyle="1" w:styleId="360">
    <w:name w:val="列出段落12"/>
    <w:basedOn w:val="1"/>
    <w:autoRedefine/>
    <w:qFormat/>
    <w:uiPriority w:val="99"/>
    <w:pPr>
      <w:ind w:firstLine="420" w:firstLineChars="200"/>
    </w:pPr>
    <w:rPr>
      <w:szCs w:val="21"/>
    </w:rPr>
  </w:style>
  <w:style w:type="paragraph" w:customStyle="1" w:styleId="361">
    <w:name w:val="正文SK"/>
    <w:basedOn w:val="1"/>
    <w:next w:val="1"/>
    <w:autoRedefine/>
    <w:qFormat/>
    <w:uiPriority w:val="99"/>
    <w:rPr>
      <w:rFonts w:ascii="Times New Roman" w:hAnsi="Times New Roman"/>
      <w:sz w:val="24"/>
      <w:szCs w:val="24"/>
    </w:rPr>
  </w:style>
  <w:style w:type="paragraph" w:customStyle="1" w:styleId="362">
    <w:name w:val="正文6"/>
    <w:autoRedefine/>
    <w:qFormat/>
    <w:uiPriority w:val="99"/>
    <w:pPr>
      <w:jc w:val="both"/>
    </w:pPr>
    <w:rPr>
      <w:rFonts w:ascii="Calibri" w:hAnsi="Calibri" w:eastAsia="宋体" w:cs="Times New Roman"/>
      <w:kern w:val="2"/>
      <w:sz w:val="21"/>
      <w:szCs w:val="21"/>
      <w:lang w:val="en-US" w:eastAsia="zh-CN" w:bidi="ar-SA"/>
    </w:rPr>
  </w:style>
  <w:style w:type="paragraph" w:customStyle="1" w:styleId="363">
    <w:name w:val="图表名称"/>
    <w:autoRedefine/>
    <w:qFormat/>
    <w:uiPriority w:val="99"/>
    <w:pPr>
      <w:adjustRightInd w:val="0"/>
      <w:snapToGrid w:val="0"/>
      <w:spacing w:line="520" w:lineRule="exact"/>
      <w:jc w:val="center"/>
    </w:pPr>
    <w:rPr>
      <w:rFonts w:ascii="仿宋_GB2312" w:hAnsi="Calibri" w:eastAsia="仿宋_GB2312" w:cs="Times New Roman"/>
      <w:b/>
      <w:sz w:val="24"/>
      <w:szCs w:val="22"/>
      <w:lang w:val="en-US" w:eastAsia="zh-CN" w:bidi="ar-SA"/>
    </w:rPr>
  </w:style>
  <w:style w:type="paragraph" w:customStyle="1" w:styleId="364">
    <w:name w:val="列出段落6"/>
    <w:basedOn w:val="1"/>
    <w:autoRedefine/>
    <w:unhideWhenUsed/>
    <w:qFormat/>
    <w:uiPriority w:val="99"/>
    <w:pPr>
      <w:ind w:firstLine="420" w:firstLineChars="200"/>
    </w:pPr>
    <w:rPr>
      <w:rFonts w:ascii="Times New Roman" w:hAnsi="Times New Roman"/>
      <w:szCs w:val="21"/>
    </w:rPr>
  </w:style>
  <w:style w:type="paragraph" w:customStyle="1" w:styleId="365">
    <w:name w:val="！正文"/>
    <w:basedOn w:val="1"/>
    <w:autoRedefine/>
    <w:qFormat/>
    <w:uiPriority w:val="99"/>
    <w:pPr>
      <w:spacing w:line="360" w:lineRule="auto"/>
      <w:ind w:firstLine="200" w:firstLineChars="200"/>
    </w:pPr>
    <w:rPr>
      <w:rFonts w:cs="宋体"/>
      <w:sz w:val="24"/>
      <w:szCs w:val="24"/>
    </w:rPr>
  </w:style>
  <w:style w:type="paragraph" w:customStyle="1" w:styleId="366">
    <w:name w:val="6 表中字体"/>
    <w:basedOn w:val="1"/>
    <w:autoRedefine/>
    <w:qFormat/>
    <w:uiPriority w:val="0"/>
    <w:pPr>
      <w:jc w:val="center"/>
      <w:textAlignment w:val="center"/>
    </w:pPr>
    <w:rPr>
      <w:rFonts w:ascii="Times New Roman" w:hAnsi="Times New Roman"/>
      <w:kern w:val="0"/>
      <w:szCs w:val="21"/>
    </w:rPr>
  </w:style>
  <w:style w:type="paragraph" w:customStyle="1" w:styleId="367">
    <w:name w:val="表标题"/>
    <w:basedOn w:val="1"/>
    <w:autoRedefine/>
    <w:qFormat/>
    <w:uiPriority w:val="0"/>
    <w:pPr>
      <w:ind w:firstLine="100" w:firstLineChars="100"/>
      <w:jc w:val="left"/>
    </w:pPr>
    <w:rPr>
      <w:rFonts w:eastAsia="黑体"/>
      <w:sz w:val="24"/>
      <w:szCs w:val="21"/>
    </w:rPr>
  </w:style>
  <w:style w:type="paragraph" w:customStyle="1" w:styleId="368">
    <w:name w:val="p0"/>
    <w:basedOn w:val="1"/>
    <w:autoRedefine/>
    <w:qFormat/>
    <w:uiPriority w:val="0"/>
    <w:pPr>
      <w:widowControl/>
    </w:pPr>
    <w:rPr>
      <w:rFonts w:ascii="Arial" w:hAnsi="Arial"/>
      <w:kern w:val="0"/>
      <w:szCs w:val="21"/>
    </w:rPr>
  </w:style>
  <w:style w:type="paragraph" w:customStyle="1" w:styleId="369">
    <w:name w:val="表内5"/>
    <w:basedOn w:val="309"/>
    <w:autoRedefine/>
    <w:qFormat/>
    <w:uiPriority w:val="0"/>
    <w:pPr>
      <w:spacing w:line="240" w:lineRule="auto"/>
      <w:ind w:firstLine="0" w:firstLineChars="0"/>
      <w:jc w:val="center"/>
    </w:pPr>
    <w:rPr>
      <w:sz w:val="21"/>
      <w:szCs w:val="21"/>
    </w:rPr>
  </w:style>
  <w:style w:type="paragraph" w:customStyle="1" w:styleId="370">
    <w:name w:val="正文7"/>
    <w:autoRedefine/>
    <w:qFormat/>
    <w:uiPriority w:val="99"/>
    <w:pPr>
      <w:jc w:val="both"/>
    </w:pPr>
    <w:rPr>
      <w:rFonts w:ascii="Calibri" w:hAnsi="Calibri" w:eastAsia="宋体" w:cs="Times New Roman"/>
      <w:kern w:val="2"/>
      <w:sz w:val="21"/>
      <w:szCs w:val="21"/>
      <w:lang w:val="en-US" w:eastAsia="zh-CN" w:bidi="ar-SA"/>
    </w:rPr>
  </w:style>
  <w:style w:type="paragraph" w:customStyle="1" w:styleId="371">
    <w:name w:val="样式 样式 正文首行缩进 + 首行缩进:  1 字符 + 13 磅 首行缩进:  2 字符"/>
    <w:basedOn w:val="1"/>
    <w:autoRedefine/>
    <w:qFormat/>
    <w:uiPriority w:val="0"/>
    <w:pPr>
      <w:spacing w:line="500" w:lineRule="exact"/>
      <w:ind w:firstLine="200" w:firstLineChars="200"/>
    </w:pPr>
    <w:rPr>
      <w:rFonts w:ascii="Times New Roman" w:hAnsi="Times New Roman" w:cs="宋体"/>
      <w:sz w:val="26"/>
      <w:szCs w:val="20"/>
    </w:rPr>
  </w:style>
  <w:style w:type="paragraph" w:customStyle="1" w:styleId="372">
    <w:name w:val="纯文本1"/>
    <w:basedOn w:val="1"/>
    <w:autoRedefine/>
    <w:qFormat/>
    <w:uiPriority w:val="0"/>
    <w:pPr>
      <w:adjustRightInd w:val="0"/>
      <w:jc w:val="left"/>
      <w:textAlignment w:val="baseline"/>
    </w:pPr>
    <w:rPr>
      <w:rFonts w:ascii="宋体" w:hAnsi="Courier New"/>
      <w:sz w:val="24"/>
      <w:szCs w:val="20"/>
    </w:rPr>
  </w:style>
  <w:style w:type="paragraph" w:customStyle="1" w:styleId="373">
    <w:name w:val="正文9"/>
    <w:autoRedefine/>
    <w:qFormat/>
    <w:uiPriority w:val="0"/>
    <w:pPr>
      <w:jc w:val="both"/>
    </w:pPr>
    <w:rPr>
      <w:rFonts w:ascii="Calibri" w:hAnsi="Calibri" w:eastAsia="宋体" w:cs="Times New Roman"/>
      <w:kern w:val="2"/>
      <w:sz w:val="21"/>
      <w:szCs w:val="21"/>
      <w:lang w:val="en-US" w:eastAsia="zh-CN" w:bidi="ar-SA"/>
    </w:rPr>
  </w:style>
  <w:style w:type="paragraph" w:customStyle="1" w:styleId="374">
    <w:name w:val="列出段落4"/>
    <w:basedOn w:val="1"/>
    <w:autoRedefine/>
    <w:qFormat/>
    <w:uiPriority w:val="99"/>
    <w:pPr>
      <w:ind w:firstLine="420" w:firstLineChars="200"/>
    </w:pPr>
    <w:rPr>
      <w:rFonts w:ascii="Times New Roman" w:hAnsi="Times New Roman"/>
      <w:szCs w:val="21"/>
    </w:rPr>
  </w:style>
  <w:style w:type="paragraph" w:customStyle="1" w:styleId="375">
    <w:name w:val="列出段落5"/>
    <w:basedOn w:val="1"/>
    <w:autoRedefine/>
    <w:unhideWhenUsed/>
    <w:qFormat/>
    <w:uiPriority w:val="99"/>
    <w:pPr>
      <w:ind w:firstLine="420" w:firstLineChars="200"/>
    </w:pPr>
    <w:rPr>
      <w:rFonts w:ascii="Times New Roman" w:hAnsi="Times New Roman"/>
      <w:szCs w:val="21"/>
    </w:rPr>
  </w:style>
  <w:style w:type="paragraph" w:customStyle="1" w:styleId="376">
    <w:name w:val="表格文字"/>
    <w:basedOn w:val="1"/>
    <w:autoRedefine/>
    <w:qFormat/>
    <w:uiPriority w:val="0"/>
    <w:pPr>
      <w:autoSpaceDE w:val="0"/>
      <w:autoSpaceDN w:val="0"/>
      <w:adjustRightInd w:val="0"/>
      <w:jc w:val="center"/>
    </w:pPr>
    <w:rPr>
      <w:rFonts w:ascii="宋体" w:hAnsi="宋体"/>
      <w:szCs w:val="21"/>
    </w:rPr>
  </w:style>
  <w:style w:type="paragraph" w:customStyle="1" w:styleId="377">
    <w:name w:val="表题 Char"/>
    <w:basedOn w:val="1"/>
    <w:autoRedefine/>
    <w:qFormat/>
    <w:uiPriority w:val="0"/>
    <w:pPr>
      <w:spacing w:line="360" w:lineRule="auto"/>
      <w:jc w:val="center"/>
    </w:pPr>
    <w:rPr>
      <w:rFonts w:ascii="黑体" w:hAnsi="Times New Roman" w:eastAsia="黑体"/>
      <w:bCs/>
      <w:sz w:val="24"/>
      <w:szCs w:val="24"/>
    </w:rPr>
  </w:style>
  <w:style w:type="paragraph" w:customStyle="1" w:styleId="378">
    <w:name w:val="font5"/>
    <w:basedOn w:val="1"/>
    <w:autoRedefine/>
    <w:qFormat/>
    <w:uiPriority w:val="0"/>
    <w:pPr>
      <w:widowControl/>
      <w:spacing w:before="100" w:beforeAutospacing="1" w:after="100" w:afterAutospacing="1"/>
      <w:jc w:val="left"/>
    </w:pPr>
    <w:rPr>
      <w:rFonts w:hint="eastAsia" w:ascii="宋体" w:hAnsi="宋体" w:cs="Arial Unicode MS"/>
      <w:kern w:val="0"/>
      <w:sz w:val="20"/>
      <w:szCs w:val="20"/>
    </w:rPr>
  </w:style>
  <w:style w:type="paragraph" w:customStyle="1" w:styleId="379">
    <w:name w:val="无间隔2"/>
    <w:autoRedefine/>
    <w:qFormat/>
    <w:uiPriority w:val="1"/>
    <w:pPr>
      <w:widowControl w:val="0"/>
      <w:jc w:val="both"/>
    </w:pPr>
    <w:rPr>
      <w:rFonts w:ascii="Calibri" w:hAnsi="Calibri" w:eastAsia="宋体" w:cs="Times New Roman"/>
      <w:kern w:val="2"/>
      <w:sz w:val="21"/>
      <w:szCs w:val="22"/>
      <w:lang w:val="en-US" w:eastAsia="zh-CN" w:bidi="ar-SA"/>
    </w:rPr>
  </w:style>
  <w:style w:type="paragraph" w:customStyle="1" w:styleId="380">
    <w:name w:val="_Style 2"/>
    <w:basedOn w:val="1"/>
    <w:autoRedefine/>
    <w:qFormat/>
    <w:uiPriority w:val="99"/>
    <w:pPr>
      <w:ind w:firstLine="420" w:firstLineChars="200"/>
    </w:pPr>
    <w:rPr>
      <w:rFonts w:ascii="Times New Roman" w:hAnsi="Times New Roman"/>
      <w:szCs w:val="21"/>
    </w:rPr>
  </w:style>
  <w:style w:type="paragraph" w:customStyle="1" w:styleId="381">
    <w:name w:val="表内文字"/>
    <w:basedOn w:val="1"/>
    <w:link w:val="470"/>
    <w:autoRedefine/>
    <w:qFormat/>
    <w:uiPriority w:val="0"/>
    <w:pPr>
      <w:adjustRightInd w:val="0"/>
      <w:snapToGrid w:val="0"/>
      <w:spacing w:line="360" w:lineRule="auto"/>
      <w:jc w:val="center"/>
    </w:pPr>
    <w:rPr>
      <w:rFonts w:ascii="Times New Roman" w:hAnsi="Times New Roman"/>
      <w:szCs w:val="21"/>
    </w:rPr>
  </w:style>
  <w:style w:type="paragraph" w:customStyle="1" w:styleId="382">
    <w:name w:val="YJ文中标题"/>
    <w:basedOn w:val="1"/>
    <w:autoRedefine/>
    <w:qFormat/>
    <w:uiPriority w:val="99"/>
    <w:pPr>
      <w:snapToGrid w:val="0"/>
      <w:spacing w:line="520" w:lineRule="exact"/>
      <w:ind w:firstLine="200" w:firstLineChars="200"/>
      <w:jc w:val="left"/>
    </w:pPr>
    <w:rPr>
      <w:rFonts w:ascii="Times New Roman" w:hAnsi="Times New Roman"/>
      <w:b/>
      <w:sz w:val="24"/>
      <w:szCs w:val="20"/>
    </w:rPr>
  </w:style>
  <w:style w:type="paragraph" w:customStyle="1" w:styleId="383">
    <w:name w:val="表头 02"/>
    <w:basedOn w:val="1"/>
    <w:autoRedefine/>
    <w:qFormat/>
    <w:uiPriority w:val="0"/>
    <w:pPr>
      <w:suppressLineNumbers/>
      <w:suppressAutoHyphens/>
      <w:adjustRightInd w:val="0"/>
      <w:snapToGrid w:val="0"/>
      <w:spacing w:line="500" w:lineRule="exact"/>
      <w:contextualSpacing/>
      <w:jc w:val="center"/>
      <w:textAlignment w:val="center"/>
    </w:pPr>
    <w:rPr>
      <w:rFonts w:ascii="黑体" w:hAnsi="黑体" w:eastAsia="黑体" w:cs="宋体"/>
      <w:b/>
      <w:bCs/>
      <w:color w:val="FF0000"/>
      <w:kern w:val="0"/>
      <w:szCs w:val="21"/>
    </w:rPr>
  </w:style>
  <w:style w:type="paragraph" w:customStyle="1" w:styleId="384">
    <w:name w:val="9点"/>
    <w:basedOn w:val="1"/>
    <w:autoRedefine/>
    <w:qFormat/>
    <w:uiPriority w:val="0"/>
    <w:pPr>
      <w:tabs>
        <w:tab w:val="left" w:pos="1290"/>
      </w:tabs>
      <w:adjustRightInd w:val="0"/>
      <w:snapToGrid w:val="0"/>
      <w:spacing w:line="300" w:lineRule="auto"/>
      <w:ind w:left="1290" w:hanging="720"/>
      <w:jc w:val="center"/>
    </w:pPr>
    <w:rPr>
      <w:rFonts w:ascii="宋体" w:hAnsi="Times New Roman"/>
      <w:sz w:val="24"/>
      <w:szCs w:val="20"/>
    </w:rPr>
  </w:style>
  <w:style w:type="paragraph" w:customStyle="1" w:styleId="385">
    <w:name w:val="样式 表头 + 段后: 6 磅"/>
    <w:basedOn w:val="77"/>
    <w:autoRedefine/>
    <w:qFormat/>
    <w:uiPriority w:val="0"/>
    <w:pPr>
      <w:keepNext/>
      <w:widowControl w:val="0"/>
      <w:spacing w:before="60" w:beforeLines="0" w:after="120" w:afterAutospacing="0" w:line="400" w:lineRule="exact"/>
      <w:ind w:firstLine="493"/>
      <w:jc w:val="left"/>
    </w:pPr>
    <w:rPr>
      <w:rFonts w:ascii="Times New Roman" w:hAnsi="Times New Roman"/>
      <w:color w:val="000000"/>
      <w:spacing w:val="8"/>
      <w:kern w:val="21"/>
    </w:rPr>
  </w:style>
  <w:style w:type="paragraph" w:customStyle="1" w:styleId="386">
    <w:name w:val="Default"/>
    <w:autoRedefine/>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87">
    <w:name w:val="无间隔1"/>
    <w:autoRedefine/>
    <w:qFormat/>
    <w:uiPriority w:val="1"/>
    <w:pPr>
      <w:widowControl w:val="0"/>
      <w:jc w:val="both"/>
    </w:pPr>
    <w:rPr>
      <w:rFonts w:ascii="Calibri" w:hAnsi="Calibri" w:eastAsia="宋体" w:cs="Times New Roman"/>
      <w:kern w:val="2"/>
      <w:sz w:val="21"/>
      <w:szCs w:val="22"/>
      <w:lang w:val="en-US" w:eastAsia="zh-CN" w:bidi="ar-SA"/>
    </w:rPr>
  </w:style>
  <w:style w:type="paragraph" w:customStyle="1" w:styleId="388">
    <w:name w:val="Char Char2 Char Char Char Char Char Char Char Char Char Char Char Char Char Char Char Char"/>
    <w:basedOn w:val="1"/>
    <w:autoRedefine/>
    <w:qFormat/>
    <w:uiPriority w:val="99"/>
    <w:rPr>
      <w:rFonts w:ascii="Times New Roman" w:hAnsi="Times New Roman"/>
      <w:szCs w:val="21"/>
    </w:rPr>
  </w:style>
  <w:style w:type="paragraph" w:customStyle="1" w:styleId="389">
    <w:name w:val="Char1"/>
    <w:basedOn w:val="1"/>
    <w:autoRedefine/>
    <w:qFormat/>
    <w:uiPriority w:val="99"/>
    <w:rPr>
      <w:rFonts w:ascii="Times New Roman" w:hAnsi="Times New Roman"/>
      <w:szCs w:val="24"/>
    </w:rPr>
  </w:style>
  <w:style w:type="paragraph" w:customStyle="1" w:styleId="390">
    <w:name w:val="表中字体"/>
    <w:basedOn w:val="18"/>
    <w:autoRedefine/>
    <w:qFormat/>
    <w:uiPriority w:val="0"/>
    <w:pPr>
      <w:spacing w:line="240" w:lineRule="exact"/>
      <w:ind w:firstLine="0" w:firstLineChars="0"/>
      <w:jc w:val="center"/>
    </w:pPr>
    <w:rPr>
      <w:sz w:val="21"/>
    </w:rPr>
  </w:style>
  <w:style w:type="paragraph" w:customStyle="1" w:styleId="391">
    <w:name w:val="ZQL正文*"/>
    <w:basedOn w:val="1"/>
    <w:autoRedefine/>
    <w:qFormat/>
    <w:uiPriority w:val="0"/>
    <w:pPr>
      <w:adjustRightInd w:val="0"/>
      <w:snapToGrid w:val="0"/>
      <w:spacing w:line="500" w:lineRule="exact"/>
      <w:ind w:firstLine="200" w:firstLineChars="200"/>
    </w:pPr>
    <w:rPr>
      <w:rFonts w:ascii="Times New Roman" w:hAnsi="Times New Roman"/>
      <w:sz w:val="24"/>
      <w:szCs w:val="24"/>
    </w:rPr>
  </w:style>
  <w:style w:type="paragraph" w:customStyle="1" w:styleId="392">
    <w:name w:val="正文12"/>
    <w:autoRedefine/>
    <w:qFormat/>
    <w:uiPriority w:val="0"/>
    <w:pPr>
      <w:jc w:val="both"/>
    </w:pPr>
    <w:rPr>
      <w:rFonts w:ascii="Calibri" w:hAnsi="Calibri" w:eastAsia="宋体" w:cs="Times New Roman"/>
      <w:kern w:val="2"/>
      <w:sz w:val="21"/>
      <w:szCs w:val="21"/>
      <w:lang w:val="en-US" w:eastAsia="zh-CN" w:bidi="ar-SA"/>
    </w:rPr>
  </w:style>
  <w:style w:type="paragraph" w:customStyle="1" w:styleId="393">
    <w:name w:val="列出段落7"/>
    <w:basedOn w:val="1"/>
    <w:autoRedefine/>
    <w:qFormat/>
    <w:uiPriority w:val="99"/>
    <w:pPr>
      <w:ind w:firstLine="420" w:firstLineChars="200"/>
    </w:pPr>
    <w:rPr>
      <w:szCs w:val="21"/>
    </w:rPr>
  </w:style>
  <w:style w:type="paragraph" w:customStyle="1" w:styleId="394">
    <w:name w:val="1"/>
    <w:autoRedefine/>
    <w:unhideWhenUsed/>
    <w:qFormat/>
    <w:uiPriority w:val="99"/>
    <w:pPr>
      <w:widowControl w:val="0"/>
      <w:jc w:val="both"/>
    </w:pPr>
    <w:rPr>
      <w:rFonts w:ascii="Calibri" w:hAnsi="Calibri" w:eastAsia="宋体" w:cs="Times New Roman"/>
      <w:kern w:val="2"/>
      <w:sz w:val="21"/>
      <w:szCs w:val="22"/>
      <w:lang w:val="en-US" w:eastAsia="zh-CN" w:bidi="ar-SA"/>
    </w:rPr>
  </w:style>
  <w:style w:type="paragraph" w:customStyle="1" w:styleId="395">
    <w:name w:val="xl28"/>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18"/>
      <w:szCs w:val="18"/>
    </w:rPr>
  </w:style>
  <w:style w:type="paragraph" w:customStyle="1" w:styleId="396">
    <w:name w:val="表题"/>
    <w:basedOn w:val="18"/>
    <w:autoRedefine/>
    <w:qFormat/>
    <w:uiPriority w:val="99"/>
    <w:pPr>
      <w:adjustRightInd w:val="0"/>
      <w:snapToGrid w:val="0"/>
      <w:spacing w:line="500" w:lineRule="exact"/>
      <w:ind w:firstLine="0" w:firstLineChars="0"/>
      <w:jc w:val="center"/>
    </w:pPr>
    <w:rPr>
      <w:rFonts w:cs="宋体"/>
      <w:b/>
      <w:bCs/>
    </w:rPr>
  </w:style>
  <w:style w:type="paragraph" w:customStyle="1" w:styleId="397">
    <w:name w:val="列出段落3"/>
    <w:basedOn w:val="1"/>
    <w:autoRedefine/>
    <w:unhideWhenUsed/>
    <w:qFormat/>
    <w:uiPriority w:val="99"/>
    <w:pPr>
      <w:ind w:firstLine="420" w:firstLineChars="200"/>
    </w:pPr>
    <w:rPr>
      <w:rFonts w:ascii="Times New Roman" w:hAnsi="Times New Roman"/>
      <w:szCs w:val="21"/>
    </w:rPr>
  </w:style>
  <w:style w:type="paragraph" w:customStyle="1" w:styleId="398">
    <w:name w:val="居中四号"/>
    <w:autoRedefine/>
    <w:qFormat/>
    <w:uiPriority w:val="0"/>
    <w:pPr>
      <w:spacing w:line="300" w:lineRule="auto"/>
      <w:jc w:val="center"/>
    </w:pPr>
    <w:rPr>
      <w:rFonts w:ascii="Calibri" w:hAnsi="Calibri" w:eastAsia="宋体" w:cs="Times New Roman"/>
      <w:sz w:val="28"/>
      <w:lang w:val="en-US" w:eastAsia="zh-CN" w:bidi="ar-SA"/>
    </w:rPr>
  </w:style>
  <w:style w:type="paragraph" w:customStyle="1" w:styleId="399">
    <w:name w:val="正文1"/>
    <w:basedOn w:val="1"/>
    <w:autoRedefine/>
    <w:qFormat/>
    <w:uiPriority w:val="99"/>
    <w:pPr>
      <w:widowControl/>
    </w:pPr>
    <w:rPr>
      <w:rFonts w:ascii="Times New Roman" w:hAnsi="Times New Roman"/>
      <w:szCs w:val="21"/>
    </w:rPr>
  </w:style>
  <w:style w:type="paragraph" w:customStyle="1" w:styleId="400">
    <w:name w:val="表、图名"/>
    <w:basedOn w:val="1"/>
    <w:link w:val="445"/>
    <w:autoRedefine/>
    <w:qFormat/>
    <w:uiPriority w:val="0"/>
    <w:pPr>
      <w:adjustRightInd w:val="0"/>
      <w:snapToGrid w:val="0"/>
      <w:spacing w:line="520" w:lineRule="exact"/>
      <w:ind w:left="-6" w:firstLine="560"/>
    </w:pPr>
    <w:rPr>
      <w:rFonts w:hint="eastAsia" w:ascii="黑体" w:hAnsi="Times New Roman" w:eastAsia="黑体"/>
      <w:szCs w:val="24"/>
    </w:rPr>
  </w:style>
  <w:style w:type="paragraph" w:customStyle="1" w:styleId="401">
    <w:name w:val="Char Char Char Char Char Char Char Char"/>
    <w:basedOn w:val="1"/>
    <w:autoRedefine/>
    <w:qFormat/>
    <w:uiPriority w:val="0"/>
    <w:rPr>
      <w:rFonts w:ascii="Times New Roman" w:hAnsi="Times New Roman"/>
      <w:szCs w:val="20"/>
    </w:rPr>
  </w:style>
  <w:style w:type="paragraph" w:customStyle="1" w:styleId="402">
    <w:name w:val="标准条文"/>
    <w:basedOn w:val="1"/>
    <w:next w:val="1"/>
    <w:autoRedefine/>
    <w:qFormat/>
    <w:uiPriority w:val="99"/>
    <w:pPr>
      <w:autoSpaceDE w:val="0"/>
      <w:autoSpaceDN w:val="0"/>
      <w:adjustRightInd w:val="0"/>
      <w:jc w:val="left"/>
    </w:pPr>
    <w:rPr>
      <w:rFonts w:ascii="黑体" w:eastAsia="黑体"/>
      <w:kern w:val="0"/>
      <w:sz w:val="24"/>
      <w:szCs w:val="24"/>
    </w:rPr>
  </w:style>
  <w:style w:type="paragraph" w:customStyle="1" w:styleId="403">
    <w:name w:val="样式 正文首行缩进 + 首行缩进:  1 字符"/>
    <w:basedOn w:val="4"/>
    <w:autoRedefine/>
    <w:qFormat/>
    <w:uiPriority w:val="0"/>
    <w:pPr>
      <w:widowControl w:val="0"/>
      <w:spacing w:after="0" w:line="520" w:lineRule="exact"/>
      <w:ind w:firstLine="200" w:firstLineChars="200"/>
      <w:jc w:val="both"/>
    </w:pPr>
    <w:rPr>
      <w:rFonts w:ascii="Times New Roman" w:hAnsi="Times New Roman" w:cs="宋体"/>
      <w:kern w:val="2"/>
    </w:rPr>
  </w:style>
  <w:style w:type="paragraph" w:customStyle="1" w:styleId="404">
    <w:name w:val="报告正文 + 首行缩进:  2 字符 Char"/>
    <w:basedOn w:val="1"/>
    <w:autoRedefine/>
    <w:qFormat/>
    <w:uiPriority w:val="0"/>
    <w:pPr>
      <w:spacing w:line="360" w:lineRule="auto"/>
      <w:ind w:firstLine="578" w:firstLineChars="200"/>
    </w:pPr>
    <w:rPr>
      <w:rFonts w:ascii="Times New Roman" w:hAnsi="Times New Roman"/>
      <w:bCs/>
    </w:rPr>
  </w:style>
  <w:style w:type="paragraph" w:customStyle="1" w:styleId="405">
    <w:name w:val="列出段落2"/>
    <w:basedOn w:val="1"/>
    <w:autoRedefine/>
    <w:unhideWhenUsed/>
    <w:qFormat/>
    <w:uiPriority w:val="34"/>
    <w:pPr>
      <w:ind w:firstLine="420" w:firstLineChars="200"/>
    </w:pPr>
    <w:rPr>
      <w:szCs w:val="21"/>
    </w:rPr>
  </w:style>
  <w:style w:type="paragraph" w:customStyle="1" w:styleId="406">
    <w:name w:val="正文2"/>
    <w:autoRedefine/>
    <w:qFormat/>
    <w:uiPriority w:val="0"/>
    <w:pPr>
      <w:jc w:val="both"/>
    </w:pPr>
    <w:rPr>
      <w:rFonts w:ascii="Calibri" w:hAnsi="Calibri" w:eastAsia="宋体" w:cs="Times New Roman"/>
      <w:kern w:val="2"/>
      <w:sz w:val="21"/>
      <w:szCs w:val="21"/>
      <w:lang w:val="en-US" w:eastAsia="zh-CN" w:bidi="ar-SA"/>
    </w:rPr>
  </w:style>
  <w:style w:type="paragraph" w:customStyle="1" w:styleId="407">
    <w:name w:val="xl63"/>
    <w:basedOn w:val="1"/>
    <w:autoRedefine/>
    <w:qFormat/>
    <w:uiPriority w:val="0"/>
    <w:pPr>
      <w:widowControl/>
      <w:spacing w:before="100" w:after="100"/>
      <w:jc w:val="center"/>
      <w:textAlignment w:val="center"/>
    </w:pPr>
    <w:rPr>
      <w:rFonts w:hint="eastAsia" w:ascii="黑体" w:hAnsi="宋体" w:eastAsia="黑体"/>
      <w:kern w:val="0"/>
      <w:sz w:val="24"/>
      <w:szCs w:val="20"/>
    </w:rPr>
  </w:style>
  <w:style w:type="paragraph" w:customStyle="1" w:styleId="408">
    <w:name w:val="表中文字"/>
    <w:basedOn w:val="1"/>
    <w:autoRedefine/>
    <w:qFormat/>
    <w:uiPriority w:val="0"/>
    <w:pPr>
      <w:jc w:val="center"/>
    </w:pPr>
    <w:rPr>
      <w:rFonts w:ascii="Times New Roman" w:hAnsi="Times New Roman"/>
      <w:szCs w:val="20"/>
    </w:rPr>
  </w:style>
  <w:style w:type="paragraph" w:customStyle="1" w:styleId="409">
    <w:name w:val="Char Char Char Char"/>
    <w:basedOn w:val="1"/>
    <w:autoRedefine/>
    <w:qFormat/>
    <w:uiPriority w:val="99"/>
    <w:rPr>
      <w:rFonts w:ascii="Times New Roman" w:hAnsi="Times New Roman"/>
      <w:szCs w:val="24"/>
    </w:rPr>
  </w:style>
  <w:style w:type="table" w:customStyle="1" w:styleId="410">
    <w:name w:val="报告书表格样式11"/>
    <w:basedOn w:val="51"/>
    <w:autoRedefine/>
    <w:qFormat/>
    <w:uiPriority w:val="0"/>
    <w:tblPr>
      <w:tblBorders>
        <w:top w:val="single" w:color="auto" w:sz="12" w:space="0"/>
        <w:bottom w:val="single" w:color="auto" w:sz="12" w:space="0"/>
        <w:insideH w:val="single" w:color="auto" w:sz="6" w:space="0"/>
        <w:insideV w:val="single" w:color="auto" w:sz="6" w:space="0"/>
      </w:tblBorders>
    </w:tblPr>
  </w:style>
  <w:style w:type="table" w:customStyle="1" w:styleId="411">
    <w:name w:val="样式24"/>
    <w:basedOn w:val="51"/>
    <w:autoRedefine/>
    <w:qFormat/>
    <w:uiPriority w:val="99"/>
    <w:pPr>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12">
    <w:name w:val="样式11"/>
    <w:basedOn w:val="51"/>
    <w:autoRedefine/>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13">
    <w:name w:val="网格型4"/>
    <w:basedOn w:val="51"/>
    <w:autoRedefine/>
    <w:qFormat/>
    <w:uiPriority w:val="39"/>
    <w:rPr>
      <w:rFonts w:ascii="等线" w:hAnsi="等线" w:eastAsia="等线"/>
      <w:kern w:val="2"/>
      <w:sz w:val="21"/>
      <w:szCs w:val="22"/>
    </w:rPr>
    <w:tblPr>
      <w:tblBorders>
        <w:top w:val="single" w:color="auto" w:sz="12" w:space="0"/>
        <w:bottom w:val="single" w:color="auto" w:sz="12" w:space="0"/>
        <w:insideH w:val="single" w:color="auto" w:sz="4" w:space="0"/>
        <w:insideV w:val="single" w:color="auto" w:sz="4" w:space="0"/>
      </w:tblBorders>
    </w:tblPr>
  </w:style>
  <w:style w:type="table" w:customStyle="1" w:styleId="414">
    <w:name w:val="网格型浅色1"/>
    <w:basedOn w:val="51"/>
    <w:autoRedefine/>
    <w:qFormat/>
    <w:uiPriority w:val="40"/>
    <w:tblPr>
      <w:jc w:val="center"/>
      <w:tblBorders>
        <w:top w:val="single" w:color="000000" w:sz="12" w:space="0"/>
        <w:bottom w:val="single" w:color="000000" w:sz="12" w:space="0"/>
        <w:insideH w:val="single" w:color="000000" w:sz="4" w:space="0"/>
        <w:insideV w:val="single" w:color="000000" w:sz="4" w:space="0"/>
      </w:tblBorders>
    </w:tblPr>
    <w:trPr>
      <w:jc w:val="center"/>
    </w:trPr>
    <w:tcPr>
      <w:shd w:val="clear" w:color="auto" w:fill="auto"/>
      <w:vAlign w:val="center"/>
    </w:tcPr>
  </w:style>
  <w:style w:type="table" w:customStyle="1" w:styleId="415">
    <w:name w:val="样式13"/>
    <w:basedOn w:val="51"/>
    <w:autoRedefine/>
    <w:qFormat/>
    <w:uiPriority w:val="99"/>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16">
    <w:name w:val="报告书表格样式13"/>
    <w:basedOn w:val="51"/>
    <w:autoRedefine/>
    <w:qFormat/>
    <w:uiPriority w:val="0"/>
    <w:pPr>
      <w:jc w:val="center"/>
    </w:pPr>
    <w:tblPr>
      <w:tblBorders>
        <w:top w:val="single" w:color="auto" w:sz="12" w:space="0"/>
        <w:bottom w:val="single" w:color="auto" w:sz="12" w:space="0"/>
        <w:insideH w:val="single" w:color="auto" w:sz="6" w:space="0"/>
        <w:insideV w:val="single" w:color="auto" w:sz="6" w:space="0"/>
      </w:tblBorders>
      <w:tblCellMar>
        <w:left w:w="28" w:type="dxa"/>
        <w:right w:w="28" w:type="dxa"/>
      </w:tblCellMar>
    </w:tblPr>
    <w:tcPr>
      <w:vAlign w:val="center"/>
    </w:tcPr>
  </w:style>
  <w:style w:type="table" w:customStyle="1" w:styleId="417">
    <w:name w:val="样式23"/>
    <w:basedOn w:val="51"/>
    <w:autoRedefine/>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18">
    <w:name w:val="报告书表格样式1"/>
    <w:basedOn w:val="51"/>
    <w:autoRedefine/>
    <w:qFormat/>
    <w:uiPriority w:val="0"/>
    <w:pPr>
      <w:adjustRightInd w:val="0"/>
      <w:snapToGrid w:val="0"/>
      <w:spacing w:line="300" w:lineRule="exact"/>
      <w:jc w:val="center"/>
    </w:pPr>
    <w:rPr>
      <w:rFonts w:ascii="宋体" w:hAnsi="宋体"/>
    </w:rPr>
    <w:tblPr>
      <w:jc w:val="center"/>
      <w:tblBorders>
        <w:top w:val="single" w:color="auto" w:sz="12" w:space="0"/>
        <w:bottom w:val="single" w:color="auto" w:sz="12" w:space="0"/>
        <w:insideH w:val="single" w:color="auto" w:sz="6" w:space="0"/>
        <w:insideV w:val="single" w:color="auto" w:sz="6" w:space="0"/>
      </w:tblBorders>
    </w:tblPr>
    <w:trPr>
      <w:cantSplit/>
      <w:jc w:val="center"/>
    </w:trPr>
    <w:tcPr>
      <w:vAlign w:val="center"/>
    </w:tcPr>
  </w:style>
  <w:style w:type="table" w:customStyle="1" w:styleId="419">
    <w:name w:val="样式14"/>
    <w:basedOn w:val="51"/>
    <w:autoRedefine/>
    <w:qFormat/>
    <w:uiPriority w:val="99"/>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0">
    <w:name w:val="样式21"/>
    <w:basedOn w:val="51"/>
    <w:autoRedefine/>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1">
    <w:name w:val="表格主题1"/>
    <w:basedOn w:val="5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2">
    <w:name w:val="样式12"/>
    <w:basedOn w:val="51"/>
    <w:autoRedefine/>
    <w:qFormat/>
    <w:uiPriority w:val="99"/>
    <w:pPr>
      <w:adjustRightInd w:val="0"/>
      <w:snapToGrid w:val="0"/>
      <w:spacing w:line="300" w:lineRule="exact"/>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3">
    <w:name w:val="报告书表格样式2"/>
    <w:basedOn w:val="51"/>
    <w:autoRedefine/>
    <w:qFormat/>
    <w:uiPriority w:val="0"/>
    <w:tblPr>
      <w:tblBorders>
        <w:top w:val="single" w:color="auto" w:sz="12" w:space="0"/>
        <w:bottom w:val="single" w:color="auto" w:sz="12" w:space="0"/>
        <w:insideH w:val="single" w:color="auto" w:sz="6" w:space="0"/>
        <w:insideV w:val="single" w:color="auto" w:sz="6" w:space="0"/>
      </w:tblBorders>
    </w:tblPr>
  </w:style>
  <w:style w:type="table" w:customStyle="1" w:styleId="424">
    <w:name w:val="网格型浅色3"/>
    <w:basedOn w:val="51"/>
    <w:autoRedefine/>
    <w:qFormat/>
    <w:uiPriority w:val="40"/>
    <w:tblPr>
      <w:jc w:val="center"/>
      <w:tblBorders>
        <w:top w:val="single" w:color="000000" w:sz="12" w:space="0"/>
        <w:bottom w:val="single" w:color="000000" w:sz="12" w:space="0"/>
        <w:insideH w:val="single" w:color="000000" w:sz="4" w:space="0"/>
        <w:insideV w:val="single" w:color="000000" w:sz="4" w:space="0"/>
      </w:tblBorders>
    </w:tblPr>
    <w:trPr>
      <w:jc w:val="center"/>
    </w:trPr>
    <w:tcPr>
      <w:shd w:val="clear" w:color="auto" w:fill="auto"/>
      <w:vAlign w:val="center"/>
    </w:tcPr>
  </w:style>
  <w:style w:type="table" w:customStyle="1" w:styleId="425">
    <w:name w:val="报告书表格样式"/>
    <w:basedOn w:val="51"/>
    <w:autoRedefine/>
    <w:qFormat/>
    <w:uiPriority w:val="0"/>
    <w:pPr>
      <w:adjustRightInd w:val="0"/>
      <w:snapToGrid w:val="0"/>
      <w:spacing w:line="300" w:lineRule="exact"/>
      <w:jc w:val="center"/>
    </w:pPr>
    <w:rPr>
      <w:rFonts w:ascii="宋体" w:hAnsi="宋体"/>
    </w:rPr>
    <w:tblPr>
      <w:jc w:val="center"/>
      <w:tblBorders>
        <w:top w:val="single" w:color="auto" w:sz="12" w:space="0"/>
        <w:bottom w:val="single" w:color="auto" w:sz="12" w:space="0"/>
        <w:insideH w:val="single" w:color="auto" w:sz="6" w:space="0"/>
        <w:insideV w:val="single" w:color="auto" w:sz="6" w:space="0"/>
      </w:tblBorders>
    </w:tblPr>
    <w:trPr>
      <w:cantSplit/>
      <w:jc w:val="center"/>
    </w:trPr>
    <w:tcPr>
      <w:vAlign w:val="center"/>
    </w:tcPr>
  </w:style>
  <w:style w:type="table" w:customStyle="1" w:styleId="426">
    <w:name w:val="网格型3"/>
    <w:basedOn w:val="51"/>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7">
    <w:name w:val="网格型浅色2"/>
    <w:basedOn w:val="51"/>
    <w:autoRedefine/>
    <w:qFormat/>
    <w:uiPriority w:val="40"/>
    <w:tblPr>
      <w:jc w:val="center"/>
      <w:tblBorders>
        <w:top w:val="single" w:color="000000" w:sz="12" w:space="0"/>
        <w:bottom w:val="single" w:color="000000" w:sz="12" w:space="0"/>
        <w:insideH w:val="single" w:color="000000" w:sz="4" w:space="0"/>
        <w:insideV w:val="single" w:color="000000" w:sz="4" w:space="0"/>
      </w:tblBorders>
    </w:tblPr>
    <w:trPr>
      <w:jc w:val="center"/>
    </w:trPr>
    <w:tcPr>
      <w:shd w:val="clear" w:color="auto" w:fill="auto"/>
      <w:vAlign w:val="center"/>
    </w:tcPr>
  </w:style>
  <w:style w:type="table" w:customStyle="1" w:styleId="428">
    <w:name w:val="网格型1"/>
    <w:basedOn w:val="51"/>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9">
    <w:name w:val="报告书表格样式111"/>
    <w:basedOn w:val="51"/>
    <w:autoRedefine/>
    <w:qFormat/>
    <w:uiPriority w:val="0"/>
    <w:pPr>
      <w:jc w:val="center"/>
    </w:pPr>
    <w:tblPr>
      <w:tblBorders>
        <w:top w:val="single" w:color="auto" w:sz="12" w:space="0"/>
        <w:bottom w:val="single" w:color="auto" w:sz="12" w:space="0"/>
        <w:insideH w:val="single" w:color="auto" w:sz="6" w:space="0"/>
        <w:insideV w:val="single" w:color="auto" w:sz="6" w:space="0"/>
      </w:tblBorders>
      <w:tblCellMar>
        <w:left w:w="28" w:type="dxa"/>
        <w:right w:w="28" w:type="dxa"/>
      </w:tblCellMar>
    </w:tblPr>
    <w:tcPr>
      <w:vAlign w:val="center"/>
    </w:tcPr>
  </w:style>
  <w:style w:type="table" w:customStyle="1" w:styleId="430">
    <w:name w:val="样式25"/>
    <w:basedOn w:val="51"/>
    <w:autoRedefine/>
    <w:qFormat/>
    <w:uiPriority w:val="99"/>
    <w:pPr>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31">
    <w:name w:val="样式2"/>
    <w:basedOn w:val="51"/>
    <w:autoRedefine/>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32">
    <w:name w:val="报告书表格样式4"/>
    <w:basedOn w:val="51"/>
    <w:autoRedefine/>
    <w:qFormat/>
    <w:uiPriority w:val="0"/>
    <w:pPr>
      <w:adjustRightInd w:val="0"/>
      <w:snapToGrid w:val="0"/>
      <w:spacing w:line="300" w:lineRule="exact"/>
      <w:jc w:val="center"/>
    </w:pPr>
    <w:rPr>
      <w:rFonts w:ascii="宋体" w:hAnsi="宋体"/>
      <w:sz w:val="21"/>
    </w:rPr>
    <w:tblPr>
      <w:jc w:val="center"/>
      <w:tblBorders>
        <w:top w:val="single" w:color="auto" w:sz="12" w:space="0"/>
        <w:bottom w:val="single" w:color="auto" w:sz="12" w:space="0"/>
        <w:insideH w:val="single" w:color="auto" w:sz="6" w:space="0"/>
        <w:insideV w:val="single" w:color="auto" w:sz="6" w:space="0"/>
      </w:tblBorders>
    </w:tblPr>
    <w:trPr>
      <w:cantSplit/>
      <w:jc w:val="center"/>
    </w:trPr>
    <w:tcPr>
      <w:vAlign w:val="center"/>
    </w:tcPr>
  </w:style>
  <w:style w:type="table" w:customStyle="1" w:styleId="433">
    <w:name w:val="样式22"/>
    <w:basedOn w:val="51"/>
    <w:autoRedefine/>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34">
    <w:name w:val="报告书表格样式12"/>
    <w:basedOn w:val="51"/>
    <w:autoRedefine/>
    <w:qFormat/>
    <w:uiPriority w:val="0"/>
    <w:pPr>
      <w:jc w:val="center"/>
    </w:pPr>
    <w:tblPr>
      <w:tblBorders>
        <w:top w:val="single" w:color="auto" w:sz="12" w:space="0"/>
        <w:bottom w:val="single" w:color="auto" w:sz="12" w:space="0"/>
        <w:insideH w:val="single" w:color="auto" w:sz="6" w:space="0"/>
        <w:insideV w:val="single" w:color="auto" w:sz="6" w:space="0"/>
      </w:tblBorders>
      <w:tblCellMar>
        <w:left w:w="28" w:type="dxa"/>
        <w:right w:w="28" w:type="dxa"/>
      </w:tblCellMar>
    </w:tblPr>
    <w:tcPr>
      <w:vAlign w:val="center"/>
    </w:tcPr>
  </w:style>
  <w:style w:type="table" w:customStyle="1" w:styleId="435">
    <w:name w:val="样式1"/>
    <w:basedOn w:val="51"/>
    <w:autoRedefine/>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36">
    <w:name w:val="Grid Table Light1"/>
    <w:basedOn w:val="51"/>
    <w:autoRedefine/>
    <w:qFormat/>
    <w:uiPriority w:val="40"/>
    <w:tblPr>
      <w:jc w:val="center"/>
      <w:tblBorders>
        <w:top w:val="single" w:color="000000" w:sz="12" w:space="0"/>
        <w:bottom w:val="single" w:color="000000" w:sz="12" w:space="0"/>
        <w:insideH w:val="single" w:color="000000" w:sz="4" w:space="0"/>
        <w:insideV w:val="single" w:color="000000" w:sz="4" w:space="0"/>
      </w:tblBorders>
    </w:tblPr>
    <w:trPr>
      <w:jc w:val="center"/>
    </w:trPr>
    <w:tcPr>
      <w:shd w:val="clear" w:color="auto" w:fill="auto"/>
      <w:vAlign w:val="center"/>
    </w:tcPr>
  </w:style>
  <w:style w:type="table" w:customStyle="1" w:styleId="437">
    <w:name w:val="YJ-表格"/>
    <w:basedOn w:val="51"/>
    <w:autoRedefine/>
    <w:qFormat/>
    <w:uiPriority w:val="99"/>
    <w:pPr>
      <w:jc w:val="center"/>
    </w:pPr>
    <w:rPr>
      <w:rFonts w:ascii="宋体"/>
    </w:rPr>
    <w:tblPr>
      <w:jc w:val="center"/>
      <w:tblBorders>
        <w:top w:val="single" w:color="auto" w:sz="12" w:space="0"/>
        <w:bottom w:val="single" w:color="auto" w:sz="12" w:space="0"/>
        <w:insideH w:val="single" w:color="auto" w:sz="12" w:space="0"/>
        <w:insideV w:val="single" w:color="auto" w:sz="12" w:space="0"/>
      </w:tblBorders>
    </w:tblPr>
    <w:trPr>
      <w:jc w:val="center"/>
    </w:trPr>
    <w:tcPr>
      <w:vAlign w:val="center"/>
    </w:tcPr>
  </w:style>
  <w:style w:type="table" w:customStyle="1" w:styleId="438">
    <w:name w:val="网格型2"/>
    <w:basedOn w:val="5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9">
    <w:name w:val="网格型!1"/>
    <w:basedOn w:val="5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0">
    <w:name w:val="报告书表格样式3"/>
    <w:basedOn w:val="51"/>
    <w:autoRedefine/>
    <w:qFormat/>
    <w:uiPriority w:val="0"/>
    <w:tblPr>
      <w:tblBorders>
        <w:top w:val="single" w:color="auto" w:sz="12" w:space="0"/>
        <w:bottom w:val="single" w:color="auto" w:sz="12" w:space="0"/>
        <w:insideH w:val="single" w:color="auto" w:sz="6" w:space="0"/>
        <w:insideV w:val="single" w:color="auto" w:sz="6" w:space="0"/>
      </w:tblBorders>
    </w:tblPr>
  </w:style>
  <w:style w:type="character" w:customStyle="1" w:styleId="441">
    <w:name w:val="font31"/>
    <w:autoRedefine/>
    <w:qFormat/>
    <w:uiPriority w:val="0"/>
    <w:rPr>
      <w:rFonts w:hint="default" w:ascii="Times New Roman" w:hAnsi="Times New Roman" w:cs="Times New Roman"/>
      <w:color w:val="000000"/>
      <w:sz w:val="24"/>
      <w:szCs w:val="24"/>
      <w:u w:val="none"/>
    </w:rPr>
  </w:style>
  <w:style w:type="paragraph" w:customStyle="1" w:styleId="442">
    <w:name w:val="CDD图中的文字"/>
    <w:basedOn w:val="1"/>
    <w:autoRedefine/>
    <w:qFormat/>
    <w:uiPriority w:val="0"/>
    <w:pPr>
      <w:spacing w:line="240" w:lineRule="exact"/>
      <w:jc w:val="center"/>
    </w:pPr>
    <w:rPr>
      <w:rFonts w:ascii="宋体" w:hAnsi="等线"/>
      <w:sz w:val="18"/>
      <w:szCs w:val="21"/>
    </w:rPr>
  </w:style>
  <w:style w:type="paragraph" w:customStyle="1" w:styleId="443">
    <w:name w:val="111"/>
    <w:basedOn w:val="120"/>
    <w:autoRedefine/>
    <w:qFormat/>
    <w:uiPriority w:val="0"/>
    <w:pPr>
      <w:overflowPunct w:val="0"/>
    </w:pPr>
  </w:style>
  <w:style w:type="paragraph" w:customStyle="1" w:styleId="444">
    <w:name w:val="样式 小四 行距: 1.5 倍行距"/>
    <w:basedOn w:val="1"/>
    <w:autoRedefine/>
    <w:qFormat/>
    <w:uiPriority w:val="0"/>
    <w:pPr>
      <w:spacing w:line="360" w:lineRule="auto"/>
      <w:ind w:firstLine="200" w:firstLineChars="200"/>
    </w:pPr>
    <w:rPr>
      <w:rFonts w:ascii="Times New Roman" w:hAnsi="Times New Roman" w:cs="宋体"/>
      <w:sz w:val="28"/>
      <w:szCs w:val="20"/>
    </w:rPr>
  </w:style>
  <w:style w:type="character" w:customStyle="1" w:styleId="445">
    <w:name w:val="表、图名 Char"/>
    <w:link w:val="400"/>
    <w:autoRedefine/>
    <w:qFormat/>
    <w:uiPriority w:val="0"/>
    <w:rPr>
      <w:rFonts w:ascii="黑体" w:hAnsi="Times New Roman" w:eastAsia="黑体"/>
      <w:kern w:val="2"/>
      <w:sz w:val="21"/>
      <w:szCs w:val="24"/>
    </w:rPr>
  </w:style>
  <w:style w:type="character" w:customStyle="1" w:styleId="446">
    <w:name w:val="样式4 Char Char"/>
    <w:autoRedefine/>
    <w:semiHidden/>
    <w:qFormat/>
    <w:uiPriority w:val="0"/>
    <w:rPr>
      <w:rFonts w:ascii="Arial" w:hAnsi="Arial" w:eastAsia="宋体"/>
      <w:kern w:val="2"/>
      <w:sz w:val="24"/>
      <w:szCs w:val="24"/>
      <w:lang w:val="en-US" w:eastAsia="zh-CN" w:bidi="ar-SA"/>
    </w:rPr>
  </w:style>
  <w:style w:type="character" w:customStyle="1" w:styleId="447">
    <w:name w:val="表头 Char2"/>
    <w:autoRedefine/>
    <w:qFormat/>
    <w:locked/>
    <w:uiPriority w:val="0"/>
    <w:rPr>
      <w:rFonts w:ascii="Arial" w:hAnsi="Arial" w:eastAsia="黑体"/>
      <w:bCs/>
      <w:kern w:val="2"/>
      <w:sz w:val="21"/>
      <w:szCs w:val="28"/>
      <w:lang w:val="en-US" w:eastAsia="zh-CN" w:bidi="ar-SA"/>
    </w:rPr>
  </w:style>
  <w:style w:type="character" w:customStyle="1" w:styleId="448">
    <w:name w:val="fontstyle21"/>
    <w:autoRedefine/>
    <w:qFormat/>
    <w:uiPriority w:val="0"/>
    <w:rPr>
      <w:rFonts w:hint="default" w:ascii="Helvetica" w:hAnsi="Helvetica"/>
      <w:color w:val="000000"/>
      <w:sz w:val="30"/>
      <w:szCs w:val="30"/>
    </w:rPr>
  </w:style>
  <w:style w:type="paragraph" w:customStyle="1" w:styleId="449">
    <w:name w:val="表格标题样式"/>
    <w:basedOn w:val="1"/>
    <w:autoRedefine/>
    <w:qFormat/>
    <w:uiPriority w:val="0"/>
    <w:pPr>
      <w:widowControl/>
      <w:spacing w:line="300" w:lineRule="auto"/>
      <w:jc w:val="center"/>
      <w:textAlignment w:val="baseline"/>
    </w:pPr>
    <w:rPr>
      <w:rFonts w:ascii="黑体" w:hAnsi="黑体" w:eastAsia="黑体"/>
      <w:kern w:val="0"/>
      <w:sz w:val="24"/>
      <w:szCs w:val="24"/>
    </w:rPr>
  </w:style>
  <w:style w:type="paragraph" w:customStyle="1" w:styleId="450">
    <w:name w:val="03_正文"/>
    <w:basedOn w:val="1"/>
    <w:autoRedefine/>
    <w:qFormat/>
    <w:uiPriority w:val="0"/>
    <w:pPr>
      <w:adjustRightInd w:val="0"/>
      <w:snapToGrid w:val="0"/>
      <w:spacing w:line="360" w:lineRule="auto"/>
      <w:ind w:firstLine="200" w:firstLineChars="200"/>
    </w:pPr>
    <w:rPr>
      <w:rFonts w:ascii="宋体"/>
      <w:color w:val="000000"/>
      <w:spacing w:val="5"/>
      <w:sz w:val="25"/>
      <w:szCs w:val="25"/>
    </w:rPr>
  </w:style>
  <w:style w:type="paragraph" w:customStyle="1" w:styleId="451">
    <w:name w:val="表表格内的文字"/>
    <w:basedOn w:val="452"/>
    <w:autoRedefine/>
    <w:qFormat/>
    <w:uiPriority w:val="0"/>
    <w:pPr>
      <w:snapToGrid/>
      <w:spacing w:line="240" w:lineRule="auto"/>
      <w:jc w:val="center"/>
    </w:pPr>
    <w:rPr>
      <w:rFonts w:ascii="Times New Roman" w:hAnsi="Times New Roman" w:cs="Times New Roman"/>
      <w:kern w:val="0"/>
      <w:sz w:val="21"/>
      <w:szCs w:val="21"/>
    </w:rPr>
  </w:style>
  <w:style w:type="paragraph" w:customStyle="1" w:styleId="452">
    <w:name w:val="说明书正文"/>
    <w:basedOn w:val="1"/>
    <w:autoRedefine/>
    <w:qFormat/>
    <w:uiPriority w:val="0"/>
    <w:pPr>
      <w:adjustRightInd w:val="0"/>
      <w:snapToGrid w:val="0"/>
      <w:spacing w:line="300" w:lineRule="auto"/>
      <w:textAlignment w:val="baseline"/>
    </w:pPr>
    <w:rPr>
      <w:rFonts w:ascii="宋体" w:hAnsi="宋体" w:cs="宋体"/>
      <w:sz w:val="28"/>
      <w:szCs w:val="28"/>
    </w:rPr>
  </w:style>
  <w:style w:type="paragraph" w:customStyle="1" w:styleId="453">
    <w:name w:val="CM3"/>
    <w:basedOn w:val="386"/>
    <w:next w:val="386"/>
    <w:autoRedefine/>
    <w:qFormat/>
    <w:uiPriority w:val="0"/>
    <w:rPr>
      <w:rFonts w:ascii="ST Song Std" w:eastAsia="ST Song Std" w:cs="Times New Roman"/>
      <w:color w:val="auto"/>
    </w:rPr>
  </w:style>
  <w:style w:type="paragraph" w:customStyle="1" w:styleId="454">
    <w:name w:val="表格内"/>
    <w:basedOn w:val="1"/>
    <w:link w:val="459"/>
    <w:autoRedefine/>
    <w:qFormat/>
    <w:uiPriority w:val="0"/>
    <w:pPr>
      <w:snapToGrid w:val="0"/>
      <w:spacing w:line="360" w:lineRule="exact"/>
      <w:jc w:val="center"/>
    </w:pPr>
    <w:rPr>
      <w:rFonts w:ascii="Times New Roman" w:hAnsi="Times New Roman"/>
      <w:szCs w:val="21"/>
    </w:rPr>
  </w:style>
  <w:style w:type="paragraph" w:customStyle="1" w:styleId="455">
    <w:name w:val="a)"/>
    <w:basedOn w:val="1"/>
    <w:autoRedefine/>
    <w:qFormat/>
    <w:uiPriority w:val="0"/>
    <w:pPr>
      <w:tabs>
        <w:tab w:val="left" w:pos="1134"/>
      </w:tabs>
      <w:adjustRightInd w:val="0"/>
      <w:spacing w:line="360" w:lineRule="auto"/>
      <w:ind w:firstLine="567"/>
      <w:textAlignment w:val="baseline"/>
    </w:pPr>
    <w:rPr>
      <w:rFonts w:ascii="Times New Roman" w:hAnsi="Times New Roman"/>
      <w:kern w:val="0"/>
      <w:sz w:val="28"/>
      <w:szCs w:val="20"/>
    </w:rPr>
  </w:style>
  <w:style w:type="paragraph" w:customStyle="1" w:styleId="456">
    <w:name w:val="首行缩进2"/>
    <w:basedOn w:val="1"/>
    <w:autoRedefine/>
    <w:qFormat/>
    <w:uiPriority w:val="0"/>
    <w:pPr>
      <w:spacing w:line="360" w:lineRule="auto"/>
      <w:ind w:firstLine="200" w:firstLineChars="200"/>
    </w:pPr>
    <w:rPr>
      <w:rFonts w:ascii="Times New Roman" w:hAnsi="Times New Roman"/>
      <w:sz w:val="24"/>
      <w:szCs w:val="28"/>
    </w:rPr>
  </w:style>
  <w:style w:type="paragraph" w:customStyle="1" w:styleId="457">
    <w:name w:val="CM2"/>
    <w:basedOn w:val="386"/>
    <w:next w:val="386"/>
    <w:autoRedefine/>
    <w:qFormat/>
    <w:uiPriority w:val="0"/>
    <w:pPr>
      <w:spacing w:line="580" w:lineRule="atLeast"/>
    </w:pPr>
    <w:rPr>
      <w:rFonts w:ascii="ST Song Std" w:eastAsia="ST Song Std" w:cs="Times New Roman"/>
      <w:color w:val="auto"/>
    </w:rPr>
  </w:style>
  <w:style w:type="paragraph" w:customStyle="1" w:styleId="458">
    <w:name w:val="CM1"/>
    <w:basedOn w:val="386"/>
    <w:next w:val="386"/>
    <w:autoRedefine/>
    <w:qFormat/>
    <w:uiPriority w:val="0"/>
    <w:pPr>
      <w:spacing w:line="623" w:lineRule="atLeast"/>
    </w:pPr>
    <w:rPr>
      <w:rFonts w:ascii="ST Song Std" w:eastAsia="ST Song Std" w:cs="Times New Roman"/>
      <w:color w:val="auto"/>
    </w:rPr>
  </w:style>
  <w:style w:type="character" w:customStyle="1" w:styleId="459">
    <w:name w:val="表格内 字符"/>
    <w:link w:val="454"/>
    <w:autoRedefine/>
    <w:qFormat/>
    <w:uiPriority w:val="0"/>
    <w:rPr>
      <w:rFonts w:ascii="Times New Roman" w:hAnsi="Times New Roman"/>
      <w:kern w:val="2"/>
      <w:sz w:val="21"/>
      <w:szCs w:val="21"/>
    </w:rPr>
  </w:style>
  <w:style w:type="character" w:customStyle="1" w:styleId="460">
    <w:name w:val="脚注文本 字符1"/>
    <w:autoRedefine/>
    <w:semiHidden/>
    <w:qFormat/>
    <w:uiPriority w:val="99"/>
    <w:rPr>
      <w:rFonts w:eastAsia="宋体"/>
      <w:sz w:val="18"/>
      <w:szCs w:val="18"/>
    </w:rPr>
  </w:style>
  <w:style w:type="character" w:customStyle="1" w:styleId="461">
    <w:name w:val="FL正文字体 字符"/>
    <w:link w:val="462"/>
    <w:autoRedefine/>
    <w:qFormat/>
    <w:uiPriority w:val="0"/>
    <w:rPr>
      <w:rFonts w:ascii="宋体" w:hAnsi="宋体"/>
      <w:color w:val="EE0000"/>
      <w:sz w:val="24"/>
      <w:szCs w:val="24"/>
    </w:rPr>
  </w:style>
  <w:style w:type="paragraph" w:customStyle="1" w:styleId="462">
    <w:name w:val="FL正文字体"/>
    <w:basedOn w:val="120"/>
    <w:link w:val="461"/>
    <w:autoRedefine/>
    <w:qFormat/>
    <w:uiPriority w:val="0"/>
    <w:rPr>
      <w:kern w:val="0"/>
    </w:rPr>
  </w:style>
  <w:style w:type="table" w:customStyle="1" w:styleId="463">
    <w:name w:val="样式231"/>
    <w:basedOn w:val="51"/>
    <w:autoRedefine/>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464">
    <w:name w:val="副标题 字符"/>
    <w:link w:val="38"/>
    <w:autoRedefine/>
    <w:qFormat/>
    <w:uiPriority w:val="11"/>
    <w:rPr>
      <w:rFonts w:ascii="Times New Roman" w:hAnsi="Times New Roman"/>
      <w:bCs/>
      <w:kern w:val="28"/>
      <w:sz w:val="21"/>
      <w:szCs w:val="32"/>
    </w:rPr>
  </w:style>
  <w:style w:type="paragraph" w:customStyle="1" w:styleId="465">
    <w:name w:val="xl83"/>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466">
    <w:name w:val="CDD正文"/>
    <w:basedOn w:val="1"/>
    <w:link w:val="467"/>
    <w:autoRedefine/>
    <w:qFormat/>
    <w:uiPriority w:val="0"/>
    <w:pPr>
      <w:suppressLineNumbers/>
      <w:suppressAutoHyphens/>
      <w:spacing w:line="500" w:lineRule="exact"/>
      <w:ind w:firstLine="200" w:firstLineChars="200"/>
      <w:contextualSpacing/>
      <w:textAlignment w:val="top"/>
      <w:outlineLvl w:val="3"/>
    </w:pPr>
    <w:rPr>
      <w:rFonts w:ascii="宋体" w:hAnsi="宋体"/>
      <w:b/>
      <w:kern w:val="0"/>
      <w:sz w:val="24"/>
      <w:szCs w:val="20"/>
    </w:rPr>
  </w:style>
  <w:style w:type="character" w:customStyle="1" w:styleId="467">
    <w:name w:val="CDD正文 Char"/>
    <w:link w:val="466"/>
    <w:autoRedefine/>
    <w:qFormat/>
    <w:uiPriority w:val="0"/>
    <w:rPr>
      <w:rFonts w:ascii="宋体" w:hAnsi="宋体"/>
      <w:b/>
      <w:sz w:val="24"/>
    </w:rPr>
  </w:style>
  <w:style w:type="table" w:customStyle="1" w:styleId="468">
    <w:name w:val="网格型5"/>
    <w:basedOn w:val="51"/>
    <w:autoRedefine/>
    <w:unhideWhenUsed/>
    <w:qFormat/>
    <w:uiPriority w:val="99"/>
    <w:pPr>
      <w:widowControl w:val="0"/>
      <w:jc w:val="both"/>
    </w:pPr>
    <w:rPr>
      <w:rFonts w:ascii="宋体" w:hAnsi="宋体"/>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469">
    <w:name w:val="普通(网站) 字符"/>
    <w:link w:val="47"/>
    <w:autoRedefine/>
    <w:qFormat/>
    <w:locked/>
    <w:uiPriority w:val="0"/>
    <w:rPr>
      <w:rFonts w:ascii="Times New Roman" w:hAnsi="Times New Roman" w:cs="宋体"/>
      <w:sz w:val="24"/>
      <w:szCs w:val="24"/>
    </w:rPr>
  </w:style>
  <w:style w:type="character" w:customStyle="1" w:styleId="470">
    <w:name w:val="表内文字 字符"/>
    <w:link w:val="381"/>
    <w:autoRedefine/>
    <w:qFormat/>
    <w:uiPriority w:val="0"/>
    <w:rPr>
      <w:rFonts w:ascii="Times New Roman" w:hAnsi="Times New Roman"/>
      <w:kern w:val="2"/>
      <w:sz w:val="21"/>
      <w:szCs w:val="21"/>
    </w:rPr>
  </w:style>
  <w:style w:type="paragraph" w:customStyle="1" w:styleId="471">
    <w:name w:val="样式 样式 标题 5表格标题标题 5 CharBlock Label + 首行缩进:  2 字符 + 首行缩进:  0.88 厘米"/>
    <w:basedOn w:val="1"/>
    <w:autoRedefine/>
    <w:qFormat/>
    <w:uiPriority w:val="0"/>
    <w:pPr>
      <w:keepNext/>
      <w:keepLines/>
      <w:adjustRightInd w:val="0"/>
      <w:spacing w:before="100" w:after="100"/>
      <w:jc w:val="left"/>
      <w:textAlignment w:val="baseline"/>
      <w:outlineLvl w:val="4"/>
    </w:pPr>
    <w:rPr>
      <w:rFonts w:ascii="Arial" w:hAnsi="Arial" w:eastAsia="黑体" w:cs="宋体"/>
      <w:color w:val="000000"/>
      <w:kern w:val="0"/>
      <w:sz w:val="24"/>
      <w:szCs w:val="20"/>
    </w:rPr>
  </w:style>
  <w:style w:type="table" w:customStyle="1" w:styleId="472">
    <w:name w:val="网格型!11"/>
    <w:basedOn w:val="5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73">
    <w:name w:val="Placeholder Text"/>
    <w:basedOn w:val="54"/>
    <w:autoRedefine/>
    <w:unhideWhenUsed/>
    <w:qFormat/>
    <w:uiPriority w:val="99"/>
    <w:rPr>
      <w:color w:val="808080"/>
    </w:rPr>
  </w:style>
  <w:style w:type="paragraph" w:customStyle="1" w:styleId="474">
    <w:name w:val="修订3"/>
    <w:autoRedefine/>
    <w:hidden/>
    <w:unhideWhenUsed/>
    <w:qFormat/>
    <w:uiPriority w:val="99"/>
    <w:rPr>
      <w:rFonts w:ascii="Calibri" w:hAnsi="Calibri" w:eastAsia="宋体" w:cs="Times New Roman"/>
      <w:kern w:val="2"/>
      <w:sz w:val="21"/>
      <w:szCs w:val="22"/>
      <w:lang w:val="en-US" w:eastAsia="zh-CN" w:bidi="ar-SA"/>
    </w:rPr>
  </w:style>
  <w:style w:type="character" w:customStyle="1" w:styleId="475">
    <w:name w:val="标题2"/>
    <w:autoRedefine/>
    <w:qFormat/>
    <w:uiPriority w:val="0"/>
  </w:style>
  <w:style w:type="paragraph" w:customStyle="1" w:styleId="476">
    <w:name w:val="Char Char Char Char Char Char Char1"/>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477">
    <w:name w:val="Char3"/>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478">
    <w:name w:val="正文缩进3"/>
    <w:basedOn w:val="1"/>
    <w:autoRedefine/>
    <w:qFormat/>
    <w:uiPriority w:val="0"/>
    <w:pPr>
      <w:ind w:firstLine="420" w:firstLineChars="200"/>
    </w:pPr>
    <w:rPr>
      <w:rFonts w:ascii="Times New Roman" w:hAnsi="Times New Roman"/>
      <w:szCs w:val="20"/>
    </w:rPr>
  </w:style>
  <w:style w:type="paragraph" w:customStyle="1" w:styleId="479">
    <w:name w:val="Char1 Char Char Char1"/>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480">
    <w:name w:val="纯文本2"/>
    <w:basedOn w:val="1"/>
    <w:autoRedefine/>
    <w:qFormat/>
    <w:uiPriority w:val="0"/>
    <w:pPr>
      <w:adjustRightInd w:val="0"/>
      <w:jc w:val="left"/>
      <w:textAlignment w:val="baseline"/>
    </w:pPr>
    <w:rPr>
      <w:rFonts w:ascii="宋体" w:hAnsi="Courier New"/>
      <w:sz w:val="24"/>
      <w:szCs w:val="20"/>
    </w:rPr>
  </w:style>
  <w:style w:type="paragraph" w:customStyle="1" w:styleId="481">
    <w:name w:val="Char Char Char Char Char Char Char Char1"/>
    <w:basedOn w:val="1"/>
    <w:autoRedefine/>
    <w:qFormat/>
    <w:uiPriority w:val="0"/>
    <w:rPr>
      <w:rFonts w:ascii="Times New Roman" w:hAnsi="Times New Roman"/>
      <w:szCs w:val="20"/>
    </w:rPr>
  </w:style>
  <w:style w:type="character" w:customStyle="1" w:styleId="482">
    <w:name w:val="efq04cym70"/>
    <w:basedOn w:val="54"/>
    <w:autoRedefine/>
    <w:qFormat/>
    <w:uiPriority w:val="0"/>
  </w:style>
  <w:style w:type="character" w:customStyle="1" w:styleId="483">
    <w:name w:val="s2bt9i"/>
    <w:basedOn w:val="54"/>
    <w:autoRedefine/>
    <w:qFormat/>
    <w:uiPriority w:val="0"/>
  </w:style>
  <w:style w:type="paragraph" w:customStyle="1" w:styleId="484">
    <w:name w:val="xl65"/>
    <w:basedOn w:val="1"/>
    <w:autoRedefine/>
    <w:qFormat/>
    <w:uiPriority w:val="0"/>
    <w:pPr>
      <w:widowControl/>
      <w:pBdr>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85">
    <w:name w:val="xl67"/>
    <w:basedOn w:val="1"/>
    <w:autoRedefine/>
    <w:qFormat/>
    <w:uiPriority w:val="0"/>
    <w:pPr>
      <w:widowControl/>
      <w:pBdr>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86">
    <w:name w:val="xl68"/>
    <w:basedOn w:val="1"/>
    <w:autoRedefine/>
    <w:qFormat/>
    <w:uiPriority w:val="0"/>
    <w:pPr>
      <w:widowControl/>
      <w:pBdr>
        <w:bottom w:val="single" w:color="auto" w:sz="12"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87">
    <w:name w:val="xl69"/>
    <w:basedOn w:val="1"/>
    <w:autoRedefine/>
    <w:qFormat/>
    <w:uiPriority w:val="0"/>
    <w:pPr>
      <w:widowControl/>
      <w:pBdr>
        <w:top w:val="single" w:color="auto" w:sz="12" w:space="0"/>
        <w:left w:val="single" w:color="auto" w:sz="8" w:space="0"/>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88">
    <w:name w:val="xl70"/>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89">
    <w:name w:val="xl71"/>
    <w:basedOn w:val="1"/>
    <w:autoRedefine/>
    <w:qFormat/>
    <w:uiPriority w:val="0"/>
    <w:pPr>
      <w:widowControl/>
      <w:pBdr>
        <w:top w:val="single" w:color="auto" w:sz="12"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90">
    <w:name w:val="xl72"/>
    <w:basedOn w:val="1"/>
    <w:autoRedefine/>
    <w:qFormat/>
    <w:uiPriority w:val="0"/>
    <w:pPr>
      <w:widowControl/>
      <w:pBdr>
        <w:top w:val="single" w:color="auto" w:sz="12" w:space="0"/>
        <w:left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91">
    <w:name w:val="xl73"/>
    <w:basedOn w:val="1"/>
    <w:autoRedefine/>
    <w:qFormat/>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92">
    <w:name w:val="xl74"/>
    <w:basedOn w:val="1"/>
    <w:autoRedefine/>
    <w:qFormat/>
    <w:uiPriority w:val="0"/>
    <w:pPr>
      <w:widowControl/>
      <w:pBdr>
        <w:top w:val="single" w:color="auto" w:sz="12" w:space="0"/>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93">
    <w:name w:val="xl75"/>
    <w:basedOn w:val="1"/>
    <w:autoRedefine/>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kern w:val="0"/>
      <w:szCs w:val="21"/>
    </w:rPr>
  </w:style>
  <w:style w:type="paragraph" w:customStyle="1" w:styleId="494">
    <w:name w:val="xl76"/>
    <w:basedOn w:val="1"/>
    <w:autoRedefine/>
    <w:qFormat/>
    <w:uiPriority w:val="0"/>
    <w:pPr>
      <w:widowControl/>
      <w:pBdr>
        <w:bottom w:val="single" w:color="auto" w:sz="12" w:space="0"/>
        <w:right w:val="single" w:color="auto" w:sz="8" w:space="0"/>
      </w:pBdr>
      <w:spacing w:before="100" w:beforeAutospacing="1" w:after="100" w:afterAutospacing="1"/>
      <w:jc w:val="center"/>
    </w:pPr>
    <w:rPr>
      <w:rFonts w:ascii="宋体" w:hAnsi="宋体" w:cs="宋体"/>
      <w:kern w:val="0"/>
      <w:szCs w:val="21"/>
    </w:rPr>
  </w:style>
  <w:style w:type="paragraph" w:customStyle="1" w:styleId="495">
    <w:name w:val="xl77"/>
    <w:basedOn w:val="1"/>
    <w:autoRedefine/>
    <w:qFormat/>
    <w:uiPriority w:val="0"/>
    <w:pPr>
      <w:widowControl/>
      <w:pBdr>
        <w:top w:val="single" w:color="auto" w:sz="8" w:space="0"/>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96">
    <w:name w:val="xl78"/>
    <w:basedOn w:val="1"/>
    <w:autoRedefine/>
    <w:qFormat/>
    <w:uiPriority w:val="0"/>
    <w:pPr>
      <w:widowControl/>
      <w:pBdr>
        <w:top w:val="single" w:color="auto" w:sz="8" w:space="0"/>
        <w:bottom w:val="single" w:color="auto" w:sz="12" w:space="0"/>
      </w:pBdr>
      <w:spacing w:before="100" w:beforeAutospacing="1" w:after="100" w:afterAutospacing="1"/>
      <w:jc w:val="center"/>
      <w:textAlignment w:val="center"/>
    </w:pPr>
    <w:rPr>
      <w:rFonts w:ascii="宋体" w:hAnsi="宋体" w:cs="宋体"/>
      <w:kern w:val="0"/>
      <w:szCs w:val="21"/>
    </w:rPr>
  </w:style>
  <w:style w:type="paragraph" w:customStyle="1" w:styleId="497">
    <w:name w:val="xl79"/>
    <w:basedOn w:val="1"/>
    <w:autoRedefine/>
    <w:qFormat/>
    <w:uiPriority w:val="0"/>
    <w:pPr>
      <w:widowControl/>
      <w:pBdr>
        <w:top w:val="single" w:color="auto" w:sz="8" w:space="0"/>
        <w:left w:val="single" w:color="auto" w:sz="8" w:space="0"/>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98">
    <w:name w:val="xl80"/>
    <w:basedOn w:val="1"/>
    <w:autoRedefine/>
    <w:qFormat/>
    <w:uiPriority w:val="0"/>
    <w:pPr>
      <w:widowControl/>
      <w:pBdr>
        <w:top w:val="single" w:color="auto" w:sz="8" w:space="0"/>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499">
    <w:name w:val="xl81"/>
    <w:basedOn w:val="1"/>
    <w:autoRedefine/>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kern w:val="0"/>
      <w:szCs w:val="21"/>
    </w:rPr>
  </w:style>
  <w:style w:type="table" w:customStyle="1" w:styleId="500">
    <w:name w:val="网格型6"/>
    <w:basedOn w:val="51"/>
    <w:autoRedefine/>
    <w:unhideWhenUsed/>
    <w:qFormat/>
    <w:uiPriority w:val="99"/>
    <w:pPr>
      <w:widowControl w:val="0"/>
      <w:jc w:val="both"/>
    </w:pPr>
    <w:rPr>
      <w:rFonts w:ascii="宋体" w:hAnsi="宋体"/>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501">
    <w:name w:val="列表段落 字符"/>
    <w:link w:val="302"/>
    <w:autoRedefine/>
    <w:qFormat/>
    <w:uiPriority w:val="1"/>
    <w:rPr>
      <w:rFonts w:ascii="Times New Roman" w:hAnsi="Times New Roman"/>
      <w:kern w:val="2"/>
      <w:sz w:val="21"/>
      <w:szCs w:val="21"/>
    </w:rPr>
  </w:style>
  <w:style w:type="character" w:customStyle="1" w:styleId="502">
    <w:name w:val="表格1 Char"/>
    <w:link w:val="503"/>
    <w:autoRedefine/>
    <w:qFormat/>
    <w:uiPriority w:val="0"/>
    <w:rPr>
      <w:rFonts w:ascii="Times New Roman" w:hAnsi="Times New Roman" w:eastAsia="方正仿宋_GBK"/>
      <w:color w:val="000000"/>
      <w:sz w:val="21"/>
      <w:szCs w:val="24"/>
    </w:rPr>
  </w:style>
  <w:style w:type="paragraph" w:customStyle="1" w:styleId="503">
    <w:name w:val="表格1"/>
    <w:basedOn w:val="1"/>
    <w:link w:val="502"/>
    <w:autoRedefine/>
    <w:qFormat/>
    <w:uiPriority w:val="0"/>
    <w:pPr>
      <w:adjustRightInd w:val="0"/>
      <w:snapToGrid w:val="0"/>
      <w:jc w:val="center"/>
    </w:pPr>
    <w:rPr>
      <w:rFonts w:ascii="Times New Roman" w:hAnsi="Times New Roman" w:eastAsia="方正仿宋_GBK"/>
      <w:color w:val="000000"/>
      <w:kern w:val="0"/>
      <w:szCs w:val="24"/>
    </w:rPr>
  </w:style>
  <w:style w:type="paragraph" w:customStyle="1" w:styleId="504">
    <w:name w:val="xl64"/>
    <w:basedOn w:val="1"/>
    <w:autoRedefine/>
    <w:qFormat/>
    <w:uiPriority w:val="0"/>
    <w:pPr>
      <w:widowControl/>
      <w:pBdr>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05">
    <w:name w:val="xl82"/>
    <w:basedOn w:val="1"/>
    <w:autoRedefine/>
    <w:qFormat/>
    <w:uiPriority w:val="0"/>
    <w:pPr>
      <w:widowControl/>
      <w:pBdr>
        <w:top w:val="single" w:color="auto" w:sz="8" w:space="0"/>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06">
    <w:name w:val="xl84"/>
    <w:basedOn w:val="1"/>
    <w:autoRedefine/>
    <w:qFormat/>
    <w:uiPriority w:val="0"/>
    <w:pPr>
      <w:widowControl/>
      <w:pBdr>
        <w:bottom w:val="single" w:color="auto" w:sz="8" w:space="0"/>
        <w:right w:val="single" w:color="auto" w:sz="8" w:space="0"/>
      </w:pBdr>
      <w:spacing w:before="100" w:beforeAutospacing="1" w:after="100" w:afterAutospacing="1"/>
      <w:jc w:val="center"/>
      <w:textAlignment w:val="center"/>
    </w:pPr>
    <w:rPr>
      <w:rFonts w:ascii="宋体" w:hAnsi="宋体" w:cs="宋体"/>
      <w:color w:val="FF0000"/>
      <w:kern w:val="0"/>
      <w:szCs w:val="21"/>
    </w:rPr>
  </w:style>
  <w:style w:type="table" w:customStyle="1" w:styleId="507">
    <w:name w:val="样式6"/>
    <w:basedOn w:val="51"/>
    <w:autoRedefine/>
    <w:qFormat/>
    <w:uiPriority w:val="99"/>
    <w:pPr>
      <w:jc w:val="center"/>
    </w:pPr>
    <w:tblPr>
      <w:tblBorders>
        <w:top w:val="single" w:color="auto" w:sz="12" w:space="0"/>
        <w:bottom w:val="single" w:color="auto" w:sz="12" w:space="0"/>
        <w:insideH w:val="single" w:color="auto" w:sz="4" w:space="0"/>
        <w:insideV w:val="single" w:color="auto" w:sz="4" w:space="0"/>
      </w:tblBorders>
      <w:tblCellMar>
        <w:left w:w="28" w:type="dxa"/>
        <w:right w:w="28" w:type="dxa"/>
      </w:tblCellMar>
    </w:tblPr>
    <w:tcPr>
      <w:vAlign w:val="center"/>
    </w:tcPr>
  </w:style>
  <w:style w:type="character" w:customStyle="1" w:styleId="508">
    <w:name w:val="正文文本缩进 3 字符2"/>
    <w:basedOn w:val="54"/>
    <w:autoRedefine/>
    <w:semiHidden/>
    <w:qFormat/>
    <w:uiPriority w:val="99"/>
    <w:rPr>
      <w:rFonts w:ascii="宋体" w:hAnsi="宋体" w:eastAsia="等线" w:cs="宋体"/>
      <w:sz w:val="16"/>
      <w:szCs w:val="16"/>
    </w:rPr>
  </w:style>
  <w:style w:type="character" w:customStyle="1" w:styleId="509">
    <w:name w:val="正文文本缩进 字符2"/>
    <w:basedOn w:val="54"/>
    <w:autoRedefine/>
    <w:semiHidden/>
    <w:qFormat/>
    <w:uiPriority w:val="99"/>
    <w:rPr>
      <w:rFonts w:ascii="宋体" w:hAnsi="宋体" w:eastAsia="等线" w:cs="宋体"/>
    </w:rPr>
  </w:style>
  <w:style w:type="character" w:customStyle="1" w:styleId="510">
    <w:name w:val="正文文本首行缩进 2 字符1"/>
    <w:basedOn w:val="509"/>
    <w:autoRedefine/>
    <w:semiHidden/>
    <w:qFormat/>
    <w:uiPriority w:val="99"/>
    <w:rPr>
      <w:rFonts w:ascii="宋体" w:hAnsi="宋体" w:eastAsia="等线" w:cs="宋体"/>
    </w:rPr>
  </w:style>
  <w:style w:type="character" w:customStyle="1" w:styleId="511">
    <w:name w:val="批注框文本 字符1"/>
    <w:basedOn w:val="54"/>
    <w:autoRedefine/>
    <w:semiHidden/>
    <w:qFormat/>
    <w:uiPriority w:val="99"/>
    <w:rPr>
      <w:rFonts w:ascii="宋体" w:hAnsi="宋体" w:eastAsia="等线" w:cs="宋体"/>
      <w:sz w:val="18"/>
      <w:szCs w:val="18"/>
    </w:rPr>
  </w:style>
  <w:style w:type="character" w:customStyle="1" w:styleId="512">
    <w:name w:val="正文文本 2 字符1"/>
    <w:basedOn w:val="54"/>
    <w:autoRedefine/>
    <w:semiHidden/>
    <w:qFormat/>
    <w:uiPriority w:val="99"/>
    <w:rPr>
      <w:rFonts w:ascii="宋体" w:hAnsi="宋体" w:eastAsia="等线" w:cs="宋体"/>
    </w:rPr>
  </w:style>
  <w:style w:type="character" w:customStyle="1" w:styleId="513">
    <w:name w:val="文档结构图 字符1"/>
    <w:basedOn w:val="54"/>
    <w:autoRedefine/>
    <w:semiHidden/>
    <w:qFormat/>
    <w:uiPriority w:val="99"/>
    <w:rPr>
      <w:rFonts w:ascii="Microsoft YaHei UI" w:hAnsi="宋体" w:eastAsia="Microsoft YaHei UI" w:cs="宋体"/>
      <w:sz w:val="18"/>
      <w:szCs w:val="18"/>
    </w:rPr>
  </w:style>
  <w:style w:type="character" w:customStyle="1" w:styleId="514">
    <w:name w:val="日期 字符1"/>
    <w:basedOn w:val="54"/>
    <w:autoRedefine/>
    <w:semiHidden/>
    <w:qFormat/>
    <w:uiPriority w:val="99"/>
    <w:rPr>
      <w:rFonts w:ascii="宋体" w:hAnsi="宋体" w:eastAsia="等线" w:cs="宋体"/>
    </w:rPr>
  </w:style>
  <w:style w:type="character" w:customStyle="1" w:styleId="515">
    <w:name w:val="正文文本 3 字符2"/>
    <w:basedOn w:val="54"/>
    <w:autoRedefine/>
    <w:semiHidden/>
    <w:qFormat/>
    <w:uiPriority w:val="99"/>
    <w:rPr>
      <w:rFonts w:ascii="宋体" w:hAnsi="宋体" w:eastAsia="等线" w:cs="宋体"/>
      <w:sz w:val="16"/>
      <w:szCs w:val="16"/>
    </w:rPr>
  </w:style>
  <w:style w:type="character" w:customStyle="1" w:styleId="516">
    <w:name w:val="批注文字 字符3"/>
    <w:basedOn w:val="54"/>
    <w:autoRedefine/>
    <w:semiHidden/>
    <w:qFormat/>
    <w:uiPriority w:val="99"/>
    <w:rPr>
      <w:rFonts w:ascii="宋体" w:hAnsi="宋体" w:eastAsia="等线" w:cs="宋体"/>
    </w:rPr>
  </w:style>
  <w:style w:type="character" w:customStyle="1" w:styleId="517">
    <w:name w:val="批注主题 字符1"/>
    <w:basedOn w:val="516"/>
    <w:autoRedefine/>
    <w:semiHidden/>
    <w:qFormat/>
    <w:uiPriority w:val="99"/>
    <w:rPr>
      <w:rFonts w:ascii="宋体" w:hAnsi="宋体" w:eastAsia="等线" w:cs="宋体"/>
      <w:b/>
      <w:bCs/>
    </w:rPr>
  </w:style>
  <w:style w:type="character" w:customStyle="1" w:styleId="518">
    <w:name w:val="正文文本 字符1"/>
    <w:basedOn w:val="54"/>
    <w:autoRedefine/>
    <w:semiHidden/>
    <w:qFormat/>
    <w:uiPriority w:val="99"/>
    <w:rPr>
      <w:rFonts w:ascii="宋体" w:hAnsi="宋体" w:eastAsia="等线" w:cs="宋体"/>
    </w:rPr>
  </w:style>
  <w:style w:type="character" w:customStyle="1" w:styleId="519">
    <w:name w:val="正文文本首行缩进 字符1"/>
    <w:basedOn w:val="518"/>
    <w:autoRedefine/>
    <w:semiHidden/>
    <w:qFormat/>
    <w:uiPriority w:val="99"/>
    <w:rPr>
      <w:rFonts w:ascii="宋体" w:hAnsi="宋体" w:eastAsia="等线" w:cs="宋体"/>
    </w:rPr>
  </w:style>
  <w:style w:type="character" w:customStyle="1" w:styleId="520">
    <w:name w:val="纯文本 字符2"/>
    <w:basedOn w:val="54"/>
    <w:autoRedefine/>
    <w:semiHidden/>
    <w:qFormat/>
    <w:uiPriority w:val="99"/>
    <w:rPr>
      <w:rFonts w:hAnsi="Courier New" w:cs="Courier New" w:asciiTheme="minorEastAsia"/>
    </w:rPr>
  </w:style>
  <w:style w:type="character" w:customStyle="1" w:styleId="521">
    <w:name w:val="标题 字符1"/>
    <w:basedOn w:val="54"/>
    <w:autoRedefine/>
    <w:qFormat/>
    <w:uiPriority w:val="10"/>
    <w:rPr>
      <w:rFonts w:asciiTheme="majorHAnsi" w:hAnsiTheme="majorHAnsi" w:eastAsiaTheme="majorEastAsia" w:cstheme="majorBidi"/>
      <w:b/>
      <w:bCs/>
      <w:sz w:val="32"/>
      <w:szCs w:val="32"/>
    </w:rPr>
  </w:style>
  <w:style w:type="character" w:customStyle="1" w:styleId="522">
    <w:name w:val="注释标题 字符2"/>
    <w:basedOn w:val="54"/>
    <w:autoRedefine/>
    <w:semiHidden/>
    <w:qFormat/>
    <w:uiPriority w:val="99"/>
    <w:rPr>
      <w:rFonts w:ascii="宋体" w:hAnsi="宋体" w:eastAsia="等线" w:cs="宋体"/>
    </w:rPr>
  </w:style>
  <w:style w:type="character" w:customStyle="1" w:styleId="523">
    <w:name w:val="正文文本缩进 2 字符2"/>
    <w:basedOn w:val="54"/>
    <w:autoRedefine/>
    <w:semiHidden/>
    <w:qFormat/>
    <w:uiPriority w:val="99"/>
    <w:rPr>
      <w:rFonts w:ascii="宋体" w:hAnsi="宋体" w:eastAsia="等线" w:cs="宋体"/>
    </w:rPr>
  </w:style>
  <w:style w:type="character" w:customStyle="1" w:styleId="524">
    <w:name w:val="HTML 预设格式 字符2"/>
    <w:basedOn w:val="54"/>
    <w:autoRedefine/>
    <w:semiHidden/>
    <w:qFormat/>
    <w:uiPriority w:val="99"/>
    <w:rPr>
      <w:rFonts w:ascii="Courier New" w:hAnsi="Courier New" w:eastAsia="等线" w:cs="Courier New"/>
      <w:sz w:val="20"/>
      <w:szCs w:val="20"/>
    </w:rPr>
  </w:style>
  <w:style w:type="character" w:customStyle="1" w:styleId="525">
    <w:name w:val="冯莉表字-书 字符"/>
    <w:link w:val="526"/>
    <w:autoRedefine/>
    <w:qFormat/>
    <w:uiPriority w:val="0"/>
    <w:rPr>
      <w:rFonts w:ascii="宋体" w:hAnsi="宋体"/>
      <w:sz w:val="21"/>
      <w:szCs w:val="21"/>
    </w:rPr>
  </w:style>
  <w:style w:type="paragraph" w:customStyle="1" w:styleId="526">
    <w:name w:val="冯莉表字-书"/>
    <w:basedOn w:val="1"/>
    <w:link w:val="525"/>
    <w:autoRedefine/>
    <w:qFormat/>
    <w:uiPriority w:val="0"/>
    <w:pPr>
      <w:spacing w:line="300" w:lineRule="exact"/>
      <w:contextualSpacing/>
      <w:jc w:val="center"/>
    </w:pPr>
    <w:rPr>
      <w:rFonts w:ascii="宋体" w:hAnsi="宋体"/>
      <w:kern w:val="0"/>
      <w:szCs w:val="21"/>
    </w:rPr>
  </w:style>
  <w:style w:type="table" w:customStyle="1" w:styleId="527">
    <w:name w:val="网格型7"/>
    <w:basedOn w:val="51"/>
    <w:autoRedefine/>
    <w:unhideWhenUsed/>
    <w:qFormat/>
    <w:uiPriority w:val="99"/>
    <w:pPr>
      <w:widowControl w:val="0"/>
      <w:jc w:val="both"/>
    </w:pPr>
    <w:rPr>
      <w:rFonts w:ascii="宋体" w:hAnsi="宋体"/>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paragraph" w:customStyle="1" w:styleId="528">
    <w:name w:val="图中文字02"/>
    <w:basedOn w:val="1"/>
    <w:link w:val="529"/>
    <w:autoRedefine/>
    <w:qFormat/>
    <w:uiPriority w:val="0"/>
    <w:pPr>
      <w:spacing w:line="240" w:lineRule="atLeast"/>
      <w:jc w:val="center"/>
    </w:pPr>
    <w:rPr>
      <w:rFonts w:ascii="等线" w:hAnsi="等线" w:eastAsia="仿宋"/>
      <w:sz w:val="18"/>
      <w:szCs w:val="21"/>
    </w:rPr>
  </w:style>
  <w:style w:type="character" w:customStyle="1" w:styleId="529">
    <w:name w:val="图中文字02 字符"/>
    <w:link w:val="528"/>
    <w:autoRedefine/>
    <w:qFormat/>
    <w:uiPriority w:val="0"/>
    <w:rPr>
      <w:rFonts w:ascii="等线" w:hAnsi="等线" w:eastAsia="仿宋"/>
      <w:kern w:val="2"/>
      <w:sz w:val="18"/>
      <w:szCs w:val="21"/>
    </w:rPr>
  </w:style>
  <w:style w:type="paragraph" w:customStyle="1" w:styleId="530">
    <w:name w:val="A正文*"/>
    <w:basedOn w:val="1"/>
    <w:autoRedefine/>
    <w:qFormat/>
    <w:uiPriority w:val="0"/>
    <w:pPr>
      <w:spacing w:line="360" w:lineRule="auto"/>
      <w:ind w:firstLine="200" w:firstLineChars="200"/>
    </w:pPr>
    <w:rPr>
      <w:rFonts w:ascii="宋体" w:hAnsi="宋体"/>
      <w:sz w:val="24"/>
      <w:szCs w:val="24"/>
    </w:rPr>
  </w:style>
  <w:style w:type="paragraph" w:customStyle="1" w:styleId="531">
    <w:name w:val="方案正文"/>
    <w:basedOn w:val="1"/>
    <w:link w:val="532"/>
    <w:autoRedefine/>
    <w:qFormat/>
    <w:uiPriority w:val="0"/>
    <w:pPr>
      <w:widowControl/>
      <w:snapToGrid w:val="0"/>
      <w:spacing w:line="360" w:lineRule="auto"/>
      <w:ind w:firstLine="200" w:firstLineChars="200"/>
      <w:contextualSpacing/>
    </w:pPr>
    <w:rPr>
      <w:rFonts w:ascii="Times New Roman" w:hAnsi="Times New Roman"/>
      <w:kern w:val="0"/>
      <w:sz w:val="24"/>
      <w:szCs w:val="24"/>
      <w:lang w:bidi="en-US"/>
    </w:rPr>
  </w:style>
  <w:style w:type="character" w:customStyle="1" w:styleId="532">
    <w:name w:val="方案正文 Char"/>
    <w:link w:val="531"/>
    <w:autoRedefine/>
    <w:qFormat/>
    <w:uiPriority w:val="0"/>
    <w:rPr>
      <w:rFonts w:ascii="Times New Roman" w:hAnsi="Times New Roman"/>
      <w:sz w:val="24"/>
      <w:szCs w:val="24"/>
      <w:lang w:bidi="en-US"/>
    </w:rPr>
  </w:style>
  <w:style w:type="paragraph" w:customStyle="1" w:styleId="533">
    <w:name w:val="东方工业区表"/>
    <w:basedOn w:val="1"/>
    <w:autoRedefine/>
    <w:qFormat/>
    <w:uiPriority w:val="0"/>
    <w:pPr>
      <w:snapToGrid w:val="0"/>
      <w:jc w:val="center"/>
    </w:pPr>
    <w:rPr>
      <w:rFonts w:ascii="楷体_GB2312" w:hAnsi="宋体" w:eastAsia="楷体_GB2312"/>
      <w:szCs w:val="21"/>
      <w:lang w:val="it-IT"/>
    </w:rPr>
  </w:style>
  <w:style w:type="paragraph" w:customStyle="1" w:styleId="534">
    <w:name w:val="Table Text"/>
    <w:basedOn w:val="1"/>
    <w:autoRedefine/>
    <w:semiHidden/>
    <w:qFormat/>
    <w:uiPriority w:val="0"/>
    <w:rPr>
      <w:rFonts w:ascii="宋体" w:hAnsi="宋体" w:cs="宋体"/>
      <w:sz w:val="18"/>
      <w:szCs w:val="18"/>
      <w:lang w:eastAsia="en-US"/>
    </w:rPr>
  </w:style>
  <w:style w:type="paragraph" w:customStyle="1" w:styleId="535">
    <w:name w:val="正文 A"/>
    <w:qFormat/>
    <w:uiPriority w:val="0"/>
    <w:pPr>
      <w:widowControl w:val="0"/>
      <w:pBdr>
        <w:top w:val="none" w:color="FFFFFF" w:sz="0" w:space="31"/>
        <w:left w:val="none" w:color="FFFFFF" w:sz="0" w:space="31"/>
        <w:bottom w:val="none" w:color="FFFFFF" w:sz="0" w:space="31"/>
        <w:right w:val="none" w:color="FFFFFF" w:sz="0" w:space="31"/>
      </w:pBdr>
      <w:jc w:val="both"/>
    </w:pPr>
    <w:rPr>
      <w:rFonts w:ascii="Times New Roman" w:hAnsi="Times New Roman" w:eastAsia="宋体" w:cs="Arial Unicode MS"/>
      <w:color w:val="000000"/>
      <w:kern w:val="2"/>
      <w:sz w:val="21"/>
      <w:szCs w:val="21"/>
      <w:u w:color="000000"/>
      <w:lang w:val="en-US" w:eastAsia="zh-CN" w:bidi="ar-SA"/>
    </w:rPr>
  </w:style>
  <w:style w:type="character" w:customStyle="1" w:styleId="536">
    <w:name w:val="FL 字符"/>
    <w:link w:val="537"/>
    <w:qFormat/>
    <w:uiPriority w:val="0"/>
    <w:rPr>
      <w:rFonts w:ascii="宋体" w:hAnsi="宋体"/>
      <w:color w:val="FF0000"/>
      <w:kern w:val="2"/>
      <w:sz w:val="24"/>
      <w:szCs w:val="24"/>
    </w:rPr>
  </w:style>
  <w:style w:type="paragraph" w:customStyle="1" w:styleId="537">
    <w:name w:val="FL"/>
    <w:basedOn w:val="120"/>
    <w:link w:val="536"/>
    <w:qFormat/>
    <w:uiPriority w:val="0"/>
    <w:rPr>
      <w:color w:val="FF0000"/>
    </w:rPr>
  </w:style>
  <w:style w:type="paragraph" w:customStyle="1" w:styleId="538">
    <w:name w:val="wyc-表文字"/>
    <w:basedOn w:val="1"/>
    <w:qFormat/>
    <w:uiPriority w:val="0"/>
    <w:pPr>
      <w:snapToGrid w:val="0"/>
      <w:jc w:val="center"/>
    </w:pPr>
    <w:rPr>
      <w:rFonts w:ascii="Times New Roman" w:hAnsi="Times New Roman" w:eastAsiaTheme="minorEastAsia"/>
      <w:color w:val="000000"/>
      <w:szCs w:val="21"/>
    </w:rPr>
  </w:style>
  <w:style w:type="paragraph" w:customStyle="1" w:styleId="539">
    <w:name w:val="STC 表格"/>
    <w:basedOn w:val="1"/>
    <w:qFormat/>
    <w:uiPriority w:val="0"/>
    <w:pPr>
      <w:adjustRightInd w:val="0"/>
      <w:snapToGrid w:val="0"/>
      <w:jc w:val="center"/>
    </w:pPr>
    <w:rPr>
      <w:rFonts w:hAnsi="宋体" w:cs="宋体" w:asciiTheme="majorEastAsia" w:eastAsiaTheme="majorEastAsia"/>
      <w:kern w:val="0"/>
      <w:lang w:eastAsia="en-US"/>
    </w:rPr>
  </w:style>
  <w:style w:type="character" w:customStyle="1" w:styleId="540">
    <w:name w:val="未处理的提及2"/>
    <w:basedOn w:val="54"/>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3.jpeg"/><Relationship Id="rId98" Type="http://schemas.openxmlformats.org/officeDocument/2006/relationships/image" Target="media/image82.jpeg"/><Relationship Id="rId97" Type="http://schemas.openxmlformats.org/officeDocument/2006/relationships/image" Target="media/image81.png"/><Relationship Id="rId96" Type="http://schemas.openxmlformats.org/officeDocument/2006/relationships/image" Target="media/image80.jpeg"/><Relationship Id="rId95" Type="http://schemas.openxmlformats.org/officeDocument/2006/relationships/image" Target="media/image79.png"/><Relationship Id="rId94" Type="http://schemas.openxmlformats.org/officeDocument/2006/relationships/image" Target="media/image78.wmf"/><Relationship Id="rId93" Type="http://schemas.openxmlformats.org/officeDocument/2006/relationships/oleObject" Target="embeddings/oleObject8.bin"/><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footer" Target="footer5.xml"/><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wmf"/><Relationship Id="rId85" Type="http://schemas.openxmlformats.org/officeDocument/2006/relationships/oleObject" Target="embeddings/oleObject7.bin"/><Relationship Id="rId84" Type="http://schemas.openxmlformats.org/officeDocument/2006/relationships/image" Target="media/image70.png"/><Relationship Id="rId83" Type="http://schemas.openxmlformats.org/officeDocument/2006/relationships/image" Target="media/image69.jpeg"/><Relationship Id="rId82" Type="http://schemas.openxmlformats.org/officeDocument/2006/relationships/image" Target="media/image68.png"/><Relationship Id="rId81" Type="http://schemas.openxmlformats.org/officeDocument/2006/relationships/image" Target="media/image67.jpeg"/><Relationship Id="rId80" Type="http://schemas.openxmlformats.org/officeDocument/2006/relationships/image" Target="media/image66.jpeg"/><Relationship Id="rId8" Type="http://schemas.openxmlformats.org/officeDocument/2006/relationships/footer" Target="footer4.xml"/><Relationship Id="rId79" Type="http://schemas.openxmlformats.org/officeDocument/2006/relationships/image" Target="media/image65.jpeg"/><Relationship Id="rId78" Type="http://schemas.openxmlformats.org/officeDocument/2006/relationships/image" Target="media/image64.jpeg"/><Relationship Id="rId77" Type="http://schemas.openxmlformats.org/officeDocument/2006/relationships/image" Target="media/image63.jpeg"/><Relationship Id="rId76" Type="http://schemas.openxmlformats.org/officeDocument/2006/relationships/image" Target="media/image62.wmf"/><Relationship Id="rId75" Type="http://schemas.openxmlformats.org/officeDocument/2006/relationships/image" Target="media/image61.wmf"/><Relationship Id="rId74" Type="http://schemas.openxmlformats.org/officeDocument/2006/relationships/image" Target="media/image60.wmf"/><Relationship Id="rId73" Type="http://schemas.openxmlformats.org/officeDocument/2006/relationships/image" Target="media/image59.wmf"/><Relationship Id="rId72" Type="http://schemas.openxmlformats.org/officeDocument/2006/relationships/oleObject" Target="embeddings/oleObject6.bin"/><Relationship Id="rId71" Type="http://schemas.openxmlformats.org/officeDocument/2006/relationships/image" Target="media/image58.jpeg"/><Relationship Id="rId70" Type="http://schemas.openxmlformats.org/officeDocument/2006/relationships/image" Target="media/image57.jpeg"/><Relationship Id="rId7" Type="http://schemas.openxmlformats.org/officeDocument/2006/relationships/footer" Target="footer3.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wmf"/><Relationship Id="rId65" Type="http://schemas.openxmlformats.org/officeDocument/2006/relationships/image" Target="media/image52.wmf"/><Relationship Id="rId64" Type="http://schemas.openxmlformats.org/officeDocument/2006/relationships/image" Target="media/image51.png"/><Relationship Id="rId63" Type="http://schemas.openxmlformats.org/officeDocument/2006/relationships/image" Target="media/image50.jpeg"/><Relationship Id="rId62" Type="http://schemas.openxmlformats.org/officeDocument/2006/relationships/image" Target="media/image49.png"/><Relationship Id="rId61" Type="http://schemas.openxmlformats.org/officeDocument/2006/relationships/image" Target="media/image48.jpeg"/><Relationship Id="rId60" Type="http://schemas.openxmlformats.org/officeDocument/2006/relationships/image" Target="media/image47.png"/><Relationship Id="rId6" Type="http://schemas.openxmlformats.org/officeDocument/2006/relationships/header" Target="head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emf"/><Relationship Id="rId55" Type="http://schemas.openxmlformats.org/officeDocument/2006/relationships/oleObject" Target="embeddings/oleObject5.bin"/><Relationship Id="rId54" Type="http://schemas.openxmlformats.org/officeDocument/2006/relationships/image" Target="media/image42.emf"/><Relationship Id="rId53" Type="http://schemas.openxmlformats.org/officeDocument/2006/relationships/oleObject" Target="embeddings/oleObject4.bin"/><Relationship Id="rId52" Type="http://schemas.openxmlformats.org/officeDocument/2006/relationships/image" Target="media/image41.emf"/><Relationship Id="rId51" Type="http://schemas.openxmlformats.org/officeDocument/2006/relationships/oleObject" Target="embeddings/oleObject3.bin"/><Relationship Id="rId50" Type="http://schemas.openxmlformats.org/officeDocument/2006/relationships/image" Target="media/image40.emf"/><Relationship Id="rId5" Type="http://schemas.openxmlformats.org/officeDocument/2006/relationships/footer" Target="footer2.xml"/><Relationship Id="rId49" Type="http://schemas.openxmlformats.org/officeDocument/2006/relationships/oleObject" Target="embeddings/oleObject2.bin"/><Relationship Id="rId48" Type="http://schemas.openxmlformats.org/officeDocument/2006/relationships/image" Target="media/image39.jpeg"/><Relationship Id="rId47" Type="http://schemas.openxmlformats.org/officeDocument/2006/relationships/image" Target="media/image38.emf"/><Relationship Id="rId46" Type="http://schemas.openxmlformats.org/officeDocument/2006/relationships/oleObject" Target="embeddings/oleObject1.bin"/><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1.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png"/><Relationship Id="rId34" Type="http://schemas.openxmlformats.org/officeDocument/2006/relationships/image" Target="media/image26.jpe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wmf"/><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jpeg"/><Relationship Id="rId189" Type="http://schemas.openxmlformats.org/officeDocument/2006/relationships/fontTable" Target="fontTable.xml"/><Relationship Id="rId188" Type="http://schemas.openxmlformats.org/officeDocument/2006/relationships/customXml" Target="../customXml/item3.xml"/><Relationship Id="rId187" Type="http://schemas.openxmlformats.org/officeDocument/2006/relationships/customXml" Target="../customXml/item2.xml"/><Relationship Id="rId186" Type="http://schemas.openxmlformats.org/officeDocument/2006/relationships/numbering" Target="numbering.xml"/><Relationship Id="rId185" Type="http://schemas.openxmlformats.org/officeDocument/2006/relationships/customXml" Target="../customXml/item1.xml"/><Relationship Id="rId184" Type="http://schemas.openxmlformats.org/officeDocument/2006/relationships/image" Target="media/image168.jpeg"/><Relationship Id="rId183" Type="http://schemas.openxmlformats.org/officeDocument/2006/relationships/image" Target="media/image167.jpeg"/><Relationship Id="rId182" Type="http://schemas.openxmlformats.org/officeDocument/2006/relationships/image" Target="media/image166.jpeg"/><Relationship Id="rId181" Type="http://schemas.openxmlformats.org/officeDocument/2006/relationships/image" Target="media/image165.png"/><Relationship Id="rId180" Type="http://schemas.openxmlformats.org/officeDocument/2006/relationships/image" Target="media/image164.png"/><Relationship Id="rId18" Type="http://schemas.openxmlformats.org/officeDocument/2006/relationships/image" Target="media/image10.jpeg"/><Relationship Id="rId179" Type="http://schemas.openxmlformats.org/officeDocument/2006/relationships/image" Target="media/image163.png"/><Relationship Id="rId178" Type="http://schemas.openxmlformats.org/officeDocument/2006/relationships/image" Target="media/image162.png"/><Relationship Id="rId177" Type="http://schemas.openxmlformats.org/officeDocument/2006/relationships/image" Target="media/image161.png"/><Relationship Id="rId176" Type="http://schemas.openxmlformats.org/officeDocument/2006/relationships/image" Target="media/image160.png"/><Relationship Id="rId175" Type="http://schemas.openxmlformats.org/officeDocument/2006/relationships/image" Target="media/image159.png"/><Relationship Id="rId174" Type="http://schemas.openxmlformats.org/officeDocument/2006/relationships/image" Target="media/image158.png"/><Relationship Id="rId173" Type="http://schemas.openxmlformats.org/officeDocument/2006/relationships/image" Target="media/image157.jpeg"/><Relationship Id="rId172" Type="http://schemas.openxmlformats.org/officeDocument/2006/relationships/image" Target="media/image156.jpeg"/><Relationship Id="rId171" Type="http://schemas.openxmlformats.org/officeDocument/2006/relationships/image" Target="media/image155.jpeg"/><Relationship Id="rId170" Type="http://schemas.openxmlformats.org/officeDocument/2006/relationships/image" Target="media/image154.jpeg"/><Relationship Id="rId17" Type="http://schemas.openxmlformats.org/officeDocument/2006/relationships/image" Target="media/image9.jpeg"/><Relationship Id="rId169" Type="http://schemas.openxmlformats.org/officeDocument/2006/relationships/image" Target="media/image153.jpeg"/><Relationship Id="rId168" Type="http://schemas.openxmlformats.org/officeDocument/2006/relationships/image" Target="media/image152.jpeg"/><Relationship Id="rId167" Type="http://schemas.openxmlformats.org/officeDocument/2006/relationships/image" Target="media/image151.jpeg"/><Relationship Id="rId166" Type="http://schemas.openxmlformats.org/officeDocument/2006/relationships/image" Target="media/image150.jpeg"/><Relationship Id="rId165" Type="http://schemas.openxmlformats.org/officeDocument/2006/relationships/image" Target="media/image149.jpeg"/><Relationship Id="rId164" Type="http://schemas.openxmlformats.org/officeDocument/2006/relationships/image" Target="media/image148.jpeg"/><Relationship Id="rId163" Type="http://schemas.openxmlformats.org/officeDocument/2006/relationships/image" Target="media/image147.jpeg"/><Relationship Id="rId162" Type="http://schemas.openxmlformats.org/officeDocument/2006/relationships/image" Target="media/image146.jpeg"/><Relationship Id="rId161" Type="http://schemas.openxmlformats.org/officeDocument/2006/relationships/image" Target="media/image145.jpeg"/><Relationship Id="rId160" Type="http://schemas.openxmlformats.org/officeDocument/2006/relationships/image" Target="media/image144.jpeg"/><Relationship Id="rId16" Type="http://schemas.openxmlformats.org/officeDocument/2006/relationships/image" Target="media/image8.jpeg"/><Relationship Id="rId159" Type="http://schemas.openxmlformats.org/officeDocument/2006/relationships/image" Target="media/image143.jpeg"/><Relationship Id="rId158" Type="http://schemas.openxmlformats.org/officeDocument/2006/relationships/image" Target="media/image142.jpeg"/><Relationship Id="rId157" Type="http://schemas.openxmlformats.org/officeDocument/2006/relationships/image" Target="media/image141.jpeg"/><Relationship Id="rId156" Type="http://schemas.openxmlformats.org/officeDocument/2006/relationships/image" Target="media/image140.jpeg"/><Relationship Id="rId155" Type="http://schemas.openxmlformats.org/officeDocument/2006/relationships/image" Target="media/image139.jpeg"/><Relationship Id="rId154" Type="http://schemas.openxmlformats.org/officeDocument/2006/relationships/image" Target="media/image138.jpeg"/><Relationship Id="rId153" Type="http://schemas.openxmlformats.org/officeDocument/2006/relationships/image" Target="media/image137.jpeg"/><Relationship Id="rId152" Type="http://schemas.openxmlformats.org/officeDocument/2006/relationships/image" Target="media/image136.jpeg"/><Relationship Id="rId151" Type="http://schemas.openxmlformats.org/officeDocument/2006/relationships/image" Target="media/image135.jpeg"/><Relationship Id="rId150" Type="http://schemas.openxmlformats.org/officeDocument/2006/relationships/image" Target="media/image134.jpeg"/><Relationship Id="rId15" Type="http://schemas.openxmlformats.org/officeDocument/2006/relationships/image" Target="media/image7.jpeg"/><Relationship Id="rId149" Type="http://schemas.openxmlformats.org/officeDocument/2006/relationships/image" Target="media/image133.jpeg"/><Relationship Id="rId148" Type="http://schemas.openxmlformats.org/officeDocument/2006/relationships/image" Target="media/image132.jpeg"/><Relationship Id="rId147" Type="http://schemas.openxmlformats.org/officeDocument/2006/relationships/image" Target="media/image131.jpeg"/><Relationship Id="rId146" Type="http://schemas.openxmlformats.org/officeDocument/2006/relationships/image" Target="media/image130.jpeg"/><Relationship Id="rId145" Type="http://schemas.openxmlformats.org/officeDocument/2006/relationships/image" Target="media/image129.jpeg"/><Relationship Id="rId144" Type="http://schemas.openxmlformats.org/officeDocument/2006/relationships/image" Target="media/image128.jpeg"/><Relationship Id="rId143" Type="http://schemas.openxmlformats.org/officeDocument/2006/relationships/image" Target="media/image127.jpeg"/><Relationship Id="rId142" Type="http://schemas.openxmlformats.org/officeDocument/2006/relationships/image" Target="media/image126.jpeg"/><Relationship Id="rId141" Type="http://schemas.openxmlformats.org/officeDocument/2006/relationships/image" Target="media/image125.jpeg"/><Relationship Id="rId140" Type="http://schemas.openxmlformats.org/officeDocument/2006/relationships/image" Target="media/image124.jpeg"/><Relationship Id="rId14" Type="http://schemas.openxmlformats.org/officeDocument/2006/relationships/image" Target="media/image6.jpeg"/><Relationship Id="rId139" Type="http://schemas.openxmlformats.org/officeDocument/2006/relationships/image" Target="media/image123.jpeg"/><Relationship Id="rId138" Type="http://schemas.openxmlformats.org/officeDocument/2006/relationships/image" Target="media/image122.jpeg"/><Relationship Id="rId137" Type="http://schemas.openxmlformats.org/officeDocument/2006/relationships/image" Target="media/image121.jpeg"/><Relationship Id="rId136" Type="http://schemas.openxmlformats.org/officeDocument/2006/relationships/image" Target="media/image120.jpeg"/><Relationship Id="rId135" Type="http://schemas.openxmlformats.org/officeDocument/2006/relationships/image" Target="media/image119.jpeg"/><Relationship Id="rId134" Type="http://schemas.openxmlformats.org/officeDocument/2006/relationships/image" Target="media/image118.jpeg"/><Relationship Id="rId133" Type="http://schemas.openxmlformats.org/officeDocument/2006/relationships/image" Target="media/image117.jpeg"/><Relationship Id="rId132" Type="http://schemas.openxmlformats.org/officeDocument/2006/relationships/image" Target="media/image116.jpeg"/><Relationship Id="rId131" Type="http://schemas.openxmlformats.org/officeDocument/2006/relationships/image" Target="media/image115.jpeg"/><Relationship Id="rId130" Type="http://schemas.openxmlformats.org/officeDocument/2006/relationships/image" Target="media/image114.jpeg"/><Relationship Id="rId13" Type="http://schemas.openxmlformats.org/officeDocument/2006/relationships/image" Target="media/image5.jpeg"/><Relationship Id="rId129" Type="http://schemas.openxmlformats.org/officeDocument/2006/relationships/image" Target="media/image113.jpeg"/><Relationship Id="rId128" Type="http://schemas.openxmlformats.org/officeDocument/2006/relationships/image" Target="media/image112.jpeg"/><Relationship Id="rId127" Type="http://schemas.openxmlformats.org/officeDocument/2006/relationships/image" Target="media/image111.jpeg"/><Relationship Id="rId126" Type="http://schemas.openxmlformats.org/officeDocument/2006/relationships/image" Target="media/image110.jpeg"/><Relationship Id="rId125" Type="http://schemas.openxmlformats.org/officeDocument/2006/relationships/image" Target="media/image109.jpeg"/><Relationship Id="rId124" Type="http://schemas.openxmlformats.org/officeDocument/2006/relationships/image" Target="media/image108.jpeg"/><Relationship Id="rId123" Type="http://schemas.openxmlformats.org/officeDocument/2006/relationships/image" Target="media/image107.jpeg"/><Relationship Id="rId122" Type="http://schemas.openxmlformats.org/officeDocument/2006/relationships/image" Target="media/image106.jpeg"/><Relationship Id="rId121" Type="http://schemas.openxmlformats.org/officeDocument/2006/relationships/image" Target="media/image105.jpeg"/><Relationship Id="rId120" Type="http://schemas.openxmlformats.org/officeDocument/2006/relationships/image" Target="media/image104.jpeg"/><Relationship Id="rId12" Type="http://schemas.openxmlformats.org/officeDocument/2006/relationships/image" Target="media/image4.jpeg"/><Relationship Id="rId119" Type="http://schemas.openxmlformats.org/officeDocument/2006/relationships/image" Target="media/image103.jpeg"/><Relationship Id="rId118" Type="http://schemas.openxmlformats.org/officeDocument/2006/relationships/image" Target="media/image102.jpeg"/><Relationship Id="rId117" Type="http://schemas.openxmlformats.org/officeDocument/2006/relationships/image" Target="media/image101.jpeg"/><Relationship Id="rId116" Type="http://schemas.openxmlformats.org/officeDocument/2006/relationships/image" Target="media/image100.jpeg"/><Relationship Id="rId115" Type="http://schemas.openxmlformats.org/officeDocument/2006/relationships/image" Target="media/image99.jpeg"/><Relationship Id="rId114" Type="http://schemas.openxmlformats.org/officeDocument/2006/relationships/image" Target="media/image98.jpeg"/><Relationship Id="rId113" Type="http://schemas.openxmlformats.org/officeDocument/2006/relationships/image" Target="media/image97.jpeg"/><Relationship Id="rId112" Type="http://schemas.openxmlformats.org/officeDocument/2006/relationships/image" Target="media/image96.jpeg"/><Relationship Id="rId111" Type="http://schemas.openxmlformats.org/officeDocument/2006/relationships/image" Target="media/image95.jpeg"/><Relationship Id="rId110" Type="http://schemas.openxmlformats.org/officeDocument/2006/relationships/image" Target="media/image94.jpeg"/><Relationship Id="rId11" Type="http://schemas.openxmlformats.org/officeDocument/2006/relationships/image" Target="media/image3.jpeg"/><Relationship Id="rId109" Type="http://schemas.openxmlformats.org/officeDocument/2006/relationships/image" Target="media/image93.jpeg"/><Relationship Id="rId108" Type="http://schemas.openxmlformats.org/officeDocument/2006/relationships/image" Target="media/image92.jpe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png"/><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jpeg"/><Relationship Id="rId100" Type="http://schemas.openxmlformats.org/officeDocument/2006/relationships/image" Target="media/image84.jpeg"/><Relationship Id="rId10" Type="http://schemas.openxmlformats.org/officeDocument/2006/relationships/theme" Target="theme/theme1.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49"/>
    <customShpInfo spid="_x0000_s2050"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ntractReview xmlns="http://schemas.wps.cn/vas-ai-hub/contract-review">
  <reviewItems>
    <reviewItem>
      <errorID>11ee8dec-f1a5-45c7-8c43-d5e063c01a8b</errorID>
      <errorWord>密集性</errorWord>
      <group>L1_Word</group>
      <groupName>字词问题</groupName>
      <ability>L2_Typo</ability>
      <abilityName>字词错误</abilityName>
      <candidateList>
        <item>密集型</item>
      </candidateList>
      <explain/>
      <paraID>5E1D01C0</paraID>
      <start>238</start>
      <end>241</end>
      <status>ignored</status>
      <modifiedWord/>
      <trackRevisions>false</trackRevisions>
    </reviewItem>
    <reviewItem>
      <errorID>6ff6561d-0ab9-42db-ae68-9dad515bbd43</errorID>
      <errorWord>2015年01月01日</errorWord>
      <group>L1_Knowledge</group>
      <groupName>知识性问题</groupName>
      <ability>L2_Time</ability>
      <abilityName>日期时间</abilityName>
      <candidateList>
        <item>2015年1月1日</item>
      </candidateList>
      <explain>根据日常书写习惯，月份和日期一般会省略前导零。</explain>
      <paraID>7C2540BB</paraID>
      <start>18</start>
      <end>29</end>
      <status>ignored</status>
      <modifiedWord/>
      <trackRevisions>false</trackRevisions>
    </reviewItem>
    <reviewItem>
      <errorID>0e64edca-df79-48c5-b58b-18a7594f1874</errorID>
      <errorWord>2018年01月01日</errorWord>
      <group>L1_Knowledge</group>
      <groupName>知识性问题</groupName>
      <ability>L2_Time</ability>
      <abilityName>日期时间</abilityName>
      <candidateList>
        <item>2018年1月1日</item>
      </candidateList>
      <explain>根据日常书写习惯，月份和日期一般会省略前导零。</explain>
      <paraID>72C7E3ED</paraID>
      <start>19</start>
      <end>30</end>
      <status>unmodified</status>
      <modifiedWord/>
      <trackRevisions>false</trackRevisions>
    </reviewItem>
    <reviewItem>
      <errorID>2eb4b749-094a-4b3f-b10a-cb22ad9bb47c</errorID>
      <errorWord>2019年01月01日</errorWord>
      <group>L1_Knowledge</group>
      <groupName>知识性问题</groupName>
      <ability>L2_Time</ability>
      <abilityName>日期时间</abilityName>
      <candidateList>
        <item>2019年1月1日</item>
      </candidateList>
      <explain>根据日常书写习惯，月份和日期一般会省略前导零。</explain>
      <paraID>797FEAF6</paraID>
      <start>20</start>
      <end>31</end>
      <status>unmodified</status>
      <modifiedWord/>
      <trackRevisions>false</trackRevisions>
    </reviewItem>
    <reviewItem>
      <errorID>3395a7e0-17fd-4e97-a4c1-ec429cefa972</errorID>
      <errorWord>2022年06月05日</errorWord>
      <group>L1_Knowledge</group>
      <groupName>知识性问题</groupName>
      <ability>L2_Time</ability>
      <abilityName>日期时间</abilityName>
      <candidateList>
        <item>2022年6月5日</item>
      </candidateList>
      <explain>根据日常书写习惯，月份和日期一般会省略前导零。</explain>
      <paraID>3B65E6EA</paraID>
      <start>20</start>
      <end>31</end>
      <status>unmodified</status>
      <modifiedWord/>
      <trackRevisions>false</trackRevisions>
    </reviewItem>
    <reviewItem>
      <errorID>4c1c775b-7f9d-4002-b343-7eb9b10816a7</errorID>
      <errorWord>2020年09月01日</errorWord>
      <group>L1_Knowledge</group>
      <groupName>知识性问题</groupName>
      <ability>L2_Time</ability>
      <abilityName>日期时间</abilityName>
      <candidateList>
        <item>2020年9月1日</item>
      </candidateList>
      <explain>根据日常书写习惯，月份和日期一般会省略前导零。</explain>
      <paraID>4F58691C</paraID>
      <start>24</start>
      <end>35</end>
      <status>unmodified</status>
      <modifiedWord/>
      <trackRevisions>false</trackRevisions>
    </reviewItem>
    <reviewItem>
      <errorID>3a872e33-7523-4604-85b1-3ac982af0f0a</errorID>
      <errorWord>2018年01月01日</errorWord>
      <group>L1_Knowledge</group>
      <groupName>知识性问题</groupName>
      <ability>L2_Time</ability>
      <abilityName>日期时间</abilityName>
      <candidateList>
        <item>2018年1月1日</item>
      </candidateList>
      <explain>根据日常书写习惯，月份和日期一般会省略前导零。</explain>
      <paraID> DC549AA</paraID>
      <start>19</start>
      <end>30</end>
      <status>unmodified</status>
      <modifiedWord/>
      <trackRevisions>false</trackRevisions>
    </reviewItem>
    <reviewItem>
      <errorID>e33b8d9c-b85f-4674-ad75-9257fe316924</errorID>
      <errorWord>2023年05月01日</errorWord>
      <group>L1_Knowledge</group>
      <groupName>知识性问题</groupName>
      <ability>L2_Time</ability>
      <abilityName>日期时间</abilityName>
      <candidateList>
        <item>2023年5月1日</item>
      </candidateList>
      <explain>根据日常书写习惯，月份和日期一般会省略前导零。</explain>
      <paraID>64A7C736</paraID>
      <start>29</start>
      <end>40</end>
      <status>unmodified</status>
      <modifiedWord/>
      <trackRevisions>false</trackRevisions>
    </reviewItem>
    <reviewItem>
      <errorID>e65de9f9-f934-4861-ac14-5978e4e585f2</errorID>
      <errorWord>2011年03月01日</errorWord>
      <group>L1_Knowledge</group>
      <groupName>知识性问题</groupName>
      <ability>L2_Time</ability>
      <abilityName>日期时间</abilityName>
      <candidateList>
        <item>2011年3月1日</item>
      </candidateList>
      <explain>根据日常书写习惯，月份和日期一般会省略前导零。</explain>
      <paraID>6FDD9B5E</paraID>
      <start>28</start>
      <end>39</end>
      <status>unmodified</status>
      <modifiedWord/>
      <trackRevisions>false</trackRevisions>
    </reviewItem>
    <reviewItem>
      <errorID>36b206f2-f95a-4f8b-aa5a-ee1330394f3f</errorID>
      <errorWord>2012年07月01日</errorWord>
      <group>L1_Knowledge</group>
      <groupName>知识性问题</groupName>
      <ability>L2_Time</ability>
      <abilityName>日期时间</abilityName>
      <candidateList>
        <item>2012年7月1日</item>
      </candidateList>
      <explain>根据日常书写习惯，月份和日期一般会省略前导零。</explain>
      <paraID>239E4F8C</paraID>
      <start>30</start>
      <end>41</end>
      <status>unmodified</status>
      <modifiedWord/>
      <trackRevisions>false</trackRevisions>
    </reviewItem>
    <reviewItem>
      <errorID>1e7772f0-eb29-4a4b-be8c-8f4b9566760a</errorID>
      <errorWord>《中华人民共和国</errorWord>
      <group>L1_Word</group>
      <groupName>字词问题</groupName>
      <ability>L2_Typo</ability>
      <abilityName>字词错误</abilityName>
      <candidateList>
        <item>根据《中华人民共和国</item>
      </candidateList>
      <explain/>
      <paraID> B5E8501</paraID>
      <start>4</start>
      <end>12</end>
      <status>unmodified</status>
      <modifiedWord/>
      <trackRevisions>false</trackRevisions>
    </reviewItem>
    <reviewItem>
      <errorID>0bc443e5-c240-4f8f-a315-dbf024776d80</errorID>
      <errorWord>(</errorWord>
      <group>L1_Format</group>
      <groupName>格式问题</groupName>
      <ability>L2_HalfPunc_CN</ability>
      <abilityName>全半角检查</abilityName>
      <candidateList>
        <item>（</item>
      </candidateList>
      <explain>文本全半角错误。</explain>
      <paraID> B5E8501</paraID>
      <start>17</start>
      <end>18</end>
      <status>modified</status>
      <modifiedWord>（</modifiedWord>
      <trackRevisions>false</trackRevisions>
    </reviewItem>
    <reviewItem>
      <errorID>a0fd4f94-6188-450e-b041-af4a8fb46f68</errorID>
      <errorWord>)</errorWord>
      <group>L1_Format</group>
      <groupName>格式问题</groupName>
      <ability>L2_HalfPunc_CN</ability>
      <abilityName>全半角检查</abilityName>
      <candidateList>
        <item>）</item>
      </candidateList>
      <explain>文本全半角错误。</explain>
      <paraID> B5E8501</paraID>
      <start>25</start>
      <end>26</end>
      <status>modified</status>
      <modifiedWord>）</modifiedWord>
      <trackRevisions>false</trackRevisions>
    </reviewItem>
    <reviewItem>
      <errorID>3b0eb58a-eda6-42d9-8980-9da83de541e5</errorID>
      <errorWord>2025年07月01日</errorWord>
      <group>L1_Knowledge</group>
      <groupName>知识性问题</groupName>
      <ability>L2_Time</ability>
      <abilityName>日期时间</abilityName>
      <candidateList>
        <item>2025年7月1日</item>
      </candidateList>
      <explain>根据日常书写习惯，月份和日期一般会省略前导零。</explain>
      <paraID> B5E8501</paraID>
      <start>27</start>
      <end>38</end>
      <status>unmodified</status>
      <modifiedWord/>
      <trackRevisions>false</trackRevisions>
    </reviewItem>
    <reviewItem>
      <errorID>6589efee-431a-4930-ae0e-4e134d017135</errorID>
      <errorWord>2024年06月28日</errorWord>
      <group>L1_Knowledge</group>
      <groupName>知识性问题</groupName>
      <ability>L2_Time</ability>
      <abilityName>日期时间</abilityName>
      <candidateList>
        <item>2024年6月28日</item>
      </candidateList>
      <explain>根据日常书写习惯，月份一般会省略前导零。</explain>
      <paraID>4421345B</paraID>
      <start>21</start>
      <end>32</end>
      <status>unmodified</status>
      <modifiedWord/>
      <trackRevisions>false</trackRevisions>
    </reviewItem>
    <reviewItem>
      <errorID>c8afdf97-c5f4-4c5a-be06-413b476bc883</errorID>
      <errorWord>2024年11月01日</errorWord>
      <group>L1_Knowledge</group>
      <groupName>知识性问题</groupName>
      <ability>L2_Time</ability>
      <abilityName>日期时间</abilityName>
      <candidateList>
        <item>2024年11月1日</item>
      </candidateList>
      <explain>根据日常书写习惯，日期一般会省略前导零。</explain>
      <paraID>4421345B</paraID>
      <start>36</start>
      <end>47</end>
      <status>unmodified</status>
      <modifiedWord/>
      <trackRevisions>false</trackRevisions>
    </reviewItem>
    <reviewItem>
      <errorID>7f275265-29c8-4f27-b20c-a13da4b3f340</errorID>
      <errorWord>2017年10月01日</errorWord>
      <group>L1_Knowledge</group>
      <groupName>知识性问题</groupName>
      <ability>L2_Time</ability>
      <abilityName>日期时间</abilityName>
      <candidateList>
        <item>2017年10月1日</item>
      </candidateList>
      <explain>根据日常书写习惯，日期一般会省略前导零。</explain>
      <paraID>2ED772CC</paraID>
      <start>28</start>
      <end>39</end>
      <status>unmodified</status>
      <modifiedWord/>
      <trackRevisions>false</trackRevisions>
    </reviewItem>
    <reviewItem>
      <errorID>4a134a36-c934-4ec4-8b79-6f4a98b1cabf</errorID>
      <errorWord>2024年07月01日</errorWord>
      <group>L1_Knowledge</group>
      <groupName>知识性问题</groupName>
      <ability>L2_Time</ability>
      <abilityName>日期时间</abilityName>
      <candidateList>
        <item>2024年7月1日</item>
      </candidateList>
      <explain>根据日常书写习惯，月份和日期一般会省略前导零。</explain>
      <paraID>1A5BD38E</paraID>
      <start>27</start>
      <end>38</end>
      <status>unmodified</status>
      <modifiedWord/>
      <trackRevisions>false</trackRevisions>
    </reviewItem>
    <reviewItem>
      <errorID>67193875-7350-47c5-bcd4-0f46fa6c7c8a</errorID>
      <errorWord>2021年01月01日</errorWord>
      <group>L1_Knowledge</group>
      <groupName>知识性问题</groupName>
      <ability>L2_Time</ability>
      <abilityName>日期时间</abilityName>
      <candidateList>
        <item>2021年1月1日</item>
      </candidateList>
      <explain>根据日常书写习惯，月份和日期一般会省略前导零。</explain>
      <paraID>4FCFA116</paraID>
      <start>41</start>
      <end>52</end>
      <status>unmodified</status>
      <modifiedWord/>
      <trackRevisions>false</trackRevisions>
    </reviewItem>
    <reviewItem>
      <errorID>654f4458-72a9-48f4-b628-2bb2f66b0bb0</errorID>
      <errorWord>2019年01月01日</errorWord>
      <group>L1_Knowledge</group>
      <groupName>知识性问题</groupName>
      <ability>L2_Time</ability>
      <abilityName>日期时间</abilityName>
      <candidateList>
        <item>2019年1月1日</item>
      </candidateList>
      <explain>根据日常书写习惯，月份和日期一般会省略前导零。</explain>
      <paraID>6B63B32A</paraID>
      <start>28</start>
      <end>39</end>
      <status>unmodified</status>
      <modifiedWord/>
      <trackRevisions>false</trackRevisions>
    </reviewItem>
    <reviewItem>
      <errorID>1cdd8911-2b39-4b48-857a-569a148f4e00</errorID>
      <errorWord>2025年01月01日</errorWord>
      <group>L1_Knowledge</group>
      <groupName>知识性问题</groupName>
      <ability>L2_Time</ability>
      <abilityName>日期时间</abilityName>
      <candidateList>
        <item>2025年1月1日</item>
      </candidateList>
      <explain>根据日常书写习惯，月份和日期一般会省略前导零。</explain>
      <paraID>6ADD3ADB</paraID>
      <start>65</start>
      <end>76</end>
      <status>unmodified</status>
      <modifiedWord/>
      <trackRevisions>false</trackRevisions>
    </reviewItem>
    <reviewItem>
      <errorID>9d367c9d-3766-4f7f-bae2-05761c110566</errorID>
      <errorWord>2024年02月01日</errorWord>
      <group>L1_Knowledge</group>
      <groupName>知识性问题</groupName>
      <ability>L2_Time</ability>
      <abilityName>日期时间</abilityName>
      <candidateList>
        <item>2024年2月1日</item>
      </candidateList>
      <explain>根据日常书写习惯，月份和日期一般会省略前导零。</explain>
      <paraID>4427D347</paraID>
      <start>46</start>
      <end>57</end>
      <status>unmodified</status>
      <modifiedWord/>
      <trackRevisions>false</trackRevisions>
    </reviewItem>
    <reviewItem>
      <errorID>3fb2f69e-9647-4fa9-b0ca-2578a78d6d61</errorID>
      <errorWord>2012年03月07日</errorWord>
      <group>L1_Knowledge</group>
      <groupName>知识性问题</groupName>
      <ability>L2_Time</ability>
      <abilityName>日期时间</abilityName>
      <candidateList>
        <item>2012年3月7日</item>
      </candidateList>
      <explain>根据日常书写习惯，月份和日期一般会省略前导零。</explain>
      <paraID>46E11E0A</paraID>
      <start>32</start>
      <end>43</end>
      <status>unmodified</status>
      <modifiedWord/>
      <trackRevisions>false</trackRevisions>
    </reviewItem>
    <reviewItem>
      <errorID>71527457-6998-431c-afee-557ac2953583</errorID>
      <errorWord>2021年09月07日</errorWord>
      <group>L1_Knowledge</group>
      <groupName>知识性问题</groupName>
      <ability>L2_Time</ability>
      <abilityName>日期时间</abilityName>
      <candidateList>
        <item>2021年9月7日</item>
      </candidateList>
      <explain>根据日常书写习惯，月份和日期一般会省略前导零。</explain>
      <paraID>4B4F83B1</paraID>
      <start>44</start>
      <end>55</end>
      <status>unmodified</status>
      <modifiedWord/>
      <trackRevisions>false</trackRevisions>
    </reviewItem>
    <reviewItem>
      <errorID>8f93ddca-094b-4ee5-8c91-93d9f0111c89</errorID>
      <errorWord>2021年02月01日</errorWord>
      <group>L1_Knowledge</group>
      <groupName>知识性问题</groupName>
      <ability>L2_Time</ability>
      <abilityName>日期时间</abilityName>
      <candidateList>
        <item>2021年2月1日</item>
      </candidateList>
      <explain>根据日常书写习惯，月份和日期一般会省略前导零。</explain>
      <paraID>447BF0EC</paraID>
      <start>44</start>
      <end>55</end>
      <status>unmodified</status>
      <modifiedWord/>
      <trackRevisions>false</trackRevisions>
    </reviewItem>
    <reviewItem>
      <errorID>33e5988e-7013-4325-a480-52b6c2a9cf53</errorID>
      <errorWord>2017年10月07日</errorWord>
      <group>L1_Knowledge</group>
      <groupName>知识性问题</groupName>
      <ability>L2_Time</ability>
      <abilityName>日期时间</abilityName>
      <candidateList>
        <item>2017年10月7日</item>
      </candidateList>
      <explain>根据日常书写习惯，日期一般会省略前导零。</explain>
      <paraID>61D65C7B</paraID>
      <start>32</start>
      <end>43</end>
      <status>unmodified</status>
      <modifiedWord/>
      <trackRevisions>false</trackRevisions>
    </reviewItem>
    <reviewItem>
      <errorID>4358e154-19e2-4577-bb5a-2650bbb0673b</errorID>
      <errorWord>2021年03月01日</errorWord>
      <group>L1_Knowledge</group>
      <groupName>知识性问题</groupName>
      <ability>L2_Time</ability>
      <abilityName>日期时间</abilityName>
      <candidateList>
        <item>2021年3月1日</item>
      </candidateList>
      <explain>根据日常书写习惯，月份和日期一般会省略前导零。</explain>
      <paraID>77A6D736</paraID>
      <start>25</start>
      <end>36</end>
      <status>unmodified</status>
      <modifiedWord/>
      <trackRevisions>false</trackRevisions>
    </reviewItem>
    <reviewItem>
      <errorID>e72431a2-7503-4ef0-a411-12c76b3e1182</errorID>
      <errorWord>2017年10月01日</errorWord>
      <group>L1_Knowledge</group>
      <groupName>知识性问题</groupName>
      <ability>L2_Time</ability>
      <abilityName>日期时间</abilityName>
      <candidateList>
        <item>2017年10月1日</item>
      </candidateList>
      <explain>根据日常书写习惯，日期一般会省略前导零。</explain>
      <paraID>1A52BB8A</paraID>
      <start>41</start>
      <end>52</end>
      <status>unmodified</status>
      <modifiedWord/>
      <trackRevisions>false</trackRevisions>
    </reviewItem>
    <reviewItem>
      <errorID>8e24cde8-ed33-44a1-91ed-1847f057c899</errorID>
      <errorWord>2023年01月03日</errorWord>
      <group>L1_Knowledge</group>
      <groupName>知识性问题</groupName>
      <ability>L2_Time</ability>
      <abilityName>日期时间</abilityName>
      <candidateList>
        <item>2023年1月3日</item>
      </candidateList>
      <explain>根据日常书写习惯，月份和日期一般会省略前导零。</explain>
      <paraID>4D58C297</paraID>
      <start>45</start>
      <end>56</end>
      <status>unmodified</status>
      <modifiedWord/>
      <trackRevisions>false</trackRevisions>
    </reviewItem>
    <reviewItem>
      <errorID>f8fd7317-d1b6-4b48-b308-886639655e32</errorID>
      <errorWord>2023年11月07日</errorWord>
      <group>L1_Knowledge</group>
      <groupName>知识性问题</groupName>
      <ability>L2_Time</ability>
      <abilityName>日期时间</abilityName>
      <candidateList>
        <item>2023年11月7日</item>
      </candidateList>
      <explain>根据日常书写习惯，日期一般会省略前导零。</explain>
      <paraID>3E2D69FA</paraID>
      <start>31</start>
      <end>42</end>
      <status>unmodified</status>
      <modifiedWord/>
      <trackRevisions>false</trackRevisions>
    </reviewItem>
    <reviewItem>
      <errorID>4a968cf5-3136-4661-baf2-ec7e0f31e69b</errorID>
      <errorWord>2023年12月07日</errorWord>
      <group>L1_Knowledge</group>
      <groupName>知识性问题</groupName>
      <ability>L2_Time</ability>
      <abilityName>日期时间</abilityName>
      <candidateList>
        <item>2023年12月7日</item>
      </candidateList>
      <explain>根据日常书写习惯，日期一般会省略前导零。</explain>
      <paraID>6F47768E</paraID>
      <start>41</start>
      <end>52</end>
      <status>unmodified</status>
      <modifiedWord/>
      <trackRevisions>false</trackRevisions>
    </reviewItem>
    <reviewItem>
      <errorID>f34aa8bd-13f8-4def-aded-b9a7c38b13b4</errorID>
      <errorWord>2024年06月01日</errorWord>
      <group>L1_Knowledge</group>
      <groupName>知识性问题</groupName>
      <ability>L2_Time</ability>
      <abilityName>日期时间</abilityName>
      <candidateList>
        <item>2024年6月1日</item>
      </candidateList>
      <explain>根据日常书写习惯，月份和日期一般会省略前导零。</explain>
      <paraID>239C2484</paraID>
      <start>25</start>
      <end>36</end>
      <status>unmodified</status>
      <modifiedWord/>
      <trackRevisions>false</trackRevisions>
    </reviewItem>
    <reviewItem>
      <errorID>4c680308-3b0e-4e48-bbe8-9919aab0991e</errorID>
      <errorWord>2024年01月31日</errorWord>
      <group>L1_Knowledge</group>
      <groupName>知识性问题</groupName>
      <ability>L2_Time</ability>
      <abilityName>日期时间</abilityName>
      <candidateList>
        <item>2024年1月31日</item>
      </candidateList>
      <explain>根据日常书写习惯，月份一般会省略前导零。</explain>
      <paraID>3831AA67</paraID>
      <start>31</start>
      <end>42</end>
      <status>unmodified</status>
      <modifiedWord/>
      <trackRevisions>false</trackRevisions>
    </reviewItem>
    <reviewItem>
      <errorID>60cce358-a3cf-4733-be59-27a4ef2cef10</errorID>
      <errorWord>2024年01月22日</errorWord>
      <group>L1_Knowledge</group>
      <groupName>知识性问题</groupName>
      <ability>L2_Time</ability>
      <abilityName>日期时间</abilityName>
      <candidateList>
        <item>2024年1月22日</item>
      </candidateList>
      <explain>根据日常书写习惯，月份一般会省略前导零。</explain>
      <paraID>64631213</paraID>
      <start>43</start>
      <end>54</end>
      <status>unmodified</status>
      <modifiedWord/>
      <trackRevisions>false</trackRevisions>
    </reviewItem>
    <reviewItem>
      <errorID>6ca3b2aa-3078-4267-a4bc-f3040d7946c7</errorID>
      <errorWord>2024年02月04日</errorWord>
      <group>L1_Knowledge</group>
      <groupName>知识性问题</groupName>
      <ability>L2_Time</ability>
      <abilityName>日期时间</abilityName>
      <candidateList>
        <item>2024年2月4日</item>
      </candidateList>
      <explain>根据日常书写习惯，月份和日期一般会省略前导零。</explain>
      <paraID>47B948E1</paraID>
      <start>48</start>
      <end>59</end>
      <status>unmodified</status>
      <modifiedWord/>
      <trackRevisions>false</trackRevisions>
    </reviewItem>
    <reviewItem>
      <errorID>aa26b2cf-3560-48d9-9570-2e4d76640cc6</errorID>
      <errorWord>2014年12月03日</errorWord>
      <group>L1_Knowledge</group>
      <groupName>知识性问题</groupName>
      <ability>L2_Time</ability>
      <abilityName>日期时间</abilityName>
      <candidateList>
        <item>2014年12月3日</item>
      </candidateList>
      <explain>根据日常书写习惯，日期一般会省略前导零。</explain>
      <paraID> 3249C2A</paraID>
      <start>54</start>
      <end>65</end>
      <status>unmodified</status>
      <modifiedWord/>
      <trackRevisions>false</trackRevisions>
    </reviewItem>
    <reviewItem>
      <errorID>36358c1d-a806-4e50-8347-22b2d53d654f</errorID>
      <errorWord>2017年05月01日</errorWord>
      <group>L1_Knowledge</group>
      <groupName>知识性问题</groupName>
      <ability>L2_Time</ability>
      <abilityName>日期时间</abilityName>
      <candidateList>
        <item>2017年5月1日</item>
      </candidateList>
      <explain>根据日常书写习惯，月份和日期一般会省略前导零。</explain>
      <paraID>2E87A198</paraID>
      <start>26</start>
      <end>37</end>
      <status>unmodified</status>
      <modifiedWord/>
      <trackRevisions>false</trackRevisions>
    </reviewItem>
    <reviewItem>
      <errorID>a6b3667e-ac5a-4eb6-ab20-892e0b6d62b9</errorID>
      <errorWord>2021年11月04日</errorWord>
      <group>L1_Knowledge</group>
      <groupName>知识性问题</groupName>
      <ability>L2_Time</ability>
      <abilityName>日期时间</abilityName>
      <candidateList>
        <item>2021年11月4日</item>
      </candidateList>
      <explain>根据日常书写习惯，日期一般会省略前导零。</explain>
      <paraID>244F0FC0</paraID>
      <start>39</start>
      <end>50</end>
      <status>unmodified</status>
      <modifiedWord/>
      <trackRevisions>false</trackRevisions>
    </reviewItem>
    <reviewItem>
      <errorID>f94b50e2-84ed-4af0-847d-10b3d9a3fa59</errorID>
      <errorWord>2021年08月04日</errorWord>
      <group>L1_Knowledge</group>
      <groupName>知识性问题</groupName>
      <ability>L2_Time</ability>
      <abilityName>日期时间</abilityName>
      <candidateList>
        <item>2021年8月4日</item>
      </candidateList>
      <explain>根据日常书写习惯，月份和日期一般会省略前导零。</explain>
      <paraID> 81C06D4</paraID>
      <start>44</start>
      <end>55</end>
      <status>unmodified</status>
      <modifiedWord/>
      <trackRevisions>false</trackRevisions>
    </reviewItem>
    <reviewItem>
      <errorID>718e49af-93cc-4d6c-9951-f2c8d60f2f8c</errorID>
      <errorWord>2018年10月01日</errorWord>
      <group>L1_Knowledge</group>
      <groupName>知识性问题</groupName>
      <ability>L2_Time</ability>
      <abilityName>日期时间</abilityName>
      <candidateList>
        <item>2018年10月1日</item>
      </candidateList>
      <explain>根据日常书写习惯，日期一般会省略前导零。</explain>
      <paraID>363EB0D5</paraID>
      <start>25</start>
      <end>36</end>
      <status>unmodified</status>
      <modifiedWord/>
      <trackRevisions>false</trackRevisions>
    </reviewItem>
    <reviewItem>
      <errorID>6602ff3a-baa9-435c-b0cb-d22d5274ac09</errorID>
      <errorWord>2018年09月21日</errorWord>
      <group>L1_Knowledge</group>
      <groupName>知识性问题</groupName>
      <ability>L2_Time</ability>
      <abilityName>日期时间</abilityName>
      <candidateList>
        <item>2018年9月21日</item>
      </candidateList>
      <explain>根据日常书写习惯，月份一般会省略前导零。</explain>
      <paraID>4076280B</paraID>
      <start>24</start>
      <end>35</end>
      <status>unmodified</status>
      <modifiedWord/>
      <trackRevisions>false</trackRevisions>
    </reviewItem>
    <reviewItem>
      <errorID>d7179ac1-cb92-44d2-a962-db2e94ac188f</errorID>
      <errorWord>2019年01月01日</errorWord>
      <group>L1_Knowledge</group>
      <groupName>知识性问题</groupName>
      <ability>L2_Time</ability>
      <abilityName>日期时间</abilityName>
      <candidateList>
        <item>2019年1月1日</item>
      </candidateList>
      <explain>根据日常书写习惯，月份和日期一般会省略前导零。</explain>
      <paraID> FEB067D</paraID>
      <start>22</start>
      <end>33</end>
      <status>unmodified</status>
      <modifiedWord/>
      <trackRevisions>false</trackRevisions>
    </reviewItem>
    <reviewItem>
      <errorID>cd896676-7978-43b9-8220-bc1621653ba2</errorID>
      <errorWord>2005年07月14日</errorWord>
      <group>L1_Knowledge</group>
      <groupName>知识性问题</groupName>
      <ability>L2_Time</ability>
      <abilityName>日期时间</abilityName>
      <candidateList>
        <item>2005年7月14日</item>
      </candidateList>
      <explain>根据日常书写习惯，月份一般会省略前导零。</explain>
      <paraID>1FDD3FDE</paraID>
      <start>14</start>
      <end>25</end>
      <status>unmodified</status>
      <modifiedWord/>
      <trackRevisions>false</trackRevisions>
    </reviewItem>
    <reviewItem>
      <errorID>a963e626-c83e-4749-a9af-09a0782c6f30</errorID>
      <errorWord>2020年07月30日</errorWord>
      <group>L1_Knowledge</group>
      <groupName>知识性问题</groupName>
      <ability>L2_Time</ability>
      <abilityName>日期时间</abilityName>
      <candidateList>
        <item>2020年7月30日</item>
      </candidateList>
      <explain>根据日常书写习惯，月份一般会省略前导零。</explain>
      <paraID>2DCDA9C5</paraID>
      <start>53</start>
      <end>64</end>
      <status>unmodified</status>
      <modifiedWord/>
      <trackRevisions>false</trackRevisions>
    </reviewItem>
    <reviewItem>
      <errorID>c315534d-b76b-4d9f-a7a7-a778e692d91e</errorID>
      <errorWord>2018年08月</errorWord>
      <group>L1_Knowledge</group>
      <groupName>知识性问题</groupName>
      <ability>L2_Time</ability>
      <abilityName>日期时间</abilityName>
      <candidateList>
        <item>2018年8月</item>
      </candidateList>
      <explain>根据日常书写习惯，月份一般会省略前导零。</explain>
      <paraID>45F6A9CE</paraID>
      <start>32</start>
      <end>40</end>
      <status>unmodified</status>
      <modifiedWord/>
      <trackRevisions>false</trackRevisions>
    </reviewItem>
    <reviewItem>
      <errorID>55fe0887-e7f1-4079-94bd-adf8e99bee0b</errorID>
      <errorWord>2026年03月25日</errorWord>
      <group>L1_Knowledge</group>
      <groupName>知识性问题</groupName>
      <ability>L2_Time</ability>
      <abilityName>日期时间</abilityName>
      <candidateList>
        <item>2026年3月25日</item>
      </candidateList>
      <explain>根据日常书写习惯，月份一般会省略前导零。</explain>
      <paraID>22DD295E</paraID>
      <start>33</start>
      <end>44</end>
      <status>unmodified</status>
      <modifiedWord/>
      <trackRevisions>false</trackRevisions>
    </reviewItem>
    <reviewItem>
      <errorID>a561dcc9-6f34-4b36-9311-70f8992234c7</errorID>
      <errorWord>2021年07月28日</errorWord>
      <group>L1_Knowledge</group>
      <groupName>知识性问题</groupName>
      <ability>L2_Time</ability>
      <abilityName>日期时间</abilityName>
      <candidateList>
        <item>2021年7月28日</item>
      </candidateList>
      <explain>根据日常书写习惯，月份一般会省略前导零。</explain>
      <paraID>1988B359</paraID>
      <start>21</start>
      <end>32</end>
      <status>unmodified</status>
      <modifiedWord/>
      <trackRevisions>false</trackRevisions>
    </reviewItem>
    <reviewItem>
      <errorID>9d0ce3ea-d65d-4b97-9e6a-03cccebe450f</errorID>
      <errorWord>2021年07月</errorWord>
      <group>L1_Knowledge</group>
      <groupName>知识性问题</groupName>
      <ability>L2_Time</ability>
      <abilityName>日期时间</abilityName>
      <candidateList>
        <item>2021年7月</item>
      </candidateList>
      <explain>根据日常书写习惯，月份一般会省略前导零。</explain>
      <paraID>2C5519A7</paraID>
      <start>40</start>
      <end>48</end>
      <status>unmodified</status>
      <modifiedWord/>
      <trackRevisions>false</trackRevisions>
    </reviewItem>
    <reviewItem>
      <errorID>0c29749a-5745-464e-b44f-781fd8f0903e</errorID>
      <errorWord>2026年05月13日</errorWord>
      <group>L1_Knowledge</group>
      <groupName>知识性问题</groupName>
      <ability>L2_Time</ability>
      <abilityName>日期时间</abilityName>
      <candidateList>
        <item>2026年5月13日</item>
      </candidateList>
      <explain>根据日常书写习惯，月份一般会省略前导零。</explain>
      <paraID>5BED617F</paraID>
      <start>33</start>
      <end>44</end>
      <status>unmodified</status>
      <modifiedWord/>
      <trackRevisions>false</trackRevisions>
    </reviewItem>
    <reviewItem>
      <errorID>3b6736df-52f6-4056-a9a9-6425be518580</errorID>
      <errorWord>2022年08月</errorWord>
      <group>L1_Knowledge</group>
      <groupName>知识性问题</groupName>
      <ability>L2_Time</ability>
      <abilityName>日期时间</abilityName>
      <candidateList>
        <item>2022年8月</item>
      </candidateList>
      <explain>根据日常书写习惯，月份一般会省略前导零。</explain>
      <paraID> 30D963D</paraID>
      <start>22</start>
      <end>30</end>
      <status>unmodified</status>
      <modifiedWord/>
      <trackRevisions>false</trackRevisions>
    </reviewItem>
    <reviewItem>
      <errorID>d70dcdc0-9d46-42fb-8cd7-214e3d438b20</errorID>
      <errorWord>2022年08月</errorWord>
      <group>L1_Knowledge</group>
      <groupName>知识性问题</groupName>
      <ability>L2_Time</ability>
      <abilityName>日期时间</abilityName>
      <candidateList>
        <item>2022年8月</item>
      </candidateList>
      <explain>根据日常书写习惯，月份一般会省略前导零。</explain>
      <paraID>3B495F9A</paraID>
      <start>29</start>
      <end>37</end>
      <status>unmodified</status>
      <modifiedWord/>
      <trackRevisions>false</trackRevisions>
    </reviewItem>
    <reviewItem>
      <errorID>48f71967-3be5-406d-a6f8-0d99e6ef8a98</errorID>
      <errorWord>2022年08月</errorWord>
      <group>L1_Knowledge</group>
      <groupName>知识性问题</groupName>
      <ability>L2_Time</ability>
      <abilityName>日期时间</abilityName>
      <candidateList>
        <item>2022年8月</item>
      </candidateList>
      <explain>根据日常书写习惯，月份一般会省略前导零。</explain>
      <paraID> 8E56EB1</paraID>
      <start>35</start>
      <end>43</end>
      <status>unmodified</status>
      <modifiedWord/>
      <trackRevisions>false</trackRevisions>
    </reviewItem>
    <reviewItem>
      <errorID>bb0233db-99c4-4f27-8174-4fb990a506b4</errorID>
      <errorWord>2022年05月</errorWord>
      <group>L1_Knowledge</group>
      <groupName>知识性问题</groupName>
      <ability>L2_Time</ability>
      <abilityName>日期时间</abilityName>
      <candidateList>
        <item>2022年5月</item>
      </candidateList>
      <explain>根据日常书写习惯，月份一般会省略前导零。</explain>
      <paraID>64D43B50</paraID>
      <start>42</start>
      <end>50</end>
      <status>unmodified</status>
      <modifiedWord/>
      <trackRevisions>false</trackRevisions>
    </reviewItem>
    <reviewItem>
      <errorID>46cd6595-8ed6-4c70-b6e1-ccc9e7b4b3bf</errorID>
      <errorWord>2021年07月26日</errorWord>
      <group>L1_Knowledge</group>
      <groupName>知识性问题</groupName>
      <ability>L2_Time</ability>
      <abilityName>日期时间</abilityName>
      <candidateList>
        <item>2021年7月26日</item>
      </candidateList>
      <explain>根据日常书写习惯，月份一般会省略前导零。</explain>
      <paraID>3CF4630D</paraID>
      <start>70</start>
      <end>81</end>
      <status>unmodified</status>
      <modifiedWord/>
      <trackRevisions>false</trackRevisions>
    </reviewItem>
    <reviewItem>
      <errorID>85fd3194-ebf3-4940-ada9-5c1f83bdb532</errorID>
      <errorWord>2022年09月18日</errorWord>
      <group>L1_Knowledge</group>
      <groupName>知识性问题</groupName>
      <ability>L2_Time</ability>
      <abilityName>日期时间</abilityName>
      <candidateList>
        <item>2022年9月18日</item>
      </candidateList>
      <explain>根据日常书写习惯，月份一般会省略前导零。</explain>
      <paraID> 688AE49</paraID>
      <start>39</start>
      <end>50</end>
      <status>unmodified</status>
      <modifiedWord/>
      <trackRevisions>false</trackRevisions>
    </reviewItem>
    <reviewItem>
      <errorID>54ca5474-fa1b-4a56-91e8-08006b3b3776</errorID>
      <errorWord>2022年03月09日</errorWord>
      <group>L1_Knowledge</group>
      <groupName>知识性问题</groupName>
      <ability>L2_Time</ability>
      <abilityName>日期时间</abilityName>
      <candidateList>
        <item>2022年3月9日</item>
      </candidateList>
      <explain>根据日常书写习惯，月份和日期一般会省略前导零。</explain>
      <paraID>51E9EFFD</paraID>
      <start>21</start>
      <end>32</end>
      <status>unmodified</status>
      <modifiedWord/>
      <trackRevisions>false</trackRevisions>
    </reviewItem>
    <reviewItem>
      <errorID>62d5473e-b599-4541-a01f-b2adbcbb3fb3</errorID>
      <errorWord>2024年01月18日</errorWord>
      <group>L1_Knowledge</group>
      <groupName>知识性问题</groupName>
      <ability>L2_Time</ability>
      <abilityName>日期时间</abilityName>
      <candidateList>
        <item>2024年1月18日</item>
      </candidateList>
      <explain>根据日常书写习惯，月份一般会省略前导零。</explain>
      <paraID>16A893D4</paraID>
      <start>25</start>
      <end>36</end>
      <status>unmodified</status>
      <modifiedWord/>
      <trackRevisions>false</trackRevisions>
    </reviewItem>
    <reviewItem>
      <errorID>c8216d63-ce26-4319-891e-bc3736de8912</errorID>
      <errorWord>2020年09月19日</errorWord>
      <group>L1_Knowledge</group>
      <groupName>知识性问题</groupName>
      <ability>L2_Time</ability>
      <abilityName>日期时间</abilityName>
      <candidateList>
        <item>2020年9月19日</item>
      </candidateList>
      <explain>根据日常书写习惯，月份一般会省略前导零。</explain>
      <paraID> 40487E4</paraID>
      <start>33</start>
      <end>44</end>
      <status>unmodified</status>
      <modifiedWord/>
      <trackRevisions>false</trackRevisions>
    </reviewItem>
    <reviewItem>
      <errorID>4d5f36d2-3fa3-4b48-9bf8-62ae31973a0f</errorID>
      <errorWord>2020年09月04日</errorWord>
      <group>L1_Knowledge</group>
      <groupName>知识性问题</groupName>
      <ability>L2_Time</ability>
      <abilityName>日期时间</abilityName>
      <candidateList>
        <item>2020年9月4日</item>
      </candidateList>
      <explain>根据日常书写习惯，月份和日期一般会省略前导零。</explain>
      <paraID>3CDDF571</paraID>
      <start>45</start>
      <end>56</end>
      <status>unmodified</status>
      <modifiedWord/>
      <trackRevisions>false</trackRevisions>
    </reviewItem>
    <reviewItem>
      <errorID>065b12a0-c677-4183-991d-8995fa2617e4</errorID>
      <errorWord>2024年06月09日</errorWord>
      <group>L1_Knowledge</group>
      <groupName>知识性问题</groupName>
      <ability>L2_Time</ability>
      <abilityName>日期时间</abilityName>
      <candidateList>
        <item>2024年6月9日</item>
      </candidateList>
      <explain>根据日常书写习惯，月份和日期一般会省略前导零。</explain>
      <paraID>2A1DD20F</paraID>
      <start>59</start>
      <end>70</end>
      <status>unmodified</status>
      <modifiedWord/>
      <trackRevisions>false</trackRevisions>
    </reviewItem>
    <reviewItem>
      <errorID>81030e3a-588e-4aa9-8564-b0b2daaf7fb7</errorID>
      <errorWord>2016年02月04日</errorWord>
      <group>L1_Knowledge</group>
      <groupName>知识性问题</groupName>
      <ability>L2_Time</ability>
      <abilityName>日期时间</abilityName>
      <candidateList>
        <item>2016年2月4日</item>
      </candidateList>
      <explain>根据日常书写习惯，月份和日期一般会省略前导零。</explain>
      <paraID>6E5C7AF8</paraID>
      <start>45</start>
      <end>56</end>
      <status>unmodified</status>
      <modifiedWord/>
      <trackRevisions>false</trackRevisions>
    </reviewItem>
    <reviewItem>
      <errorID>31236c66-1f8d-47a8-8dad-8fdb9a46c1ca</errorID>
      <errorWord>2017年03月01日</errorWord>
      <group>L1_Knowledge</group>
      <groupName>知识性问题</groupName>
      <ability>L2_Time</ability>
      <abilityName>日期时间</abilityName>
      <candidateList>
        <item>2017年3月1日</item>
      </candidateList>
      <explain>根据日常书写习惯，月份和日期一般会省略前导零。</explain>
      <paraID>6CE67327</paraID>
      <start>46</start>
      <end>57</end>
      <status>unmodified</status>
      <modifiedWord/>
      <trackRevisions>false</trackRevisions>
    </reviewItem>
    <reviewItem>
      <errorID>b0eb2734-d1ed-4fc1-88f6-694b65bace97</errorID>
      <errorWord>2023年12月05日</errorWord>
      <group>L1_Knowledge</group>
      <groupName>知识性问题</groupName>
      <ability>L2_Time</ability>
      <abilityName>日期时间</abilityName>
      <candidateList>
        <item>2023年12月5日</item>
      </candidateList>
      <explain>根据日常书写习惯，日期一般会省略前导零。</explain>
      <paraID>2BB8A9D5</paraID>
      <start>38</start>
      <end>49</end>
      <status>unmodified</status>
      <modifiedWord/>
      <trackRevisions>false</trackRevisions>
    </reviewItem>
    <reviewItem>
      <errorID>d772bc56-b8c8-4c16-958e-28f632ad8335</errorID>
      <errorWord>2025年01月10日</errorWord>
      <group>L1_Knowledge</group>
      <groupName>知识性问题</groupName>
      <ability>L2_Time</ability>
      <abilityName>日期时间</abilityName>
      <candidateList>
        <item>2025年1月10日</item>
      </candidateList>
      <explain>根据日常书写习惯，月份一般会省略前导零。</explain>
      <paraID>42DE1C5A</paraID>
      <start>28</start>
      <end>39</end>
      <status>unmodified</status>
      <modifiedWord/>
      <trackRevisions>false</trackRevisions>
    </reviewItem>
    <reviewItem>
      <errorID>7d25d38c-2608-4b2d-abe8-ba2a27e5bbc7</errorID>
      <errorWord>2017年01月01日</errorWord>
      <group>L1_Knowledge</group>
      <groupName>知识性问题</groupName>
      <ability>L2_Time</ability>
      <abilityName>日期时间</abilityName>
      <candidateList>
        <item>2017年1月1日</item>
      </candidateList>
      <explain>根据日常书写习惯，月份和日期一般会省略前导零。</explain>
      <paraID>39366E15</paraID>
      <start>35</start>
      <end>46</end>
      <status>unmodified</status>
      <modifiedWord/>
      <trackRevisions>false</trackRevisions>
    </reviewItem>
    <reviewItem>
      <errorID>49079d24-8cf8-4615-b716-4823d5d35feb</errorID>
      <errorWord>2018年12月01日</errorWord>
      <group>L1_Knowledge</group>
      <groupName>知识性问题</groupName>
      <ability>L2_Time</ability>
      <abilityName>日期时间</abilityName>
      <candidateList>
        <item>2018年12月1日</item>
      </candidateList>
      <explain>根据日常书写习惯，日期一般会省略前导零。</explain>
      <paraID>7829F9F6</paraID>
      <start>33</start>
      <end>44</end>
      <status>unmodified</status>
      <modifiedWord/>
      <trackRevisions>false</trackRevisions>
    </reviewItem>
    <reviewItem>
      <errorID>b932045b-c689-4484-99ec-188cc7bc2299</errorID>
      <errorWord>2022年07月01日</errorWord>
      <group>L1_Knowledge</group>
      <groupName>知识性问题</groupName>
      <ability>L2_Time</ability>
      <abilityName>日期时间</abilityName>
      <candidateList>
        <item>2022年7月1日</item>
      </candidateList>
      <explain>根据日常书写习惯，月份和日期一般会省略前导零。</explain>
      <paraID>7D674681</paraID>
      <start>32</start>
      <end>43</end>
      <status>unmodified</status>
      <modifiedWord/>
      <trackRevisions>false</trackRevisions>
    </reviewItem>
    <reviewItem>
      <errorID>02f5388a-c9a5-411a-9cd4-2cdb3613f7da</errorID>
      <errorWord>2019年07月01日</errorWord>
      <group>L1_Knowledge</group>
      <groupName>知识性问题</groupName>
      <ability>L2_Time</ability>
      <abilityName>日期时间</abilityName>
      <candidateList>
        <item>2019年7月1日</item>
      </candidateList>
      <explain>根据日常书写习惯，月份和日期一般会省略前导零。</explain>
      <paraID>7E08B1AE</paraID>
      <start>37</start>
      <end>48</end>
      <status>unmodified</status>
      <modifiedWord/>
      <trackRevisions>false</trackRevisions>
    </reviewItem>
    <reviewItem>
      <errorID>4f5492d0-91ab-4d0c-accd-56a03658d2b9</errorID>
      <errorWord>2022年07月01日</errorWord>
      <group>L1_Knowledge</group>
      <groupName>知识性问题</groupName>
      <ability>L2_Time</ability>
      <abilityName>日期时间</abilityName>
      <candidateList>
        <item>2022年7月1日</item>
      </candidateList>
      <explain>根据日常书写习惯，月份和日期一般会省略前导零。</explain>
      <paraID>2E9552ED</paraID>
      <start>32</start>
      <end>43</end>
      <status>unmodified</status>
      <modifiedWord/>
      <trackRevisions>false</trackRevisions>
    </reviewItem>
    <reviewItem>
      <errorID>fa0d7354-b2df-4ab9-83f9-695ccd0f1b12</errorID>
      <errorWord>2019年03月01日</errorWord>
      <group>L1_Knowledge</group>
      <groupName>知识性问题</groupName>
      <ability>L2_Time</ability>
      <abilityName>日期时间</abilityName>
      <candidateList>
        <item>2019年3月1日</item>
      </candidateList>
      <explain>根据日常书写习惯，月份和日期一般会省略前导零。</explain>
      <paraID>319B2B89</paraID>
      <start>34</start>
      <end>45</end>
      <status>unmodified</status>
      <modifiedWord/>
      <trackRevisions>false</trackRevisions>
    </reviewItem>
    <reviewItem>
      <errorID>d89b4c45-219d-458c-9ad1-2613f3def432</errorID>
      <errorWord>2016年01月07日</errorWord>
      <group>L1_Knowledge</group>
      <groupName>知识性问题</groupName>
      <ability>L2_Time</ability>
      <abilityName>日期时间</abilityName>
      <candidateList>
        <item>2016年1月7日</item>
      </candidateList>
      <explain>根据日常书写习惯，月份和日期一般会省略前导零。</explain>
      <paraID>28E1EDA7</paraID>
      <start>34</start>
      <end>45</end>
      <status>unmodified</status>
      <modifiedWord/>
      <trackRevisions>false</trackRevisions>
    </reviewItem>
    <reviewItem>
      <errorID>a14e3b29-4b12-4f20-a280-c2743487ae2c</errorID>
      <errorWord>2019年03月01日</errorWord>
      <group>L1_Knowledge</group>
      <groupName>知识性问题</groupName>
      <ability>L2_Time</ability>
      <abilityName>日期时间</abilityName>
      <candidateList>
        <item>2019年3月1日</item>
      </candidateList>
      <explain>根据日常书写习惯，月份和日期一般会省略前导零。</explain>
      <paraID>7E66F30F</paraID>
      <start>32</start>
      <end>43</end>
      <status>unmodified</status>
      <modifiedWord/>
      <trackRevisions>false</trackRevisions>
    </reviewItem>
    <reviewItem>
      <errorID>dc575b0d-2cb7-42bc-8583-7b3848675247</errorID>
      <errorWord>2024年01月01日</errorWord>
      <group>L1_Knowledge</group>
      <groupName>知识性问题</groupName>
      <ability>L2_Time</ability>
      <abilityName>日期时间</abilityName>
      <candidateList>
        <item>2024年1月1日</item>
      </candidateList>
      <explain>根据日常书写习惯，月份和日期一般会省略前导零。</explain>
      <paraID>4E878D05</paraID>
      <start>42</start>
      <end>53</end>
      <status>unmodified</status>
      <modifiedWord/>
      <trackRevisions>false</trackRevisions>
    </reviewItem>
    <reviewItem>
      <errorID>28ac4ec6-45ef-4e32-8ab1-4ce1016ff107</errorID>
      <errorWord>2022年10月01日</errorWord>
      <group>L1_Knowledge</group>
      <groupName>知识性问题</groupName>
      <ability>L2_Time</ability>
      <abilityName>日期时间</abilityName>
      <candidateList>
        <item>2022年10月1日</item>
      </candidateList>
      <explain>根据日常书写习惯，日期一般会省略前导零。</explain>
      <paraID>4139DB59</paraID>
      <start>39</start>
      <end>50</end>
      <status>unmodified</status>
      <modifiedWord/>
      <trackRevisions>false</trackRevisions>
    </reviewItem>
    <reviewItem>
      <errorID>93df8a6d-a28b-4426-9f40-7afc624aacb6</errorID>
      <errorWord>2017年06月01日</errorWord>
      <group>L1_Knowledge</group>
      <groupName>知识性问题</groupName>
      <ability>L2_Time</ability>
      <abilityName>日期时间</abilityName>
      <candidateList>
        <item>2017年6月1日</item>
      </candidateList>
      <explain>根据日常书写习惯，月份和日期一般会省略前导零。</explain>
      <paraID>63A0B9B3</paraID>
      <start>34</start>
      <end>45</end>
      <status>unmodified</status>
      <modifiedWord/>
      <trackRevisions>false</trackRevisions>
    </reviewItem>
    <reviewItem>
      <errorID>d23df0b6-f726-40df-9fef-27f80a863d53</errorID>
      <errorWord>2019年01月01日</errorWord>
      <group>L1_Knowledge</group>
      <groupName>知识性问题</groupName>
      <ability>L2_Time</ability>
      <abilityName>日期时间</abilityName>
      <candidateList>
        <item>2019年1月1日</item>
      </candidateList>
      <explain>根据日常书写习惯，月份和日期一般会省略前导零。</explain>
      <paraID>2800F619</paraID>
      <start>37</start>
      <end>48</end>
      <status>unmodified</status>
      <modifiedWord/>
      <trackRevisions>false</trackRevisions>
    </reviewItem>
    <reviewItem>
      <errorID>ccc45596-3b63-4a19-8814-0d89951b699f</errorID>
      <errorWord>2009年02月</errorWord>
      <group>L1_Knowledge</group>
      <groupName>知识性问题</groupName>
      <ability>L2_Time</ability>
      <abilityName>日期时间</abilityName>
      <candidateList>
        <item>2009年2月</item>
      </candidateList>
      <explain>根据日常书写习惯，月份一般会省略前导零。</explain>
      <paraID>47EDF067</paraID>
      <start>31</start>
      <end>39</end>
      <status>unmodified</status>
      <modifiedWord/>
      <trackRevisions>false</trackRevisions>
    </reviewItem>
    <reviewItem>
      <errorID>6fc91f62-e329-48b6-b411-e59b42d84e02</errorID>
      <errorWord>2022年07月01日</errorWord>
      <group>L1_Knowledge</group>
      <groupName>知识性问题</groupName>
      <ability>L2_Time</ability>
      <abilityName>日期时间</abilityName>
      <candidateList>
        <item>2022年7月1日</item>
      </candidateList>
      <explain>根据日常书写习惯，月份和日期一般会省略前导零。</explain>
      <paraID>5B1DABAF</paraID>
      <start>45</start>
      <end>56</end>
      <status>unmodified</status>
      <modifiedWord/>
      <trackRevisions>false</trackRevisions>
    </reviewItem>
    <reviewItem>
      <errorID>f1df627f-4c37-4688-b065-7a1494525cc7</errorID>
      <errorWord>2013年03月01日</errorWord>
      <group>L1_Knowledge</group>
      <groupName>知识性问题</groupName>
      <ability>L2_Time</ability>
      <abilityName>日期时间</abilityName>
      <candidateList>
        <item>2013年3月1日</item>
      </candidateList>
      <explain>根据日常书写习惯，月份和日期一般会省略前导零。</explain>
      <paraID>1C502C92</paraID>
      <start>36</start>
      <end>47</end>
      <status>unmodified</status>
      <modifiedWord/>
      <trackRevisions>false</trackRevisions>
    </reviewItem>
    <reviewItem>
      <errorID>b8fc056e-1640-4f5e-a6ba-2f54cfca9d54</errorID>
      <errorWord>2023年07月01日</errorWord>
      <group>L1_Knowledge</group>
      <groupName>知识性问题</groupName>
      <ability>L2_Time</ability>
      <abilityName>日期时间</abilityName>
      <candidateList>
        <item>2023年7月1日</item>
      </candidateList>
      <explain>根据日常书写习惯，月份和日期一般会省略前导零。</explain>
      <paraID>5BA620A1</paraID>
      <start>34</start>
      <end>45</end>
      <status>unmodified</status>
      <modifiedWord/>
      <trackRevisions>false</trackRevisions>
    </reviewItem>
    <reviewItem>
      <errorID>b51268f5-178f-40a4-b858-6e5e2688da53</errorID>
      <errorWord>2018年10月01日</errorWord>
      <group>L1_Knowledge</group>
      <groupName>知识性问题</groupName>
      <ability>L2_Time</ability>
      <abilityName>日期时间</abilityName>
      <candidateList>
        <item>2018年10月1日</item>
      </candidateList>
      <explain>根据日常书写习惯，日期一般会省略前导零。</explain>
      <paraID> F3E97DC</paraID>
      <start>41</start>
      <end>52</end>
      <status>unmodified</status>
      <modifiedWord/>
      <trackRevisions>false</trackRevisions>
    </reviewItem>
    <reviewItem>
      <errorID>430dfff3-610c-4571-b4e3-b16224f8d89a</errorID>
      <errorWord>2024年08月01日</errorWord>
      <group>L1_Knowledge</group>
      <groupName>知识性问题</groupName>
      <ability>L2_Time</ability>
      <abilityName>日期时间</abilityName>
      <candidateList>
        <item>2024年8月1日</item>
      </candidateList>
      <explain>根据日常书写习惯，月份和日期一般会省略前导零。</explain>
      <paraID>6F547E74</paraID>
      <start>43</start>
      <end>54</end>
      <status>unmodified</status>
      <modifiedWord/>
      <trackRevisions>false</trackRevisions>
    </reviewItem>
    <reviewItem>
      <errorID>496e02f2-9bf9-4a97-83e3-8a4e5d80ec41</errorID>
      <errorWord>2026年07月01日</errorWord>
      <group>L1_Knowledge</group>
      <groupName>知识性问题</groupName>
      <ability>L2_Time</ability>
      <abilityName>日期时间</abilityName>
      <candidateList>
        <item>2026年7月1日</item>
      </candidateList>
      <explain>根据日常书写习惯，月份和日期一般会省略前导零。</explain>
      <paraID>17841670</paraID>
      <start>45</start>
      <end>56</end>
      <status>unmodified</status>
      <modifiedWord/>
      <trackRevisions>false</trackRevisions>
    </reviewItem>
    <reviewItem>
      <errorID>02ec7e53-0059-4628-959b-f5b59ded4b2f</errorID>
      <errorWord>2026年01月</errorWord>
      <group>L1_Knowledge</group>
      <groupName>知识性问题</groupName>
      <ability>L2_Time</ability>
      <abilityName>日期时间</abilityName>
      <candidateList>
        <item>2026年1月</item>
      </candidateList>
      <explain>根据日常书写习惯，月份一般会省略前导零。</explain>
      <paraID>3C4C561A</paraID>
      <start>36</start>
      <end>44</end>
      <status>unmodified</status>
      <modifiedWord/>
      <trackRevisions>false</trackRevisions>
    </reviewItem>
    <reviewItem>
      <errorID>d2cdc82b-02b1-4a7d-a92a-471f5dc2e889</errorID>
      <errorWord>2025年07月</errorWord>
      <group>L1_Knowledge</group>
      <groupName>知识性问题</groupName>
      <ability>L2_Time</ability>
      <abilityName>日期时间</abilityName>
      <candidateList>
        <item>2025年7月</item>
      </candidateList>
      <explain>根据日常书写习惯，月份一般会省略前导零。</explain>
      <paraID>578FE4DB</paraID>
      <start>34</start>
      <end>42</end>
      <status>unmodified</status>
      <modifiedWord/>
      <trackRevisions>false</trackRevisions>
    </reviewItem>
    <reviewItem>
      <errorID>1009141e-e900-4ade-9670-7f7faa9aa2dd</errorID>
      <errorWord>2026年03月</errorWord>
      <group>L1_Knowledge</group>
      <groupName>知识性问题</groupName>
      <ability>L2_Time</ability>
      <abilityName>日期时间</abilityName>
      <candidateList>
        <item>2026年3月</item>
      </candidateList>
      <explain>根据日常书写习惯，月份一般会省略前导零。</explain>
      <paraID>464B955A</paraID>
      <start>43</start>
      <end>51</end>
      <status>unmodified</status>
      <modifiedWord/>
      <trackRevisions>false</trackRevisions>
    </reviewItem>
    <reviewItem>
      <errorID>bd7b3ce6-8ac5-4bb6-8ec9-d7d607b69d65</errorID>
      <errorWord>～</errorWord>
      <group>L1_Format</group>
      <groupName>格式问题</groupName>
      <ability>L2_HalfPunc_CN</ability>
      <abilityName>全半角检查</abilityName>
      <candidateList>
        <item>~</item>
      </candidateList>
      <explain>文本全半角错误。</explain>
      <paraID>2B203250</paraID>
      <start>3</start>
      <end>4</end>
      <status>unmodified</status>
      <modifiedWord/>
      <trackRevisions>false</trackRevisions>
    </reviewItem>
    <reviewItem>
      <errorID>8a62470d-660e-4732-bf46-be4d4f977589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165FD3BD</paraID>
      <start>0</start>
      <end>2</end>
      <status>unmodified</status>
      <modifiedWord/>
      <trackRevisions>false</trackRevisions>
    </reviewItem>
    <reviewItem>
      <errorID>3c3d979d-21bd-46f8-b30c-36ce847edcb1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13F76359</paraID>
      <start>0</start>
      <end>2</end>
      <status>unmodified</status>
      <modifiedWord/>
      <trackRevisions>false</trackRevisions>
    </reviewItem>
    <reviewItem>
      <errorID>bea3c6b0-4baa-4af0-81ed-6b463774c459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299D9739</paraID>
      <start>0</start>
      <end>2</end>
      <status>unmodified</status>
      <modifiedWord/>
      <trackRevisions>false</trackRevisions>
    </reviewItem>
    <reviewItem>
      <errorID>bf0c8c30-141d-4fda-ba5a-1ea329e41cf9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3533F33E</paraID>
      <start>0</start>
      <end>2</end>
      <status>unmodified</status>
      <modifiedWord/>
      <trackRevisions>false</trackRevisions>
    </reviewItem>
    <reviewItem>
      <errorID>fec3df16-dffd-4306-adbe-23ea24b44ecc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371D7CA3</paraID>
      <start>0</start>
      <end>2</end>
      <status>unmodified</status>
      <modifiedWord/>
      <trackRevisions>false</trackRevisions>
    </reviewItem>
    <reviewItem>
      <errorID>75431f66-0bce-4292-a24b-44500299225d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1FAA1A7E</paraID>
      <start>0</start>
      <end>2</end>
      <status>unmodified</status>
      <modifiedWord/>
      <trackRevisions>false</trackRevisions>
    </reviewItem>
    <reviewItem>
      <errorID>859a496e-d6c5-41d0-ba81-8a9fa2782713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6CC81B95</paraID>
      <start>0</start>
      <end>2</end>
      <status>unmodified</status>
      <modifiedWord/>
      <trackRevisions>false</trackRevisions>
    </reviewItem>
    <reviewItem>
      <errorID>da80b02c-a7d1-4ffb-b38f-b0280bca6ec6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20EFBCA6</paraID>
      <start>0</start>
      <end>2</end>
      <status>unmodified</status>
      <modifiedWord/>
      <trackRevisions>false</trackRevisions>
    </reviewItem>
    <reviewItem>
      <errorID>6172e23c-b93e-458b-bc4c-f5546b3495a3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44797A41</paraID>
      <start>0</start>
      <end>2</end>
      <status>unmodified</status>
      <modifiedWord/>
      <trackRevisions>false</trackRevisions>
    </reviewItem>
    <reviewItem>
      <errorID>d4df95f0-a659-4fa1-86de-cd9b698b65f4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6488CA8B</paraID>
      <start>0</start>
      <end>2</end>
      <status>unmodified</status>
      <modifiedWord/>
      <trackRevisions>false</trackRevisions>
    </reviewItem>
    <reviewItem>
      <errorID>4479bd33-a030-4476-8b54-96f3eaaee0cf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6BDB5721</paraID>
      <start>0</start>
      <end>2</end>
      <status>unmodified</status>
      <modifiedWord/>
      <trackRevisions>false</trackRevisions>
    </reviewItem>
    <reviewItem>
      <errorID>fe07fdbf-aedf-4248-b88d-e1f78b85ebd0</errorID>
      <errorWord>*</errorWord>
      <group>L1_Punc</group>
      <groupName>标点问题</groupName>
      <ability>L2_Punc_CN</ability>
      <abilityName>标点符号检查</abilityName>
      <candidateList/>
      <explain/>
      <paraID>60BEB0EB</paraID>
      <start>0</start>
      <end>1</end>
      <status>unmodified</status>
      <modifiedWord/>
      <trackRevisions>false</trackRevisions>
    </reviewItem>
    <reviewItem>
      <errorID>e6e36b4d-c0cf-4a61-b5a4-6b18b5a4827b</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50B6B4F4</paraID>
      <start>71</start>
      <end>76</end>
      <status>unmodified</status>
      <modifiedWord/>
      <trackRevisions>false</trackRevisions>
    </reviewItem>
    <reviewItem>
      <errorID>522b2734-36ff-4133-bcb3-17e6229a6d9c</errorID>
      <errorWord>其它</errorWord>
      <group>L1_Word</group>
      <groupName>字词问题</groupName>
      <ability>L2_Alias</ability>
      <abilityName>也作/曾用词</abilityName>
      <candidateList>
        <item>其他</item>
      </candidateList>
      <explain>词汇[其它]为不规范表述或旧称，其规范书面表述为[其他]。</explain>
      <paraID>1DFE6FEA</paraID>
      <start>68</start>
      <end>70</end>
      <status>unmodified</status>
      <modifiedWord/>
      <trackRevisions>false</trackRevisions>
    </reviewItem>
    <reviewItem>
      <errorID>55efa26b-d956-4b44-81e0-68a11cb2f232</errorID>
      <errorWord>其它未</errorWord>
      <group>L1_Word</group>
      <groupName>字词问题</groupName>
      <ability>L2_Alias</ability>
      <abilityName>也作/曾用词</abilityName>
      <candidateList>
        <item>其他未</item>
      </candidateList>
      <explain>词汇[其它未]为不规范表述或旧称，其规范书面表述为[其他未]。</explain>
      <paraID>1DFE6FEA</paraID>
      <start>119</start>
      <end>122</end>
      <status>unmodified</status>
      <modifiedWord/>
      <trackRevisions>false</trackRevisions>
    </reviewItem>
    <reviewItem>
      <errorID>1f3eceae-8739-4b0b-a307-aa3cf8b3f77a</errorID>
      <errorWord>先</errorWord>
      <group>L1_Word</group>
      <groupName>字词问题</groupName>
      <ability>L2_Typo</ability>
      <abilityName>字词错误</abilityName>
      <candidateList>
        <item>线</item>
      </candidateList>
      <explain/>
      <paraID>4A5B2FA4</paraID>
      <start>18</start>
      <end>19</end>
      <status>unmodified</status>
      <modifiedWord/>
      <trackRevisions>false</trackRevisions>
    </reviewItem>
    <reviewItem>
      <errorID>99c715d8-cb38-430d-91ff-902c3486c73f</errorID>
      <errorWord>(</errorWord>
      <group>L1_Format</group>
      <groupName>格式问题</groupName>
      <ability>L2_HalfPunc_CN</ability>
      <abilityName>全半角检查</abilityName>
      <candidateList>
        <item>（</item>
      </candidateList>
      <explain>文本全半角错误。</explain>
      <paraID>3FB60957</paraID>
      <start>62</start>
      <end>63</end>
      <status>modified</status>
      <modifiedWord>（</modifiedWord>
      <trackRevisions>false</trackRevisions>
    </reviewItem>
    <reviewItem>
      <errorID>15c11b6e-2b89-41a6-9825-73efa7c9e5b3</errorID>
      <errorWord>)</errorWord>
      <group>L1_Format</group>
      <groupName>格式问题</groupName>
      <ability>L2_HalfPunc_CN</ability>
      <abilityName>全半角检查</abilityName>
      <candidateList>
        <item>）</item>
      </candidateList>
      <explain>文本全半角错误。</explain>
      <paraID>3FB60957</paraID>
      <start>64</start>
      <end>65</end>
      <status>modified</status>
      <modifiedWord>）</modifiedWord>
      <trackRevisions>false</trackRevisions>
    </reviewItem>
    <reviewItem>
      <errorID>3caa17b2-9374-4814-9b69-1b4808b8cba3</errorID>
      <errorWord>置</errorWord>
      <group>L1_Word</group>
      <groupName>字词问题</groupName>
      <ability>L2_Typo</ability>
      <abilityName>字词错误</abilityName>
      <candidateList>
        <item>置在</item>
      </candidateList>
      <explain/>
      <paraID> 666C35B</paraID>
      <start>132</start>
      <end>133</end>
      <status>unmodified</status>
      <modifiedWord/>
      <trackRevisions>false</trackRevisions>
    </reviewItem>
    <reviewItem>
      <errorID>04030bb2-cc82-4ffd-9680-56e50207c904</errorID>
      <errorWord>减轻</errorWord>
      <group>L1_Grammar</group>
      <groupName>语法问题</groupName>
      <ability>L2_Grammar</ability>
      <abilityName>语法错误</abilityName>
      <candidateList>
        <item>减少</item>
      </candidateList>
      <explain>“减轻～排放”搭配不当，建议修改为“减少～排放”。</explain>
      <paraID>68E3714A</paraID>
      <start>41</start>
      <end>43</end>
      <status>unmodified</status>
      <modifiedWord/>
      <trackRevisions>false</trackRevisions>
    </reviewItem>
    <reviewItem>
      <errorID>87795069-60aa-4fed-bea9-a10eb0c79194</errorID>
      <errorWord>于</errorWord>
      <group>L1_Word</group>
      <groupName>字词问题</groupName>
      <ability>L2_Typo</ability>
      <abilityName>字词错误</abilityName>
      <candidateList>
        <item>土</item>
      </candidateList>
      <explain>存在发音相近字词的误用。</explain>
      <paraID>499544B6</paraID>
      <start>127</start>
      <end>128</end>
      <status>unmodified</status>
      <modifiedWord/>
      <trackRevisions>false</trackRevisions>
    </reviewItem>
    <reviewItem>
      <errorID>4cf19358-6cb2-4767-b38d-ec59372c5c19</errorID>
      <errorWord>程</errorWord>
      <group>L1_Word</group>
      <groupName>字词问题</groupName>
      <ability>L2_Typo</ability>
      <abilityName>字词错误</abilityName>
      <candidateList>
        <item>程中</item>
      </candidateList>
      <explain/>
      <paraID> 72F509B</paraID>
      <start>67</start>
      <end>68</end>
      <status>unmodified</status>
      <modifiedWord/>
      <trackRevisions>false</trackRevisions>
    </reviewItem>
    <reviewItem>
      <errorID>7f3ce1cd-559c-4487-8b6f-60c9e97ba6a1</errorID>
      <errorWord>其它有效</errorWord>
      <group>L1_Word</group>
      <groupName>字词问题</groupName>
      <ability>L2_Alias</ability>
      <abilityName>也作/曾用词</abilityName>
      <candidateList>
        <item>其他有效</item>
      </candidateList>
      <explain>词汇[其它有效]为不规范表述或旧称，其规范书面表述为[其他有效]。</explain>
      <paraID> 101860A</paraID>
      <start>177</start>
      <end>181</end>
      <status>unmodified</status>
      <modifiedWord/>
      <trackRevisions>false</trackRevisions>
    </reviewItem>
    <reviewItem>
      <errorID>0faba570-1750-4269-a93c-cd92475f976e</errorID>
      <errorWord>，</errorWord>
      <group>L1_Word</group>
      <groupName>字词问题</groupName>
      <ability>L2_Typo</ability>
      <abilityName>字词错误</abilityName>
      <candidateList>
        <item>，将</item>
      </candidateList>
      <explain/>
      <paraID>  867509</paraID>
      <start>88</start>
      <end>89</end>
      <status>unmodified</status>
      <modifiedWord/>
      <trackRevisions>false</trackRevisions>
    </reviewItem>
    <reviewItem>
      <errorID>adf31cf2-8886-4d12-af36-20d984d52938</errorID>
      <errorWord>硫磺</errorWord>
      <group>L1_Word</group>
      <groupName>字词问题</groupName>
      <ability>L2_Typo</ability>
      <abilityName>字词错误</abilityName>
      <candidateList>
        <item>硫黄</item>
      </candidateList>
      <explain/>
      <paraID>2129F543</paraID>
      <start>218</start>
      <end>220</end>
      <status>unmodified</status>
      <modifiedWord/>
      <trackRevisions>false</trackRevisions>
    </reviewItem>
    <reviewItem>
      <errorID>f36cc12e-c07a-46ef-b3a8-caf19e9a4bc1</errorID>
      <errorWord>采取基础减震</errorWord>
      <group>L1_Word</group>
      <groupName>字词问题</groupName>
      <ability>L2_Typo</ability>
      <abilityName>字词错误</abilityName>
      <candidateList>
        <item>采取基础减振</item>
      </candidateList>
      <explain/>
      <paraID>681A60A1</paraID>
      <start>64</start>
      <end>70</end>
      <status>modified</status>
      <modifiedWord>采取基础减振</modifiedWord>
      <trackRevisions>false</trackRevisions>
    </reviewItem>
    <reviewItem>
      <errorID>b8ebb3a4-4826-4255-b4fe-6703efa19a44</errorID>
      <errorWord>硫磺</errorWord>
      <group>L1_Word</group>
      <groupName>字词问题</groupName>
      <ability>L2_Typo</ability>
      <abilityName>字词错误</abilityName>
      <candidateList>
        <item>硫黄</item>
      </candidateList>
      <explain/>
      <paraID>39844C34</paraID>
      <start>383</start>
      <end>385</end>
      <status>unmodified</status>
      <modifiedWord/>
      <trackRevisions>false</trackRevisions>
    </reviewItem>
    <reviewItem>
      <errorID>da9a88c1-357e-42e6-8a2a-4c00a0fcff83</errorID>
      <errorWord>胶粘剂</errorWord>
      <group>L1_Word</group>
      <groupName>字词问题</groupName>
      <ability>L2_Typo</ability>
      <abilityName>字词错误</abilityName>
      <candidateList>
        <item>胶黏剂</item>
      </candidateList>
      <explain/>
      <paraID>331E042A</paraID>
      <start>39</start>
      <end>42</end>
      <status>unmodified</status>
      <modifiedWord/>
      <trackRevisions>false</trackRevisions>
    </reviewItem>
    <reviewItem>
      <errorID>7569b39c-b0dd-43df-a5f5-2b4cf30f7c08</errorID>
      <errorWord>振漏</errorWord>
      <group>L1_Word</group>
      <groupName>字词问题</groupName>
      <ability>L2_Typo</ability>
      <abilityName>字词错误</abilityName>
      <candidateList>
        <item>渗漏</item>
      </candidateList>
      <explain>存在发音相近字词的误用。</explain>
      <paraID>6F6B6653</paraID>
      <start>165</start>
      <end>167</end>
      <status>unmodified</status>
      <modifiedWord/>
      <trackRevisions>false</trackRevisions>
    </reviewItem>
    <reviewItem>
      <errorID>86493944-fc54-4d3f-97d2-5c0992af735d</errorID>
      <errorWord>大气污染处理</errorWord>
      <group>L1_Knowledge</group>
      <groupName>知识性问题</groupName>
      <ability>L2_Term</ability>
      <abilityName>专业术语</abilityName>
      <candidateList>
        <item>大气污染治理</item>
      </candidateList>
      <explain/>
      <paraID>42D0118F</paraID>
      <start>223</start>
      <end>229</end>
      <status>unmodified</status>
      <modifiedWord/>
      <trackRevisions>false</trackRevisions>
    </reviewItem>
    <reviewItem>
      <errorID>f23dd61b-a08c-41b8-bb83-c4b20c9194db</errorID>
      <errorWord>程</errorWord>
      <group>L1_Word</group>
      <groupName>字词问题</groupName>
      <ability>L2_Typo</ability>
      <abilityName>字词错误</abilityName>
      <candidateList>
        <item>程中</item>
      </candidateList>
      <explain/>
      <paraID>79B4E51B</paraID>
      <start>6</start>
      <end>7</end>
      <status>unmodified</status>
      <modifiedWord/>
      <trackRevisions>false</trackRevisions>
    </reviewItem>
    <reviewItem>
      <errorID>f39e6c29-3dd2-401a-82da-800d7f911283</errorID>
      <errorWord>，</errorWord>
      <group>L1_Word</group>
      <groupName>字词问题</groupName>
      <ability>L2_Typo</ability>
      <abilityName>字词错误</abilityName>
      <candidateList>
        <item>，由</item>
      </candidateList>
      <explain/>
      <paraID>79B4E51B</paraID>
      <start>71</start>
      <end>73</end>
      <status>modified</status>
      <modifiedWord>，由</modifiedWord>
      <trackRevisions>false</trackRevisions>
    </reviewItem>
    <reviewItem>
      <errorID>c36d2410-6826-41e5-9437-0ff4a67408de</errorID>
      <errorWord>，</errorWord>
      <group>L1_Word</group>
      <groupName>字词问题</groupName>
      <ability>L2_Typo</ability>
      <abilityName>字词错误</abilityName>
      <candidateList>
        <item>，由</item>
      </candidateList>
      <explain/>
      <paraID>453E9F1B</paraID>
      <start>148</start>
      <end>150</end>
      <status>modified</status>
      <modifiedWord>，由</modifiedWord>
      <trackRevisions>false</trackRevisions>
    </reviewItem>
    <reviewItem>
      <errorID>baeb482e-1fe5-4342-9c86-6ee32bc94e6d</errorID>
      <errorWord>中要</errorWord>
      <group>L1_Word</group>
      <groupName>字词问题</groupName>
      <ability>L2_Typo</ability>
      <abilityName>字词错误</abilityName>
      <candidateList>
        <item>中</item>
      </candidateList>
      <explain>〈动〉❶正对上；恰好合上：～选｜猜～了｜三枪都打～了目标。❷受到；遭受：～毒｜～暑｜胳膊上～了一枪。</explain>
      <paraID>2EA38528</paraID>
      <start>55</start>
      <end>57</end>
      <status>unmodified</status>
      <modifiedWord/>
      <trackRevisions>false</trackRevisions>
    </reviewItem>
    <reviewItem>
      <errorID>efaed236-e53c-4cc7-8b0b-096f2a6e20b4</errorID>
      <errorWord>程</errorWord>
      <group>L1_Word</group>
      <groupName>字词问题</groupName>
      <ability>L2_Typo</ability>
      <abilityName>字词错误</abilityName>
      <candidateList>
        <item>程中</item>
      </candidateList>
      <explain/>
      <paraID>77465ECE</paraID>
      <start>55</start>
      <end>56</end>
      <status>unmodified</status>
      <modifiedWord/>
      <trackRevisions>false</trackRevisions>
    </reviewItem>
    <reviewItem>
      <errorID>23bd3db8-269b-40c6-88c3-3848c29478bc</errorID>
      <errorWord>(</errorWord>
      <group>L1_Format</group>
      <groupName>格式问题</groupName>
      <ability>L2_HalfPunc_CN</ability>
      <abilityName>全半角检查</abilityName>
      <candidateList>
        <item>（</item>
      </candidateList>
      <explain>文本全半角错误。</explain>
      <paraID>4029DFD3</paraID>
      <start>53</start>
      <end>54</end>
      <status>modified</status>
      <modifiedWord>（</modifiedWord>
      <trackRevisions>false</trackRevisions>
    </reviewItem>
    <reviewItem>
      <errorID>f75519e5-ef39-46b8-a9ff-a4e96be670c0</errorID>
      <errorWord>)</errorWord>
      <group>L1_Format</group>
      <groupName>格式问题</groupName>
      <ability>L2_HalfPunc_CN</ability>
      <abilityName>全半角检查</abilityName>
      <candidateList>
        <item>）</item>
      </candidateList>
      <explain>文本全半角错误。</explain>
      <paraID>4029DFD3</paraID>
      <start>62</start>
      <end>63</end>
      <status>modified</status>
      <modifiedWord>）</modifiedWord>
      <trackRevisions>false</trackRevisions>
    </reviewItem>
    <reviewItem>
      <errorID>632399a7-4ec3-4343-b868-9f1844403bf0</errorID>
      <errorWord>“</errorWord>
      <group>L1_Punc</group>
      <groupName>标点问题</groupName>
      <ability>L2_Punc_CN</ability>
      <abilityName>标点符号检查</abilityName>
      <candidateList>
        <item>‘</item>
      </candidateList>
      <explain>当引号中还需要使用引号时，外面一层用双引号，里面一层用单引号。</explain>
      <paraID>1ACEDCBE</paraID>
      <start>117</start>
      <end>118</end>
      <status>modified</status>
      <modifiedWord>‘</modifiedWord>
      <trackRevisions>false</trackRevisions>
    </reviewItem>
    <reviewItem>
      <errorID>2ddb118a-dd50-47e3-bc9f-8c7e73ef89ee</errorID>
      <errorWord>”</errorWord>
      <group>L1_Punc</group>
      <groupName>标点问题</groupName>
      <ability>L2_Punc_CN</ability>
      <abilityName>标点符号检查</abilityName>
      <candidateList>
        <item>’</item>
      </candidateList>
      <explain>当引号中还需要使用引号时，外面一层用双引号，里面一层用单引号。</explain>
      <paraID>1ACEDCBE</paraID>
      <start>121</start>
      <end>122</end>
      <status>modified</status>
      <modifiedWord>’</modifiedWord>
      <trackRevisions>false</trackRevisions>
    </reviewItem>
    <reviewItem>
      <errorID>bebbc3a4-2ec3-4b7c-834e-5468abaebf0c</errorID>
      <errorWord>“</errorWord>
      <group>L1_Punc</group>
      <groupName>标点问题</groupName>
      <ability>L2_Punc_CN</ability>
      <abilityName>标点符号检查</abilityName>
      <candidateList>
        <item>‘</item>
      </candidateList>
      <explain>当引号中还需要使用引号时，外面一层用双引号，里面一层用单引号。</explain>
      <paraID>1714F392</paraID>
      <start>58</start>
      <end>59</end>
      <status>modified</status>
      <modifiedWord>‘</modifiedWord>
      <trackRevisions>false</trackRevisions>
    </reviewItem>
    <reviewItem>
      <errorID>38a40619-9433-4b50-9800-350525e35b39</errorID>
      <errorWord>”</errorWord>
      <group>L1_Punc</group>
      <groupName>标点问题</groupName>
      <ability>L2_Punc_CN</ability>
      <abilityName>标点符号检查</abilityName>
      <candidateList>
        <item>’</item>
      </candidateList>
      <explain>当引号中还需要使用引号时，外面一层用双引号，里面一层用单引号。</explain>
      <paraID>1714F392</paraID>
      <start>62</start>
      <end>63</end>
      <status>modified</status>
      <modifiedWord>’</modifiedWord>
      <trackRevisions>false</trackRevisions>
    </reviewItem>
    <reviewItem>
      <errorID>fee52422-73d9-4958-8a5c-f0844022c64a</errorID>
      <errorWord>法律、法规</errorWord>
      <group>L1_Word</group>
      <groupName>字词问题</groupName>
      <ability>L2_Typo</ability>
      <abilityName>字词错误</abilityName>
      <candidateList>
        <item>法律法规</item>
      </candidateList>
      <explain/>
      <paraID> 6BA2F3B</paraID>
      <start>64</start>
      <end>69</end>
      <status>unmodified</status>
      <modifiedWord/>
      <trackRevisions>false</trackRevisions>
    </reviewItem>
    <reviewItem>
      <errorID>e8f120ae-1d1f-45f2-a39d-18557467fa96</errorID>
      <errorWord>(</errorWord>
      <group>L1_Format</group>
      <groupName>格式问题</groupName>
      <ability>L2_HalfPunc_CN</ability>
      <abilityName>全半角检查</abilityName>
      <candidateList>
        <item>（</item>
      </candidateList>
      <explain>文本全半角错误。</explain>
      <paraID>31422626</paraID>
      <start>54</start>
      <end>55</end>
      <status>modified</status>
      <modifiedWord>（</modifiedWord>
      <trackRevisions>false</trackRevisions>
    </reviewItem>
    <reviewItem>
      <errorID>5dd1f66f-6790-4a75-8daa-ff4a69122822</errorID>
      <errorWord>)</errorWord>
      <group>L1_Format</group>
      <groupName>格式问题</groupName>
      <ability>L2_HalfPunc_CN</ability>
      <abilityName>全半角检查</abilityName>
      <candidateList>
        <item>）</item>
      </candidateList>
      <explain>文本全半角错误。</explain>
      <paraID>31422626</paraID>
      <start>73</start>
      <end>74</end>
      <status>modified</status>
      <modifiedWord>）</modifiedWord>
      <trackRevisions>false</trackRevisions>
    </reviewItem>
    <reviewItem>
      <errorID>e2cca00e-2483-42f1-9292-7e8d3c639cbb</errorID>
      <errorWord>(</errorWord>
      <group>L1_Format</group>
      <groupName>格式问题</groupName>
      <ability>L2_HalfPunc_CN</ability>
      <abilityName>全半角检查</abilityName>
      <candidateList>
        <item>（</item>
      </candidateList>
      <explain>文本全半角错误。</explain>
      <paraID>3F301A24</paraID>
      <start>34</start>
      <end>35</end>
      <status>modified</status>
      <modifiedWord>（</modifiedWord>
      <trackRevisions>false</trackRevisions>
    </reviewItem>
    <reviewItem>
      <errorID>30843e0e-de80-4bc2-a659-104187221d6e</errorID>
      <errorWord>)</errorWord>
      <group>L1_Format</group>
      <groupName>格式问题</groupName>
      <ability>L2_HalfPunc_CN</ability>
      <abilityName>全半角检查</abilityName>
      <candidateList>
        <item>）</item>
      </candidateList>
      <explain>文本全半角错误。</explain>
      <paraID>3F301A24</paraID>
      <start>36</start>
      <end>37</end>
      <status>modified</status>
      <modifiedWord>）</modifiedWord>
      <trackRevisions>false</trackRevisions>
    </reviewItem>
    <reviewItem>
      <errorID>d67b662e-b056-4b60-93c6-4d9a934ed7f7</errorID>
      <errorWord>法律、法规</errorWord>
      <group>L1_Word</group>
      <groupName>字词问题</groupName>
      <ability>L2_Typo</ability>
      <abilityName>字词错误</abilityName>
      <candidateList>
        <item>法律法规</item>
      </candidateList>
      <explain/>
      <paraID>5E2C3018</paraID>
      <start>68</start>
      <end>73</end>
      <status>unmodified</status>
      <modifiedWord/>
      <trackRevisions>false</trackRevisions>
    </reviewItem>
    <reviewItem>
      <errorID>460ea162-ee86-4ced-baa2-227b17628c3f</errorID>
      <errorWord>-</errorWord>
      <group>L1_Format</group>
      <groupName>格式问题</groupName>
      <ability>L2_HalfPunc_CN</ability>
      <abilityName>全半角检查</abilityName>
      <candidateList>
        <item>－</item>
      </candidateList>
      <explain>文本全半角错误。</explain>
      <paraID>1F3A6CE0</paraID>
      <start>70</start>
      <end>71</end>
      <status>modified</status>
      <modifiedWord>－</modifiedWord>
      <trackRevisions>false</trackRevisions>
    </reviewItem>
    <reviewItem>
      <errorID>408e4c64-a219-454d-b338-0ef20562d18f</errorID>
      <errorWord>其它</errorWord>
      <group>L1_Word</group>
      <groupName>字词问题</groupName>
      <ability>L2_Alias</ability>
      <abilityName>也作/曾用词</abilityName>
      <candidateList>
        <item>其他</item>
      </candidateList>
      <explain>词汇[其它]为不规范表述或旧称，其规范书面表述为[其他]。</explain>
      <paraID>7D5402AA</paraID>
      <start>4</start>
      <end>6</end>
      <status>unmodified</status>
      <modifiedWord/>
      <trackRevisions>false</trackRevisions>
    </reviewItem>
    <reviewItem>
      <errorID>0c3d5d73-e636-497d-92c5-2172487e2f21</errorID>
      <errorWord>(</errorWord>
      <group>L1_Format</group>
      <groupName>格式问题</groupName>
      <ability>L2_HalfPunc_CN</ability>
      <abilityName>全半角检查</abilityName>
      <candidateList>
        <item>（</item>
      </candidateList>
      <explain>文本全半角错误。</explain>
      <paraID>4D981F9B</paraID>
      <start>62</start>
      <end>63</end>
      <status>modified</status>
      <modifiedWord>（</modifiedWord>
      <trackRevisions>false</trackRevisions>
    </reviewItem>
    <reviewItem>
      <errorID>38d28f52-76b8-491e-a2f6-8b7e8653af87</errorID>
      <errorWord>)</errorWord>
      <group>L1_Format</group>
      <groupName>格式问题</groupName>
      <ability>L2_HalfPunc_CN</ability>
      <abilityName>全半角检查</abilityName>
      <candidateList>
        <item>）</item>
      </candidateList>
      <explain>文本全半角错误。</explain>
      <paraID>4D981F9B</paraID>
      <start>67</start>
      <end>68</end>
      <status>modified</status>
      <modifiedWord>）</modifiedWord>
      <trackRevisions>false</trackRevisions>
    </reviewItem>
    <reviewItem>
      <errorID>83cce45f-03c0-4b1c-9d38-8928a9a4d0be</errorID>
      <errorWord>业</errorWord>
      <group>L1_Word</group>
      <groupName>字词问题</groupName>
      <ability>L2_Typo</ability>
      <abilityName>字词错误</abilityName>
      <candidateList>
        <item>业项</item>
      </candidateList>
      <explain/>
      <paraID>60016CA7</paraID>
      <start>57</start>
      <end>58</end>
      <status>unmodified</status>
      <modifiedWord/>
      <trackRevisions>false</trackRevisions>
    </reviewItem>
    <reviewItem>
      <errorID>f7a7173b-d21c-4743-9b99-7654dc827447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2D302544</paraID>
      <start>0</start>
      <end>2</end>
      <status>unmodified</status>
      <modifiedWord/>
      <trackRevisions>false</trackRevisions>
    </reviewItem>
    <reviewItem>
      <errorID>62dcfbc1-deeb-49a2-aad7-c2d13a9ebe89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2B12783F</paraID>
      <start>0</start>
      <end>2</end>
      <status>unmodified</status>
      <modifiedWord/>
      <trackRevisions>false</trackRevisions>
    </reviewItem>
    <reviewItem>
      <errorID>35b625f7-2c71-46b5-ab57-c02edfc31092</errorID>
      <errorWord>系统来</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 E696A5D</paraID>
      <start>56</start>
      <end>59</end>
      <status>unmodified</status>
      <modifiedWord/>
      <trackRevisions>false</trackRevisions>
    </reviewItem>
    <reviewItem>
      <errorID>dc0bb311-7eaf-4562-959d-19feab9b8b49</errorID>
      <errorWord>2014年01月29日</errorWord>
      <group>L1_Knowledge</group>
      <groupName>知识性问题</groupName>
      <ability>L2_Time</ability>
      <abilityName>日期时间</abilityName>
      <candidateList>
        <item>2014年1月29日</item>
      </candidateList>
      <explain>根据日常书写习惯，月份一般会省略前导零。</explain>
      <paraID>34E32E16</paraID>
      <start>0</start>
      <end>11</end>
      <status>unmodified</status>
      <modifiedWord/>
      <trackRevisions>false</trackRevisions>
    </reviewItem>
    <reviewItem>
      <errorID>70077a17-fba8-4164-b88a-daf458964aa3</errorID>
      <errorWord>2018年06月30日</errorWord>
      <group>L1_Knowledge</group>
      <groupName>知识性问题</groupName>
      <ability>L2_Time</ability>
      <abilityName>日期时间</abilityName>
      <candidateList>
        <item>2018年6月30日</item>
      </candidateList>
      <explain>根据日常书写习惯，月份一般会省略前导零。</explain>
      <paraID>65FFF602</paraID>
      <start>0</start>
      <end>11</end>
      <status>unmodified</status>
      <modifiedWord/>
      <trackRevisions>false</trackRevisions>
    </reviewItem>
    <reviewItem>
      <errorID>34342327-cd22-417f-a6cb-e8308a97146f</errorID>
      <errorWord>2014年07月31日</errorWord>
      <group>L1_Knowledge</group>
      <groupName>知识性问题</groupName>
      <ability>L2_Time</ability>
      <abilityName>日期时间</abilityName>
      <candidateList>
        <item>2014年7月31日</item>
      </candidateList>
      <explain>根据日常书写习惯，月份一般会省略前导零。</explain>
      <paraID>71AAC58C</paraID>
      <start>0</start>
      <end>11</end>
      <status>unmodified</status>
      <modifiedWord/>
      <trackRevisions>false</trackRevisions>
    </reviewItem>
    <reviewItem>
      <errorID>d60a48b1-7ef3-44ff-9d0d-b742e0b4a286</errorID>
      <errorWord>2018年08月19日</errorWord>
      <group>L1_Knowledge</group>
      <groupName>知识性问题</groupName>
      <ability>L2_Time</ability>
      <abilityName>日期时间</abilityName>
      <candidateList>
        <item>2018年8月19日</item>
      </candidateList>
      <explain>根据日常书写习惯，月份一般会省略前导零。</explain>
      <paraID>6815FF18</paraID>
      <start>0</start>
      <end>11</end>
      <status>unmodified</status>
      <modifiedWord/>
      <trackRevisions>false</trackRevisions>
    </reviewItem>
    <reviewItem>
      <errorID>9a70bc34-d181-4d00-8457-107f16cb1ce2</errorID>
      <errorWord>2020年06月19日</errorWord>
      <group>L1_Knowledge</group>
      <groupName>知识性问题</groupName>
      <ability>L2_Time</ability>
      <abilityName>日期时间</abilityName>
      <candidateList>
        <item>2020年6月19日</item>
      </candidateList>
      <explain>根据日常书写习惯，月份一般会省略前导零。</explain>
      <paraID>311F46CE</paraID>
      <start>0</start>
      <end>11</end>
      <status>unmodified</status>
      <modifiedWord/>
      <trackRevisions>false</trackRevisions>
    </reviewItem>
    <reviewItem>
      <errorID>e4c9f45e-ee24-481f-8619-7814be1ccc8e</errorID>
      <errorWord>2021年02月18日</errorWord>
      <group>L1_Knowledge</group>
      <groupName>知识性问题</groupName>
      <ability>L2_Time</ability>
      <abilityName>日期时间</abilityName>
      <candidateList>
        <item>2021年2月18日</item>
      </candidateList>
      <explain>根据日常书写习惯，月份一般会省略前导零。</explain>
      <paraID>1E3880CA</paraID>
      <start>0</start>
      <end>11</end>
      <status>unmodified</status>
      <modifiedWord/>
      <trackRevisions>false</trackRevisions>
    </reviewItem>
    <reviewItem>
      <errorID>1a66112b-b031-43c9-8b56-db9a77c9a267</errorID>
      <errorWord>2021年04月14日</errorWord>
      <group>L1_Knowledge</group>
      <groupName>知识性问题</groupName>
      <ability>L2_Time</ability>
      <abilityName>日期时间</abilityName>
      <candidateList>
        <item>2021年4月14日</item>
      </candidateList>
      <explain>根据日常书写习惯，月份一般会省略前导零。</explain>
      <paraID>3F049C69</paraID>
      <start>0</start>
      <end>11</end>
      <status>unmodified</status>
      <modifiedWord/>
      <trackRevisions>false</trackRevisions>
    </reviewItem>
    <reviewItem>
      <errorID>92223519-c411-468a-80da-0638940ecdb3</errorID>
      <errorWord>～</errorWord>
      <group>L1_Format</group>
      <groupName>格式问题</groupName>
      <ability>L2_HalfPunc_CN</ability>
      <abilityName>全半角检查</abilityName>
      <candidateList>
        <item>~</item>
      </candidateList>
      <explain>文本全半角错误。</explain>
      <paraID>3AE162F7</paraID>
      <start>4</start>
      <end>5</end>
      <status>unmodified</status>
      <modifiedWord/>
      <trackRevisions>false</trackRevisions>
    </reviewItem>
    <reviewItem>
      <errorID>035e193d-b091-450a-998f-732c5c25180d</errorID>
      <errorWord>～</errorWord>
      <group>L1_Format</group>
      <groupName>格式问题</groupName>
      <ability>L2_HalfPunc_CN</ability>
      <abilityName>全半角检查</abilityName>
      <candidateList>
        <item>~</item>
      </candidateList>
      <explain>文本全半角错误。</explain>
      <paraID>3424542A</paraID>
      <start>4</start>
      <end>5</end>
      <status>unmodified</status>
      <modifiedWord/>
      <trackRevisions>false</trackRevisions>
    </reviewItem>
    <reviewItem>
      <errorID>2001d255-37af-4b2a-8dc5-dd647091a14a</errorID>
      <errorWord>～</errorWord>
      <group>L1_Format</group>
      <groupName>格式问题</groupName>
      <ability>L2_HalfPunc_CN</ability>
      <abilityName>全半角检查</abilityName>
      <candidateList>
        <item>~</item>
      </candidateList>
      <explain>文本全半角错误。</explain>
      <paraID>409AD681</paraID>
      <start>4</start>
      <end>5</end>
      <status>unmodified</status>
      <modifiedWord/>
      <trackRevisions>false</trackRevisions>
    </reviewItem>
    <reviewItem>
      <errorID>833f0506-f67b-4e21-960f-f3c6d129ac98</errorID>
      <errorWord>～</errorWord>
      <group>L1_Format</group>
      <groupName>格式问题</groupName>
      <ability>L2_HalfPunc_CN</ability>
      <abilityName>全半角检查</abilityName>
      <candidateList>
        <item>~</item>
      </candidateList>
      <explain>文本全半角错误。</explain>
      <paraID>574675FB</paraID>
      <start>4</start>
      <end>5</end>
      <status>unmodified</status>
      <modifiedWord/>
      <trackRevisions>false</trackRevisions>
    </reviewItem>
    <reviewItem>
      <errorID>a69d2aeb-06f2-41b2-b4a1-74a492fbde42</errorID>
      <errorWord>＜</errorWord>
      <group>L1_Format</group>
      <groupName>格式问题</groupName>
      <ability>L2_HalfPunc_CN</ability>
      <abilityName>全半角检查</abilityName>
      <candidateList>
        <item>&lt;</item>
      </candidateList>
      <explain>文本全半角错误。</explain>
      <paraID>7532193C</paraID>
      <start>0</start>
      <end>1</end>
      <status>unmodified</status>
      <modifiedWord/>
      <trackRevisions>false</trackRevisions>
    </reviewItem>
    <reviewItem>
      <errorID>78a472eb-ea87-4fad-894a-8deadb865247</errorID>
      <errorWord>＜</errorWord>
      <group>L1_Format</group>
      <groupName>格式问题</groupName>
      <ability>L2_HalfPunc_CN</ability>
      <abilityName>全半角检查</abilityName>
      <candidateList>
        <item>&lt;</item>
      </candidateList>
      <explain>文本全半角错误。</explain>
      <paraID>2C067B84</paraID>
      <start>0</start>
      <end>1</end>
      <status>unmodified</status>
      <modifiedWord/>
      <trackRevisions>false</trackRevisions>
    </reviewItem>
    <reviewItem>
      <errorID>61090c36-77aa-470c-ae29-743f403cdfef</errorID>
      <errorWord>＜</errorWord>
      <group>L1_Format</group>
      <groupName>格式问题</groupName>
      <ability>L2_HalfPunc_CN</ability>
      <abilityName>全半角检查</abilityName>
      <candidateList>
        <item>&lt;</item>
      </candidateList>
      <explain>文本全半角错误。</explain>
      <paraID>4675DEE5</paraID>
      <start>0</start>
      <end>1</end>
      <status>unmodified</status>
      <modifiedWord/>
      <trackRevisions>false</trackRevisions>
    </reviewItem>
    <reviewItem>
      <errorID>ac57b152-bb32-4357-80aa-e0085dd25d7f</errorID>
      <errorWord>＜</errorWord>
      <group>L1_Format</group>
      <groupName>格式问题</groupName>
      <ability>L2_HalfPunc_CN</ability>
      <abilityName>全半角检查</abilityName>
      <candidateList>
        <item>&lt;</item>
      </candidateList>
      <explain>文本全半角错误。</explain>
      <paraID>6AF283D4</paraID>
      <start>0</start>
      <end>1</end>
      <status>unmodified</status>
      <modifiedWord/>
      <trackRevisions>false</trackRevisions>
    </reviewItem>
    <reviewItem>
      <errorID>f2a8bf7d-4d18-4a0e-9472-c31e7c1079b3</errorID>
      <errorWord>～</errorWord>
      <group>L1_Format</group>
      <groupName>格式问题</groupName>
      <ability>L2_HalfPunc_CN</ability>
      <abilityName>全半角检查</abilityName>
      <candidateList>
        <item>~</item>
      </candidateList>
      <explain>文本全半角错误。</explain>
      <paraID>3DE63106</paraID>
      <start>2</start>
      <end>3</end>
      <status>unmodified</status>
      <modifiedWord/>
      <trackRevisions>false</trackRevisions>
    </reviewItem>
    <reviewItem>
      <errorID>57047a50-7bd7-4983-8bed-65245e5317a0</errorID>
      <errorWord>～</errorWord>
      <group>L1_Format</group>
      <groupName>格式问题</groupName>
      <ability>L2_HalfPunc_CN</ability>
      <abilityName>全半角检查</abilityName>
      <candidateList>
        <item>~</item>
      </candidateList>
      <explain>文本全半角错误。</explain>
      <paraID>42F379C4</paraID>
      <start>5</start>
      <end>6</end>
      <status>unmodified</status>
      <modifiedWord/>
      <trackRevisions>false</trackRevisions>
    </reviewItem>
    <reviewItem>
      <errorID>7f2ce53a-af11-4008-af1a-a8b4cd61654f</errorID>
      <errorWord>～</errorWord>
      <group>L1_Format</group>
      <groupName>格式问题</groupName>
      <ability>L2_HalfPunc_CN</ability>
      <abilityName>全半角检查</abilityName>
      <candidateList>
        <item>~</item>
      </candidateList>
      <explain>文本全半角错误。</explain>
      <paraID>119322BB</paraID>
      <start>3</start>
      <end>4</end>
      <status>unmodified</status>
      <modifiedWord/>
      <trackRevisions>false</trackRevisions>
    </reviewItem>
    <reviewItem>
      <errorID>d236155c-1762-4e06-93e0-210d4e25c6d9</errorID>
      <errorWord>～</errorWord>
      <group>L1_Format</group>
      <groupName>格式问题</groupName>
      <ability>L2_HalfPunc_CN</ability>
      <abilityName>全半角检查</abilityName>
      <candidateList>
        <item>~</item>
      </candidateList>
      <explain>文本全半角错误。</explain>
      <paraID>227B75DF</paraID>
      <start>3</start>
      <end>4</end>
      <status>unmodified</status>
      <modifiedWord/>
      <trackRevisions>false</trackRevisions>
    </reviewItem>
    <reviewItem>
      <errorID>4d1e8662-d23c-4328-9c58-06f7a11eade3</errorID>
      <errorWord>～</errorWord>
      <group>L1_Format</group>
      <groupName>格式问题</groupName>
      <ability>L2_HalfPunc_CN</ability>
      <abilityName>全半角检查</abilityName>
      <candidateList>
        <item>~</item>
      </candidateList>
      <explain>文本全半角错误。</explain>
      <paraID>71836434</paraID>
      <start>3</start>
      <end>4</end>
      <status>unmodified</status>
      <modifiedWord/>
      <trackRevisions>false</trackRevisions>
    </reviewItem>
    <reviewItem>
      <errorID>07575094-3889-4e9e-9853-89058b3e124c</errorID>
      <errorWord>～</errorWord>
      <group>L1_Format</group>
      <groupName>格式问题</groupName>
      <ability>L2_HalfPunc_CN</ability>
      <abilityName>全半角检查</abilityName>
      <candidateList>
        <item>~</item>
      </candidateList>
      <explain>文本全半角错误。</explain>
      <paraID>58A81580</paraID>
      <start>8</start>
      <end>9</end>
      <status>unmodified</status>
      <modifiedWord/>
      <trackRevisions>false</trackRevisions>
    </reviewItem>
    <reviewItem>
      <errorID>8a4e07fb-5414-4962-b12a-7d3ecd08be81</errorID>
      <errorWord>～</errorWord>
      <group>L1_Format</group>
      <groupName>格式问题</groupName>
      <ability>L2_HalfPunc_CN</ability>
      <abilityName>全半角检查</abilityName>
      <candidateList>
        <item>~</item>
      </candidateList>
      <explain>文本全半角错误。</explain>
      <paraID>434DBE05</paraID>
      <start>3</start>
      <end>4</end>
      <status>unmodified</status>
      <modifiedWord/>
      <trackRevisions>false</trackRevisions>
    </reviewItem>
    <reviewItem>
      <errorID>9d989eb9-c409-4012-9226-6a23dc7b1ba5</errorID>
      <errorWord>～</errorWord>
      <group>L1_Format</group>
      <groupName>格式问题</groupName>
      <ability>L2_HalfPunc_CN</ability>
      <abilityName>全半角检查</abilityName>
      <candidateList>
        <item>~</item>
      </candidateList>
      <explain>文本全半角错误。</explain>
      <paraID>24406E5C</paraID>
      <start>2</start>
      <end>3</end>
      <status>unmodified</status>
      <modifiedWord/>
      <trackRevisions>false</trackRevisions>
    </reviewItem>
    <reviewItem>
      <errorID>5687aaa8-59e1-4e6a-92d9-8f608d08e393</errorID>
      <errorWord>～</errorWord>
      <group>L1_Format</group>
      <groupName>格式问题</groupName>
      <ability>L2_HalfPunc_CN</ability>
      <abilityName>全半角检查</abilityName>
      <candidateList>
        <item>~</item>
      </candidateList>
      <explain>文本全半角错误。</explain>
      <paraID>56D67F09</paraID>
      <start>5</start>
      <end>6</end>
      <status>unmodified</status>
      <modifiedWord/>
      <trackRevisions>false</trackRevisions>
    </reviewItem>
    <reviewItem>
      <errorID>ae458497-0a52-4f57-b64d-85455183611a</errorID>
      <errorWord>～</errorWord>
      <group>L1_Format</group>
      <groupName>格式问题</groupName>
      <ability>L2_HalfPunc_CN</ability>
      <abilityName>全半角检查</abilityName>
      <candidateList>
        <item>~</item>
      </candidateList>
      <explain>文本全半角错误。</explain>
      <paraID>7DD45E46</paraID>
      <start>3</start>
      <end>4</end>
      <status>unmodified</status>
      <modifiedWord/>
      <trackRevisions>false</trackRevisions>
    </reviewItem>
    <reviewItem>
      <errorID>355fbb8d-97c6-4276-ba9c-3432d8b94d8c</errorID>
      <errorWord>～</errorWord>
      <group>L1_Format</group>
      <groupName>格式问题</groupName>
      <ability>L2_HalfPunc_CN</ability>
      <abilityName>全半角检查</abilityName>
      <candidateList>
        <item>~</item>
      </candidateList>
      <explain>文本全半角错误。</explain>
      <paraID>679B244D</paraID>
      <start>3</start>
      <end>4</end>
      <status>unmodified</status>
      <modifiedWord/>
      <trackRevisions>false</trackRevisions>
    </reviewItem>
    <reviewItem>
      <errorID>d4a3cd05-2434-40c0-97b8-0966a0a37012</errorID>
      <errorWord>～</errorWord>
      <group>L1_Format</group>
      <groupName>格式问题</groupName>
      <ability>L2_HalfPunc_CN</ability>
      <abilityName>全半角检查</abilityName>
      <candidateList>
        <item>~</item>
      </candidateList>
      <explain>文本全半角错误。</explain>
      <paraID>1E2D6635</paraID>
      <start>3</start>
      <end>4</end>
      <status>unmodified</status>
      <modifiedWord/>
      <trackRevisions>false</trackRevisions>
    </reviewItem>
    <reviewItem>
      <errorID>82e22821-ea59-42ef-93df-648b20a6c48e</errorID>
      <errorWord>～</errorWord>
      <group>L1_Format</group>
      <groupName>格式问题</groupName>
      <ability>L2_HalfPunc_CN</ability>
      <abilityName>全半角检查</abilityName>
      <candidateList>
        <item>~</item>
      </candidateList>
      <explain>文本全半角错误。</explain>
      <paraID>4EB6C610</paraID>
      <start>9</start>
      <end>10</end>
      <status>unmodified</status>
      <modifiedWord/>
      <trackRevisions>false</trackRevisions>
    </reviewItem>
    <reviewItem>
      <errorID>3e6ca9a2-f9a7-4f1c-943c-1bea2e16bdd4</errorID>
      <errorWord>～</errorWord>
      <group>L1_Format</group>
      <groupName>格式问题</groupName>
      <ability>L2_HalfPunc_CN</ability>
      <abilityName>全半角检查</abilityName>
      <candidateList>
        <item>~</item>
      </candidateList>
      <explain>文本全半角错误。</explain>
      <paraID>54D9203D</paraID>
      <start>3</start>
      <end>4</end>
      <status>unmodified</status>
      <modifiedWord/>
      <trackRevisions>false</trackRevisions>
    </reviewItem>
    <reviewItem>
      <errorID>a78badcb-5b24-4db9-a67a-8994843a6540</errorID>
      <errorWord>～</errorWord>
      <group>L1_Format</group>
      <groupName>格式问题</groupName>
      <ability>L2_HalfPunc_CN</ability>
      <abilityName>全半角检查</abilityName>
      <candidateList>
        <item>~</item>
      </candidateList>
      <explain>文本全半角错误。</explain>
      <paraID>29D34A34</paraID>
      <start>2</start>
      <end>3</end>
      <status>unmodified</status>
      <modifiedWord/>
      <trackRevisions>false</trackRevisions>
    </reviewItem>
    <reviewItem>
      <errorID>371f5032-b4ab-4611-bf7c-d0a7cd4fc1ec</errorID>
      <errorWord>～</errorWord>
      <group>L1_Format</group>
      <groupName>格式问题</groupName>
      <ability>L2_HalfPunc_CN</ability>
      <abilityName>全半角检查</abilityName>
      <candidateList>
        <item>~</item>
      </candidateList>
      <explain>文本全半角错误。</explain>
      <paraID>29D2884E</paraID>
      <start>5</start>
      <end>6</end>
      <status>unmodified</status>
      <modifiedWord/>
      <trackRevisions>false</trackRevisions>
    </reviewItem>
    <reviewItem>
      <errorID>2cddfdf6-2b68-41df-b122-992eb58299f3</errorID>
      <errorWord>～</errorWord>
      <group>L1_Format</group>
      <groupName>格式问题</groupName>
      <ability>L2_HalfPunc_CN</ability>
      <abilityName>全半角检查</abilityName>
      <candidateList>
        <item>~</item>
      </candidateList>
      <explain>文本全半角错误。</explain>
      <paraID> CC3E2E5</paraID>
      <start>4</start>
      <end>5</end>
      <status>unmodified</status>
      <modifiedWord/>
      <trackRevisions>false</trackRevisions>
    </reviewItem>
    <reviewItem>
      <errorID>dfcd3136-888d-4eff-a2de-fb4d5b2d0037</errorID>
      <errorWord>～</errorWord>
      <group>L1_Format</group>
      <groupName>格式问题</groupName>
      <ability>L2_HalfPunc_CN</ability>
      <abilityName>全半角检查</abilityName>
      <candidateList>
        <item>~</item>
      </candidateList>
      <explain>文本全半角错误。</explain>
      <paraID> 439EBF9</paraID>
      <start>4</start>
      <end>5</end>
      <status>unmodified</status>
      <modifiedWord/>
      <trackRevisions>false</trackRevisions>
    </reviewItem>
    <reviewItem>
      <errorID>f131e193-a9d0-4bd6-ae67-2d2f45ec5805</errorID>
      <errorWord>～</errorWord>
      <group>L1_Format</group>
      <groupName>格式问题</groupName>
      <ability>L2_HalfPunc_CN</ability>
      <abilityName>全半角检查</abilityName>
      <candidateList>
        <item>~</item>
      </candidateList>
      <explain>文本全半角错误。</explain>
      <paraID>41DA9636</paraID>
      <start>3</start>
      <end>4</end>
      <status>unmodified</status>
      <modifiedWord/>
      <trackRevisions>false</trackRevisions>
    </reviewItem>
    <reviewItem>
      <errorID>ca6ed341-f9f7-41ec-8dd2-a6b09c338f48</errorID>
      <errorWord>～</errorWord>
      <group>L1_Format</group>
      <groupName>格式问题</groupName>
      <ability>L2_HalfPunc_CN</ability>
      <abilityName>全半角检查</abilityName>
      <candidateList>
        <item>~</item>
      </candidateList>
      <explain>文本全半角错误。</explain>
      <paraID>79C17CA4</paraID>
      <start>9</start>
      <end>10</end>
      <status>unmodified</status>
      <modifiedWord/>
      <trackRevisions>false</trackRevisions>
    </reviewItem>
    <reviewItem>
      <errorID>d891d7d3-0af5-41d9-a74d-6ba62b21a9f5</errorID>
      <errorWord>～</errorWord>
      <group>L1_Format</group>
      <groupName>格式问题</groupName>
      <ability>L2_HalfPunc_CN</ability>
      <abilityName>全半角检查</abilityName>
      <candidateList>
        <item>~</item>
      </candidateList>
      <explain>文本全半角错误。</explain>
      <paraID> ED7966B</paraID>
      <start>4</start>
      <end>5</end>
      <status>unmodified</status>
      <modifiedWord/>
      <trackRevisions>false</trackRevisions>
    </reviewItem>
    <reviewItem>
      <errorID>56cdc0da-4b08-4b4e-83f2-b626937a25fc</errorID>
      <errorWord>～</errorWord>
      <group>L1_Format</group>
      <groupName>格式问题</groupName>
      <ability>L2_HalfPunc_CN</ability>
      <abilityName>全半角检查</abilityName>
      <candidateList>
        <item>~</item>
      </candidateList>
      <explain>文本全半角错误。</explain>
      <paraID>1233A5FF</paraID>
      <start>4</start>
      <end>5</end>
      <status>unmodified</status>
      <modifiedWord/>
      <trackRevisions>false</trackRevisions>
    </reviewItem>
    <reviewItem>
      <errorID>066359f7-dd09-4ed9-8a5c-4e0cc6d35cef</errorID>
      <errorWord>～</errorWord>
      <group>L1_Format</group>
      <groupName>格式问题</groupName>
      <ability>L2_HalfPunc_CN</ability>
      <abilityName>全半角检查</abilityName>
      <candidateList>
        <item>~</item>
      </candidateList>
      <explain>文本全半角错误。</explain>
      <paraID>537E1DF8</paraID>
      <start>4</start>
      <end>5</end>
      <status>unmodified</status>
      <modifiedWord/>
      <trackRevisions>false</trackRevisions>
    </reviewItem>
    <reviewItem>
      <errorID>3c1bd3c8-0a51-4bcb-80cc-fa1b53f2bb17</errorID>
      <errorWord>(</errorWord>
      <group>L1_Format</group>
      <groupName>格式问题</groupName>
      <ability>L2_HalfPunc_CN</ability>
      <abilityName>全半角检查</abilityName>
      <candidateList>
        <item>（</item>
      </candidateList>
      <explain>文本全半角错误。</explain>
      <paraID>6F48F19B</paraID>
      <start>53</start>
      <end>54</end>
      <status>modified</status>
      <modifiedWord>（</modifiedWord>
      <trackRevisions>false</trackRevisions>
    </reviewItem>
    <reviewItem>
      <errorID>50341d90-bb80-4d9d-ab0b-e217b0de3990</errorID>
      <errorWord>)</errorWord>
      <group>L1_Format</group>
      <groupName>格式问题</groupName>
      <ability>L2_HalfPunc_CN</ability>
      <abilityName>全半角检查</abilityName>
      <candidateList>
        <item>）</item>
      </candidateList>
      <explain>文本全半角错误。</explain>
      <paraID>6F48F19B</paraID>
      <start>59</start>
      <end>60</end>
      <status>modified</status>
      <modifiedWord>）</modifiedWord>
      <trackRevisions>false</trackRevisions>
    </reviewItem>
    <reviewItem>
      <errorID>d6f74323-210e-40f9-b082-b335e2faf11f</errorID>
      <errorWord>＜</errorWord>
      <group>L1_Format</group>
      <groupName>格式问题</groupName>
      <ability>L2_HalfPunc_CN</ability>
      <abilityName>全半角检查</abilityName>
      <candidateList>
        <item>&lt;</item>
      </candidateList>
      <explain>文本全半角错误。</explain>
      <paraID> C4CE439</paraID>
      <start>0</start>
      <end>1</end>
      <status>unmodified</status>
      <modifiedWord/>
      <trackRevisions>false</trackRevisions>
    </reviewItem>
    <reviewItem>
      <errorID>43e1a2d2-0c19-4397-a71c-a4778483d16d</errorID>
      <errorWord>～</errorWord>
      <group>L1_Format</group>
      <groupName>格式问题</groupName>
      <ability>L2_HalfPunc_CN</ability>
      <abilityName>全半角检查</abilityName>
      <candidateList>
        <item>~</item>
      </candidateList>
      <explain>文本全半角错误。</explain>
      <paraID>3E63C4BF</paraID>
      <start>2</start>
      <end>3</end>
      <status>unmodified</status>
      <modifiedWord/>
      <trackRevisions>false</trackRevisions>
    </reviewItem>
    <reviewItem>
      <errorID>efb4ecd1-a0f4-45b6-8453-3e08017af2ed</errorID>
      <errorWord>～</errorWord>
      <group>L1_Format</group>
      <groupName>格式问题</groupName>
      <ability>L2_HalfPunc_CN</ability>
      <abilityName>全半角检查</abilityName>
      <candidateList>
        <item>~</item>
      </candidateList>
      <explain>文本全半角错误。</explain>
      <paraID>6A34B2E3</paraID>
      <start>2</start>
      <end>3</end>
      <status>unmodified</status>
      <modifiedWord/>
      <trackRevisions>false</trackRevisions>
    </reviewItem>
    <reviewItem>
      <errorID>444945af-48fb-487d-8e28-aacde26a7537</errorID>
      <errorWord>～</errorWord>
      <group>L1_Format</group>
      <groupName>格式问题</groupName>
      <ability>L2_HalfPunc_CN</ability>
      <abilityName>全半角检查</abilityName>
      <candidateList>
        <item>~</item>
      </candidateList>
      <explain>文本全半角错误。</explain>
      <paraID>57EBE0D5</paraID>
      <start>2</start>
      <end>3</end>
      <status>unmodified</status>
      <modifiedWord/>
      <trackRevisions>false</trackRevisions>
    </reviewItem>
    <reviewItem>
      <errorID>77ae51ad-e4fb-4126-b07a-db98325a8f25</errorID>
      <errorWord>～</errorWord>
      <group>L1_Format</group>
      <groupName>格式问题</groupName>
      <ability>L2_HalfPunc_CN</ability>
      <abilityName>全半角检查</abilityName>
      <candidateList>
        <item>~</item>
      </candidateList>
      <explain>文本全半角错误。</explain>
      <paraID>76D54E60</paraID>
      <start>2</start>
      <end>3</end>
      <status>unmodified</status>
      <modifiedWord/>
      <trackRevisions>false</trackRevisions>
    </reviewItem>
    <reviewItem>
      <errorID>423740af-50fa-4c63-8c67-75e15038ee63</errorID>
      <errorWord>～</errorWord>
      <group>L1_Format</group>
      <groupName>格式问题</groupName>
      <ability>L2_HalfPunc_CN</ability>
      <abilityName>全半角检查</abilityName>
      <candidateList>
        <item>~</item>
      </candidateList>
      <explain>文本全半角错误。</explain>
      <paraID>4BE76B77</paraID>
      <start>2</start>
      <end>3</end>
      <status>unmodified</status>
      <modifiedWord/>
      <trackRevisions>false</trackRevisions>
    </reviewItem>
    <reviewItem>
      <errorID>57aba7d7-658f-4274-9f50-5cc02cf48bd5</errorID>
      <errorWord>～</errorWord>
      <group>L1_Format</group>
      <groupName>格式问题</groupName>
      <ability>L2_HalfPunc_CN</ability>
      <abilityName>全半角检查</abilityName>
      <candidateList>
        <item>~</item>
      </candidateList>
      <explain>文本全半角错误。</explain>
      <paraID>33E6C6F5</paraID>
      <start>3</start>
      <end>4</end>
      <status>unmodified</status>
      <modifiedWord/>
      <trackRevisions>false</trackRevisions>
    </reviewItem>
    <reviewItem>
      <errorID>39d9175a-2c3f-45a9-a705-6ee773047c81</errorID>
      <errorWord>～</errorWord>
      <group>L1_Format</group>
      <groupName>格式问题</groupName>
      <ability>L2_HalfPunc_CN</ability>
      <abilityName>全半角检查</abilityName>
      <candidateList>
        <item>~</item>
      </candidateList>
      <explain>文本全半角错误。</explain>
      <paraID>2DE7A951</paraID>
      <start>10</start>
      <end>11</end>
      <status>unmodified</status>
      <modifiedWord/>
      <trackRevisions>false</trackRevisions>
    </reviewItem>
    <reviewItem>
      <errorID>00bc75e1-187b-4247-b473-5ff151c34d3f</errorID>
      <errorWord>站站</errorWord>
      <group>L1_Word</group>
      <groupName>字词问题</groupName>
      <ability>L2_Typo</ability>
      <abilityName>字词错误</abilityName>
      <candidateList>
        <item>站</item>
      </candidateList>
      <explain/>
      <paraID>47D8CEBA</paraID>
      <start>244</start>
      <end>246</end>
      <status>unmodified</status>
      <modifiedWord/>
      <trackRevisions>false</trackRevisions>
    </reviewItem>
    <reviewItem>
      <errorID>61099414-ffb8-4947-b8f8-1c427492221b</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A1D7FF</paraID>
      <start>66</start>
      <end>67</end>
      <status>unmodified</status>
      <modifiedWord/>
      <trackRevisions>false</trackRevisions>
    </reviewItem>
    <reviewItem>
      <errorID>2efbbb3f-b11a-49be-8289-f21d1eacf1d7</errorID>
      <errorWord>站站</errorWord>
      <group>L1_Word</group>
      <groupName>字词问题</groupName>
      <ability>L2_Typo</ability>
      <abilityName>字词错误</abilityName>
      <candidateList>
        <item>站</item>
      </candidateList>
      <explain/>
      <paraID>497568F2</paraID>
      <start>32</start>
      <end>34</end>
      <status>unmodified</status>
      <modifiedWord/>
      <trackRevisions>false</trackRevisions>
    </reviewItem>
    <reviewItem>
      <errorID>ea3e177a-4445-453c-83d9-e4548016534d</errorID>
      <errorWord>2026年03月25日</errorWord>
      <group>L1_Knowledge</group>
      <groupName>知识性问题</groupName>
      <ability>L2_Time</ability>
      <abilityName>日期时间</abilityName>
      <candidateList>
        <item>2026年3月25日</item>
      </candidateList>
      <explain>根据日常书写习惯，月份一般会省略前导零。</explain>
      <paraID>1BAC927D</paraID>
      <start>0</start>
      <end>11</end>
      <status>unmodified</status>
      <modifiedWord/>
      <trackRevisions>false</trackRevisions>
    </reviewItem>
    <reviewItem>
      <errorID>fb083820-03ea-4a0e-8d9f-700caecf9d10</errorID>
      <errorWord>站站</errorWord>
      <group>L1_Word</group>
      <groupName>字词问题</groupName>
      <ability>L2_Typo</ability>
      <abilityName>字词错误</abilityName>
      <candidateList>
        <item>站</item>
      </candidateList>
      <explain/>
      <paraID> 16D4F72</paraID>
      <start>63</start>
      <end>65</end>
      <status>unmodified</status>
      <modifiedWord/>
      <trackRevisions>false</trackRevisions>
    </reviewItem>
    <reviewItem>
      <errorID>9f13e206-d57b-4073-91d8-62f9ccde39a3</errorID>
      <errorWord>站站</errorWord>
      <group>L1_Word</group>
      <groupName>字词问题</groupName>
      <ability>L2_Typo</ability>
      <abilityName>字词错误</abilityName>
      <candidateList>
        <item>站</item>
      </candidateList>
      <explain/>
      <paraID> 16D4F72</paraID>
      <start>139</start>
      <end>141</end>
      <status>unmodified</status>
      <modifiedWord/>
      <trackRevisions>false</trackRevisions>
    </reviewItem>
    <reviewItem>
      <errorID>bdf636b6-ac35-4f37-8108-cbe723f4467a</errorID>
      <errorWord>2026年01月01日</errorWord>
      <group>L1_Knowledge</group>
      <groupName>知识性问题</groupName>
      <ability>L2_Time</ability>
      <abilityName>日期时间</abilityName>
      <candidateList>
        <item>2026年1月1日</item>
      </candidateList>
      <explain>根据日常书写习惯，月份和日期一般会省略前导零。</explain>
      <paraID>44BD3824</paraID>
      <start>149</start>
      <end>160</end>
      <status>unmodified</status>
      <modifiedWord/>
      <trackRevisions>false</trackRevisions>
    </reviewItem>
    <reviewItem>
      <errorID>181f3424-b35a-4994-b93e-2d7a1d82d077</errorID>
      <errorWord>包括了</errorWord>
      <group>L1_Word</group>
      <groupName>字词问题</groupName>
      <ability>L2_Typo</ability>
      <abilityName>字词错误</abilityName>
      <candidateList>
        <item>包括</item>
      </candidateList>
      <explain/>
      <paraID>44BD3824</paraID>
      <start>266</start>
      <end>269</end>
      <status>unmodified</status>
      <modifiedWord/>
      <trackRevisions>false</trackRevisions>
    </reviewItem>
    <reviewItem>
      <errorID>64393f1e-444b-49e8-86b8-62cdaa7fa10f</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4E98ADD6</paraID>
      <start>120</start>
      <end>121</end>
      <status>unmodified</status>
      <modifiedWord/>
      <trackRevisions>false</trackRevisions>
    </reviewItem>
    <reviewItem>
      <errorID>f4eae52d-70a6-44a7-b576-ca265fbdf75e</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4E98ADD6</paraID>
      <start>136</start>
      <end>137</end>
      <status>unmodified</status>
      <modifiedWord/>
      <trackRevisions>false</trackRevisions>
    </reviewItem>
    <reviewItem>
      <errorID>7fef6dee-d84a-4f37-8437-ceb2d9ff393b</errorID>
      <errorWord>粘度</errorWord>
      <group>L1_Word</group>
      <groupName>字词问题</groupName>
      <ability>L2_Alias</ability>
      <abilityName>也作/曾用词</abilityName>
      <candidateList>
        <item>黏度</item>
      </candidateList>
      <explain>词汇[粘度]为不规范表述或旧称，其规范书面表述为[黏度]。</explain>
      <paraID>2ABBADE5</paraID>
      <start>198</start>
      <end>200</end>
      <status>unmodified</status>
      <modifiedWord/>
      <trackRevisions>false</trackRevisions>
    </reviewItem>
    <reviewItem>
      <errorID>9775435a-6332-4fd1-ae09-66f4de0abc06</errorID>
      <errorWord>粘度</errorWord>
      <group>L1_Word</group>
      <groupName>字词问题</groupName>
      <ability>L2_Alias</ability>
      <abilityName>也作/曾用词</abilityName>
      <candidateList>
        <item>黏度</item>
      </candidateList>
      <explain>词汇[粘度]为不规范表述或旧称，其规范书面表述为[黏度]。</explain>
      <paraID>7D0AFA5C</paraID>
      <start>132</start>
      <end>134</end>
      <status>unmodified</status>
      <modifiedWord/>
      <trackRevisions>false</trackRevisions>
    </reviewItem>
    <reviewItem>
      <errorID>719ba595-83b8-4ee7-aeb7-b3f3797aefee</errorID>
      <errorWord>粘度</errorWord>
      <group>L1_Word</group>
      <groupName>字词问题</groupName>
      <ability>L2_Alias</ability>
      <abilityName>也作/曾用词</abilityName>
      <candidateList>
        <item>黏度</item>
      </candidateList>
      <explain>词汇[粘度]为不规范表述或旧称，其规范书面表述为[黏度]。</explain>
      <paraID>2933A943</paraID>
      <start>46</start>
      <end>48</end>
      <status>unmodified</status>
      <modifiedWord/>
      <trackRevisions>false</trackRevisions>
    </reviewItem>
    <reviewItem>
      <errorID>6a02c6a9-0327-40a7-a2e8-6a5bfbb479c4</errorID>
      <errorWord>粘度</errorWord>
      <group>L1_Word</group>
      <groupName>字词问题</groupName>
      <ability>L2_Alias</ability>
      <abilityName>也作/曾用词</abilityName>
      <candidateList>
        <item>黏度</item>
      </candidateList>
      <explain>词汇[粘度]为不规范表述或旧称，其规范书面表述为[黏度]。</explain>
      <paraID>3DF14356</paraID>
      <start>48</start>
      <end>50</end>
      <status>unmodified</status>
      <modifiedWord/>
      <trackRevisions>false</trackRevisions>
    </reviewItem>
    <reviewItem>
      <errorID>ffe61a14-ef96-44db-8af5-dfbccaeb2c91</errorID>
      <errorWord>粘度</errorWord>
      <group>L1_Word</group>
      <groupName>字词问题</groupName>
      <ability>L2_Alias</ability>
      <abilityName>也作/曾用词</abilityName>
      <candidateList>
        <item>黏度</item>
      </candidateList>
      <explain>词汇[粘度]为不规范表述或旧称，其规范书面表述为[黏度]。</explain>
      <paraID>368720DD</paraID>
      <start>3</start>
      <end>5</end>
      <status>unmodified</status>
      <modifiedWord/>
      <trackRevisions>false</trackRevisions>
    </reviewItem>
    <reviewItem>
      <errorID>5a62b5ad-a2d7-405d-ac60-01c20aa51b90</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20797805</paraID>
      <start>120</start>
      <end>121</end>
      <status>unmodified</status>
      <modifiedWord/>
      <trackRevisions>false</trackRevisions>
    </reviewItem>
    <reviewItem>
      <errorID>e5b2a80b-74af-4d8b-8d1f-a85dcd39d5d9</errorID>
      <errorWord>座</errorWord>
      <group>L1_Knowledge</group>
      <groupName>知识性问题</groupName>
      <ability>L2_Knowledge</ability>
      <abilityName>其他知识</abilityName>
      <candidateList>
        <item>辆</item>
      </candidateList>
      <explain/>
      <paraID>3A09E8A3</paraID>
      <start>15</start>
      <end>16</end>
      <status>modified</status>
      <modifiedWord>辆</modifiedWord>
      <trackRevisions>false</trackRevisions>
    </reviewItem>
    <reviewItem>
      <errorID>f0320424-d584-498d-b6b7-0d8062b62d80</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3D07DEC2</paraID>
      <start>12</start>
      <end>13</end>
      <status>unmodified</status>
      <modifiedWord/>
      <trackRevisions>false</trackRevisions>
    </reviewItem>
    <reviewItem>
      <errorID>d08e7550-3917-45ff-897c-2ceeae3afa4f</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71F98D98</paraID>
      <start>12</start>
      <end>13</end>
      <status>unmodified</status>
      <modifiedWord/>
      <trackRevisions>false</trackRevisions>
    </reviewItem>
    <reviewItem>
      <errorID>55c91dcd-f592-4408-80a1-7d10579979c4</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289AE1CE</paraID>
      <start>12</start>
      <end>13</end>
      <status>unmodified</status>
      <modifiedWord/>
      <trackRevisions>false</trackRevisions>
    </reviewItem>
    <reviewItem>
      <errorID>fef6677e-0f37-4529-a2a7-b77d53a334c4</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58D55441</paraID>
      <start>12</start>
      <end>13</end>
      <status>unmodified</status>
      <modifiedWord/>
      <trackRevisions>false</trackRevisions>
    </reviewItem>
    <reviewItem>
      <errorID>58bc5afd-6e98-48aa-ac0b-8ee5481c2eb5</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48F3F3E5</paraID>
      <start>12</start>
      <end>13</end>
      <status>unmodified</status>
      <modifiedWord/>
      <trackRevisions>false</trackRevisions>
    </reviewItem>
    <reviewItem>
      <errorID>f3e62d62-ddf9-4455-b34e-4e9e070dd26f</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51E06465</paraID>
      <start>12</start>
      <end>13</end>
      <status>unmodified</status>
      <modifiedWord/>
      <trackRevisions>false</trackRevisions>
    </reviewItem>
    <reviewItem>
      <errorID>d8bc5f4d-e9e2-47a0-8fd8-172f38371e0d</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4365100F</paraID>
      <start>12</start>
      <end>13</end>
      <status>unmodified</status>
      <modifiedWord/>
      <trackRevisions>false</trackRevisions>
    </reviewItem>
    <reviewItem>
      <errorID>2c7fcc02-a91f-4dd0-b515-5e2cb0f7f3d3</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1725DC41</paraID>
      <start>12</start>
      <end>13</end>
      <status>unmodified</status>
      <modifiedWord/>
      <trackRevisions>false</trackRevisions>
    </reviewItem>
    <reviewItem>
      <errorID>4b2d75c6-adfb-4942-85d3-6168b110512b</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6D629DDB</paraID>
      <start>12</start>
      <end>13</end>
      <status>unmodified</status>
      <modifiedWord/>
      <trackRevisions>false</trackRevisions>
    </reviewItem>
    <reviewItem>
      <errorID>797bff50-eb8f-46e4-9d2f-3a9348adaa43</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7B4EBB23</paraID>
      <start>12</start>
      <end>13</end>
      <status>unmodified</status>
      <modifiedWord/>
      <trackRevisions>false</trackRevisions>
    </reviewItem>
    <reviewItem>
      <errorID>1e3f5bc1-bf42-43ba-8090-747fdde3ed67</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710E41E9</paraID>
      <start>12</start>
      <end>13</end>
      <status>unmodified</status>
      <modifiedWord/>
      <trackRevisions>false</trackRevisions>
    </reviewItem>
    <reviewItem>
      <errorID>4b0e3e67-187b-441c-b334-68d9779085d0</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4B037F74</paraID>
      <start>12</start>
      <end>13</end>
      <status>unmodified</status>
      <modifiedWord/>
      <trackRevisions>false</trackRevisions>
    </reviewItem>
    <reviewItem>
      <errorID>62f7ea73-d485-463b-80f2-64e2b235cdb7</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69DF61F9</paraID>
      <start>12</start>
      <end>13</end>
      <status>unmodified</status>
      <modifiedWord/>
      <trackRevisions>false</trackRevisions>
    </reviewItem>
    <reviewItem>
      <errorID>9e342fbf-d674-46dc-9b4c-a68774ba0bd3</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39BE6F77</paraID>
      <start>12</start>
      <end>13</end>
      <status>unmodified</status>
      <modifiedWord/>
      <trackRevisions>false</trackRevisions>
    </reviewItem>
    <reviewItem>
      <errorID>49cc5eee-1eb5-43d4-b078-6e813c2af15d</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201BBB69</paraID>
      <start>12</start>
      <end>13</end>
      <status>unmodified</status>
      <modifiedWord/>
      <trackRevisions>false</trackRevisions>
    </reviewItem>
    <reviewItem>
      <errorID>2ad13487-7719-4c68-9214-ac3c434f79b6</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62F172ED</paraID>
      <start>12</start>
      <end>13</end>
      <status>unmodified</status>
      <modifiedWord/>
      <trackRevisions>false</trackRevisions>
    </reviewItem>
    <reviewItem>
      <errorID>aa552e78-114f-4902-a911-20e83fb90034</errorID>
      <errorWord>,</errorWord>
      <group>L1_Format</group>
      <groupName>格式问题</groupName>
      <ability>L2_HalfPunc_CN</ability>
      <abilityName>全半角检查</abilityName>
      <candidateList>
        <item>，</item>
      </candidateList>
      <explain>文本全半角错误。</explain>
      <paraID>4B61CA3C</paraID>
      <start>104</start>
      <end>105</end>
      <status>unmodified</status>
      <modifiedWord/>
      <trackRevisions>false</trackRevisions>
    </reviewItem>
    <reviewItem>
      <errorID>f2d2b53d-4340-4c29-91cc-20ee47fa911d</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4B61CA3C</paraID>
      <start>144</start>
      <end>145</end>
      <status>unmodified</status>
      <modifiedWord/>
      <trackRevisions>false</trackRevisions>
    </reviewItem>
    <reviewItem>
      <errorID>87d4b679-d452-4b12-9d5f-8e46021614d7</errorID>
      <errorWord>座</errorWord>
      <group>L1_Knowledge</group>
      <groupName>知识性问题</groupName>
      <ability>L2_Knowledge</ability>
      <abilityName>其他知识</abilityName>
      <candidateList>
        <item>辆</item>
      </candidateList>
      <explain/>
      <paraID> E88CAC7</paraID>
      <start>18</start>
      <end>19</end>
      <status>unmodified</status>
      <modifiedWord/>
      <trackRevisions>false</trackRevisions>
    </reviewItem>
    <reviewItem>
      <errorID>d603ecd1-af23-4989-a69c-7f06ee6ccead</errorID>
      <errorWord>2014年07月31日</errorWord>
      <group>L1_Knowledge</group>
      <groupName>知识性问题</groupName>
      <ability>L2_Time</ability>
      <abilityName>日期时间</abilityName>
      <candidateList>
        <item>2014年7月31日</item>
      </candidateList>
      <explain>根据日常书写习惯，月份一般会省略前导零。</explain>
      <paraID>486F128F</paraID>
      <start>0</start>
      <end>11</end>
      <status>unmodified</status>
      <modifiedWord/>
      <trackRevisions>false</trackRevisions>
    </reviewItem>
    <reviewItem>
      <errorID>e7a06a13-96df-4b4d-993b-203ec135b014</errorID>
      <errorWord>2018年08月19日</errorWord>
      <group>L1_Knowledge</group>
      <groupName>知识性问题</groupName>
      <ability>L2_Time</ability>
      <abilityName>日期时间</abilityName>
      <candidateList>
        <item>2018年8月19日</item>
      </candidateList>
      <explain>根据日常书写习惯，月份一般会省略前导零。</explain>
      <paraID>334CDCB3</paraID>
      <start>0</start>
      <end>11</end>
      <status>unmodified</status>
      <modifiedWord/>
      <trackRevisions>false</trackRevisions>
    </reviewItem>
    <reviewItem>
      <errorID>85240593-4a7b-4bee-8222-25c12ae2f0e8</errorID>
      <errorWord>设计的</errorWord>
      <group>L1_Word</group>
      <groupName>字词问题</groupName>
      <ability>L2_Typo</ability>
      <abilityName>字词错误</abilityName>
      <candidateList>
        <item>设计</item>
      </candidateList>
      <explain>❶〈动〉在正式做某项工作之前，根据一定的目的要求，预先制定方法、图样等：～师｜～图纸。❷〈名〉设计的方案或规划的蓝图等：那两项～已经完成。</explain>
      <paraID>2405D4EE</paraID>
      <start>222</start>
      <end>225</end>
      <status>unmodified</status>
      <modifiedWord/>
      <trackRevisions>false</trackRevisions>
    </reviewItem>
    <reviewItem>
      <errorID>245de89a-f0d0-4f25-b96f-b59f7b6bffd0</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1118CF80</paraID>
      <start>120</start>
      <end>121</end>
      <status>unmodified</status>
      <modifiedWord/>
      <trackRevisions>false</trackRevisions>
    </reviewItem>
    <reviewItem>
      <errorID>b37d5808-4dcf-4ff7-b4c1-3a7995ea0c37</errorID>
      <errorWord>两个</errorWord>
      <group>L1_Knowledge</group>
      <groupName>知识性问题</groupName>
      <ability>L2_Knowledge</ability>
      <abilityName>其他知识</abilityName>
      <candidateList>
        <item>两道</item>
      </candidateList>
      <explain/>
      <paraID>696AC303</paraID>
      <start>11</start>
      <end>13</end>
      <status>unmodified</status>
      <modifiedWord/>
      <trackRevisions>false</trackRevisions>
    </reviewItem>
    <reviewItem>
      <errorID>2091a561-3e70-457d-a557-80cfdf5af4ea</errorID>
      <errorWord>来自于</errorWord>
      <group>L1_Grammar</group>
      <groupName>语法问题</groupName>
      <ability>L2_Grammar</ability>
      <abilityName>语法错误</abilityName>
      <candidateList>
        <item>来自</item>
      </candidateList>
      <explain>该表达中的“来自于”存在语义重复。【词汇解析】来自：表示“来源于”。包含了“于”的意思。</explain>
      <paraID>6E93F602</paraID>
      <start>12</start>
      <end>15</end>
      <status>unmodified</status>
      <modifiedWord/>
      <trackRevisions>false</trackRevisions>
    </reviewItem>
    <reviewItem>
      <errorID>c64df066-65f9-4915-9036-3fb7313ec0e8</errorID>
      <errorWord>不在</errorWord>
      <group>L1_Word</group>
      <groupName>字词问题</groupName>
      <ability>L2_Typo</ability>
      <abilityName>字词错误</abilityName>
      <candidateList>
        <item>不再</item>
      </candidateList>
      <explain/>
      <paraID>2F94ECD0</paraID>
      <start>30</start>
      <end>32</end>
      <status>modified</status>
      <modifiedWord>不再</modifiedWord>
      <trackRevisions>false</trackRevisions>
    </reviewItem>
    <reviewItem>
      <errorID>aa9dc114-aab4-4498-bf0c-eba131b1f7c8</errorID>
      <errorWord>～</errorWord>
      <group>L1_Format</group>
      <groupName>格式问题</groupName>
      <ability>L2_HalfPunc_CN</ability>
      <abilityName>全半角检查</abilityName>
      <candidateList>
        <item>~</item>
      </candidateList>
      <explain>文本全半角错误。</explain>
      <paraID>32995278</paraID>
      <start>1</start>
      <end>2</end>
      <status>unmodified</status>
      <modifiedWord/>
      <trackRevisions>false</trackRevisions>
    </reviewItem>
    <reviewItem>
      <errorID>e43b7996-a4c7-459c-8033-d2a94535ba31</errorID>
      <errorWord>回</errorWord>
      <group>L1_Word</group>
      <groupName>字词问题</groupName>
      <ability>L2_Typo</ability>
      <abilityName>字词错误</abilityName>
      <candidateList>
        <item>可</item>
      </candidateList>
      <explain>存在字形相近字词的误用。</explain>
      <paraID>6912AC32</paraID>
      <start>37</start>
      <end>38</end>
      <status>unmodified</status>
      <modifiedWord/>
      <trackRevisions>false</trackRevisions>
    </reviewItem>
    <reviewItem>
      <errorID>7e4213a3-7e5b-499a-9612-cd598eba9ee9</errorID>
      <errorWord>t/</errorWord>
      <group>L1_Format</group>
      <groupName>格式问题</groupName>
      <ability>L2_Ordinal</ability>
      <abilityName>序号格式</abilityName>
      <candidateList>
        <item>t.</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68A8694C</paraID>
      <start>0</start>
      <end>2</end>
      <status>unmodified</status>
      <modifiedWord/>
      <trackRevisions>false</trackRevisions>
    </reviewItem>
    <reviewItem>
      <errorID>2fda3ade-a5ee-47d7-a829-a4b025694f6f</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112A07B2</paraID>
      <start>0</start>
      <end>2</end>
      <status>unmodified</status>
      <modifiedWord/>
      <trackRevisions>false</trackRevisions>
    </reviewItem>
    <reviewItem>
      <errorID>fbabfd8d-ae58-4d35-8116-7d0eae423b83</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39561D34</paraID>
      <start>0</start>
      <end>2</end>
      <status>unmodified</status>
      <modifiedWord/>
      <trackRevisions>false</trackRevisions>
    </reviewItem>
    <reviewItem>
      <errorID>c4fcda4d-b901-475b-bffc-b1afde28d20f</errorID>
      <errorWord>t/</errorWord>
      <group>L1_Format</group>
      <groupName>格式问题</groupName>
      <ability>L2_Ordinal</ability>
      <abilityName>序号格式</abilityName>
      <candidateList>
        <item>t.</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6786243A</paraID>
      <start>0</start>
      <end>2</end>
      <status>unmodified</status>
      <modifiedWord/>
      <trackRevisions>false</trackRevisions>
    </reviewItem>
    <reviewItem>
      <errorID>39208f68-397d-4a5b-99b8-1719bb01f550</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628BE938</paraID>
      <start>0</start>
      <end>2</end>
      <status>unmodified</status>
      <modifiedWord/>
      <trackRevisions>false</trackRevisions>
    </reviewItem>
    <reviewItem>
      <errorID>cd3541e0-c4a9-4f2f-8540-062c1c92c6f0</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104DABBC</paraID>
      <start>0</start>
      <end>2</end>
      <status>unmodified</status>
      <modifiedWord/>
      <trackRevisions>false</trackRevisions>
    </reviewItem>
    <reviewItem>
      <errorID>8ec8391d-7f10-4c54-aabc-82f7cfacb643</errorID>
      <errorWord>～</errorWord>
      <group>L1_Format</group>
      <groupName>格式问题</groupName>
      <ability>L2_HalfPunc_CN</ability>
      <abilityName>全半角检查</abilityName>
      <candidateList>
        <item>~</item>
      </candidateList>
      <explain>文本全半角错误。</explain>
      <paraID> 28B135E</paraID>
      <start>2</start>
      <end>3</end>
      <status>unmodified</status>
      <modifiedWord/>
      <trackRevisions>false</trackRevisions>
    </reviewItem>
    <reviewItem>
      <errorID>25582c8c-09ac-4c80-bef7-7b7a2f3bad74</errorID>
      <errorWord>～</errorWord>
      <group>L1_Format</group>
      <groupName>格式问题</groupName>
      <ability>L2_HalfPunc_CN</ability>
      <abilityName>全半角检查</abilityName>
      <candidateList>
        <item>~</item>
      </candidateList>
      <explain>文本全半角错误。</explain>
      <paraID>5F1A90F1</paraID>
      <start>2</start>
      <end>3</end>
      <status>unmodified</status>
      <modifiedWord/>
      <trackRevisions>false</trackRevisions>
    </reviewItem>
    <reviewItem>
      <errorID>868c5851-c679-4aa2-be65-9f34cc87e43b</errorID>
      <errorWord>～</errorWord>
      <group>L1_Format</group>
      <groupName>格式问题</groupName>
      <ability>L2_HalfPunc_CN</ability>
      <abilityName>全半角检查</abilityName>
      <candidateList>
        <item>~</item>
      </candidateList>
      <explain>文本全半角错误。</explain>
      <paraID>368CDB38</paraID>
      <start>2</start>
      <end>3</end>
      <status>unmodified</status>
      <modifiedWord/>
      <trackRevisions>false</trackRevisions>
    </reviewItem>
    <reviewItem>
      <errorID>ab9066f2-02fa-4819-8e96-fce5b08c573c</errorID>
      <errorWord>～</errorWord>
      <group>L1_Format</group>
      <groupName>格式问题</groupName>
      <ability>L2_HalfPunc_CN</ability>
      <abilityName>全半角检查</abilityName>
      <candidateList>
        <item>~</item>
      </candidateList>
      <explain>文本全半角错误。</explain>
      <paraID> EC5B93B</paraID>
      <start>2</start>
      <end>3</end>
      <status>unmodified</status>
      <modifiedWord/>
      <trackRevisions>false</trackRevisions>
    </reviewItem>
    <reviewItem>
      <errorID>4e65c7cb-d01e-4710-ba9b-5b2694fbb2f5</errorID>
      <errorWord>～</errorWord>
      <group>L1_Format</group>
      <groupName>格式问题</groupName>
      <ability>L2_HalfPunc_CN</ability>
      <abilityName>全半角检查</abilityName>
      <candidateList>
        <item>~</item>
      </candidateList>
      <explain>文本全半角错误。</explain>
      <paraID> 2331D2B</paraID>
      <start>2</start>
      <end>3</end>
      <status>unmodified</status>
      <modifiedWord/>
      <trackRevisions>false</trackRevisions>
    </reviewItem>
    <reviewItem>
      <errorID>6f331947-0fd8-4852-b342-50c1a34e2699</errorID>
      <errorWord>～</errorWord>
      <group>L1_Format</group>
      <groupName>格式问题</groupName>
      <ability>L2_HalfPunc_CN</ability>
      <abilityName>全半角检查</abilityName>
      <candidateList>
        <item>~</item>
      </candidateList>
      <explain>文本全半角错误。</explain>
      <paraID>1EC8E7B2</paraID>
      <start>2</start>
      <end>3</end>
      <status>unmodified</status>
      <modifiedWord/>
      <trackRevisions>false</trackRevisions>
    </reviewItem>
    <reviewItem>
      <errorID>9c5576ec-32a5-4239-abb0-fc1980d3777b</errorID>
      <errorWord>沾</errorWord>
      <group>L1_Word</group>
      <groupName>字词问题</groupName>
      <ability>L2_Typo</ability>
      <abilityName>字词错误</abilityName>
      <candidateList>
        <item>蘸</item>
      </candidateList>
      <explain>存在发音相同字词的误用。</explain>
      <paraID>1687AEE1</paraID>
      <start>1</start>
      <end>2</end>
      <status>unmodified</status>
      <modifiedWord/>
      <trackRevisions>false</trackRevisions>
    </reviewItem>
    <reviewItem>
      <errorID>3622de02-dd87-4137-9011-11fed1f0e478</errorID>
      <errorWord>，</errorWord>
      <group>L1_Format</group>
      <groupName>格式问题</groupName>
      <ability>L2_HalfPunc_CN</ability>
      <abilityName>全半角检查</abilityName>
      <candidateList>
        <item>, </item>
      </candidateList>
      <explain>文本全半角错误。</explain>
      <paraID> 6ACD747</paraID>
      <start>1</start>
      <end>2</end>
      <status>unmodified</status>
      <modifiedWord/>
      <trackRevisions>false</trackRevisions>
    </reviewItem>
    <reviewItem>
      <errorID>4e5e1dc9-aefb-4828-9bfa-4d1c1177117c</errorID>
      <errorWord>，</errorWord>
      <group>L1_Format</group>
      <groupName>格式问题</groupName>
      <ability>L2_HalfPunc_CN</ability>
      <abilityName>全半角检查</abilityName>
      <candidateList>
        <item>, </item>
      </candidateList>
      <explain>文本全半角错误。</explain>
      <paraID>54A94E7F</paraID>
      <start>1</start>
      <end>2</end>
      <status>unmodified</status>
      <modifiedWord/>
      <trackRevisions>false</trackRevisions>
    </reviewItem>
    <reviewItem>
      <errorID>a73486e4-c868-4706-9c2b-4f6fd5a74aee</errorID>
      <errorWord>，</errorWord>
      <group>L1_Format</group>
      <groupName>格式问题</groupName>
      <ability>L2_HalfPunc_CN</ability>
      <abilityName>全半角检查</abilityName>
      <candidateList>
        <item>, </item>
      </candidateList>
      <explain>文本全半角错误。</explain>
      <paraID>25F7F637</paraID>
      <start>1</start>
      <end>2</end>
      <status>unmodified</status>
      <modifiedWord/>
      <trackRevisions>false</trackRevisions>
    </reviewItem>
    <reviewItem>
      <errorID>9c78e301-e389-4bc8-82d0-6ec6c0aba203</errorID>
      <errorWord>～</errorWord>
      <group>L1_Format</group>
      <groupName>格式问题</groupName>
      <ability>L2_HalfPunc_CN</ability>
      <abilityName>全半角检查</abilityName>
      <candidateList>
        <item>~</item>
      </candidateList>
      <explain>文本全半角错误。</explain>
      <paraID>557FCB6C</paraID>
      <start>2</start>
      <end>3</end>
      <status>unmodified</status>
      <modifiedWord/>
      <trackRevisions>false</trackRevisions>
    </reviewItem>
    <reviewItem>
      <errorID>c10ab1fe-5a5d-4cc6-aa6d-c602584d026e</errorID>
      <errorWord>～</errorWord>
      <group>L1_Format</group>
      <groupName>格式问题</groupName>
      <ability>L2_HalfPunc_CN</ability>
      <abilityName>全半角检查</abilityName>
      <candidateList>
        <item>~</item>
      </candidateList>
      <explain>文本全半角错误。</explain>
      <paraID>22ABD56A</paraID>
      <start>2</start>
      <end>3</end>
      <status>unmodified</status>
      <modifiedWord/>
      <trackRevisions>false</trackRevisions>
    </reviewItem>
    <reviewItem>
      <errorID>3b95d0fa-9fe8-4d4c-a8ca-d92fd60e8a3e</errorID>
      <errorWord>t/</errorWord>
      <group>L1_Format</group>
      <groupName>格式问题</groupName>
      <ability>L2_Ordinal</ability>
      <abilityName>序号格式</abilityName>
      <candidateList>
        <item>t.</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51ACD698</paraID>
      <start>0</start>
      <end>2</end>
      <status>unmodified</status>
      <modifiedWord/>
      <trackRevisions>false</trackRevisions>
    </reviewItem>
    <reviewItem>
      <errorID>062d6214-1705-40d5-b7bc-24c7b02fddaf</errorID>
      <errorWord>；</errorWord>
      <group>L1_Format</group>
      <groupName>格式问题</groupName>
      <ability>L2_HalfPunc_CN</ability>
      <abilityName>全半角检查</abilityName>
      <candidateList>
        <item>;</item>
      </candidateList>
      <explain>文本全半角错误。</explain>
      <paraID>5CC23889</paraID>
      <start>4</start>
      <end>5</end>
      <status>unmodified</status>
      <modifiedWord/>
      <trackRevisions>false</trackRevisions>
    </reviewItem>
    <reviewItem>
      <errorID>d4d35e87-11c3-4061-ae18-ead22d0501e1</errorID>
      <errorWord>；</errorWord>
      <group>L1_Format</group>
      <groupName>格式问题</groupName>
      <ability>L2_HalfPunc_CN</ability>
      <abilityName>全半角检查</abilityName>
      <candidateList>
        <item>;</item>
      </candidateList>
      <explain>文本全半角错误。</explain>
      <paraID>5CC23889</paraID>
      <start>9</start>
      <end>10</end>
      <status>unmodified</status>
      <modifiedWord/>
      <trackRevisions>false</trackRevisions>
    </reviewItem>
    <reviewItem>
      <errorID>55199598-b87c-42e5-8fe1-466da04617fc</errorID>
      <errorWord>t/</errorWord>
      <group>L1_Format</group>
      <groupName>格式问题</groupName>
      <ability>L2_Ordinal</ability>
      <abilityName>序号格式</abilityName>
      <candidateList>
        <item>t.</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F241E49</paraID>
      <start>0</start>
      <end>2</end>
      <status>unmodified</status>
      <modifiedWord/>
      <trackRevisions>false</trackRevisions>
    </reviewItem>
    <reviewItem>
      <errorID>a3a6ad4a-1a19-4691-aa38-ac39c2c8b20e</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4F19C780</paraID>
      <start>99</start>
      <end>100</end>
      <status>unmodified</status>
      <modifiedWord/>
      <trackRevisions>false</trackRevisions>
    </reviewItem>
    <reviewItem>
      <errorID>38b65d3c-3032-4594-83d1-47be84479fb1</errorID>
      <errorWord>2026年02月06日</errorWord>
      <group>L1_Knowledge</group>
      <groupName>知识性问题</groupName>
      <ability>L2_Time</ability>
      <abilityName>日期时间</abilityName>
      <candidateList>
        <item>2026年2月6日</item>
      </candidateList>
      <explain>根据日常书写习惯，月份和日期一般会省略前导零。</explain>
      <paraID> 32EDBF8</paraID>
      <start>5</start>
      <end>16</end>
      <status>unmodified</status>
      <modifiedWord/>
      <trackRevisions>false</trackRevisions>
    </reviewItem>
    <reviewItem>
      <errorID>22565994-4e61-4649-954d-0d1a0a5175d9</errorID>
      <errorWord>02月12日</errorWord>
      <group>L1_Knowledge</group>
      <groupName>知识性问题</groupName>
      <ability>L2_Time</ability>
      <abilityName>日期时间</abilityName>
      <candidateList>
        <item>2月12日</item>
      </candidateList>
      <explain>根据日常书写习惯，月份一般会省略前导零。</explain>
      <paraID> 32EDBF8</paraID>
      <start>17</start>
      <end>23</end>
      <status>unmodified</status>
      <modifiedWord/>
      <trackRevisions>false</trackRevisions>
    </reviewItem>
    <reviewItem>
      <errorID>86259716-413e-48cf-9693-a0637f56162e</errorID>
      <errorWord>～</errorWord>
      <group>L1_Format</group>
      <groupName>格式问题</groupName>
      <ability>L2_HalfPunc_CN</ability>
      <abilityName>全半角检查</abilityName>
      <candidateList>
        <item>~</item>
      </candidateList>
      <explain>文本全半角错误。</explain>
      <paraID>686D0B35</paraID>
      <start>3</start>
      <end>4</end>
      <status>unmodified</status>
      <modifiedWord/>
      <trackRevisions>false</trackRevisions>
    </reviewItem>
    <reviewItem>
      <errorID>220cf7f3-e656-4dc5-b98c-93f5f753a170</errorID>
      <errorWord>～</errorWord>
      <group>L1_Format</group>
      <groupName>格式问题</groupName>
      <ability>L2_HalfPunc_CN</ability>
      <abilityName>全半角检查</abilityName>
      <candidateList>
        <item>~</item>
      </candidateList>
      <explain>文本全半角错误。</explain>
      <paraID>2146EE66</paraID>
      <start>3</start>
      <end>4</end>
      <status>unmodified</status>
      <modifiedWord/>
      <trackRevisions>false</trackRevisions>
    </reviewItem>
    <reviewItem>
      <errorID>f7be97ba-cee5-44e8-8585-d9cf6512675e</errorID>
      <errorWord>～</errorWord>
      <group>L1_Format</group>
      <groupName>格式问题</groupName>
      <ability>L2_HalfPunc_CN</ability>
      <abilityName>全半角检查</abilityName>
      <candidateList>
        <item>~</item>
      </candidateList>
      <explain>文本全半角错误。</explain>
      <paraID>76AB8802</paraID>
      <start>3</start>
      <end>4</end>
      <status>unmodified</status>
      <modifiedWord/>
      <trackRevisions>false</trackRevisions>
    </reviewItem>
    <reviewItem>
      <errorID>ced40bd0-3de1-4d89-9f70-3f65c35db905</errorID>
      <errorWord>～</errorWord>
      <group>L1_Format</group>
      <groupName>格式问题</groupName>
      <ability>L2_HalfPunc_CN</ability>
      <abilityName>全半角检查</abilityName>
      <candidateList>
        <item>~</item>
      </candidateList>
      <explain>文本全半角错误。</explain>
      <paraID>59F8743D</paraID>
      <start>3</start>
      <end>4</end>
      <status>unmodified</status>
      <modifiedWord/>
      <trackRevisions>false</trackRevisions>
    </reviewItem>
    <reviewItem>
      <errorID>9f36e813-13ee-4469-b780-f6924d79e795</errorID>
      <errorWord>～</errorWord>
      <group>L1_Format</group>
      <groupName>格式问题</groupName>
      <ability>L2_HalfPunc_CN</ability>
      <abilityName>全半角检查</abilityName>
      <candidateList>
        <item>~</item>
      </candidateList>
      <explain>文本全半角错误。</explain>
      <paraID>550B029C</paraID>
      <start>2</start>
      <end>3</end>
      <status>unmodified</status>
      <modifiedWord/>
      <trackRevisions>false</trackRevisions>
    </reviewItem>
    <reviewItem>
      <errorID>fb7731ea-a726-4619-8739-3fb8bf5baec5</errorID>
      <errorWord>～</errorWord>
      <group>L1_Format</group>
      <groupName>格式问题</groupName>
      <ability>L2_HalfPunc_CN</ability>
      <abilityName>全半角检查</abilityName>
      <candidateList>
        <item>~</item>
      </candidateList>
      <explain>文本全半角错误。</explain>
      <paraID> 1E873D4</paraID>
      <start>3</start>
      <end>4</end>
      <status>unmodified</status>
      <modifiedWord/>
      <trackRevisions>false</trackRevisions>
    </reviewItem>
    <reviewItem>
      <errorID>9f1df192-4bf5-455c-9d1c-57c8be94dc23</errorID>
      <errorWord>2026年02月06日</errorWord>
      <group>L1_Knowledge</group>
      <groupName>知识性问题</groupName>
      <ability>L2_Time</ability>
      <abilityName>日期时间</abilityName>
      <candidateList>
        <item>2026年2月6日</item>
      </candidateList>
      <explain>根据日常书写习惯，月份和日期一般会省略前导零。</explain>
      <paraID>65C77ADA</paraID>
      <start>49</start>
      <end>60</end>
      <status>unmodified</status>
      <modifiedWord/>
      <trackRevisions>false</trackRevisions>
    </reviewItem>
    <reviewItem>
      <errorID>f54f1440-6fc5-4190-8d48-07ed40ff24c3</errorID>
      <errorWord>～</errorWord>
      <group>L1_Format</group>
      <groupName>格式问题</groupName>
      <ability>L2_HalfPunc_CN</ability>
      <abilityName>全半角检查</abilityName>
      <candidateList>
        <item>~</item>
      </candidateList>
      <explain>文本全半角错误。</explain>
      <paraID>5FF276D6</paraID>
      <start>3</start>
      <end>4</end>
      <status>unmodified</status>
      <modifiedWord/>
      <trackRevisions>false</trackRevisions>
    </reviewItem>
    <reviewItem>
      <errorID>239716b6-fb00-4924-bea9-8fb6b03273b3</errorID>
      <errorWord>～</errorWord>
      <group>L1_Format</group>
      <groupName>格式问题</groupName>
      <ability>L2_HalfPunc_CN</ability>
      <abilityName>全半角检查</abilityName>
      <candidateList>
        <item>~</item>
      </candidateList>
      <explain>文本全半角错误。</explain>
      <paraID> 65EB3AF</paraID>
      <start>3</start>
      <end>4</end>
      <status>unmodified</status>
      <modifiedWord/>
      <trackRevisions>false</trackRevisions>
    </reviewItem>
    <reviewItem>
      <errorID>f6ba6201-d9a3-4516-815b-9b5c41314421</errorID>
      <errorWord>2026年02月06日</errorWord>
      <group>L1_Knowledge</group>
      <groupName>知识性问题</groupName>
      <ability>L2_Time</ability>
      <abilityName>日期时间</abilityName>
      <candidateList>
        <item>2026年2月6日</item>
      </candidateList>
      <explain>根据日常书写习惯，月份和日期一般会省略前导零。</explain>
      <paraID>496BA4B2</paraID>
      <start>5</start>
      <end>16</end>
      <status>unmodified</status>
      <modifiedWord/>
      <trackRevisions>false</trackRevisions>
    </reviewItem>
    <reviewItem>
      <errorID>36ec4dd2-1455-4b27-ad1d-f11ff0c9ee7a</errorID>
      <errorWord>2026年02月08日</errorWord>
      <group>L1_Knowledge</group>
      <groupName>知识性问题</groupName>
      <ability>L2_Time</ability>
      <abilityName>日期时间</abilityName>
      <candidateList>
        <item>2026年2月8日</item>
      </candidateList>
      <explain>根据日常书写习惯，月份和日期一般会省略前导零。</explain>
      <paraID>496BA4B2</paraID>
      <start>17</start>
      <end>28</end>
      <status>unmodified</status>
      <modifiedWord/>
      <trackRevisions>false</trackRevisions>
    </reviewItem>
    <reviewItem>
      <errorID>fd556e8a-f424-4d5b-8277-62bfcfe4122c</errorID>
      <errorWord>2026年02月07日</errorWord>
      <group>L1_Knowledge</group>
      <groupName>知识性问题</groupName>
      <ability>L2_Time</ability>
      <abilityName>日期时间</abilityName>
      <candidateList>
        <item>2026年2月7日</item>
      </candidateList>
      <explain>根据日常书写习惯，月份和日期一般会省略前导零。</explain>
      <paraID>18B108F4</paraID>
      <start>5</start>
      <end>16</end>
      <status>unmodified</status>
      <modifiedWord/>
      <trackRevisions>false</trackRevisions>
    </reviewItem>
    <reviewItem>
      <errorID>f9510949-6139-488a-bbbe-0ca8103f0c90</errorID>
      <errorWord>2026年02月08日</errorWord>
      <group>L1_Knowledge</group>
      <groupName>知识性问题</groupName>
      <ability>L2_Time</ability>
      <abilityName>日期时间</abilityName>
      <candidateList>
        <item>2026年2月8日</item>
      </candidateList>
      <explain>根据日常书写习惯，月份和日期一般会省略前导零。</explain>
      <paraID>18B108F4</paraID>
      <start>17</start>
      <end>28</end>
      <status>unmodified</status>
      <modifiedWord/>
      <trackRevisions>false</trackRevisions>
    </reviewItem>
    <reviewItem>
      <errorID>2dacec6d-c798-42e8-a0b1-53ca4061843e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172BF31E</paraID>
      <start>0</start>
      <end>2</end>
      <status>unmodified</status>
      <modifiedWord/>
      <trackRevisions>false</trackRevisions>
    </reviewItem>
    <reviewItem>
      <errorID>61c4c740-f2bc-4a8d-8b53-b84523fb75c0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794E7F20</paraID>
      <start>0</start>
      <end>2</end>
      <status>unmodified</status>
      <modifiedWord/>
      <trackRevisions>false</trackRevisions>
    </reviewItem>
    <reviewItem>
      <errorID>4f059b9e-9b21-4fad-9ce2-7ad70942cad9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E6A0818</paraID>
      <start>0</start>
      <end>2</end>
      <status>unmodified</status>
      <modifiedWord/>
      <trackRevisions>false</trackRevisions>
    </reviewItem>
    <reviewItem>
      <errorID>9459ad53-351d-4ac3-a615-d70aec931e3a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7556B48E</paraID>
      <start>0</start>
      <end>2</end>
      <status>unmodified</status>
      <modifiedWord/>
      <trackRevisions>false</trackRevisions>
    </reviewItem>
    <reviewItem>
      <errorID>0fec12b2-ca66-493d-a6aa-b353a1bb01a8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1F6CDD74</paraID>
      <start>0</start>
      <end>2</end>
      <status>unmodified</status>
      <modifiedWord/>
      <trackRevisions>false</trackRevisions>
    </reviewItem>
    <reviewItem>
      <errorID>3f424e93-76f1-4ea1-80f7-7de9b1dca7f3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53751B06</paraID>
      <start>0</start>
      <end>2</end>
      <status>unmodified</status>
      <modifiedWord/>
      <trackRevisions>false</trackRevisions>
    </reviewItem>
    <reviewItem>
      <errorID>eefe7c53-3a43-4202-b6cd-3cd12ead637a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40696BE9</paraID>
      <start>0</start>
      <end>2</end>
      <status>unmodified</status>
      <modifiedWord/>
      <trackRevisions>false</trackRevisions>
    </reviewItem>
    <reviewItem>
      <errorID>ced51bfb-047d-4b03-8420-cec2d3750a06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71421D02</paraID>
      <start>0</start>
      <end>2</end>
      <status>unmodified</status>
      <modifiedWord/>
      <trackRevisions>false</trackRevisions>
    </reviewItem>
    <reviewItem>
      <errorID>6e952cd9-4eed-40cd-971a-6cfc31fccd6e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26A0CC94</paraID>
      <start>0</start>
      <end>2</end>
      <status>unmodified</status>
      <modifiedWord/>
      <trackRevisions>false</trackRevisions>
    </reviewItem>
    <reviewItem>
      <errorID>62f71c0b-ddae-4650-9a71-aa7101260339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2E6A3568</paraID>
      <start>0</start>
      <end>2</end>
      <status>unmodified</status>
      <modifiedWord/>
      <trackRevisions>false</trackRevisions>
    </reviewItem>
    <reviewItem>
      <errorID>27ae5d59-863d-4d9b-96d8-6823e8382240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59B1189E</paraID>
      <start>0</start>
      <end>2</end>
      <status>unmodified</status>
      <modifiedWord/>
      <trackRevisions>false</trackRevisions>
    </reviewItem>
    <reviewItem>
      <errorID>fad2ef72-b7b6-493c-8297-29c834f0151e</errorID>
      <errorWord>～</errorWord>
      <group>L1_Format</group>
      <groupName>格式问题</groupName>
      <ability>L2_HalfPunc_CN</ability>
      <abilityName>全半角检查</abilityName>
      <candidateList>
        <item>~</item>
      </candidateList>
      <explain>文本全半角错误。</explain>
      <paraID>5C29F404</paraID>
      <start>2</start>
      <end>3</end>
      <status>unmodified</status>
      <modifiedWord/>
      <trackRevisions>false</trackRevisions>
    </reviewItem>
    <reviewItem>
      <errorID>98bb3a11-a705-4d0b-88fa-b4d6065ef06d</errorID>
      <errorWord>～</errorWord>
      <group>L1_Format</group>
      <groupName>格式问题</groupName>
      <ability>L2_HalfPunc_CN</ability>
      <abilityName>全半角检查</abilityName>
      <candidateList>
        <item>~</item>
      </candidateList>
      <explain>文本全半角错误。</explain>
      <paraID>50833749</paraID>
      <start>4</start>
      <end>5</end>
      <status>unmodified</status>
      <modifiedWord/>
      <trackRevisions>false</trackRevisions>
    </reviewItem>
    <reviewItem>
      <errorID>68516c43-5deb-4800-95d7-24e695d55e43</errorID>
      <errorWord>～</errorWord>
      <group>L1_Format</group>
      <groupName>格式问题</groupName>
      <ability>L2_HalfPunc_CN</ability>
      <abilityName>全半角检查</abilityName>
      <candidateList>
        <item>~</item>
      </candidateList>
      <explain>文本全半角错误。</explain>
      <paraID>54ECD2B2</paraID>
      <start>4</start>
      <end>5</end>
      <status>unmodified</status>
      <modifiedWord/>
      <trackRevisions>false</trackRevisions>
    </reviewItem>
    <reviewItem>
      <errorID>da5ed321-667c-44af-8def-f36e07a92853</errorID>
      <errorWord>～</errorWord>
      <group>L1_Format</group>
      <groupName>格式问题</groupName>
      <ability>L2_HalfPunc_CN</ability>
      <abilityName>全半角检查</abilityName>
      <candidateList>
        <item>~</item>
      </candidateList>
      <explain>文本全半角错误。</explain>
      <paraID>2CFBCF59</paraID>
      <start>5</start>
      <end>6</end>
      <status>unmodified</status>
      <modifiedWord/>
      <trackRevisions>false</trackRevisions>
    </reviewItem>
    <reviewItem>
      <errorID>6dde7598-80ff-4a5a-b78d-9ac947cb540b</errorID>
      <errorWord>～</errorWord>
      <group>L1_Format</group>
      <groupName>格式问题</groupName>
      <ability>L2_HalfPunc_CN</ability>
      <abilityName>全半角检查</abilityName>
      <candidateList>
        <item>~</item>
      </candidateList>
      <explain>文本全半角错误。</explain>
      <paraID>534E4340</paraID>
      <start>5</start>
      <end>6</end>
      <status>unmodified</status>
      <modifiedWord/>
      <trackRevisions>false</trackRevisions>
    </reviewItem>
    <reviewItem>
      <errorID>d85534ca-b312-491a-bda8-4ba4c45a9625</errorID>
      <errorWord>～</errorWord>
      <group>L1_Format</group>
      <groupName>格式问题</groupName>
      <ability>L2_HalfPunc_CN</ability>
      <abilityName>全半角检查</abilityName>
      <candidateList>
        <item>~</item>
      </candidateList>
      <explain>文本全半角错误。</explain>
      <paraID>7C76D7BF</paraID>
      <start>5</start>
      <end>6</end>
      <status>unmodified</status>
      <modifiedWord/>
      <trackRevisions>false</trackRevisions>
    </reviewItem>
    <reviewItem>
      <errorID>49cf93a9-d716-472f-92ec-7bdf73c80409</errorID>
      <errorWord>～</errorWord>
      <group>L1_Format</group>
      <groupName>格式问题</groupName>
      <ability>L2_HalfPunc_CN</ability>
      <abilityName>全半角检查</abilityName>
      <candidateList>
        <item>~</item>
      </candidateList>
      <explain>文本全半角错误。</explain>
      <paraID>34D3446A</paraID>
      <start>5</start>
      <end>6</end>
      <status>unmodified</status>
      <modifiedWord/>
      <trackRevisions>false</trackRevisions>
    </reviewItem>
    <reviewItem>
      <errorID>cda42956-7324-42ed-8326-20fbf26fee2f</errorID>
      <errorWord>～</errorWord>
      <group>L1_Format</group>
      <groupName>格式问题</groupName>
      <ability>L2_HalfPunc_CN</ability>
      <abilityName>全半角检查</abilityName>
      <candidateList>
        <item>~</item>
      </candidateList>
      <explain>文本全半角错误。</explain>
      <paraID>27F47897</paraID>
      <start>6</start>
      <end>7</end>
      <status>unmodified</status>
      <modifiedWord/>
      <trackRevisions>false</trackRevisions>
    </reviewItem>
    <reviewItem>
      <errorID>87cdfea6-3d23-4fd5-94c5-d6ce4e7ff9d5</errorID>
      <errorWord>～</errorWord>
      <group>L1_Format</group>
      <groupName>格式问题</groupName>
      <ability>L2_HalfPunc_CN</ability>
      <abilityName>全半角检查</abilityName>
      <candidateList>
        <item>~</item>
      </candidateList>
      <explain>文本全半角错误。</explain>
      <paraID>7A637A98</paraID>
      <start>6</start>
      <end>7</end>
      <status>unmodified</status>
      <modifiedWord/>
      <trackRevisions>false</trackRevisions>
    </reviewItem>
    <reviewItem>
      <errorID>f8ea80f3-047a-4f04-a2e4-6877b8087c2c</errorID>
      <errorWord>～</errorWord>
      <group>L1_Format</group>
      <groupName>格式问题</groupName>
      <ability>L2_HalfPunc_CN</ability>
      <abilityName>全半角检查</abilityName>
      <candidateList>
        <item>~</item>
      </candidateList>
      <explain>文本全半角错误。</explain>
      <paraID>55630603</paraID>
      <start>6</start>
      <end>7</end>
      <status>unmodified</status>
      <modifiedWord/>
      <trackRevisions>false</trackRevisions>
    </reviewItem>
    <reviewItem>
      <errorID>92af34ee-5816-4566-85bb-06c4b98d5199</errorID>
      <errorWord>～</errorWord>
      <group>L1_Format</group>
      <groupName>格式问题</groupName>
      <ability>L2_HalfPunc_CN</ability>
      <abilityName>全半角检查</abilityName>
      <candidateList>
        <item>~</item>
      </candidateList>
      <explain>文本全半角错误。</explain>
      <paraID>52EA9767</paraID>
      <start>6</start>
      <end>7</end>
      <status>unmodified</status>
      <modifiedWord/>
      <trackRevisions>false</trackRevisions>
    </reviewItem>
    <reviewItem>
      <errorID>dd42b0b5-c96e-43a1-94ca-8e0cb5432225</errorID>
      <errorWord>～</errorWord>
      <group>L1_Format</group>
      <groupName>格式问题</groupName>
      <ability>L2_HalfPunc_CN</ability>
      <abilityName>全半角检查</abilityName>
      <candidateList>
        <item>~</item>
      </candidateList>
      <explain>文本全半角错误。</explain>
      <paraID> 6F50076</paraID>
      <start>6</start>
      <end>7</end>
      <status>unmodified</status>
      <modifiedWord/>
      <trackRevisions>false</trackRevisions>
    </reviewItem>
    <reviewItem>
      <errorID>83a272aa-47e3-47b7-81f0-eda01d614ad7</errorID>
      <errorWord>～</errorWord>
      <group>L1_Format</group>
      <groupName>格式问题</groupName>
      <ability>L2_HalfPunc_CN</ability>
      <abilityName>全半角检查</abilityName>
      <candidateList>
        <item>~</item>
      </candidateList>
      <explain>文本全半角错误。</explain>
      <paraID>  1F72E8</paraID>
      <start>6</start>
      <end>7</end>
      <status>unmodified</status>
      <modifiedWord/>
      <trackRevisions>false</trackRevisions>
    </reviewItem>
    <reviewItem>
      <errorID>b1620cd6-5d88-49d2-ad27-2a2e257df859</errorID>
      <errorWord>～</errorWord>
      <group>L1_Format</group>
      <groupName>格式问题</groupName>
      <ability>L2_HalfPunc_CN</ability>
      <abilityName>全半角检查</abilityName>
      <candidateList>
        <item>~</item>
      </candidateList>
      <explain>文本全半角错误。</explain>
      <paraID>5187DF0F</paraID>
      <start>6</start>
      <end>7</end>
      <status>unmodified</status>
      <modifiedWord/>
      <trackRevisions>false</trackRevisions>
    </reviewItem>
    <reviewItem>
      <errorID>863caaac-19af-41cf-ab0b-e087cac2e6cb</errorID>
      <errorWord>～</errorWord>
      <group>L1_Format</group>
      <groupName>格式问题</groupName>
      <ability>L2_HalfPunc_CN</ability>
      <abilityName>全半角检查</abilityName>
      <candidateList>
        <item>~</item>
      </candidateList>
      <explain>文本全半角错误。</explain>
      <paraID>43BF70E6</paraID>
      <start>1</start>
      <end>2</end>
      <status>unmodified</status>
      <modifiedWord/>
      <trackRevisions>false</trackRevisions>
    </reviewItem>
    <reviewItem>
      <errorID>b34ed08b-6279-403f-a167-d3f0eb10b37e</errorID>
      <errorWord>～</errorWord>
      <group>L1_Format</group>
      <groupName>格式问题</groupName>
      <ability>L2_HalfPunc_CN</ability>
      <abilityName>全半角检查</abilityName>
      <candidateList>
        <item>~</item>
      </candidateList>
      <explain>文本全半角错误。</explain>
      <paraID>225B10C2</paraID>
      <start>3</start>
      <end>4</end>
      <status>unmodified</status>
      <modifiedWord/>
      <trackRevisions>false</trackRevisions>
    </reviewItem>
    <reviewItem>
      <errorID>de676916-c115-4ac1-a5a1-518913959b2e</errorID>
      <errorWord>～</errorWord>
      <group>L1_Format</group>
      <groupName>格式问题</groupName>
      <ability>L2_HalfPunc_CN</ability>
      <abilityName>全半角检查</abilityName>
      <candidateList>
        <item>~</item>
      </candidateList>
      <explain>文本全半角错误。</explain>
      <paraID>1A9E96DB</paraID>
      <start>3</start>
      <end>4</end>
      <status>unmodified</status>
      <modifiedWord/>
      <trackRevisions>false</trackRevisions>
    </reviewItem>
    <reviewItem>
      <errorID>08fabddc-dc74-4bb2-a0ab-c3f45df1bdc5</errorID>
      <errorWord>～</errorWord>
      <group>L1_Format</group>
      <groupName>格式问题</groupName>
      <ability>L2_HalfPunc_CN</ability>
      <abilityName>全半角检查</abilityName>
      <candidateList>
        <item>~</item>
      </candidateList>
      <explain>文本全半角错误。</explain>
      <paraID>63DCFB58</paraID>
      <start>1</start>
      <end>2</end>
      <status>unmodified</status>
      <modifiedWord/>
      <trackRevisions>false</trackRevisions>
    </reviewItem>
    <reviewItem>
      <errorID>301ccab8-d308-4946-a29b-482a0ee09cf0</errorID>
      <errorWord>28．</errorWord>
      <group>L1_Format</group>
      <groupName>格式问题</groupName>
      <ability>L2_Ordinal</ability>
      <abilityName>序号格式</abilityName>
      <candidateList>
        <item>28.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AF06D9B</paraID>
      <start>0</start>
      <end>3</end>
      <status>unmodified</status>
      <modifiedWord/>
      <trackRevisions>false</trackRevisions>
    </reviewItem>
    <reviewItem>
      <errorID>63c74a46-5a40-49d2-94fd-bef1a1bab6b6</errorID>
      <errorWord>2021年07月28日</errorWord>
      <group>L1_Knowledge</group>
      <groupName>知识性问题</groupName>
      <ability>L2_Time</ability>
      <abilityName>日期时间</abilityName>
      <candidateList>
        <item>2021年7月28日</item>
      </candidateList>
      <explain>根据日常书写习惯，月份一般会省略前导零。</explain>
      <paraID>1585A284</paraID>
      <start>82</start>
      <end>93</end>
      <status>unmodified</status>
      <modifiedWord/>
      <trackRevisions>false</trackRevisions>
    </reviewItem>
    <reviewItem>
      <errorID>a76c3b92-687b-4db4-9d28-87b6efcd5862</errorID>
      <errorWord>结构却</errorWord>
      <group>L1_Word</group>
      <groupName>字词问题</groupName>
      <ability>L2_Typo</ability>
      <abilityName>字词错误</abilityName>
      <candidateList>
        <item>结构</item>
      </candidateList>
      <explain>❶〈名〉各个组成部分的搭配和排列：文章的～｜语言的～｜原子～。❷〈名〉建筑物上承担重力或外力的部分的构造：砖木～｜钢筋混凝土～。❸〈动〉组织安排（文字、情节等）：根据主线来～故事。</explain>
      <paraID>7526EC96</paraID>
      <start>225</start>
      <end>228</end>
      <status>unmodified</status>
      <modifiedWord/>
      <trackRevisions>false</trackRevisions>
    </reviewItem>
    <reviewItem>
      <errorID>6817db7d-3a9e-49ed-96cd-dca5bb866768</errorID>
      <errorWord>由</errorWord>
      <group>L1_Word</group>
      <groupName>字词问题</groupName>
      <ability>L2_Typo</ability>
      <abilityName>字词错误</abilityName>
      <candidateList>
        <item>由于</item>
      </candidateList>
      <explain>❶〈介〉表示原因或理由：～老师傅的耐心教导，他很快就掌握了这门技术。❷〈连〉表示原因，多与“所以”、“因此”等配合：～他工作成绩显著，因此受到了领导的表扬。</explain>
      <paraID>6C2D9758</paraID>
      <start>320</start>
      <end>321</end>
      <status>unmodified</status>
      <modifiedWord/>
      <trackRevisions>false</trackRevisions>
    </reviewItem>
    <reviewItem>
      <errorID>00b15187-707c-4c5b-a07d-26fb476f3c7d</errorID>
      <errorWord>～</errorWord>
      <group>L1_Format</group>
      <groupName>格式问题</groupName>
      <ability>L2_HalfPunc_CN</ability>
      <abilityName>全半角检查</abilityName>
      <candidateList>
        <item>~</item>
      </candidateList>
      <explain>文本全半角错误。</explain>
      <paraID>3817847C</paraID>
      <start>1</start>
      <end>2</end>
      <status>unmodified</status>
      <modifiedWord/>
      <trackRevisions>false</trackRevisions>
    </reviewItem>
    <reviewItem>
      <errorID>9f8117f5-32b0-436e-87a6-c91e30e3790f</errorID>
      <errorWord>海拔高度</errorWord>
      <group>L1_Word</group>
      <groupName>字词问题</groupName>
      <ability>L2_Typo</ability>
      <abilityName>字词错误</abilityName>
      <candidateList>
        <item>海拔</item>
      </candidateList>
      <explain>〈名〉从平均海平面起算的高度。</explain>
      <paraID>7B65E91E</paraID>
      <start>0</start>
      <end>4</end>
      <status>unmodified</status>
      <modifiedWord/>
      <trackRevisions>false</trackRevisions>
    </reviewItem>
    <reviewItem>
      <errorID>53494300-bf80-40ef-a796-45b6df0c7c36</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32F99F07</paraID>
      <start>0</start>
      <end>2</end>
      <status>unmodified</status>
      <modifiedWord/>
      <trackRevisions>false</trackRevisions>
    </reviewItem>
    <reviewItem>
      <errorID>24537a7c-4f90-4554-8107-d34dc191f57f</errorID>
      <errorWord>采取基础减震</errorWord>
      <group>L1_Word</group>
      <groupName>字词问题</groupName>
      <ability>L2_Typo</ability>
      <abilityName>字词错误</abilityName>
      <candidateList>
        <item>采取基础减振</item>
      </candidateList>
      <explain/>
      <paraID>4844BE10</paraID>
      <start>44</start>
      <end>50</end>
      <status>modified</status>
      <modifiedWord>采取基础减振</modifiedWord>
      <trackRevisions>false</trackRevisions>
    </reviewItem>
    <reviewItem>
      <errorID>ffc02298-d891-4ab6-9c34-8b7c0310f74c</errorID>
      <errorWord>～</errorWord>
      <group>L1_Format</group>
      <groupName>格式问题</groupName>
      <ability>L2_HalfPunc_CN</ability>
      <abilityName>全半角检查</abilityName>
      <candidateList>
        <item>~</item>
      </candidateList>
      <explain>文本全半角错误。</explain>
      <paraID>670B17F3</paraID>
      <start>1</start>
      <end>2</end>
      <status>unmodified</status>
      <modifiedWord/>
      <trackRevisions>false</trackRevisions>
    </reviewItem>
    <reviewItem>
      <errorID>eb9bef0e-f10d-47bd-ad88-0aeb166fca6f</errorID>
      <errorWord>～</errorWord>
      <group>L1_Format</group>
      <groupName>格式问题</groupName>
      <ability>L2_HalfPunc_CN</ability>
      <abilityName>全半角检查</abilityName>
      <candidateList>
        <item>~</item>
      </candidateList>
      <explain>文本全半角错误。</explain>
      <paraID>2FA2C33C</paraID>
      <start>3</start>
      <end>4</end>
      <status>unmodified</status>
      <modifiedWord/>
      <trackRevisions>false</trackRevisions>
    </reviewItem>
    <reviewItem>
      <errorID>46682e38-3e78-46b4-a756-b42233ef7ed4</errorID>
      <errorWord>～</errorWord>
      <group>L1_Format</group>
      <groupName>格式问题</groupName>
      <ability>L2_HalfPunc_CN</ability>
      <abilityName>全半角检查</abilityName>
      <candidateList>
        <item>~</item>
      </candidateList>
      <explain>文本全半角错误。</explain>
      <paraID>1228953D</paraID>
      <start>3</start>
      <end>4</end>
      <status>unmodified</status>
      <modifiedWord/>
      <trackRevisions>false</trackRevisions>
    </reviewItem>
    <reviewItem>
      <errorID>99d3a596-07f3-46ac-998e-dd35b524c9be</errorID>
      <errorWord>做出</errorWord>
      <group>L1_Word</group>
      <groupName>字词问题</groupName>
      <ability>L2_Typo</ability>
      <abilityName>字词错误</abilityName>
      <candidateList>
        <item>作出</item>
      </candidateList>
      <explain/>
      <paraID>5D7FB482</paraID>
      <start>40</start>
      <end>42</end>
      <status>modified</status>
      <modifiedWord>作出</modifiedWord>
      <trackRevisions>false</trackRevisions>
    </reviewItem>
    <reviewItem>
      <errorID>83ad4d9b-93f3-4600-9a7d-d3b7a778f291</errorID>
      <errorWord>期</errorWord>
      <group>L1_Word</group>
      <groupName>字词问题</groupName>
      <ability>L2_Typo</ability>
      <abilityName>字词错误</abilityName>
      <candidateList>
        <item>期间</item>
      </candidateList>
      <explain>〈名〉某个时期里面：农忙～｜春节～｜抗战～。</explain>
      <paraID>12362318</paraID>
      <start>72</start>
      <end>73</end>
      <status>unmodified</status>
      <modifiedWord/>
      <trackRevisions>false</trackRevisions>
    </reviewItem>
    <reviewItem>
      <errorID>eb9e9039-801e-4b92-9878-ae7509495cfc</errorID>
      <errorWord>较</errorWord>
      <group>L1_Word</group>
      <groupName>字词问题</groupName>
      <ability>L2_Typo</ability>
      <abilityName>字词错误</abilityName>
      <candidateList>
        <item>较为</item>
      </candidateList>
      <explain/>
      <paraID>3F77A61E</paraID>
      <start>129</start>
      <end>131</end>
      <status>modified</status>
      <modifiedWord>较为</modifiedWord>
      <trackRevisions>false</trackRevisions>
    </reviewItem>
    <reviewItem>
      <errorID>814e0547-4e3d-4b6c-8463-f6dd82c14595</errorID>
      <errorWord>途径</errorWord>
      <group>L1_Word</group>
      <groupName>字词问题</groupName>
      <ability>L2_Typo</ability>
      <abilityName>字词错误</abilityName>
      <candidateList>
        <item>途经</item>
      </candidateList>
      <explain>存在发音相同字词的误用。</explain>
      <paraID>3E37A7CB</paraID>
      <start>0</start>
      <end>2</end>
      <status>unmodified</status>
      <modifiedWord/>
      <trackRevisions>false</trackRevisions>
    </reviewItem>
    <reviewItem>
      <errorID>e6448154-7ee8-4608-9960-ffa01e365126</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218B2DA9</paraID>
      <start>51</start>
      <end>54</end>
      <status>unmodified</status>
      <modifiedWord/>
      <trackRevisions>false</trackRevisions>
    </reviewItem>
    <reviewItem>
      <errorID>ea909e19-0ab7-45a6-965b-dce072f222e2</errorID>
      <errorWord>是</errorWord>
      <group>L1_Word</group>
      <groupName>字词问题</groupName>
      <ability>L2_Typo</ability>
      <abilityName>字词错误</abilityName>
      <candidateList>
        <item>时</item>
      </candidateList>
      <explain>（時）shí❶〈名〉指比较长的一段时间：古～｜宋～｜盛极一～。❷〈名〉规定的时候：按～｜准～｜八点出发，过～不候。❸季节：四～｜农～｜应～。❹当前；现在：～下｜～新｜～事。❺时俗；时尚：入～｜合～。❻时辰：卯～｜辰～。❼〈量〉计时的单位，小时（点）：上午八～。❽时机：失～｜待～而动。❾〈副〉时常：～～｜～有出现。</explain>
      <paraID>4C39E636</paraID>
      <start>156</start>
      <end>157</end>
      <status>modified</status>
      <modifiedWord>时</modifiedWord>
      <trackRevisions>false</trackRevisions>
    </reviewItem>
    <reviewItem>
      <errorID>ba99e3b2-eb59-4080-8e90-603234ecb4bf</errorID>
      <errorWord>窜</errorWord>
      <group>L1_Word</group>
      <groupName>字词问题</groupName>
      <ability>L2_Typo</ability>
      <abilityName>字词错误</abilityName>
      <candidateList>
        <item>蹿</item>
      </candidateList>
      <explain>存在发音相同字词的误用。</explain>
      <paraID>4C39E636</paraID>
      <start>163</start>
      <end>164</end>
      <status>unmodified</status>
      <modifiedWord/>
      <trackRevisions>false</trackRevisions>
    </reviewItem>
    <reviewItem>
      <errorID>1542ae81-5353-4239-ac55-c888f8ee877b</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E08EDEC</paraID>
      <start>374</start>
      <end>375</end>
      <status>unmodified</status>
      <modifiedWord/>
      <trackRevisions>false</trackRevisions>
    </reviewItem>
    <reviewItem>
      <errorID>d5f72c50-a417-4884-8846-acafe2a433fc</errorID>
      <errorWord>据类比资料显示</errorWord>
      <group>L1_Grammar</group>
      <groupName>语法问题</groupName>
      <ability>L2_Grammar</ability>
      <abilityName>语法错误</abilityName>
      <candidateList>
        <item>据类比资料</item>
      </candidateList>
      <explain>该表达中的“据类比资料显示”存在语义重复。</explain>
      <paraID>4058E4CB</paraID>
      <start>27</start>
      <end>32</end>
      <status>modified</status>
      <modifiedWord>据类比资料</modifiedWord>
      <trackRevisions>false</trackRevisions>
    </reviewItem>
    <reviewItem>
      <errorID>d47ac8cf-2133-4482-b2c9-dae6b6f3c18c</errorID>
      <errorWord>降低</errorWord>
      <group>L1_Grammar</group>
      <groupName>语法问题</groupName>
      <ability>L2_Grammar</ability>
      <abilityName>语法错误</abilityName>
      <candidateList>
        <item>防止</item>
      </candidateList>
      <explain>“降低～发生”搭配不当，建议修改为“防止～发生”。</explain>
      <paraID>1F30D2AB</paraID>
      <start>281</start>
      <end>283</end>
      <status>unmodified</status>
      <modifiedWord/>
      <trackRevisions>false</trackRevisions>
    </reviewItem>
    <reviewItem>
      <errorID>0a59f45f-67b2-4074-afb2-b22a9f2e00e7</errorID>
      <errorWord>据类比资料显示</errorWord>
      <group>L1_Grammar</group>
      <groupName>语法问题</groupName>
      <ability>L2_Grammar</ability>
      <abilityName>语法错误</abilityName>
      <candidateList>
        <item>据类比资料</item>
      </candidateList>
      <explain>该表达中的“据类比资料显示”存在语义重复。</explain>
      <paraID>5C7744EB</paraID>
      <start>27</start>
      <end>32</end>
      <status>modified</status>
      <modifiedWord>据类比资料</modifiedWord>
      <trackRevisions>false</trackRevisions>
    </reviewItem>
    <reviewItem>
      <errorID>b085c0db-96c7-4c75-9ec1-00a3551fe1c7</errorID>
      <errorWord>降低</errorWord>
      <group>L1_Grammar</group>
      <groupName>语法问题</groupName>
      <ability>L2_Grammar</ability>
      <abilityName>语法错误</abilityName>
      <candidateList>
        <item>防止</item>
      </candidateList>
      <explain>“降低～发生”搭配不当，建议修改为“防止～发生”。</explain>
      <paraID> 6F6840F</paraID>
      <start>324</start>
      <end>326</end>
      <status>unmodified</status>
      <modifiedWord/>
      <trackRevisions>false</trackRevisions>
    </reviewItem>
    <reviewItem>
      <errorID>afbd9426-2aab-4f57-a6e5-6d6c2a4adaa5</errorID>
      <errorWord>粘重</errorWord>
      <group>L1_Word</group>
      <groupName>字词问题</groupName>
      <ability>L2_Alias</ability>
      <abilityName>也作/曾用词</abilityName>
      <candidateList>
        <item>黏重</item>
      </candidateList>
      <explain>词汇[粘重]为不规范表述或旧称，其规范书面表述为[黏重]。</explain>
      <paraID>32D35D50</paraID>
      <start>196</start>
      <end>198</end>
      <status>unmodified</status>
      <modifiedWord/>
      <trackRevisions>false</trackRevisions>
    </reviewItem>
    <reviewItem>
      <errorID>8e5eeafc-a2eb-4bbb-959e-bf229c4661fd</errorID>
      <errorWord>粘附</errorWord>
      <group>L1_Word</group>
      <groupName>字词问题</groupName>
      <ability>L2_Alias</ability>
      <abilityName>也作/曾用词</abilityName>
      <candidateList>
        <item>黏附</item>
      </candidateList>
      <explain>词汇[粘附]为不规范表述或旧称，其规范书面表述为[黏附]。</explain>
      <paraID>79E98ED6</paraID>
      <start>27</start>
      <end>29</end>
      <status>unmodified</status>
      <modifiedWord/>
      <trackRevisions>false</trackRevisions>
    </reviewItem>
    <reviewItem>
      <errorID>bf593a51-14fa-4980-aa31-0bd36fdd23b4</errorID>
      <errorWord>振漏</errorWord>
      <group>L1_Word</group>
      <groupName>字词问题</groupName>
      <ability>L2_Typo</ability>
      <abilityName>字词错误</abilityName>
      <candidateList>
        <item>渗漏</item>
      </candidateList>
      <explain>存在发音相近字词的误用。</explain>
      <paraID>423AF42E</paraID>
      <start>76</start>
      <end>78</end>
      <status>unmodified</status>
      <modifiedWord/>
      <trackRevisions>false</trackRevisions>
    </reviewItem>
    <reviewItem>
      <errorID>78623439-4eaf-4ae9-baa1-00342937b2a0</errorID>
      <errorWord>期</errorWord>
      <group>L1_Word</group>
      <groupName>字词问题</groupName>
      <ability>L2_Typo</ability>
      <abilityName>字词错误</abilityName>
      <candidateList>
        <item>期间</item>
      </candidateList>
      <explain>〈名〉某个时期里面：农忙～｜春节～｜抗战～。</explain>
      <paraID>4C82714E</paraID>
      <start>105</start>
      <end>106</end>
      <status>unmodified</status>
      <modifiedWord/>
      <trackRevisions>false</trackRevisions>
    </reviewItem>
    <reviewItem>
      <errorID>df525213-ba1e-4f7e-a5bd-4376c7852d79</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737BFB5B</paraID>
      <start>140</start>
      <end>141</end>
      <status>unmodified</status>
      <modifiedWord/>
      <trackRevisions>false</trackRevisions>
    </reviewItem>
    <reviewItem>
      <errorID>5e1605c6-5103-4fee-9fe2-87973fbd97cb</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737BFB5B</paraID>
      <start>203</start>
      <end>204</end>
      <status>unmodified</status>
      <modifiedWord/>
      <trackRevisions>false</trackRevisions>
    </reviewItem>
    <reviewItem>
      <errorID>989225f7-b8bc-4da9-b300-f7bed103602e</errorID>
      <errorWord>，</errorWord>
      <group>L1_Word</group>
      <groupName>字词问题</groupName>
      <ability>L2_Typo</ability>
      <abilityName>字词错误</abilityName>
      <candidateList>
        <item>，由</item>
      </candidateList>
      <explain/>
      <paraID>112C8FE8</paraID>
      <start>111</start>
      <end>113</end>
      <status>modified</status>
      <modifiedWord>，由</modifiedWord>
      <trackRevisions>false</trackRevisions>
    </reviewItem>
    <reviewItem>
      <errorID>fbcc3122-d147-4a76-b86a-9aabde85f33c</errorID>
      <errorWord>抛洒</errorWord>
      <group>L1_Word</group>
      <groupName>字词问题</groupName>
      <ability>L2_Typo</ability>
      <abilityName>字词错误</abilityName>
      <candidateList>
        <item>抛撒</item>
      </candidateList>
      <explain>存在发音相同字词的误用。</explain>
      <paraID>61091F2B</paraID>
      <start>16</start>
      <end>18</end>
      <status>unmodified</status>
      <modifiedWord/>
      <trackRevisions>false</trackRevisions>
    </reviewItem>
    <reviewItem>
      <errorID>7c350fce-29d6-4ae9-a635-82a291c0d6a2</errorID>
      <errorWord>道路及</errorWord>
      <group>L1_Word</group>
      <groupName>字词问题</groupName>
      <ability>L2_Typo</ability>
      <abilityName>字词错误</abilityName>
      <candidateList>
        <item>道路</item>
      </candidateList>
      <explain/>
      <paraID>767F7FF8</paraID>
      <start>34</start>
      <end>36</end>
      <status>modified</status>
      <modifiedWord>道路</modifiedWord>
      <trackRevisions>false</trackRevisions>
    </reviewItem>
    <reviewItem>
      <errorID>659f9ea2-cd4e-4664-aa54-209052d159ae</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7BCAF0CA</paraID>
      <start>180</start>
      <end>181</end>
      <status>unmodified</status>
      <modifiedWord/>
      <trackRevisions>false</trackRevisions>
    </reviewItem>
    <reviewItem>
      <errorID>d9ea7782-d9bc-4bd9-aa5a-b748e8e8f74c</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7BCAF0CA</paraID>
      <start>225</start>
      <end>226</end>
      <status>unmodified</status>
      <modifiedWord/>
      <trackRevisions>false</trackRevisions>
    </reviewItem>
    <reviewItem>
      <errorID>c31d7804-b484-4427-8440-20baf11ac894</errorID>
      <errorWord>环空压力</errorWord>
      <group>L1_Word</group>
      <groupName>字词问题</groupName>
      <ability>L2_Typo</ability>
      <abilityName>字词错误</abilityName>
      <candidateList>
        <item>环孔压力</item>
      </candidateList>
      <explain>存在发音相同字词的误用。</explain>
      <paraID> D5B4E40</paraID>
      <start>28</start>
      <end>32</end>
      <status>unmodified</status>
      <modifiedWord/>
      <trackRevisions>false</trackRevisions>
    </reviewItem>
    <reviewItem>
      <errorID>4d34f4d7-29a4-42d8-a4e3-4b474550ea71</errorID>
      <errorWord>需具备</errorWord>
      <group>L1_Word</group>
      <groupName>字词问题</groupName>
      <ability>L2_Typo</ability>
      <abilityName>字词错误</abilityName>
      <candidateList>
        <item>须具备</item>
      </candidateList>
      <explain/>
      <paraID>367A636E</paraID>
      <start>7</start>
      <end>10</end>
      <status>modified</status>
      <modifiedWord>须具备</modifiedWord>
      <trackRevisions>false</trackRevisions>
    </reviewItem>
    <reviewItem>
      <errorID>5d09c348-8fa5-407f-bce6-b088034595b9</errorID>
      <errorWord>方向上</errorWord>
      <group>L1_Word</group>
      <groupName>字词问题</groupName>
      <ability>L2_Typo</ability>
      <abilityName>字词错误</abilityName>
      <candidateList>
        <item>方向</item>
      </candidateList>
      <explain/>
      <paraID>2BAFCC74</paraID>
      <start>36</start>
      <end>39</end>
      <status>unmodified</status>
      <modifiedWord/>
      <trackRevisions>false</trackRevisions>
    </reviewItem>
    <reviewItem>
      <errorID>c72b9b1e-59c1-43f3-a077-dacc1493a9bf</errorID>
      <errorWord>中等</errorWord>
      <group>L1_Word</group>
      <groupName>字词问题</groupName>
      <ability>L2_Typo</ability>
      <abilityName>字词错误</abilityName>
      <candidateList>
        <item>中</item>
      </candidateList>
      <explain>〈动〉❶正对上；恰好合上：～选｜猜～了｜三枪都打～了目标。❷受到；遭受：～毒｜～暑｜胳膊上～了一枪。</explain>
      <paraID> 45D0AAD</paraID>
      <start>50</start>
      <end>52</end>
      <status>unmodified</status>
      <modifiedWord/>
      <trackRevisions>false</trackRevisions>
    </reviewItem>
    <reviewItem>
      <errorID>21aebb11-5b3b-4832-90f6-fa6425324b26</errorID>
      <errorWord>超声波检查</errorWord>
      <group>L1_Knowledge</group>
      <groupName>知识性问题</groupName>
      <ability>L2_Term</ability>
      <abilityName>专业术语</abilityName>
      <candidateList>
        <item>超声检查</item>
      </candidateList>
      <explain>医学名词[超声波检查]为不规范表述或旧称，其规范书面表述为[超声检查]。</explain>
      <paraID>765F065B</paraID>
      <start>34</start>
      <end>39</end>
      <status>unmodified</status>
      <modifiedWord/>
      <trackRevisions>false</trackRevisions>
    </reviewItem>
    <reviewItem>
      <errorID>d85be801-382a-4d65-81e9-718345ce5dc4</errorID>
      <errorWord>程</errorWord>
      <group>L1_Word</group>
      <groupName>字词问题</groupName>
      <ability>L2_Typo</ability>
      <abilityName>字词错误</abilityName>
      <candidateList>
        <item>程中</item>
      </candidateList>
      <explain/>
      <paraID>7F012376</paraID>
      <start>85</start>
      <end>86</end>
      <status>unmodified</status>
      <modifiedWord/>
      <trackRevisions>false</trackRevisions>
    </reviewItem>
    <reviewItem>
      <errorID>7960318e-d2de-4a69-b898-ee6836d14e9d</errorID>
      <errorWord>超声波检查</errorWord>
      <group>L1_Knowledge</group>
      <groupName>知识性问题</groupName>
      <ability>L2_Term</ability>
      <abilityName>专业术语</abilityName>
      <candidateList>
        <item>超声检查</item>
      </candidateList>
      <explain>医学名词[超声波检查]为不规范表述或旧称，其规范书面表述为[超声检查]。</explain>
      <paraID>7E11E0BD</paraID>
      <start>38</start>
      <end>43</end>
      <status>unmodified</status>
      <modifiedWord/>
      <trackRevisions>false</trackRevisions>
    </reviewItem>
    <reviewItem>
      <errorID>dea305b1-0963-4b0d-bd9f-9638e0598655</errorID>
      <errorWord>环空压力</errorWord>
      <group>L1_Word</group>
      <groupName>字词问题</groupName>
      <ability>L2_Typo</ability>
      <abilityName>字词错误</abilityName>
      <candidateList>
        <item>环孔压力</item>
      </candidateList>
      <explain>存在发音相同字词的误用。</explain>
      <paraID>2DB1A172</paraID>
      <start>28</start>
      <end>32</end>
      <status>unmodified</status>
      <modifiedWord/>
      <trackRevisions>false</trackRevisions>
    </reviewItem>
    <reviewItem>
      <errorID>ea73031d-b65c-4c37-956f-57690d31ddd6</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156AE62F</paraID>
      <start>14</start>
      <end>15</end>
      <status>unmodified</status>
      <modifiedWord/>
      <trackRevisions>false</trackRevisions>
    </reviewItem>
    <reviewItem>
      <errorID>7120bf0d-d8d5-4a4e-a4ae-d5898f3ef232</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156AE62F</paraID>
      <start>30</start>
      <end>31</end>
      <status>unmodified</status>
      <modifiedWord/>
      <trackRevisions>false</trackRevisions>
    </reviewItem>
    <reviewItem>
      <errorID>fa836ce3-c0ed-4753-bf18-e4c165c723a2</errorID>
      <errorWord>超声波检查</errorWord>
      <group>L1_Knowledge</group>
      <groupName>知识性问题</groupName>
      <ability>L2_Term</ability>
      <abilityName>专业术语</abilityName>
      <candidateList>
        <item>超声检查</item>
      </candidateList>
      <explain>医学名词[超声波检查]为不规范表述或旧称，其规范书面表述为[超声检查]。</explain>
      <paraID>744C1276</paraID>
      <start>76</start>
      <end>81</end>
      <status>unmodified</status>
      <modifiedWord/>
      <trackRevisions>false</trackRevisions>
    </reviewItem>
    <reviewItem>
      <errorID>bc86699f-11b1-41bc-9479-8db54ec766cf</errorID>
      <errorWord>～</errorWord>
      <group>L1_Format</group>
      <groupName>格式问题</groupName>
      <ability>L2_HalfPunc_CN</ability>
      <abilityName>全半角检查</abilityName>
      <candidateList>
        <item>~</item>
      </candidateList>
      <explain>文本全半角错误。</explain>
      <paraID>35536631</paraID>
      <start>2</start>
      <end>3</end>
      <status>unmodified</status>
      <modifiedWord/>
      <trackRevisions>false</trackRevisions>
    </reviewItem>
    <reviewItem>
      <errorID>51e780a0-70df-4f39-ab66-6ae851f8a93f</errorID>
      <errorWord>.</errorWord>
      <group>L1_Format</group>
      <groupName>格式问题</groupName>
      <ability>L2_HalfPunc_CN</ability>
      <abilityName>全半角检查</abilityName>
      <candidateList>
        <item>。</item>
      </candidateList>
      <explain>文本全半角错误。</explain>
      <paraID>24BE65B6</paraID>
      <start>117</start>
      <end>118</end>
      <status>modified</status>
      <modifiedWord>。</modifiedWord>
      <trackRevisions>false</trackRevisions>
    </reviewItem>
    <reviewItem>
      <errorID>ffef8e8a-f248-4a8e-bb96-f2a1886d2ab0</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247C2F36</paraID>
      <start>82</start>
      <end>83</end>
      <status>unmodified</status>
      <modifiedWord/>
      <trackRevisions>false</trackRevisions>
    </reviewItem>
    <reviewItem>
      <errorID>7569ac75-e6e5-4540-8069-c3a731c0f49b</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247C2F36</paraID>
      <start>152</start>
      <end>153</end>
      <status>unmodified</status>
      <modifiedWord/>
      <trackRevisions>false</trackRevisions>
    </reviewItem>
    <reviewItem>
      <errorID>d2ad1cdb-1830-4bb0-b9f0-34b816045117</errorID>
      <errorWord>，交</errorWord>
      <group>L1_Word</group>
      <groupName>字词问题</groupName>
      <ability>L2_Typo</ability>
      <abilityName>字词错误</abilityName>
      <candidateList>
        <item>，</item>
      </candidateList>
      <explain/>
      <paraID> EC96A7A</paraID>
      <start>202</start>
      <end>203</end>
      <status>modified</status>
      <modifiedWord>，</modifiedWord>
      <trackRevisions>false</trackRevisions>
    </reviewItem>
    <reviewItem>
      <errorID>35d22dcf-074c-4fec-9ef2-107bfb706cf7</errorID>
      <errorWord>，交</errorWord>
      <group>L1_Word</group>
      <groupName>字词问题</groupName>
      <ability>L2_Typo</ability>
      <abilityName>字词错误</abilityName>
      <candidateList>
        <item>，</item>
      </candidateList>
      <explain/>
      <paraID>5B1DF9EF</paraID>
      <start>62</start>
      <end>63</end>
      <status>modified</status>
      <modifiedWord>，</modifiedWord>
      <trackRevisions>false</trackRevisions>
    </reviewItem>
    <reviewItem>
      <errorID>e8048b73-e5b5-40ad-b949-2e3c7c38e8d7</errorID>
      <errorWord>抛洒</errorWord>
      <group>L1_Word</group>
      <groupName>字词问题</groupName>
      <ability>L2_Typo</ability>
      <abilityName>字词错误</abilityName>
      <candidateList>
        <item>抛撒</item>
      </candidateList>
      <explain>存在发音相同字词的误用。</explain>
      <paraID>2BB1DD4A</paraID>
      <start>104</start>
      <end>106</end>
      <status>unmodified</status>
      <modifiedWord/>
      <trackRevisions>false</trackRevisions>
    </reviewItem>
    <reviewItem>
      <errorID>8d01b575-003e-42ea-a554-5566ab348936</errorID>
      <errorWord>～</errorWord>
      <group>L1_Format</group>
      <groupName>格式问题</groupName>
      <ability>L2_HalfPunc_CN</ability>
      <abilityName>全半角检查</abilityName>
      <candidateList>
        <item>~</item>
      </candidateList>
      <explain>文本全半角错误。</explain>
      <paraID>4D02A776</paraID>
      <start>3</start>
      <end>4</end>
      <status>unmodified</status>
      <modifiedWord/>
      <trackRevisions>false</trackRevisions>
    </reviewItem>
    <reviewItem>
      <errorID>3a4d6126-9f93-4816-8729-9a1b42c48962</errorID>
      <errorWord>＜</errorWord>
      <group>L1_Format</group>
      <groupName>格式问题</groupName>
      <ability>L2_HalfPunc_CN</ability>
      <abilityName>全半角检查</abilityName>
      <candidateList>
        <item>&lt;</item>
      </candidateList>
      <explain>文本全半角错误。</explain>
      <paraID>79DF4A7C</paraID>
      <start>0</start>
      <end>1</end>
      <status>unmodified</status>
      <modifiedWord/>
      <trackRevisions>false</trackRevisions>
    </reviewItem>
    <reviewItem>
      <errorID>f4ee5ee9-81be-427d-b919-a9cf80559f55</errorID>
      <errorWord>（）</errorWord>
      <group>L1_Format</group>
      <groupName>格式问题</groupName>
      <ability>L2_HalfPunc_CN</ability>
      <abilityName>全半角检查</abilityName>
      <candidateList>
        <item>()</item>
      </candidateList>
      <explain>文本全半角错误。</explain>
      <paraID>7C155A50</paraID>
      <start>0</start>
      <end>2</end>
      <status>unmodified</status>
      <modifiedWord/>
      <trackRevisions>false</trackRevisions>
    </reviewItem>
    <reviewItem>
      <errorID>8a5518a4-fcbd-4788-b39b-4343818cbf86</errorID>
      <errorWord>＞</errorWord>
      <group>L1_Format</group>
      <groupName>格式问题</groupName>
      <ability>L2_HalfPunc_CN</ability>
      <abilityName>全半角检查</abilityName>
      <candidateList>
        <item>&gt;</item>
      </candidateList>
      <explain>文本全半角错误。</explain>
      <paraID>311E4B20</paraID>
      <start>1</start>
      <end>2</end>
      <status>unmodified</status>
      <modifiedWord/>
      <trackRevisions>false</trackRevisions>
    </reviewItem>
    <reviewItem>
      <errorID>91c4d74a-fa27-4a06-bfe1-2a8d5a8a86c1</errorID>
      <errorWord>：（</errorWord>
      <group>L1_Format</group>
      <groupName>格式问题</groupName>
      <ability>L2_HalfPunc_CN</ability>
      <abilityName>全半角检查</abilityName>
      <candidateList>
        <item>:(</item>
      </candidateList>
      <explain>文本全半角错误。</explain>
      <paraID>342AC5FF</paraID>
      <start>3</start>
      <end>5</end>
      <status>unmodified</status>
      <modifiedWord/>
      <trackRevisions>false</trackRevisions>
    </reviewItem>
    <reviewItem>
      <errorID>06cc8fe6-51e7-4429-9774-8513110a8e87</errorID>
      <errorWord>）</errorWord>
      <group>L1_Format</group>
      <groupName>格式问题</groupName>
      <ability>L2_HalfPunc_CN</ability>
      <abilityName>全半角检查</abilityName>
      <candidateList>
        <item>)</item>
      </candidateList>
      <explain>文本全半角错误。</explain>
      <paraID>342AC5FF</paraID>
      <start>6</start>
      <end>7</end>
      <status>unmodified</status>
      <modifiedWord/>
      <trackRevisions>false</trackRevisions>
    </reviewItem>
    <reviewItem>
      <errorID>086ad3b4-0153-4ba0-b6cd-79b0dbc273cd</errorID>
      <errorWord>：（</errorWord>
      <group>L1_Format</group>
      <groupName>格式问题</groupName>
      <ability>L2_HalfPunc_CN</ability>
      <abilityName>全半角检查</abilityName>
      <candidateList>
        <item>:(</item>
      </candidateList>
      <explain>文本全半角错误。</explain>
      <paraID>67FAA5AB</paraID>
      <start>3</start>
      <end>5</end>
      <status>unmodified</status>
      <modifiedWord/>
      <trackRevisions>false</trackRevisions>
    </reviewItem>
    <reviewItem>
      <errorID>e06e9cae-4391-465b-ad3b-08a4929d755e</errorID>
      <errorWord>）</errorWord>
      <group>L1_Format</group>
      <groupName>格式问题</groupName>
      <ability>L2_HalfPunc_CN</ability>
      <abilityName>全半角检查</abilityName>
      <candidateList>
        <item>)</item>
      </candidateList>
      <explain>文本全半角错误。</explain>
      <paraID>67FAA5AB</paraID>
      <start>6</start>
      <end>7</end>
      <status>unmodified</status>
      <modifiedWord/>
      <trackRevisions>false</trackRevisions>
    </reviewItem>
    <reviewItem>
      <errorID>e6a3a051-7d7e-4659-ab24-cdedd5898b84</errorID>
      <errorWord>：（</errorWord>
      <group>L1_Format</group>
      <groupName>格式问题</groupName>
      <ability>L2_HalfPunc_CN</ability>
      <abilityName>全半角检查</abilityName>
      <candidateList>
        <item>:(</item>
      </candidateList>
      <explain>文本全半角错误。</explain>
      <paraID>7E419189</paraID>
      <start>4</start>
      <end>6</end>
      <status>unmodified</status>
      <modifiedWord/>
      <trackRevisions>false</trackRevisions>
    </reviewItem>
    <reviewItem>
      <errorID>78898e63-b80c-49a2-b4dc-38dc7dc126d6</errorID>
      <errorWord>）</errorWord>
      <group>L1_Format</group>
      <groupName>格式问题</groupName>
      <ability>L2_HalfPunc_CN</ability>
      <abilityName>全半角检查</abilityName>
      <candidateList>
        <item>)</item>
      </candidateList>
      <explain>文本全半角错误。</explain>
      <paraID>7E419189</paraID>
      <start>12</start>
      <end>13</end>
      <status>unmodified</status>
      <modifiedWord/>
      <trackRevisions>false</trackRevisions>
    </reviewItem>
    <reviewItem>
      <errorID>945e2f89-7ce7-4452-94fd-90f15f1d4103</errorID>
      <errorWord>：（</errorWord>
      <group>L1_Format</group>
      <groupName>格式问题</groupName>
      <ability>L2_HalfPunc_CN</ability>
      <abilityName>全半角检查</abilityName>
      <candidateList>
        <item>:(</item>
      </candidateList>
      <explain>文本全半角错误。</explain>
      <paraID>34793E57</paraID>
      <start>3</start>
      <end>5</end>
      <status>unmodified</status>
      <modifiedWord/>
      <trackRevisions>false</trackRevisions>
    </reviewItem>
    <reviewItem>
      <errorID>89db360a-e740-4af3-86b9-235f552d57b5</errorID>
      <errorWord>）</errorWord>
      <group>L1_Format</group>
      <groupName>格式问题</groupName>
      <ability>L2_HalfPunc_CN</ability>
      <abilityName>全半角检查</abilityName>
      <candidateList>
        <item>)</item>
      </candidateList>
      <explain>文本全半角错误。</explain>
      <paraID>34793E57</paraID>
      <start>11</start>
      <end>12</end>
      <status>unmodified</status>
      <modifiedWord/>
      <trackRevisions>false</trackRevisions>
    </reviewItem>
    <reviewItem>
      <errorID>4e78e096-b9c5-4b40-b181-3d1944e85706</errorID>
      <errorWord>()</errorWord>
      <group>L1_Format</group>
      <groupName>格式问题</groupName>
      <ability>L2_HalfPunc_CN</ability>
      <abilityName>全半角检查</abilityName>
      <candidateList>
        <item>（）</item>
      </candidateList>
      <explain>文本全半角错误。</explain>
      <paraID>332B4D22</paraID>
      <start>14</start>
      <end>16</end>
      <status>unmodified</status>
      <modifiedWord/>
      <trackRevisions>false</trackRevisions>
    </reviewItem>
    <reviewItem>
      <errorID>182f5ab7-c74e-43b8-9c26-e2c6abfe3ab0</errorID>
      <errorWord>；</errorWord>
      <group>L1_Format</group>
      <groupName>格式问题</groupName>
      <ability>L2_HalfPunc_CN</ability>
      <abilityName>全半角检查</abilityName>
      <candidateList>
        <item>; </item>
      </candidateList>
      <explain>文本全半角错误。</explain>
      <paraID>6FC0EC3E</paraID>
      <start>3</start>
      <end>4</end>
      <status>unmodified</status>
      <modifiedWord/>
      <trackRevisions>false</trackRevisions>
    </reviewItem>
    <reviewItem>
      <errorID>fe472061-8cd2-4177-b98d-0e133dbabc47</errorID>
      <errorWord>；</errorWord>
      <group>L1_Format</group>
      <groupName>格式问题</groupName>
      <ability>L2_HalfPunc_CN</ability>
      <abilityName>全半角检查</abilityName>
      <candidateList>
        <item>; </item>
      </candidateList>
      <explain>文本全半角错误。</explain>
      <paraID>6FC0EC3E</paraID>
      <start>7</start>
      <end>8</end>
      <status>unmodified</status>
      <modifiedWord/>
      <trackRevisions>false</trackRevisions>
    </reviewItem>
    <reviewItem>
      <errorID>047adb9a-390a-4623-8b7a-1903927f224b</errorID>
      <errorWord>；</errorWord>
      <group>L1_Format</group>
      <groupName>格式问题</groupName>
      <ability>L2_HalfPunc_CN</ability>
      <abilityName>全半角检查</abilityName>
      <candidateList>
        <item>; </item>
      </candidateList>
      <explain>文本全半角错误。</explain>
      <paraID>6FC0EC3E</paraID>
      <start>11</start>
      <end>12</end>
      <status>unmodified</status>
      <modifiedWord/>
      <trackRevisions>false</trackRevisions>
    </reviewItem>
    <reviewItem>
      <errorID>f664e234-5e9b-43a2-bfc9-f2ae90ce6ae4</errorID>
      <errorWord>超声波检查</errorWord>
      <group>L1_Knowledge</group>
      <groupName>知识性问题</groupName>
      <ability>L2_Term</ability>
      <abilityName>专业术语</abilityName>
      <candidateList>
        <item>超声检查</item>
      </candidateList>
      <explain>医学名词[超声波检查]为不规范表述或旧称，其规范书面表述为[超声检查]。</explain>
      <paraID>2178B70D</paraID>
      <start>113</start>
      <end>118</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59CD36-8200-403B-A1C2-920AB846A502}">
  <ds:schemaRefs/>
</ds:datastoreItem>
</file>

<file path=customXml/itemProps3.xml><?xml version="1.0" encoding="utf-8"?>
<ds:datastoreItem xmlns:ds="http://schemas.openxmlformats.org/officeDocument/2006/customXml" ds:itemID="{c16ddebe-725e-4e3a-bcb6-1868e1044320}">
  <ds:schemaRefs/>
</ds:datastoreItem>
</file>

<file path=docProps/app.xml><?xml version="1.0" encoding="utf-8"?>
<Properties xmlns="http://schemas.openxmlformats.org/officeDocument/2006/extended-properties" xmlns:vt="http://schemas.openxmlformats.org/officeDocument/2006/docPropsVTypes">
  <Template>Normal</Template>
  <Pages>393</Pages>
  <Words>8819</Words>
  <Characters>10207</Characters>
  <Lines>1460</Lines>
  <Paragraphs>411</Paragraphs>
  <TotalTime>23</TotalTime>
  <ScaleCrop>false</ScaleCrop>
  <LinksUpToDate>false</LinksUpToDate>
  <CharactersWithSpaces>10579</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2026-03-10T06:20:00Z</dcterms:created>
  <dc:creator>YJ</dc:creator>
  <cp:lastModifiedBy>小麦啾</cp:lastModifiedBy>
  <cp:lastPrinted>2025-02-25T03:05:00Z</cp:lastPrinted>
  <dcterms:modified xsi:type="dcterms:W3CDTF">2026-06-25T04:14:36Z</dcterms:modified>
  <cp:revision>131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KSOProductBuildVer">
    <vt:lpwstr>2052-12.1.0.26895</vt:lpwstr>
  </property>
  <property fmtid="{D5CDD505-2E9C-101B-9397-08002B2CF9AE}" pid="4" name="ICV">
    <vt:lpwstr>85710318EEA94FEFA17B89C6EC8BC872</vt:lpwstr>
  </property>
  <property fmtid="{D5CDD505-2E9C-101B-9397-08002B2CF9AE}" pid="5" name="KSOTemplateDocerSaveRecord">
    <vt:lpwstr>eyJoZGlkIjoiODM0YzQzMGFjMjUzMGYwODMwZjhmZTEzMTA0N2U0NTciLCJ1c2VySWQiOiIzMjQ5NjUzODcifQ==</vt:lpwstr>
  </property>
</Properties>
</file>