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B34E22">
      <w:pPr>
        <w:pStyle w:val="25"/>
        <w:jc w:val="center"/>
        <w:outlineLvl w:val="0"/>
        <w:rPr>
          <w:rFonts w:hint="default" w:ascii="Times New Roman" w:hAnsi="Times New Roman" w:eastAsia="黑体" w:cs="Times New Roman"/>
          <w:snapToGrid w:val="0"/>
          <w:color w:val="000000"/>
          <w:sz w:val="30"/>
          <w:szCs w:val="30"/>
        </w:rPr>
      </w:pPr>
      <w:bookmarkStart w:id="0" w:name="_Toc31516"/>
      <w:r>
        <w:rPr>
          <w:rFonts w:hint="default" w:ascii="Times New Roman" w:hAnsi="Times New Roman" w:eastAsia="黑体" w:cs="Times New Roman"/>
          <w:snapToGrid w:val="0"/>
          <w:color w:val="000000"/>
          <w:sz w:val="30"/>
          <w:szCs w:val="30"/>
        </w:rPr>
        <w:t>一、建设项目基本情况</w:t>
      </w:r>
      <w:bookmarkEnd w:id="0"/>
    </w:p>
    <w:tbl>
      <w:tblPr>
        <w:tblStyle w:val="29"/>
        <w:tblW w:w="9039"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35"/>
        <w:gridCol w:w="2415"/>
        <w:gridCol w:w="1665"/>
        <w:gridCol w:w="2824"/>
      </w:tblGrid>
      <w:tr w14:paraId="270AEB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2135" w:type="dxa"/>
            <w:noWrap w:val="0"/>
            <w:tcMar>
              <w:top w:w="16" w:type="dxa"/>
              <w:left w:w="16" w:type="dxa"/>
              <w:right w:w="16" w:type="dxa"/>
            </w:tcMar>
            <w:vAlign w:val="center"/>
          </w:tcPr>
          <w:p w14:paraId="0154D7B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建设项目名称</w:t>
            </w:r>
          </w:p>
        </w:tc>
        <w:tc>
          <w:tcPr>
            <w:tcW w:w="6904" w:type="dxa"/>
            <w:gridSpan w:val="3"/>
            <w:noWrap w:val="0"/>
            <w:vAlign w:val="center"/>
          </w:tcPr>
          <w:p w14:paraId="2EEC1685">
            <w:pPr>
              <w:pStyle w:val="25"/>
              <w:keepNext w:val="0"/>
              <w:keepLines w:val="0"/>
              <w:suppressLineNumbers w:val="0"/>
              <w:ind w:left="0" w:right="0"/>
              <w:jc w:val="center"/>
              <w:rPr>
                <w:rFonts w:hint="default" w:ascii="Times New Roman" w:hAnsi="Times New Roman" w:cs="Times New Roman"/>
                <w:color w:val="auto"/>
                <w:szCs w:val="24"/>
              </w:rPr>
            </w:pPr>
            <w:r>
              <w:rPr>
                <w:rFonts w:hint="default" w:ascii="Times New Roman" w:hAnsi="Times New Roman" w:cs="Times New Roman"/>
                <w:color w:val="auto"/>
                <w:szCs w:val="24"/>
              </w:rPr>
              <w:t>第八师石玛兵地融合陕建100万千瓦“草光互补”光伏项目</w:t>
            </w:r>
          </w:p>
        </w:tc>
      </w:tr>
      <w:tr w14:paraId="756A14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9" w:hRule="atLeast"/>
        </w:trPr>
        <w:tc>
          <w:tcPr>
            <w:tcW w:w="2135" w:type="dxa"/>
            <w:noWrap w:val="0"/>
            <w:tcMar>
              <w:top w:w="16" w:type="dxa"/>
              <w:left w:w="16" w:type="dxa"/>
              <w:right w:w="16" w:type="dxa"/>
            </w:tcMar>
            <w:vAlign w:val="center"/>
          </w:tcPr>
          <w:p w14:paraId="77B3FC0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项目代码</w:t>
            </w:r>
          </w:p>
        </w:tc>
        <w:tc>
          <w:tcPr>
            <w:tcW w:w="6904" w:type="dxa"/>
            <w:gridSpan w:val="3"/>
            <w:noWrap w:val="0"/>
            <w:vAlign w:val="center"/>
          </w:tcPr>
          <w:p w14:paraId="1DA9D60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2512-660800-04-01-395888</w:t>
            </w:r>
          </w:p>
        </w:tc>
      </w:tr>
      <w:tr w14:paraId="6DC4A7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7" w:hRule="atLeast"/>
        </w:trPr>
        <w:tc>
          <w:tcPr>
            <w:tcW w:w="2135" w:type="dxa"/>
            <w:noWrap w:val="0"/>
            <w:tcMar>
              <w:top w:w="16" w:type="dxa"/>
              <w:left w:w="16" w:type="dxa"/>
              <w:right w:w="16" w:type="dxa"/>
            </w:tcMar>
            <w:vAlign w:val="center"/>
          </w:tcPr>
          <w:p w14:paraId="6A332A7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建设单位联系人</w:t>
            </w:r>
          </w:p>
        </w:tc>
        <w:tc>
          <w:tcPr>
            <w:tcW w:w="2415" w:type="dxa"/>
            <w:noWrap w:val="0"/>
            <w:vAlign w:val="center"/>
          </w:tcPr>
          <w:p w14:paraId="1566305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lang w:eastAsia="zh-CN"/>
              </w:rPr>
            </w:pPr>
            <w:r>
              <w:rPr>
                <w:rFonts w:hint="eastAsia" w:ascii="Times New Roman" w:hAnsi="Times New Roman" w:cs="Times New Roman"/>
                <w:color w:val="auto"/>
                <w:sz w:val="24"/>
                <w:lang w:val="en-US" w:eastAsia="zh-CN"/>
              </w:rPr>
              <w:t>杨晨晨</w:t>
            </w:r>
          </w:p>
        </w:tc>
        <w:tc>
          <w:tcPr>
            <w:tcW w:w="1665" w:type="dxa"/>
            <w:noWrap w:val="0"/>
            <w:vAlign w:val="center"/>
          </w:tcPr>
          <w:p w14:paraId="5351CB5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联系方式</w:t>
            </w:r>
          </w:p>
        </w:tc>
        <w:tc>
          <w:tcPr>
            <w:tcW w:w="2824" w:type="dxa"/>
            <w:noWrap w:val="0"/>
            <w:vAlign w:val="center"/>
          </w:tcPr>
          <w:p w14:paraId="18E6D9E2">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17629250088</w:t>
            </w:r>
          </w:p>
        </w:tc>
      </w:tr>
      <w:tr w14:paraId="20F2B2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2135" w:type="dxa"/>
            <w:noWrap w:val="0"/>
            <w:tcMar>
              <w:top w:w="16" w:type="dxa"/>
              <w:left w:w="16" w:type="dxa"/>
              <w:right w:w="16" w:type="dxa"/>
            </w:tcMar>
            <w:vAlign w:val="center"/>
          </w:tcPr>
          <w:p w14:paraId="3369A9F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建设地点</w:t>
            </w:r>
          </w:p>
        </w:tc>
        <w:tc>
          <w:tcPr>
            <w:tcW w:w="6904" w:type="dxa"/>
            <w:gridSpan w:val="3"/>
            <w:noWrap w:val="0"/>
            <w:vAlign w:val="center"/>
          </w:tcPr>
          <w:p w14:paraId="7356B8D4">
            <w:pPr>
              <w:pStyle w:val="25"/>
              <w:keepNext w:val="0"/>
              <w:keepLines w:val="0"/>
              <w:suppressLineNumbers w:val="0"/>
              <w:ind w:left="0" w:right="0"/>
              <w:jc w:val="center"/>
              <w:rPr>
                <w:rFonts w:hint="default" w:ascii="Times New Roman" w:hAnsi="Times New Roman" w:eastAsia="宋体" w:cs="Times New Roman"/>
                <w:color w:val="auto"/>
                <w:szCs w:val="24"/>
                <w:lang w:val="en-US" w:eastAsia="zh-CN"/>
              </w:rPr>
            </w:pPr>
            <w:r>
              <w:rPr>
                <w:rFonts w:hint="default" w:ascii="Times New Roman" w:hAnsi="Times New Roman" w:cs="Times New Roman"/>
                <w:color w:val="auto"/>
                <w:szCs w:val="24"/>
                <w:lang w:val="en-US" w:eastAsia="zh-CN"/>
              </w:rPr>
              <w:t>新疆维吾尔自治区昌吉回族自治州玛纳斯县六户地镇北侧72km处</w:t>
            </w:r>
          </w:p>
        </w:tc>
      </w:tr>
      <w:tr w14:paraId="5D9BA1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2135" w:type="dxa"/>
            <w:noWrap w:val="0"/>
            <w:tcMar>
              <w:top w:w="16" w:type="dxa"/>
              <w:left w:w="16" w:type="dxa"/>
              <w:right w:w="16" w:type="dxa"/>
            </w:tcMar>
            <w:vAlign w:val="center"/>
          </w:tcPr>
          <w:p w14:paraId="296B3D0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地理坐标</w:t>
            </w:r>
          </w:p>
        </w:tc>
        <w:tc>
          <w:tcPr>
            <w:tcW w:w="6904" w:type="dxa"/>
            <w:gridSpan w:val="3"/>
            <w:noWrap w:val="0"/>
            <w:vAlign w:val="center"/>
          </w:tcPr>
          <w:p w14:paraId="5BE465AD">
            <w:pPr>
              <w:keepNext w:val="0"/>
              <w:keepLines w:val="0"/>
              <w:suppressLineNumbers w:val="0"/>
              <w:spacing w:before="0" w:beforeAutospacing="0" w:after="0" w:afterAutospacing="0"/>
              <w:ind w:left="0" w:right="0"/>
              <w:jc w:val="center"/>
              <w:rPr>
                <w:rFonts w:hint="default" w:ascii="Times New Roman" w:hAnsi="Times New Roman" w:eastAsia="黑体" w:cs="Times New Roman"/>
                <w:color w:val="auto"/>
              </w:rPr>
            </w:pPr>
            <w:r>
              <w:rPr>
                <w:rFonts w:hint="default" w:ascii="Times New Roman" w:hAnsi="Times New Roman" w:eastAsia="宋体" w:cs="Times New Roman"/>
                <w:color w:val="auto"/>
                <w:sz w:val="24"/>
              </w:rPr>
              <w:t>中心坐标：东经86°</w:t>
            </w:r>
            <w:r>
              <w:rPr>
                <w:rFonts w:hint="eastAsia" w:ascii="Times New Roman" w:hAnsi="Times New Roman" w:eastAsia="宋体" w:cs="Times New Roman"/>
                <w:color w:val="auto"/>
                <w:sz w:val="24"/>
                <w:lang w:val="en-US" w:eastAsia="zh-CN"/>
              </w:rPr>
              <w:t>14</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47.412</w:t>
            </w:r>
            <w:r>
              <w:rPr>
                <w:rFonts w:hint="default" w:ascii="Times New Roman" w:hAnsi="Times New Roman" w:eastAsia="宋体" w:cs="Times New Roman"/>
                <w:color w:val="auto"/>
                <w:sz w:val="24"/>
              </w:rPr>
              <w:t>″，北纬4</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°1</w:t>
            </w:r>
            <w:r>
              <w:rPr>
                <w:rFonts w:hint="eastAsia"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47.616</w:t>
            </w:r>
            <w:r>
              <w:rPr>
                <w:rFonts w:hint="default" w:ascii="Times New Roman" w:hAnsi="Times New Roman" w:eastAsia="宋体" w:cs="Times New Roman"/>
                <w:color w:val="auto"/>
                <w:sz w:val="24"/>
              </w:rPr>
              <w:t>″</w:t>
            </w:r>
          </w:p>
        </w:tc>
      </w:tr>
      <w:tr w14:paraId="10833F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2135" w:type="dxa"/>
            <w:noWrap w:val="0"/>
            <w:tcMar>
              <w:top w:w="16" w:type="dxa"/>
              <w:left w:w="16" w:type="dxa"/>
              <w:right w:w="16" w:type="dxa"/>
            </w:tcMar>
            <w:vAlign w:val="center"/>
          </w:tcPr>
          <w:p w14:paraId="35F3C6E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w:t>
            </w:r>
          </w:p>
          <w:p w14:paraId="6CD0D62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行业类别</w:t>
            </w:r>
          </w:p>
        </w:tc>
        <w:tc>
          <w:tcPr>
            <w:tcW w:w="2415" w:type="dxa"/>
            <w:noWrap w:val="0"/>
            <w:vAlign w:val="center"/>
          </w:tcPr>
          <w:p w14:paraId="2F113D6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eastAsia="zh-CN"/>
              </w:rPr>
            </w:pPr>
            <w:r>
              <w:rPr>
                <w:rFonts w:hint="default" w:ascii="Times New Roman" w:hAnsi="Times New Roman" w:cs="Times New Roman"/>
                <w:color w:val="auto"/>
                <w:sz w:val="24"/>
              </w:rPr>
              <w:t>四十一、电力、热力生产和供应业</w:t>
            </w: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rPr>
              <w:t>90</w:t>
            </w:r>
            <w:r>
              <w:rPr>
                <w:rFonts w:hint="default" w:ascii="Times New Roman" w:hAnsi="Times New Roman" w:cs="Times New Roman"/>
                <w:color w:val="auto"/>
                <w:sz w:val="24"/>
                <w:lang w:val="en-US" w:eastAsia="zh-CN"/>
              </w:rPr>
              <w:t>太阳能</w:t>
            </w:r>
            <w:r>
              <w:rPr>
                <w:rFonts w:hint="default" w:ascii="Times New Roman" w:hAnsi="Times New Roman" w:cs="Times New Roman"/>
                <w:color w:val="auto"/>
                <w:sz w:val="24"/>
              </w:rPr>
              <w:t>发电441</w:t>
            </w:r>
            <w:r>
              <w:rPr>
                <w:rFonts w:hint="default" w:ascii="Times New Roman" w:hAnsi="Times New Roman" w:cs="Times New Roman"/>
                <w:color w:val="auto"/>
                <w:sz w:val="24"/>
                <w:lang w:val="en-US" w:eastAsia="zh-CN"/>
              </w:rPr>
              <w:t>6</w:t>
            </w:r>
          </w:p>
        </w:tc>
        <w:tc>
          <w:tcPr>
            <w:tcW w:w="1665" w:type="dxa"/>
            <w:noWrap w:val="0"/>
            <w:vAlign w:val="center"/>
          </w:tcPr>
          <w:p w14:paraId="726091E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用地面积</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eastAsia" w:ascii="Times New Roman" w:hAnsi="Times New Roman" w:cs="Times New Roman"/>
                <w:color w:val="auto"/>
                <w:sz w:val="24"/>
                <w:vertAlign w:val="superscript"/>
                <w:lang w:eastAsia="zh-CN"/>
              </w:rPr>
              <w:t>）</w:t>
            </w:r>
            <w:r>
              <w:rPr>
                <w:rFonts w:hint="default" w:ascii="Times New Roman" w:hAnsi="Times New Roman" w:cs="Times New Roman"/>
                <w:color w:val="auto"/>
                <w:sz w:val="24"/>
              </w:rPr>
              <w:t>/长度</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km</w:t>
            </w:r>
            <w:r>
              <w:rPr>
                <w:rFonts w:hint="eastAsia" w:ascii="Times New Roman" w:hAnsi="Times New Roman" w:cs="Times New Roman"/>
                <w:color w:val="auto"/>
                <w:sz w:val="24"/>
                <w:lang w:eastAsia="zh-CN"/>
              </w:rPr>
              <w:t>）</w:t>
            </w:r>
          </w:p>
        </w:tc>
        <w:tc>
          <w:tcPr>
            <w:tcW w:w="2824" w:type="dxa"/>
            <w:noWrap w:val="0"/>
            <w:vAlign w:val="center"/>
          </w:tcPr>
          <w:p w14:paraId="73DB7F8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sz w:val="24"/>
                <w:lang w:val="en-US" w:eastAsia="zh-CN"/>
              </w:rPr>
              <w:t>13890848.67</w:t>
            </w:r>
          </w:p>
        </w:tc>
      </w:tr>
      <w:tr w14:paraId="434AA1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2135" w:type="dxa"/>
            <w:noWrap w:val="0"/>
            <w:tcMar>
              <w:top w:w="16" w:type="dxa"/>
              <w:left w:w="16" w:type="dxa"/>
              <w:right w:w="16" w:type="dxa"/>
            </w:tcMar>
            <w:vAlign w:val="center"/>
          </w:tcPr>
          <w:p w14:paraId="1CA6B80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建设性质</w:t>
            </w:r>
          </w:p>
        </w:tc>
        <w:tc>
          <w:tcPr>
            <w:tcW w:w="2415" w:type="dxa"/>
            <w:noWrap w:val="0"/>
            <w:vAlign w:val="center"/>
          </w:tcPr>
          <w:p w14:paraId="323BBA66">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新建</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迁建</w:t>
            </w:r>
            <w:r>
              <w:rPr>
                <w:rFonts w:hint="eastAsia" w:ascii="Times New Roman" w:hAnsi="Times New Roman" w:cs="Times New Roman"/>
                <w:color w:val="auto"/>
                <w:sz w:val="24"/>
                <w:lang w:eastAsia="zh-CN"/>
              </w:rPr>
              <w:t>）</w:t>
            </w:r>
          </w:p>
          <w:p w14:paraId="3C95C4B5">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□改建</w:t>
            </w:r>
          </w:p>
          <w:p w14:paraId="1C092CD4">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□扩建</w:t>
            </w:r>
          </w:p>
          <w:p w14:paraId="1E65EC5B">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□技术改造</w:t>
            </w:r>
          </w:p>
        </w:tc>
        <w:tc>
          <w:tcPr>
            <w:tcW w:w="1665" w:type="dxa"/>
            <w:noWrap w:val="0"/>
            <w:vAlign w:val="center"/>
          </w:tcPr>
          <w:p w14:paraId="5FE4AD1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w:t>
            </w:r>
          </w:p>
          <w:p w14:paraId="5110BE0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申报情形</w:t>
            </w:r>
          </w:p>
        </w:tc>
        <w:tc>
          <w:tcPr>
            <w:tcW w:w="2824" w:type="dxa"/>
            <w:noWrap w:val="0"/>
            <w:vAlign w:val="center"/>
          </w:tcPr>
          <w:p w14:paraId="7EEF8181">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首次申报项目</w:t>
            </w:r>
          </w:p>
          <w:p w14:paraId="3860195D">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□不予批准后再次申报项目</w:t>
            </w:r>
          </w:p>
          <w:p w14:paraId="464FE387">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 w:val="24"/>
              </w:rPr>
            </w:pPr>
            <w:r>
              <w:rPr>
                <w:rFonts w:hint="default" w:ascii="Times New Roman" w:hAnsi="Times New Roman" w:cs="Times New Roman"/>
                <w:color w:val="auto"/>
                <w:sz w:val="24"/>
              </w:rPr>
              <w:t>□超五年重新审核项目</w:t>
            </w:r>
          </w:p>
          <w:p w14:paraId="6C0ACA6F">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 w:val="24"/>
              </w:rPr>
            </w:pPr>
            <w:r>
              <w:rPr>
                <w:rFonts w:hint="default" w:ascii="Times New Roman" w:hAnsi="Times New Roman" w:cs="Times New Roman"/>
                <w:color w:val="auto"/>
                <w:sz w:val="24"/>
              </w:rPr>
              <w:t>□重大变动重新报批项目</w:t>
            </w:r>
          </w:p>
        </w:tc>
      </w:tr>
      <w:tr w14:paraId="436776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2135" w:type="dxa"/>
            <w:noWrap w:val="0"/>
            <w:tcMar>
              <w:top w:w="16" w:type="dxa"/>
              <w:left w:w="16" w:type="dxa"/>
              <w:right w:w="16" w:type="dxa"/>
            </w:tcMar>
            <w:vAlign w:val="center"/>
          </w:tcPr>
          <w:p w14:paraId="6BA4BC1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核准/备案</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部门</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选填</w:t>
            </w:r>
            <w:r>
              <w:rPr>
                <w:rFonts w:hint="eastAsia" w:ascii="Times New Roman" w:hAnsi="Times New Roman" w:cs="Times New Roman"/>
                <w:color w:val="auto"/>
                <w:sz w:val="24"/>
                <w:lang w:eastAsia="zh-CN"/>
              </w:rPr>
              <w:t>）</w:t>
            </w:r>
          </w:p>
        </w:tc>
        <w:tc>
          <w:tcPr>
            <w:tcW w:w="2415" w:type="dxa"/>
            <w:noWrap w:val="0"/>
            <w:vAlign w:val="center"/>
          </w:tcPr>
          <w:p w14:paraId="22DC641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w:t>
            </w:r>
          </w:p>
        </w:tc>
        <w:tc>
          <w:tcPr>
            <w:tcW w:w="1665" w:type="dxa"/>
            <w:noWrap w:val="0"/>
            <w:vAlign w:val="center"/>
          </w:tcPr>
          <w:p w14:paraId="41FB578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核准/备案</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文号</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选填</w:t>
            </w:r>
            <w:r>
              <w:rPr>
                <w:rFonts w:hint="eastAsia" w:ascii="Times New Roman" w:hAnsi="Times New Roman" w:cs="Times New Roman"/>
                <w:color w:val="auto"/>
                <w:sz w:val="24"/>
                <w:lang w:eastAsia="zh-CN"/>
              </w:rPr>
              <w:t>）</w:t>
            </w:r>
          </w:p>
        </w:tc>
        <w:tc>
          <w:tcPr>
            <w:tcW w:w="2824" w:type="dxa"/>
            <w:noWrap w:val="0"/>
            <w:vAlign w:val="center"/>
          </w:tcPr>
          <w:p w14:paraId="77C4359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w:t>
            </w:r>
          </w:p>
        </w:tc>
      </w:tr>
      <w:tr w14:paraId="293867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2" w:hRule="atLeast"/>
        </w:trPr>
        <w:tc>
          <w:tcPr>
            <w:tcW w:w="2135" w:type="dxa"/>
            <w:noWrap w:val="0"/>
            <w:tcMar>
              <w:top w:w="16" w:type="dxa"/>
              <w:left w:w="16" w:type="dxa"/>
              <w:right w:w="16" w:type="dxa"/>
            </w:tcMar>
            <w:vAlign w:val="center"/>
          </w:tcPr>
          <w:p w14:paraId="086C7F2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总投资</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万元</w:t>
            </w:r>
            <w:r>
              <w:rPr>
                <w:rFonts w:hint="eastAsia" w:ascii="Times New Roman" w:hAnsi="Times New Roman" w:cs="Times New Roman"/>
                <w:color w:val="auto"/>
                <w:sz w:val="24"/>
                <w:lang w:eastAsia="zh-CN"/>
              </w:rPr>
              <w:t>）</w:t>
            </w:r>
          </w:p>
        </w:tc>
        <w:tc>
          <w:tcPr>
            <w:tcW w:w="2415" w:type="dxa"/>
            <w:noWrap w:val="0"/>
            <w:vAlign w:val="center"/>
          </w:tcPr>
          <w:p w14:paraId="7625921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232600</w:t>
            </w:r>
          </w:p>
        </w:tc>
        <w:tc>
          <w:tcPr>
            <w:tcW w:w="1665" w:type="dxa"/>
            <w:noWrap w:val="0"/>
            <w:tcMar>
              <w:top w:w="16" w:type="dxa"/>
              <w:left w:w="16" w:type="dxa"/>
              <w:right w:w="16" w:type="dxa"/>
            </w:tcMar>
            <w:vAlign w:val="center"/>
          </w:tcPr>
          <w:p w14:paraId="2EEA116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万元</w:t>
            </w:r>
            <w:r>
              <w:rPr>
                <w:rFonts w:hint="eastAsia" w:ascii="Times New Roman" w:hAnsi="Times New Roman" w:cs="Times New Roman"/>
                <w:color w:val="auto"/>
                <w:sz w:val="24"/>
                <w:lang w:eastAsia="zh-CN"/>
              </w:rPr>
              <w:t>）</w:t>
            </w:r>
          </w:p>
        </w:tc>
        <w:tc>
          <w:tcPr>
            <w:tcW w:w="2824" w:type="dxa"/>
            <w:noWrap w:val="0"/>
            <w:vAlign w:val="center"/>
          </w:tcPr>
          <w:p w14:paraId="0D9E2BB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270</w:t>
            </w:r>
          </w:p>
        </w:tc>
      </w:tr>
      <w:tr w14:paraId="48A15A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0" w:hRule="atLeast"/>
        </w:trPr>
        <w:tc>
          <w:tcPr>
            <w:tcW w:w="2135" w:type="dxa"/>
            <w:noWrap w:val="0"/>
            <w:tcMar>
              <w:top w:w="16" w:type="dxa"/>
              <w:left w:w="16" w:type="dxa"/>
              <w:right w:w="16" w:type="dxa"/>
            </w:tcMar>
            <w:vAlign w:val="center"/>
          </w:tcPr>
          <w:p w14:paraId="3110B6B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环保投资占比</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w:t>
            </w:r>
          </w:p>
        </w:tc>
        <w:tc>
          <w:tcPr>
            <w:tcW w:w="2415" w:type="dxa"/>
            <w:noWrap w:val="0"/>
            <w:vAlign w:val="center"/>
          </w:tcPr>
          <w:p w14:paraId="667F5B4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0.12</w:t>
            </w:r>
          </w:p>
        </w:tc>
        <w:tc>
          <w:tcPr>
            <w:tcW w:w="1665" w:type="dxa"/>
            <w:noWrap w:val="0"/>
            <w:tcMar>
              <w:top w:w="16" w:type="dxa"/>
              <w:left w:w="16" w:type="dxa"/>
              <w:right w:w="16" w:type="dxa"/>
            </w:tcMar>
            <w:vAlign w:val="center"/>
          </w:tcPr>
          <w:p w14:paraId="56A8F54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施工工期</w:t>
            </w:r>
          </w:p>
        </w:tc>
        <w:tc>
          <w:tcPr>
            <w:tcW w:w="2824" w:type="dxa"/>
            <w:noWrap w:val="0"/>
            <w:vAlign w:val="center"/>
          </w:tcPr>
          <w:p w14:paraId="6D01719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9</w:t>
            </w:r>
            <w:r>
              <w:rPr>
                <w:rFonts w:hint="default" w:ascii="Times New Roman" w:hAnsi="Times New Roman" w:cs="Times New Roman"/>
                <w:color w:val="auto"/>
                <w:sz w:val="24"/>
              </w:rPr>
              <w:t>个月</w:t>
            </w:r>
          </w:p>
        </w:tc>
      </w:tr>
      <w:tr w14:paraId="52040E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2135" w:type="dxa"/>
            <w:noWrap w:val="0"/>
            <w:tcMar>
              <w:top w:w="16" w:type="dxa"/>
              <w:left w:w="16" w:type="dxa"/>
              <w:right w:w="16" w:type="dxa"/>
            </w:tcMar>
            <w:vAlign w:val="center"/>
          </w:tcPr>
          <w:p w14:paraId="681A82F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是否开工建设</w:t>
            </w:r>
          </w:p>
        </w:tc>
        <w:tc>
          <w:tcPr>
            <w:tcW w:w="6904" w:type="dxa"/>
            <w:gridSpan w:val="3"/>
            <w:noWrap w:val="0"/>
            <w:vAlign w:val="center"/>
          </w:tcPr>
          <w:p w14:paraId="35F4E833">
            <w:pPr>
              <w:keepNext w:val="0"/>
              <w:keepLines w:val="0"/>
              <w:suppressLineNumbers w:val="0"/>
              <w:adjustRightInd w:val="0"/>
              <w:snapToGrid w:val="0"/>
              <w:spacing w:before="0" w:beforeAutospacing="0" w:after="0" w:afterAutospacing="0"/>
              <w:ind w:left="0" w:right="0" w:firstLine="105"/>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否</w:t>
            </w:r>
          </w:p>
          <w:p w14:paraId="0CD9022C">
            <w:pPr>
              <w:keepNext w:val="0"/>
              <w:keepLines w:val="0"/>
              <w:suppressLineNumbers w:val="0"/>
              <w:adjustRightInd w:val="0"/>
              <w:snapToGrid w:val="0"/>
              <w:spacing w:before="0" w:beforeAutospacing="0" w:after="0" w:afterAutospacing="0"/>
              <w:ind w:left="0" w:right="0" w:firstLine="92"/>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是</w:t>
            </w:r>
          </w:p>
        </w:tc>
      </w:tr>
      <w:tr w14:paraId="5AF1A3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1" w:hRule="atLeast"/>
        </w:trPr>
        <w:tc>
          <w:tcPr>
            <w:tcW w:w="2135" w:type="dxa"/>
            <w:noWrap w:val="0"/>
            <w:tcMar>
              <w:top w:w="16" w:type="dxa"/>
              <w:left w:w="16" w:type="dxa"/>
              <w:right w:w="16" w:type="dxa"/>
            </w:tcMar>
            <w:vAlign w:val="center"/>
          </w:tcPr>
          <w:p w14:paraId="2F42B33B">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专项评价设置情况</w:t>
            </w:r>
          </w:p>
        </w:tc>
        <w:tc>
          <w:tcPr>
            <w:tcW w:w="6904" w:type="dxa"/>
            <w:gridSpan w:val="3"/>
            <w:noWrap w:val="0"/>
            <w:tcMar>
              <w:top w:w="16" w:type="dxa"/>
              <w:left w:w="16" w:type="dxa"/>
              <w:right w:w="16" w:type="dxa"/>
            </w:tcMar>
            <w:vAlign w:val="center"/>
          </w:tcPr>
          <w:p w14:paraId="3074A970">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4"/>
                <w:lang w:val="en-US"/>
              </w:rPr>
            </w:pPr>
            <w:r>
              <w:rPr>
                <w:rFonts w:hint="eastAsia" w:ascii="Times New Roman" w:hAnsi="Times New Roman" w:cs="Times New Roman"/>
                <w:color w:val="auto"/>
                <w:kern w:val="0"/>
                <w:sz w:val="24"/>
                <w:lang w:val="en-US" w:eastAsia="zh-CN"/>
              </w:rPr>
              <w:t>无</w:t>
            </w:r>
          </w:p>
        </w:tc>
      </w:tr>
      <w:tr w14:paraId="59B504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38" w:hRule="atLeast"/>
        </w:trPr>
        <w:tc>
          <w:tcPr>
            <w:tcW w:w="2135" w:type="dxa"/>
            <w:noWrap w:val="0"/>
            <w:tcMar>
              <w:top w:w="16" w:type="dxa"/>
              <w:left w:w="16" w:type="dxa"/>
              <w:right w:w="16" w:type="dxa"/>
            </w:tcMar>
            <w:vAlign w:val="center"/>
          </w:tcPr>
          <w:p w14:paraId="24E0A9A0">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r>
              <w:rPr>
                <w:rFonts w:hint="default" w:ascii="Times New Roman" w:hAnsi="Times New Roman" w:cs="Times New Roman"/>
                <w:color w:val="auto"/>
                <w:sz w:val="24"/>
              </w:rPr>
              <w:t>规划情况</w:t>
            </w:r>
          </w:p>
        </w:tc>
        <w:tc>
          <w:tcPr>
            <w:tcW w:w="6904" w:type="dxa"/>
            <w:gridSpan w:val="3"/>
            <w:noWrap w:val="0"/>
            <w:tcMar>
              <w:top w:w="16" w:type="dxa"/>
              <w:left w:w="16" w:type="dxa"/>
              <w:right w:w="16" w:type="dxa"/>
            </w:tcMar>
            <w:vAlign w:val="center"/>
          </w:tcPr>
          <w:p w14:paraId="1FBEDB56">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无</w:t>
            </w:r>
          </w:p>
        </w:tc>
      </w:tr>
      <w:tr w14:paraId="16677B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4" w:hRule="atLeast"/>
        </w:trPr>
        <w:tc>
          <w:tcPr>
            <w:tcW w:w="2135" w:type="dxa"/>
            <w:noWrap w:val="0"/>
            <w:tcMar>
              <w:top w:w="16" w:type="dxa"/>
              <w:left w:w="16" w:type="dxa"/>
              <w:right w:w="16" w:type="dxa"/>
            </w:tcMar>
            <w:vAlign w:val="center"/>
          </w:tcPr>
          <w:p w14:paraId="69EA9035">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规划环境影响</w:t>
            </w:r>
          </w:p>
          <w:p w14:paraId="4B061DD4">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r>
              <w:rPr>
                <w:rFonts w:hint="default" w:ascii="Times New Roman" w:hAnsi="Times New Roman" w:cs="Times New Roman"/>
                <w:color w:val="auto"/>
                <w:sz w:val="24"/>
              </w:rPr>
              <w:t>评价情况</w:t>
            </w:r>
          </w:p>
        </w:tc>
        <w:tc>
          <w:tcPr>
            <w:tcW w:w="6904" w:type="dxa"/>
            <w:gridSpan w:val="3"/>
            <w:noWrap w:val="0"/>
            <w:tcMar>
              <w:top w:w="16" w:type="dxa"/>
              <w:left w:w="16" w:type="dxa"/>
              <w:right w:w="16" w:type="dxa"/>
            </w:tcMar>
            <w:vAlign w:val="center"/>
          </w:tcPr>
          <w:p w14:paraId="2A0D41B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无</w:t>
            </w:r>
          </w:p>
        </w:tc>
      </w:tr>
      <w:tr w14:paraId="35CAF8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78" w:hRule="atLeast"/>
        </w:trPr>
        <w:tc>
          <w:tcPr>
            <w:tcW w:w="2135" w:type="dxa"/>
            <w:noWrap w:val="0"/>
            <w:tcMar>
              <w:top w:w="16" w:type="dxa"/>
              <w:left w:w="16" w:type="dxa"/>
              <w:right w:w="16" w:type="dxa"/>
            </w:tcMar>
            <w:vAlign w:val="center"/>
          </w:tcPr>
          <w:p w14:paraId="70C5FB02">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规划及</w:t>
            </w:r>
            <w:r>
              <w:rPr>
                <w:rFonts w:hint="default" w:ascii="Times New Roman" w:hAnsi="Times New Roman" w:cs="Times New Roman"/>
                <w:color w:val="auto"/>
                <w:sz w:val="24"/>
              </w:rPr>
              <w:t>规划环境影响评价</w:t>
            </w:r>
            <w:r>
              <w:rPr>
                <w:rFonts w:hint="default" w:ascii="Times New Roman" w:hAnsi="Times New Roman" w:cs="Times New Roman"/>
                <w:color w:val="auto"/>
                <w:kern w:val="0"/>
                <w:sz w:val="24"/>
              </w:rPr>
              <w:t>符合性分析</w:t>
            </w:r>
          </w:p>
        </w:tc>
        <w:tc>
          <w:tcPr>
            <w:tcW w:w="6904" w:type="dxa"/>
            <w:gridSpan w:val="3"/>
            <w:noWrap w:val="0"/>
            <w:tcMar>
              <w:top w:w="16" w:type="dxa"/>
              <w:left w:w="16" w:type="dxa"/>
              <w:right w:w="16" w:type="dxa"/>
            </w:tcMar>
            <w:vAlign w:val="center"/>
          </w:tcPr>
          <w:p w14:paraId="217FB9B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无</w:t>
            </w:r>
          </w:p>
        </w:tc>
      </w:tr>
      <w:tr w14:paraId="35D364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553" w:hRule="atLeast"/>
        </w:trPr>
        <w:tc>
          <w:tcPr>
            <w:tcW w:w="2135" w:type="dxa"/>
            <w:noWrap w:val="0"/>
            <w:tcMar>
              <w:top w:w="16" w:type="dxa"/>
              <w:left w:w="16" w:type="dxa"/>
              <w:right w:w="16" w:type="dxa"/>
            </w:tcMar>
            <w:vAlign w:val="center"/>
          </w:tcPr>
          <w:p w14:paraId="2B9E9C03">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bookmarkStart w:id="1" w:name="_Hlk56690880"/>
            <w:r>
              <w:rPr>
                <w:rFonts w:hint="default" w:ascii="Times New Roman" w:hAnsi="Times New Roman" w:cs="Times New Roman"/>
                <w:color w:val="auto"/>
                <w:kern w:val="0"/>
                <w:sz w:val="24"/>
              </w:rPr>
              <w:t>其他符合性分析</w:t>
            </w:r>
            <w:bookmarkEnd w:id="1"/>
          </w:p>
        </w:tc>
        <w:tc>
          <w:tcPr>
            <w:tcW w:w="6904" w:type="dxa"/>
            <w:gridSpan w:val="3"/>
            <w:noWrap w:val="0"/>
            <w:tcMar>
              <w:top w:w="16" w:type="dxa"/>
              <w:left w:w="16" w:type="dxa"/>
              <w:right w:w="16" w:type="dxa"/>
            </w:tcMar>
            <w:vAlign w:val="center"/>
          </w:tcPr>
          <w:p w14:paraId="51EB3E17">
            <w:pPr>
              <w:keepNext w:val="0"/>
              <w:keepLines w:val="0"/>
              <w:pageBreakBefore w:val="0"/>
              <w:widowControl w:val="0"/>
              <w:suppressLineNumbers w:val="0"/>
              <w:kinsoku/>
              <w:wordWrap/>
              <w:overflowPunct/>
              <w:topLinePunct w:val="0"/>
              <w:autoSpaceDE w:val="0"/>
              <w:autoSpaceDN w:val="0"/>
              <w:bidi w:val="0"/>
              <w:adjustRightInd/>
              <w:snapToGrid w:val="0"/>
              <w:spacing w:before="0" w:beforeAutospacing="0" w:after="0" w:afterAutospacing="0" w:line="480" w:lineRule="exact"/>
              <w:ind w:left="0" w:right="0" w:firstLine="480" w:firstLineChars="200"/>
              <w:textAlignment w:val="auto"/>
              <w:rPr>
                <w:rFonts w:hint="default" w:ascii="Times New Roman" w:hAnsi="Times New Roman" w:cs="Times New Roman"/>
                <w:b w:val="0"/>
                <w:bCs/>
                <w:color w:val="auto"/>
                <w:sz w:val="24"/>
              </w:rPr>
            </w:pPr>
            <w:r>
              <w:rPr>
                <w:rFonts w:hint="default" w:ascii="Times New Roman" w:hAnsi="Times New Roman" w:cs="Times New Roman"/>
                <w:b w:val="0"/>
                <w:bCs/>
                <w:color w:val="auto"/>
                <w:sz w:val="24"/>
              </w:rPr>
              <w:t>1、产业政策符合性</w:t>
            </w:r>
          </w:p>
          <w:p w14:paraId="37CBACF2">
            <w:pPr>
              <w:pStyle w:val="60"/>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b w:val="0"/>
                <w:bCs/>
                <w:color w:val="auto"/>
                <w:sz w:val="24"/>
              </w:rPr>
            </w:pPr>
            <w:r>
              <w:rPr>
                <w:rFonts w:hint="default" w:ascii="Times New Roman" w:hAnsi="Times New Roman" w:cs="Times New Roman"/>
                <w:b w:val="0"/>
                <w:bCs/>
                <w:color w:val="auto"/>
                <w:sz w:val="24"/>
              </w:rPr>
              <w:t>本项目为光伏发电项目，属于国家发展和改革委员会《产业结构调整指导目录</w:t>
            </w:r>
            <w:r>
              <w:rPr>
                <w:rFonts w:hint="eastAsia" w:ascii="Times New Roman" w:hAnsi="Times New Roman" w:cs="Times New Roman"/>
                <w:b w:val="0"/>
                <w:bCs/>
                <w:color w:val="auto"/>
                <w:sz w:val="24"/>
                <w:lang w:eastAsia="zh-CN"/>
              </w:rPr>
              <w:t>（</w:t>
            </w:r>
            <w:r>
              <w:rPr>
                <w:rFonts w:hint="default" w:ascii="Times New Roman" w:hAnsi="Times New Roman" w:cs="Times New Roman"/>
                <w:b w:val="0"/>
                <w:bCs/>
                <w:color w:val="auto"/>
                <w:sz w:val="24"/>
              </w:rPr>
              <w:t>2024年本</w:t>
            </w:r>
            <w:r>
              <w:rPr>
                <w:rFonts w:hint="eastAsia" w:ascii="Times New Roman" w:hAnsi="Times New Roman" w:cs="Times New Roman"/>
                <w:b w:val="0"/>
                <w:bCs/>
                <w:color w:val="auto"/>
                <w:sz w:val="24"/>
                <w:lang w:eastAsia="zh-CN"/>
              </w:rPr>
              <w:t>）</w:t>
            </w:r>
            <w:r>
              <w:rPr>
                <w:rFonts w:hint="default" w:ascii="Times New Roman" w:hAnsi="Times New Roman" w:cs="Times New Roman"/>
                <w:b w:val="0"/>
                <w:bCs/>
                <w:color w:val="auto"/>
                <w:sz w:val="24"/>
              </w:rPr>
              <w:t>》中的鼓励类项目，“五、新能源 2．可再生能源利用技术与应用：太阳能热发电集热系统、高效率低成本太阳能光伏发电技术研发与产业化、系统集成技术开发应用”，符合国家产业政策。</w:t>
            </w:r>
          </w:p>
          <w:p w14:paraId="451E91A4">
            <w:pPr>
              <w:pStyle w:val="60"/>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b w:val="0"/>
                <w:bCs/>
                <w:color w:val="auto"/>
                <w:sz w:val="24"/>
                <w:lang w:val="en-US" w:eastAsia="zh-CN"/>
              </w:rPr>
            </w:pPr>
            <w:r>
              <w:rPr>
                <w:rFonts w:hint="eastAsia" w:ascii="Times New Roman" w:hAnsi="Times New Roman" w:cs="Times New Roman"/>
                <w:b w:val="0"/>
                <w:bCs/>
                <w:color w:val="auto"/>
                <w:sz w:val="24"/>
                <w:lang w:val="en-US" w:eastAsia="zh-CN"/>
              </w:rPr>
              <w:t>本项目属于光伏发电场建设项目，项目未列入《西部地区鼓励类产业目录（2025年本）》中新疆维吾尔自治区鼓励类产业，到那项目建设符合《产业结构调</w:t>
            </w:r>
            <w:bookmarkStart w:id="26" w:name="_GoBack"/>
            <w:bookmarkEnd w:id="26"/>
            <w:r>
              <w:rPr>
                <w:rFonts w:hint="eastAsia" w:ascii="Times New Roman" w:hAnsi="Times New Roman" w:cs="Times New Roman"/>
                <w:b w:val="0"/>
                <w:bCs/>
                <w:color w:val="auto"/>
                <w:sz w:val="24"/>
                <w:lang w:val="en-US" w:eastAsia="zh-CN"/>
              </w:rPr>
              <w:t>整指导目录（2024年本）》。</w:t>
            </w:r>
          </w:p>
          <w:p w14:paraId="29A72A7B">
            <w:pPr>
              <w:pStyle w:val="60"/>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b w:val="0"/>
                <w:bCs/>
                <w:color w:val="auto"/>
                <w:sz w:val="24"/>
              </w:rPr>
            </w:pPr>
            <w:r>
              <w:rPr>
                <w:rFonts w:hint="eastAsia" w:ascii="Times New Roman" w:hAnsi="Times New Roman" w:cs="Times New Roman"/>
                <w:b w:val="0"/>
                <w:bCs/>
                <w:color w:val="auto"/>
                <w:sz w:val="24"/>
                <w:lang w:val="en-US" w:eastAsia="zh-CN"/>
              </w:rPr>
              <w:t>2、</w:t>
            </w:r>
            <w:r>
              <w:rPr>
                <w:rFonts w:hint="default" w:ascii="Times New Roman" w:hAnsi="Times New Roman" w:cs="Times New Roman"/>
                <w:b w:val="0"/>
                <w:bCs/>
                <w:color w:val="auto"/>
                <w:sz w:val="24"/>
              </w:rPr>
              <w:t>与《中华人民共和国可再生能源法》符合性分析</w:t>
            </w:r>
          </w:p>
          <w:p w14:paraId="2A8A3D2F">
            <w:pPr>
              <w:pStyle w:val="60"/>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b w:val="0"/>
                <w:bCs/>
                <w:color w:val="auto"/>
                <w:sz w:val="24"/>
              </w:rPr>
            </w:pPr>
            <w:r>
              <w:rPr>
                <w:rFonts w:hint="default" w:ascii="Times New Roman" w:hAnsi="Times New Roman" w:cs="Times New Roman"/>
                <w:b w:val="0"/>
                <w:bCs/>
                <w:color w:val="auto"/>
                <w:sz w:val="24"/>
              </w:rPr>
              <w:t>根据《中华人民共和国可再生能源法》，国家鼓励和支持可再生能源并网发电。建设可再生能源并网发电项目，应当依照法律和国务院的规定取得行政许可或者报送备案。</w:t>
            </w:r>
          </w:p>
          <w:p w14:paraId="565065A0">
            <w:pPr>
              <w:pStyle w:val="60"/>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b w:val="0"/>
                <w:bCs/>
                <w:color w:val="auto"/>
                <w:sz w:val="24"/>
              </w:rPr>
            </w:pPr>
            <w:r>
              <w:rPr>
                <w:rFonts w:hint="default" w:ascii="Times New Roman" w:hAnsi="Times New Roman" w:cs="Times New Roman"/>
                <w:b w:val="0"/>
                <w:bCs/>
                <w:color w:val="auto"/>
                <w:sz w:val="24"/>
              </w:rPr>
              <w:t>本项目利用光伏进行发电，属于可再生能源并网发电，符合《中华人民共和国可再生能源法》要求。</w:t>
            </w:r>
          </w:p>
          <w:p w14:paraId="6837FFCD">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z w:val="24"/>
                <w:lang w:val="en-US" w:eastAsia="zh-CN"/>
              </w:rPr>
            </w:pPr>
            <w:r>
              <w:rPr>
                <w:rFonts w:hint="eastAsia" w:ascii="Times New Roman" w:hAnsi="Times New Roman" w:cs="Times New Roman"/>
                <w:b w:val="0"/>
                <w:bCs/>
                <w:color w:val="auto"/>
                <w:sz w:val="24"/>
                <w:lang w:val="en-US" w:eastAsia="zh-CN"/>
              </w:rPr>
              <w:t>4、与《中华人民共和国防沙治沙法》符合性分析</w:t>
            </w:r>
          </w:p>
          <w:p w14:paraId="78FA82DD">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eastAsia" w:ascii="Times New Roman" w:hAnsi="Times New Roman" w:cs="Times New Roman"/>
                <w:b w:val="0"/>
                <w:bCs/>
                <w:color w:val="auto"/>
                <w:sz w:val="24"/>
                <w:lang w:val="en-US" w:eastAsia="zh-CN"/>
              </w:rPr>
            </w:pPr>
            <w:r>
              <w:rPr>
                <w:rFonts w:hint="eastAsia" w:ascii="Times New Roman" w:hAnsi="Times New Roman" w:cs="Times New Roman"/>
                <w:b w:val="0"/>
                <w:bCs/>
                <w:color w:val="auto"/>
                <w:sz w:val="24"/>
                <w:lang w:val="en-US" w:eastAsia="zh-CN"/>
              </w:rPr>
              <w:t>根据《中华人民共和国防沙治沙法》， 第二十条　沙化土地所在地区的县级以上地方人民政府，不得批准在沙漠边缘地带和林地、草原开垦耕地；已经开垦并对生态产生不良影响的，应当有计划地组织退耕还林还草。    第二十一条　在沙化土地范围内从事开发建设活动的，必须事先就该项目可能对当地及相关地区生态产生的影响进行环境影响评价，依法提交环境影响报告；环境影响报告应当包括有关防沙治沙的内容。</w:t>
            </w:r>
          </w:p>
          <w:p w14:paraId="1CBAA98C">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b w:val="0"/>
                <w:bCs/>
                <w:color w:val="auto"/>
                <w:sz w:val="24"/>
              </w:rPr>
            </w:pPr>
            <w:r>
              <w:rPr>
                <w:rFonts w:hint="eastAsia" w:ascii="Times New Roman" w:hAnsi="Times New Roman" w:cs="Times New Roman"/>
                <w:b w:val="0"/>
                <w:bCs/>
                <w:color w:val="auto"/>
                <w:sz w:val="24"/>
                <w:lang w:val="en-US" w:eastAsia="zh-CN"/>
              </w:rPr>
              <w:t>本项目为光伏发电项目，不属于耕地开垦，项目位于沙地区，项目开展前进行了环境影响评价工作，本报告中对防沙治沙内容进行了分析说明，符合《中华人民共和国防沙治沙法》相关要求。</w:t>
            </w:r>
          </w:p>
          <w:p w14:paraId="49181C23">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z w:val="24"/>
                <w:lang w:val="en-US" w:eastAsia="zh-CN"/>
              </w:rPr>
            </w:pPr>
            <w:r>
              <w:rPr>
                <w:rFonts w:hint="eastAsia" w:ascii="Times New Roman" w:hAnsi="Times New Roman" w:cs="Times New Roman"/>
                <w:b w:val="0"/>
                <w:bCs/>
                <w:color w:val="auto"/>
                <w:sz w:val="24"/>
                <w:lang w:val="en-US" w:eastAsia="zh-CN"/>
              </w:rPr>
              <w:t>4、与《空气质量持续改善行动计划》（国发〔2023〕24号）符合性分析</w:t>
            </w:r>
          </w:p>
          <w:p w14:paraId="44BF40AE">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eastAsia" w:ascii="Times New Roman" w:hAnsi="Times New Roman" w:cs="Times New Roman"/>
                <w:b w:val="0"/>
                <w:bCs/>
                <w:color w:val="auto"/>
                <w:sz w:val="24"/>
                <w:lang w:val="en-US" w:eastAsia="zh-CN"/>
              </w:rPr>
            </w:pPr>
            <w:r>
              <w:rPr>
                <w:rFonts w:hint="eastAsia" w:ascii="Times New Roman" w:hAnsi="Times New Roman" w:cs="Times New Roman"/>
                <w:b w:val="0"/>
                <w:bCs/>
                <w:color w:val="auto"/>
                <w:sz w:val="24"/>
                <w:lang w:val="en-US" w:eastAsia="zh-CN"/>
              </w:rPr>
              <w:t>根据《空气质量持续改善行动计划》，（四）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严禁新增钢铁产能。推行钢铁、焦化、烧结一体化布局，大幅减少独立焦化、烧结、球团和热轧企业及工序，淘汰落后煤炭洗选产能；有序引导高炉—转炉长流程炼钢转型为电炉短流程炼钢。到2025年，短流程炼钢产量占比达15%。京津冀及周边地区继续实施“以钢定焦”，炼焦产能与长流程炼钢产能比控制在0.4左右。（五）加快退出重点行业落后产能。修订《产业结构调整指导目录》，研究将污染物或温室气体排放明显高出行业平均水平、能效和清洁生产水平低的工艺和装备纳入淘汰类和限制类名单。重点区域进一步提高落后产能能耗、环保、质量、安全、技术等要求，逐步退出限制类涉气行业工艺和装备；逐步淘汰步进式烧结机和球团竖炉以及半封闭式硅锰合金、镍铁、高碳铬铁、高碳锰铁电炉。引导重点区域钢铁、焦化、电解铝等产业有序调整优化。</w:t>
            </w:r>
          </w:p>
          <w:p w14:paraId="3D0CCA68">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z w:val="24"/>
                <w:lang w:val="en-US" w:eastAsia="zh-CN"/>
              </w:rPr>
            </w:pPr>
            <w:r>
              <w:rPr>
                <w:rFonts w:hint="eastAsia" w:ascii="Times New Roman" w:hAnsi="Times New Roman" w:cs="Times New Roman"/>
                <w:b w:val="0"/>
                <w:bCs/>
                <w:color w:val="auto"/>
                <w:sz w:val="24"/>
                <w:lang w:val="en-US" w:eastAsia="zh-CN"/>
              </w:rPr>
              <w:t>本项目为光伏发电项目，不属于高耗能、高排放、低水平项目，项目属于《产业结构调整指导目录（2024年本）》中的鼓励类，符合产业政策，项目建设符合《空气质量持续改善行动计划》（国发〔2023〕24号）。</w:t>
            </w:r>
          </w:p>
          <w:p w14:paraId="1F3F4606">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z w:val="24"/>
                <w:lang w:val="en-US" w:eastAsia="zh-CN"/>
              </w:rPr>
            </w:pPr>
            <w:r>
              <w:rPr>
                <w:rFonts w:hint="eastAsia" w:ascii="Times New Roman" w:hAnsi="Times New Roman" w:cs="Times New Roman"/>
                <w:b w:val="0"/>
                <w:bCs/>
                <w:color w:val="auto"/>
                <w:sz w:val="24"/>
                <w:lang w:val="en-US" w:eastAsia="zh-CN"/>
              </w:rPr>
              <w:t xml:space="preserve">5、与《关于印发&lt;新疆维吾尔自治区2025年空气质量持续改善行动实施方案&gt;的通知》(新政办发〔2024〕58号) </w:t>
            </w:r>
          </w:p>
          <w:p w14:paraId="5350198E">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b w:val="0"/>
                <w:bCs/>
                <w:color w:val="auto"/>
                <w:sz w:val="24"/>
              </w:rPr>
            </w:pPr>
            <w:r>
              <w:rPr>
                <w:rFonts w:hint="eastAsia" w:ascii="Times New Roman" w:hAnsi="Times New Roman" w:cs="Times New Roman"/>
                <w:b w:val="0"/>
                <w:bCs/>
                <w:color w:val="auto"/>
                <w:sz w:val="24"/>
                <w:lang w:val="en-US" w:eastAsia="zh-CN"/>
              </w:rPr>
              <w:t>根据《关于印发&lt;新疆维吾尔自治区2025年空气质量持续改善行动实施方案&gt;的通知》（四）大力发展新能源和清洁能源。推进风电光伏等清洁能源基地建设，构建新型电力系统。推进新能源与优势产业联动发展，加大高载能行业和自备电厂清洁能源替代力度。非化石能源消费比重和电能占终端能源消费比重达到相关规划要求。持续增加天然气生产供应，优先保障居民生活和清洁取暖、农业散煤治理等需求。</w:t>
            </w:r>
          </w:p>
          <w:p w14:paraId="50AD13FD">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z w:val="24"/>
                <w:lang w:val="en-US" w:eastAsia="zh-CN"/>
              </w:rPr>
            </w:pPr>
            <w:r>
              <w:rPr>
                <w:rFonts w:hint="eastAsia" w:ascii="Times New Roman" w:hAnsi="Times New Roman" w:cs="Times New Roman"/>
                <w:b w:val="0"/>
                <w:bCs/>
                <w:color w:val="auto"/>
                <w:sz w:val="24"/>
                <w:lang w:val="en-US" w:eastAsia="zh-CN"/>
              </w:rPr>
              <w:t>本项目属于光伏发电场建设项目，属于清洁能源基地建设项目，符合《关于印发&lt;新疆维吾尔自治区2025年空气质量持续改善行动实施方案&gt;的通知》(新政办发〔2024〕58号) 。</w:t>
            </w:r>
          </w:p>
          <w:p w14:paraId="0A104581">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z w:val="24"/>
                <w:lang w:val="en-US" w:eastAsia="zh-CN"/>
              </w:rPr>
            </w:pPr>
            <w:r>
              <w:rPr>
                <w:rFonts w:hint="eastAsia" w:ascii="Times New Roman" w:hAnsi="Times New Roman" w:cs="Times New Roman"/>
                <w:b w:val="0"/>
                <w:bCs/>
                <w:color w:val="auto"/>
                <w:sz w:val="24"/>
                <w:lang w:val="en-US" w:eastAsia="zh-CN"/>
              </w:rPr>
              <w:t>6、与《新疆维吾尔自治区环境保护条例》符合性分析</w:t>
            </w:r>
          </w:p>
          <w:p w14:paraId="054F72E1">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eastAsia" w:ascii="Times New Roman" w:hAnsi="Times New Roman" w:cs="Times New Roman"/>
                <w:b w:val="0"/>
                <w:bCs/>
                <w:color w:val="auto"/>
                <w:sz w:val="24"/>
                <w:lang w:val="en-US" w:eastAsia="zh-CN"/>
              </w:rPr>
            </w:pPr>
            <w:r>
              <w:rPr>
                <w:rFonts w:hint="eastAsia" w:ascii="Times New Roman" w:hAnsi="Times New Roman" w:cs="Times New Roman"/>
                <w:b w:val="0"/>
                <w:bCs/>
                <w:color w:val="auto"/>
                <w:sz w:val="24"/>
                <w:lang w:val="en-US" w:eastAsia="zh-CN"/>
              </w:rPr>
              <w:t>根据《新疆维吾尔自治区环境保护条例》第二十一条建设对环境有影响的项目，应当依法进行环境影响评价。建设单位应当在开工建设前向有审批权的环境保护主管部门报批建设项目环境影响评价报告书、报告表。未依法进行环境影响评价的建设项目，不得开工建设。</w:t>
            </w:r>
          </w:p>
          <w:p w14:paraId="4BEBD1B3">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z w:val="24"/>
                <w:lang w:val="en-US" w:eastAsia="zh-CN"/>
              </w:rPr>
            </w:pPr>
            <w:r>
              <w:rPr>
                <w:rFonts w:hint="eastAsia" w:ascii="Times New Roman" w:hAnsi="Times New Roman" w:cs="Times New Roman"/>
                <w:b w:val="0"/>
                <w:bCs/>
                <w:color w:val="auto"/>
                <w:sz w:val="24"/>
                <w:lang w:val="en-US" w:eastAsia="zh-CN"/>
              </w:rPr>
              <w:t>本项目开工前委托开展环境影响评价工作，待取得批复后，办理开工手续并开工建设，符合《新疆维吾尔自治区环境保护条例》。</w:t>
            </w:r>
          </w:p>
          <w:p w14:paraId="79386228">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7、与《新疆维吾尔自治区大气污染防治条例》符合性分析</w:t>
            </w:r>
          </w:p>
          <w:p w14:paraId="3854E13A">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根据《新疆维吾尔自治区大气污染防治条例》第三十八条房屋建筑、市政基础设施建设和城市规划区内水利工程等可能产生扬尘污染活动的施工现场，施工单位应当采取下列防尘措施：（一）建设工程开工前，按照标准在施工现场周边设置围挡，并对围挡进行维护；（二）在施工现场出入口公示施工现场负责人、环保监督员、扬尘污染主要控制措施、举报电话等信息；（三）对施工现场内主要道路和物料堆放场地进行硬化，对其他裸露场地进行覆盖或者临时绿化，对土方进行集中堆放，并采取覆盖或者密闭等措施；（四）施工现场出口处应当设置车辆冲洗设施，施工车辆冲洗干净后方可上路行驶；（五）道路挖掘施工过程中，及时覆盖破损路面，并采取洒水等措施防治扬尘污染；道路挖掘施工完成后应当及时修复路面；临时便道应当进行硬化处理，并定时洒水；（六）及时对施工现场进行清理和平整，不得从高处向下倾倒或者抛洒各类物料和建筑垃圾。拆除建（构）筑物，应当配备防风抑尘设备，进行湿法作业。</w:t>
            </w:r>
          </w:p>
          <w:p w14:paraId="232D033E">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本项目施工期要求采取围挡、洒水等措施，物料临时堆存期间采取苫盖措施，严格管理施工区，防治施工过程扬尘对项目区大气环境影响，符合《新疆维吾尔自治区大气污染防治条例》要求。</w:t>
            </w:r>
          </w:p>
          <w:p w14:paraId="0F20987B">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8、与《关于加强沙区建设项目环境影响评价工作的通知》（新环环评发﹝2020﹞138号）符合性分析</w:t>
            </w:r>
          </w:p>
          <w:p w14:paraId="4EA67554">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根据《关于加强沙区建设项目环境影响评价工作的通知》（新环环评发﹝2020﹞138号）按照《中华人民共和国防沙治沙法》要求，加强涉及沙区的建设项目环评文件受理审查，对于没有防沙治沙内容的建设项目环评文件不予受理。</w:t>
            </w:r>
          </w:p>
          <w:p w14:paraId="04987BEF">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本工程位于</w:t>
            </w:r>
            <w:r>
              <w:rPr>
                <w:rFonts w:hint="eastAsia" w:ascii="Times New Roman" w:hAnsi="Times New Roman" w:eastAsia="宋体" w:cs="Times New Roman"/>
                <w:color w:val="auto"/>
                <w:sz w:val="24"/>
                <w:highlight w:val="none"/>
                <w:lang w:val="en-US" w:eastAsia="zh-CN"/>
              </w:rPr>
              <w:t>古尔班通古特主体沙漠区中的固定沙地，报告中对防沙治沙要求进行了明确，符合《关于加强沙区建设项目环境影响评价工作的通知》（新环环评发﹝2020﹞138号）环评文件受理要求。</w:t>
            </w:r>
          </w:p>
          <w:p w14:paraId="781EB902">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9、与《新疆维吾尔自治区重点行业生态环境准入条件(2024年)》符合性分析</w:t>
            </w:r>
          </w:p>
          <w:p w14:paraId="1A38CF33">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项目与《新疆维吾尔自治区重点行业生态环境准入条件（2024年）》符合性分析见表1-1。</w:t>
            </w:r>
          </w:p>
          <w:p w14:paraId="6D824CB0">
            <w:pPr>
              <w:pStyle w:val="45"/>
              <w:keepNext w:val="0"/>
              <w:keepLines w:val="0"/>
              <w:suppressLineNumbers w:val="0"/>
              <w:spacing w:before="0" w:beforeAutospacing="0" w:after="0" w:afterAutospacing="0" w:line="240" w:lineRule="auto"/>
              <w:ind w:left="0" w:right="0" w:firstLine="420"/>
              <w:rPr>
                <w:rFonts w:hint="default" w:ascii="Times New Roman" w:hAnsi="Times New Roman" w:eastAsia="黑体" w:cs="Times New Roman"/>
                <w:color w:val="auto"/>
                <w:sz w:val="21"/>
                <w:lang w:bidi="en-US"/>
              </w:rPr>
            </w:pPr>
            <w:r>
              <w:rPr>
                <w:rFonts w:hint="eastAsia" w:ascii="Times New Roman" w:hAnsi="Times New Roman" w:eastAsia="黑体" w:cs="Times New Roman"/>
                <w:color w:val="auto"/>
                <w:sz w:val="21"/>
                <w:lang w:val="en-US" w:eastAsia="zh-CN" w:bidi="en-US"/>
              </w:rPr>
              <w:t xml:space="preserve">表1-1  </w:t>
            </w:r>
            <w:r>
              <w:rPr>
                <w:rFonts w:hint="eastAsia" w:ascii="Times New Roman" w:hAnsi="Times New Roman" w:eastAsia="黑体" w:cs="Times New Roman"/>
                <w:color w:val="auto"/>
                <w:sz w:val="21"/>
                <w:lang w:bidi="en-US"/>
              </w:rPr>
              <w:t>项目与《新疆维吾尔自治区重点行业生态环境准入条件（2024年）》符合性分析</w:t>
            </w:r>
          </w:p>
          <w:tbl>
            <w:tblPr>
              <w:tblStyle w:val="30"/>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7"/>
              <w:gridCol w:w="4586"/>
              <w:gridCol w:w="866"/>
              <w:gridCol w:w="826"/>
            </w:tblGrid>
            <w:tr w14:paraId="007A46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43" w:type="dxa"/>
                  <w:gridSpan w:val="2"/>
                  <w:noWrap w:val="0"/>
                  <w:vAlign w:val="center"/>
                </w:tcPr>
                <w:p w14:paraId="29CB5C40">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准入条件要求</w:t>
                  </w:r>
                </w:p>
              </w:tc>
              <w:tc>
                <w:tcPr>
                  <w:tcW w:w="866" w:type="dxa"/>
                  <w:noWrap w:val="0"/>
                  <w:vAlign w:val="center"/>
                </w:tcPr>
                <w:p w14:paraId="5C574981">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本项目</w:t>
                  </w:r>
                </w:p>
              </w:tc>
              <w:tc>
                <w:tcPr>
                  <w:tcW w:w="826" w:type="dxa"/>
                  <w:noWrap w:val="0"/>
                  <w:vAlign w:val="center"/>
                </w:tcPr>
                <w:p w14:paraId="1434F65B">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符合性</w:t>
                  </w:r>
                </w:p>
              </w:tc>
            </w:tr>
            <w:tr w14:paraId="12DA3A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restart"/>
                  <w:noWrap w:val="0"/>
                  <w:vAlign w:val="center"/>
                </w:tcPr>
                <w:p w14:paraId="2A18479E">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总体要求</w:t>
                  </w:r>
                </w:p>
              </w:tc>
              <w:tc>
                <w:tcPr>
                  <w:tcW w:w="4586" w:type="dxa"/>
                  <w:noWrap w:val="0"/>
                  <w:vAlign w:val="center"/>
                </w:tcPr>
                <w:p w14:paraId="7073473F">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建设单位应依法依规组织编制环境影响评价文件，并报具有审批权限的生态环境部门审批。</w:t>
                  </w:r>
                </w:p>
              </w:tc>
              <w:tc>
                <w:tcPr>
                  <w:tcW w:w="866" w:type="dxa"/>
                  <w:noWrap w:val="0"/>
                  <w:vAlign w:val="center"/>
                </w:tcPr>
                <w:p w14:paraId="4BDBFA10">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本项目开展前，建设单位委托开展环境影响评价工作</w:t>
                  </w:r>
                </w:p>
              </w:tc>
              <w:tc>
                <w:tcPr>
                  <w:tcW w:w="826" w:type="dxa"/>
                  <w:noWrap w:val="0"/>
                  <w:vAlign w:val="center"/>
                </w:tcPr>
                <w:p w14:paraId="3D053374">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符合</w:t>
                  </w:r>
                </w:p>
              </w:tc>
            </w:tr>
            <w:tr w14:paraId="5CC986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noWrap w:val="0"/>
                  <w:vAlign w:val="center"/>
                </w:tcPr>
                <w:p w14:paraId="3013D89E">
                  <w:pPr>
                    <w:pStyle w:val="92"/>
                    <w:keepNext w:val="0"/>
                    <w:keepLines w:val="0"/>
                    <w:widowControl/>
                    <w:suppressLineNumbers w:val="0"/>
                    <w:bidi w:val="0"/>
                    <w:spacing w:before="0" w:beforeAutospacing="0" w:after="0" w:afterAutospacing="0"/>
                    <w:ind w:left="0" w:right="0"/>
                    <w:rPr>
                      <w:rFonts w:hint="default"/>
                      <w:color w:val="auto"/>
                    </w:rPr>
                  </w:pPr>
                </w:p>
              </w:tc>
              <w:tc>
                <w:tcPr>
                  <w:tcW w:w="4586" w:type="dxa"/>
                  <w:noWrap w:val="0"/>
                  <w:vAlign w:val="center"/>
                </w:tcPr>
                <w:p w14:paraId="7200477C">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建设项目应符合国家、自治区相关法律法规规章、产业政策要求，采用的工艺、技术和设备应符合《产业结构调整指导目录》《产业转移指导目录》《鼓励外商投资产业目录》《西部地区鼓励类产业目录》等相关要求，不得采用国家和自治区限制、淘汰或禁止使用的工艺、技术和设备。在环评审批中，严格落实国家及自治区有关行业产能替代、压减等措施。</w:t>
                  </w:r>
                </w:p>
              </w:tc>
              <w:tc>
                <w:tcPr>
                  <w:tcW w:w="866" w:type="dxa"/>
                  <w:noWrap w:val="0"/>
                  <w:vAlign w:val="center"/>
                </w:tcPr>
                <w:p w14:paraId="4DD5862D">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根据分析，本项目建设符合相关政策要求，不属于限制类及淘汰类</w:t>
                  </w:r>
                </w:p>
              </w:tc>
              <w:tc>
                <w:tcPr>
                  <w:tcW w:w="826" w:type="dxa"/>
                  <w:noWrap w:val="0"/>
                  <w:vAlign w:val="center"/>
                </w:tcPr>
                <w:p w14:paraId="16BDF945">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符合</w:t>
                  </w:r>
                </w:p>
              </w:tc>
            </w:tr>
            <w:tr w14:paraId="58A565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noWrap w:val="0"/>
                  <w:vAlign w:val="center"/>
                </w:tcPr>
                <w:p w14:paraId="040D7D4D">
                  <w:pPr>
                    <w:pStyle w:val="92"/>
                    <w:keepNext w:val="0"/>
                    <w:keepLines w:val="0"/>
                    <w:widowControl/>
                    <w:suppressLineNumbers w:val="0"/>
                    <w:bidi w:val="0"/>
                    <w:spacing w:before="0" w:beforeAutospacing="0" w:after="0" w:afterAutospacing="0"/>
                    <w:ind w:left="0" w:right="0"/>
                    <w:rPr>
                      <w:rFonts w:hint="default"/>
                      <w:color w:val="auto"/>
                    </w:rPr>
                  </w:pPr>
                </w:p>
              </w:tc>
              <w:tc>
                <w:tcPr>
                  <w:tcW w:w="4586" w:type="dxa"/>
                  <w:noWrap w:val="0"/>
                  <w:vAlign w:val="center"/>
                </w:tcPr>
                <w:p w14:paraId="6CC6DF8D">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一切开发建设活动应符合国家、自治区主体功能区规划、自治区和各地颁布实施的国民经济发展规划、生态功能区划、国土空间规划、产业发展规划等相关规划及生态环境分区管控要求,符合区域（流域）或产业规划环评及审查意见要求。</w:t>
                  </w:r>
                </w:p>
              </w:tc>
              <w:tc>
                <w:tcPr>
                  <w:tcW w:w="866" w:type="dxa"/>
                  <w:noWrap w:val="0"/>
                  <w:vAlign w:val="center"/>
                </w:tcPr>
                <w:p w14:paraId="73419971">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根据分析，本项目建设符合国土空间规划</w:t>
                  </w:r>
                </w:p>
              </w:tc>
              <w:tc>
                <w:tcPr>
                  <w:tcW w:w="826" w:type="dxa"/>
                  <w:noWrap w:val="0"/>
                  <w:vAlign w:val="center"/>
                </w:tcPr>
                <w:p w14:paraId="4E6E72CF">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符合</w:t>
                  </w:r>
                </w:p>
              </w:tc>
            </w:tr>
            <w:tr w14:paraId="74E512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noWrap w:val="0"/>
                  <w:vAlign w:val="center"/>
                </w:tcPr>
                <w:p w14:paraId="199731AD">
                  <w:pPr>
                    <w:pStyle w:val="92"/>
                    <w:keepNext w:val="0"/>
                    <w:keepLines w:val="0"/>
                    <w:widowControl/>
                    <w:suppressLineNumbers w:val="0"/>
                    <w:bidi w:val="0"/>
                    <w:spacing w:before="0" w:beforeAutospacing="0" w:after="0" w:afterAutospacing="0"/>
                    <w:ind w:left="0" w:right="0"/>
                    <w:rPr>
                      <w:rFonts w:hint="default"/>
                      <w:color w:val="auto"/>
                    </w:rPr>
                  </w:pPr>
                </w:p>
              </w:tc>
              <w:tc>
                <w:tcPr>
                  <w:tcW w:w="4586" w:type="dxa"/>
                  <w:noWrap w:val="0"/>
                  <w:vAlign w:val="center"/>
                </w:tcPr>
                <w:p w14:paraId="7B15A6EC">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禁止在自然保护区、世界自然遗产地、风景名胜区、自然公园（森林公园、地质公园、湿地公园、沙漠公园等）、重要湿地、饮用水水源保护区等依法划定禁止开发建设的环境敏感区及其他法律法规规章禁止的区域进行污染环境的任何开发活动。禁止在青藏高原水土流失严重、生态脆弱的区域开展可能造成水土流失的生产建设活动。确因国家发展战略和国计民生需要建设的，应当经科学论证，并依法办理审批手续，严格控制扰动范围。涉及生态保护红线的其他要求，按照《自然资源部 生态环境部 国家林业和草原局关于加强生态保护红线管理的通知（试行）》（自然资发〔2022〕142号）执行，生态保护红线管控要求调整、更新的，从其规定。</w:t>
                  </w:r>
                </w:p>
              </w:tc>
              <w:tc>
                <w:tcPr>
                  <w:tcW w:w="866" w:type="dxa"/>
                  <w:noWrap w:val="0"/>
                  <w:vAlign w:val="center"/>
                </w:tcPr>
                <w:p w14:paraId="37ADBD90">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项目选址不属于上述禁止开发区</w:t>
                  </w:r>
                </w:p>
              </w:tc>
              <w:tc>
                <w:tcPr>
                  <w:tcW w:w="826" w:type="dxa"/>
                  <w:noWrap w:val="0"/>
                  <w:vAlign w:val="center"/>
                </w:tcPr>
                <w:p w14:paraId="7A549989">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符合</w:t>
                  </w:r>
                </w:p>
              </w:tc>
            </w:tr>
            <w:tr w14:paraId="006812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noWrap w:val="0"/>
                  <w:vAlign w:val="center"/>
                </w:tcPr>
                <w:p w14:paraId="4F85FE10">
                  <w:pPr>
                    <w:pStyle w:val="92"/>
                    <w:keepNext w:val="0"/>
                    <w:keepLines w:val="0"/>
                    <w:widowControl/>
                    <w:suppressLineNumbers w:val="0"/>
                    <w:bidi w:val="0"/>
                    <w:spacing w:before="0" w:beforeAutospacing="0" w:after="0" w:afterAutospacing="0"/>
                    <w:ind w:left="0" w:right="0"/>
                    <w:rPr>
                      <w:rFonts w:hint="default"/>
                      <w:color w:val="auto"/>
                    </w:rPr>
                  </w:pPr>
                </w:p>
              </w:tc>
              <w:tc>
                <w:tcPr>
                  <w:tcW w:w="4586" w:type="dxa"/>
                  <w:noWrap w:val="0"/>
                  <w:vAlign w:val="center"/>
                </w:tcPr>
                <w:p w14:paraId="569B85A1">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矿产资源开发按照国家及自治区绿色矿山建设规范进行建设，遵循“谁开发、谁保护，谁破坏、谁恢复，谁受益、谁补偿，谁污染、谁付费”的原则，制定矿山生态环境保护与恢复治理方案并严格组织实施。违反国家规定造成生态环境损害的，依法依规开展生态环境损害赔偿工作，依法追究生态环境损害赔偿责任。</w:t>
                  </w:r>
                </w:p>
              </w:tc>
              <w:tc>
                <w:tcPr>
                  <w:tcW w:w="866" w:type="dxa"/>
                  <w:noWrap w:val="0"/>
                  <w:vAlign w:val="center"/>
                </w:tcPr>
                <w:p w14:paraId="781AB105">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本项目不属于矿产开发项目</w:t>
                  </w:r>
                </w:p>
              </w:tc>
              <w:tc>
                <w:tcPr>
                  <w:tcW w:w="826" w:type="dxa"/>
                  <w:noWrap w:val="0"/>
                  <w:vAlign w:val="center"/>
                </w:tcPr>
                <w:p w14:paraId="2317BA82">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符合</w:t>
                  </w:r>
                </w:p>
              </w:tc>
            </w:tr>
            <w:tr w14:paraId="665EAE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noWrap w:val="0"/>
                  <w:vAlign w:val="center"/>
                </w:tcPr>
                <w:p w14:paraId="050463B8">
                  <w:pPr>
                    <w:pStyle w:val="92"/>
                    <w:keepNext w:val="0"/>
                    <w:keepLines w:val="0"/>
                    <w:widowControl/>
                    <w:suppressLineNumbers w:val="0"/>
                    <w:bidi w:val="0"/>
                    <w:spacing w:before="0" w:beforeAutospacing="0" w:after="0" w:afterAutospacing="0"/>
                    <w:ind w:left="0" w:right="0"/>
                    <w:rPr>
                      <w:rFonts w:hint="default"/>
                      <w:color w:val="auto"/>
                    </w:rPr>
                  </w:pPr>
                </w:p>
              </w:tc>
              <w:tc>
                <w:tcPr>
                  <w:tcW w:w="4586" w:type="dxa"/>
                  <w:noWrap w:val="0"/>
                  <w:vAlign w:val="center"/>
                </w:tcPr>
                <w:p w14:paraId="1A2F5BA7">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建设项目用地原则上不得占用基本农田，确需占用的，应符合《中华人民共和国基本农田保护条例》相关要求；占用耕地、林地或草地的建设项目应符合国家、自治区有关规定。</w:t>
                  </w:r>
                </w:p>
              </w:tc>
              <w:tc>
                <w:tcPr>
                  <w:tcW w:w="866" w:type="dxa"/>
                  <w:noWrap w:val="0"/>
                  <w:vAlign w:val="center"/>
                </w:tcPr>
                <w:p w14:paraId="4AF6A591">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项目不占用基本农田</w:t>
                  </w:r>
                </w:p>
              </w:tc>
              <w:tc>
                <w:tcPr>
                  <w:tcW w:w="826" w:type="dxa"/>
                  <w:noWrap w:val="0"/>
                  <w:vAlign w:val="center"/>
                </w:tcPr>
                <w:p w14:paraId="376BF3CC">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符合</w:t>
                  </w:r>
                </w:p>
              </w:tc>
            </w:tr>
            <w:tr w14:paraId="4AED7F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noWrap w:val="0"/>
                  <w:vAlign w:val="center"/>
                </w:tcPr>
                <w:p w14:paraId="0B521D5B">
                  <w:pPr>
                    <w:pStyle w:val="92"/>
                    <w:keepNext w:val="0"/>
                    <w:keepLines w:val="0"/>
                    <w:widowControl/>
                    <w:suppressLineNumbers w:val="0"/>
                    <w:bidi w:val="0"/>
                    <w:spacing w:before="0" w:beforeAutospacing="0" w:after="0" w:afterAutospacing="0"/>
                    <w:ind w:left="0" w:right="0"/>
                    <w:rPr>
                      <w:rFonts w:hint="default"/>
                      <w:color w:val="auto"/>
                    </w:rPr>
                  </w:pPr>
                </w:p>
              </w:tc>
              <w:tc>
                <w:tcPr>
                  <w:tcW w:w="4586" w:type="dxa"/>
                  <w:noWrap w:val="0"/>
                  <w:vAlign w:val="center"/>
                </w:tcPr>
                <w:p w14:paraId="654C0D9F">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新建、扩建工业项目原则上应布置于依法合规设立、环境保护基础设施完善的产业园区、工业聚集区或规划矿区，并符合相关规划、规划环评及其审查意见要求；法律法规规章和政策另有规定的，从其规定。选址和厂区布置不合理的现有污染企业应根据相关要求，通过“搬迁、转产、停产”等方式限期整改，退城进园。</w:t>
                  </w:r>
                </w:p>
              </w:tc>
              <w:tc>
                <w:tcPr>
                  <w:tcW w:w="866" w:type="dxa"/>
                  <w:noWrap w:val="0"/>
                  <w:vAlign w:val="center"/>
                </w:tcPr>
                <w:p w14:paraId="4D8F259E">
                  <w:pPr>
                    <w:pStyle w:val="92"/>
                    <w:keepNext w:val="0"/>
                    <w:keepLines w:val="0"/>
                    <w:widowControl/>
                    <w:suppressLineNumbers w:val="0"/>
                    <w:bidi w:val="0"/>
                    <w:spacing w:before="0" w:beforeAutospacing="0" w:after="0" w:afterAutospacing="0"/>
                    <w:ind w:left="0" w:right="0"/>
                    <w:rPr>
                      <w:rFonts w:hint="default" w:eastAsia="宋体"/>
                      <w:color w:val="auto"/>
                      <w:lang w:val="en-US" w:eastAsia="zh-CN"/>
                    </w:rPr>
                  </w:pPr>
                  <w:r>
                    <w:rPr>
                      <w:rFonts w:hint="eastAsia"/>
                      <w:color w:val="auto"/>
                    </w:rPr>
                    <w:t>本项目</w:t>
                  </w:r>
                  <w:r>
                    <w:rPr>
                      <w:rFonts w:hint="eastAsia"/>
                      <w:color w:val="auto"/>
                      <w:lang w:val="en-US" w:eastAsia="zh-CN"/>
                    </w:rPr>
                    <w:t>不属于工业项目</w:t>
                  </w:r>
                </w:p>
              </w:tc>
              <w:tc>
                <w:tcPr>
                  <w:tcW w:w="826" w:type="dxa"/>
                  <w:noWrap w:val="0"/>
                  <w:vAlign w:val="center"/>
                </w:tcPr>
                <w:p w14:paraId="05A34612">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符合</w:t>
                  </w:r>
                </w:p>
              </w:tc>
            </w:tr>
            <w:tr w14:paraId="1D4C86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noWrap w:val="0"/>
                  <w:vAlign w:val="center"/>
                </w:tcPr>
                <w:p w14:paraId="4490B4C8">
                  <w:pPr>
                    <w:pStyle w:val="92"/>
                    <w:keepNext w:val="0"/>
                    <w:keepLines w:val="0"/>
                    <w:widowControl/>
                    <w:suppressLineNumbers w:val="0"/>
                    <w:bidi w:val="0"/>
                    <w:spacing w:before="0" w:beforeAutospacing="0" w:after="0" w:afterAutospacing="0"/>
                    <w:ind w:left="0" w:right="0"/>
                    <w:rPr>
                      <w:rFonts w:hint="default"/>
                      <w:color w:val="auto"/>
                    </w:rPr>
                  </w:pPr>
                </w:p>
              </w:tc>
              <w:tc>
                <w:tcPr>
                  <w:tcW w:w="4586" w:type="dxa"/>
                  <w:noWrap w:val="0"/>
                  <w:vAlign w:val="center"/>
                </w:tcPr>
                <w:p w14:paraId="04216F42">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按照国家和自治区排污许可规定，按期持证排污、按证排污，不得无证排污。新增主要污染物排放总量的建设项目必须落实主要污染物排放总量指标来源和控制要求。石化、煤化工、燃煤发电（含热电）、钢铁、有色金属冶炼等新增主要污染物排放量的建设项目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区域削减方案应符合建设项目环境影响评价管理要求，同时符合国家和地方主要污染物排放总量控制要求。涉重金属的新建、改扩建项目其重金属污染物遵循“等量替代”或“减量替代”原则。</w:t>
                  </w:r>
                </w:p>
              </w:tc>
              <w:tc>
                <w:tcPr>
                  <w:tcW w:w="866" w:type="dxa"/>
                  <w:noWrap w:val="0"/>
                  <w:vAlign w:val="center"/>
                </w:tcPr>
                <w:p w14:paraId="55CFBCFD">
                  <w:pPr>
                    <w:pStyle w:val="92"/>
                    <w:keepNext w:val="0"/>
                    <w:keepLines w:val="0"/>
                    <w:widowControl/>
                    <w:suppressLineNumbers w:val="0"/>
                    <w:bidi w:val="0"/>
                    <w:spacing w:before="0" w:beforeAutospacing="0" w:after="0" w:afterAutospacing="0"/>
                    <w:ind w:left="0" w:right="0"/>
                    <w:rPr>
                      <w:rFonts w:hint="default" w:eastAsia="宋体"/>
                      <w:color w:val="auto"/>
                      <w:lang w:val="en-US" w:eastAsia="zh-CN"/>
                    </w:rPr>
                  </w:pPr>
                  <w:r>
                    <w:rPr>
                      <w:rFonts w:hint="eastAsia"/>
                      <w:color w:val="auto"/>
                      <w:lang w:val="en-US" w:eastAsia="zh-CN"/>
                    </w:rPr>
                    <w:t>本项目不涉及污染物排放</w:t>
                  </w:r>
                </w:p>
              </w:tc>
              <w:tc>
                <w:tcPr>
                  <w:tcW w:w="826" w:type="dxa"/>
                  <w:noWrap w:val="0"/>
                  <w:vAlign w:val="center"/>
                </w:tcPr>
                <w:p w14:paraId="1B9D613A">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符合</w:t>
                  </w:r>
                </w:p>
              </w:tc>
            </w:tr>
            <w:tr w14:paraId="7995C8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noWrap w:val="0"/>
                  <w:vAlign w:val="center"/>
                </w:tcPr>
                <w:p w14:paraId="0C6347DB">
                  <w:pPr>
                    <w:pStyle w:val="92"/>
                    <w:keepNext w:val="0"/>
                    <w:keepLines w:val="0"/>
                    <w:widowControl/>
                    <w:suppressLineNumbers w:val="0"/>
                    <w:bidi w:val="0"/>
                    <w:spacing w:before="0" w:beforeAutospacing="0" w:after="0" w:afterAutospacing="0"/>
                    <w:ind w:left="0" w:right="0"/>
                    <w:rPr>
                      <w:rFonts w:hint="default"/>
                      <w:color w:val="auto"/>
                    </w:rPr>
                  </w:pPr>
                </w:p>
              </w:tc>
              <w:tc>
                <w:tcPr>
                  <w:tcW w:w="4586" w:type="dxa"/>
                  <w:noWrap w:val="0"/>
                  <w:vAlign w:val="center"/>
                </w:tcPr>
                <w:p w14:paraId="1B4341FE">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煤电、石化、化工、钢铁、有色金属冶炼、建材等六个行业建设项目应将碳排放影响评价纳入环境影响评价体系，统筹开展污染物和碳排放的源项识别、源强核算、减污降碳措施可行性论证及方案比选，提出协同控制最优方案。</w:t>
                  </w:r>
                </w:p>
              </w:tc>
              <w:tc>
                <w:tcPr>
                  <w:tcW w:w="866" w:type="dxa"/>
                  <w:noWrap w:val="0"/>
                  <w:vAlign w:val="center"/>
                </w:tcPr>
                <w:p w14:paraId="5190688C">
                  <w:pPr>
                    <w:pStyle w:val="92"/>
                    <w:keepNext w:val="0"/>
                    <w:keepLines w:val="0"/>
                    <w:widowControl/>
                    <w:suppressLineNumbers w:val="0"/>
                    <w:bidi w:val="0"/>
                    <w:spacing w:before="0" w:beforeAutospacing="0" w:after="0" w:afterAutospacing="0"/>
                    <w:ind w:left="0" w:right="0"/>
                    <w:rPr>
                      <w:rFonts w:hint="default" w:eastAsia="宋体"/>
                      <w:color w:val="auto"/>
                      <w:lang w:val="en-US" w:eastAsia="zh-CN"/>
                    </w:rPr>
                  </w:pPr>
                  <w:r>
                    <w:rPr>
                      <w:rFonts w:hint="eastAsia"/>
                      <w:color w:val="auto"/>
                    </w:rPr>
                    <w:t>本项目</w:t>
                  </w:r>
                  <w:r>
                    <w:rPr>
                      <w:rFonts w:hint="eastAsia"/>
                      <w:color w:val="auto"/>
                      <w:lang w:val="en-US" w:eastAsia="zh-CN"/>
                    </w:rPr>
                    <w:t>不属于上述行业</w:t>
                  </w:r>
                </w:p>
              </w:tc>
              <w:tc>
                <w:tcPr>
                  <w:tcW w:w="826" w:type="dxa"/>
                  <w:noWrap w:val="0"/>
                  <w:vAlign w:val="center"/>
                </w:tcPr>
                <w:p w14:paraId="32E1FB37">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符合</w:t>
                  </w:r>
                </w:p>
              </w:tc>
            </w:tr>
            <w:tr w14:paraId="653A1E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noWrap w:val="0"/>
                  <w:vAlign w:val="center"/>
                </w:tcPr>
                <w:p w14:paraId="7271EA06">
                  <w:pPr>
                    <w:pStyle w:val="92"/>
                    <w:keepNext w:val="0"/>
                    <w:keepLines w:val="0"/>
                    <w:widowControl/>
                    <w:suppressLineNumbers w:val="0"/>
                    <w:bidi w:val="0"/>
                    <w:spacing w:before="0" w:beforeAutospacing="0" w:after="0" w:afterAutospacing="0"/>
                    <w:ind w:left="0" w:right="0"/>
                    <w:rPr>
                      <w:rFonts w:hint="default"/>
                      <w:color w:val="auto"/>
                    </w:rPr>
                  </w:pPr>
                </w:p>
              </w:tc>
              <w:tc>
                <w:tcPr>
                  <w:tcW w:w="4586" w:type="dxa"/>
                  <w:noWrap w:val="0"/>
                  <w:vAlign w:val="center"/>
                </w:tcPr>
                <w:p w14:paraId="61386E6C">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存在地下水和土壤污染途径的建设项目应采取分区防渗措施，防止地下水和土壤污染。存在环境风险的建设项目，提出有效的环境风险防范措施及环境风险应急预案编制原则和要求，纳入区域环境风险应急联动机制。各类开发区、工业园区和工业聚集区应编制环境风险应急预案，并具备环境风险应急处置能力。未通过认定或不属于一般或较低安全风险的化工园区，不得新建、改扩建危险化学品生产项目（安全、环保、节能和智能化改造和与其他行业生产装置配套建设项目，太阳能、风能等可再生能源电解水制氢项目除外），引导其他石化化工项目在化工园区发展。地方政府要依法依规妥善做好未通过认定化工园区的整改或关闭，以及园区内企业的监管及处置工作。涉及《重点管控新污染物清单》《优先控制化学品名录》所列新污染物（化学物质）生产、加工使用、进出口的建设项目，应当按照国家有关规定采取禁止、限制、限排等环境风险管控措施，对于二噁英、六氯丁二烯、二氯甲烷、三氯甲烷、抗生素等已纳入排放标准的新污染物（化学物质）应进行充分论证和评价，并提出可靠的污染防治措施，确保排放满足相关标准要求，环境影响可接受。</w:t>
                  </w:r>
                </w:p>
              </w:tc>
              <w:tc>
                <w:tcPr>
                  <w:tcW w:w="866" w:type="dxa"/>
                  <w:noWrap w:val="0"/>
                  <w:vAlign w:val="center"/>
                </w:tcPr>
                <w:p w14:paraId="0D08794F">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本项目针对项目建设内容进行分区防渗，防止污染地下水及土壤环境</w:t>
                  </w:r>
                </w:p>
              </w:tc>
              <w:tc>
                <w:tcPr>
                  <w:tcW w:w="826" w:type="dxa"/>
                  <w:noWrap w:val="0"/>
                  <w:vAlign w:val="center"/>
                </w:tcPr>
                <w:p w14:paraId="7AFF09EA">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符合</w:t>
                  </w:r>
                </w:p>
              </w:tc>
            </w:tr>
            <w:tr w14:paraId="0B2BB3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noWrap w:val="0"/>
                  <w:vAlign w:val="center"/>
                </w:tcPr>
                <w:p w14:paraId="35693644">
                  <w:pPr>
                    <w:pStyle w:val="92"/>
                    <w:keepNext w:val="0"/>
                    <w:keepLines w:val="0"/>
                    <w:widowControl/>
                    <w:suppressLineNumbers w:val="0"/>
                    <w:bidi w:val="0"/>
                    <w:spacing w:before="0" w:beforeAutospacing="0" w:after="0" w:afterAutospacing="0"/>
                    <w:ind w:left="0" w:right="0"/>
                    <w:rPr>
                      <w:rFonts w:hint="default"/>
                      <w:color w:val="auto"/>
                    </w:rPr>
                  </w:pPr>
                </w:p>
              </w:tc>
              <w:tc>
                <w:tcPr>
                  <w:tcW w:w="4586" w:type="dxa"/>
                  <w:noWrap w:val="0"/>
                  <w:vAlign w:val="center"/>
                </w:tcPr>
                <w:p w14:paraId="16495A6C">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企业排污车间或工段与环境敏感区距离应满足国家、地方规定或环境影响评价文件提出的大气环境防护距离要求，环境防护距离范围内不应有居民区、学校、医院等环境敏感目标。</w:t>
                  </w:r>
                </w:p>
              </w:tc>
              <w:tc>
                <w:tcPr>
                  <w:tcW w:w="866" w:type="dxa"/>
                  <w:noWrap w:val="0"/>
                  <w:vAlign w:val="center"/>
                </w:tcPr>
                <w:p w14:paraId="1161080A">
                  <w:pPr>
                    <w:pStyle w:val="92"/>
                    <w:keepNext w:val="0"/>
                    <w:keepLines w:val="0"/>
                    <w:widowControl/>
                    <w:suppressLineNumbers w:val="0"/>
                    <w:bidi w:val="0"/>
                    <w:spacing w:before="0" w:beforeAutospacing="0" w:after="0" w:afterAutospacing="0"/>
                    <w:ind w:left="0" w:right="0"/>
                    <w:rPr>
                      <w:rFonts w:hint="default" w:eastAsia="宋体"/>
                      <w:color w:val="auto"/>
                      <w:lang w:val="en-US" w:eastAsia="zh-CN"/>
                    </w:rPr>
                  </w:pPr>
                  <w:r>
                    <w:rPr>
                      <w:rFonts w:hint="eastAsia"/>
                      <w:color w:val="auto"/>
                      <w:highlight w:val="none"/>
                    </w:rPr>
                    <w:t>项目</w:t>
                  </w:r>
                  <w:r>
                    <w:rPr>
                      <w:rFonts w:hint="eastAsia"/>
                      <w:color w:val="auto"/>
                      <w:highlight w:val="none"/>
                      <w:lang w:val="en-US" w:eastAsia="zh-CN"/>
                    </w:rPr>
                    <w:t>不涉及大气环境防护距离</w:t>
                  </w:r>
                </w:p>
              </w:tc>
              <w:tc>
                <w:tcPr>
                  <w:tcW w:w="826" w:type="dxa"/>
                  <w:noWrap w:val="0"/>
                  <w:vAlign w:val="center"/>
                </w:tcPr>
                <w:p w14:paraId="4F98F45F">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符合</w:t>
                  </w:r>
                </w:p>
              </w:tc>
            </w:tr>
            <w:tr w14:paraId="0A84B2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noWrap w:val="0"/>
                  <w:vAlign w:val="center"/>
                </w:tcPr>
                <w:p w14:paraId="43A30BDF">
                  <w:pPr>
                    <w:pStyle w:val="92"/>
                    <w:keepNext w:val="0"/>
                    <w:keepLines w:val="0"/>
                    <w:widowControl/>
                    <w:suppressLineNumbers w:val="0"/>
                    <w:bidi w:val="0"/>
                    <w:spacing w:before="0" w:beforeAutospacing="0" w:after="0" w:afterAutospacing="0"/>
                    <w:ind w:left="0" w:right="0"/>
                    <w:rPr>
                      <w:rFonts w:hint="default"/>
                      <w:color w:val="auto"/>
                    </w:rPr>
                  </w:pPr>
                </w:p>
              </w:tc>
              <w:tc>
                <w:tcPr>
                  <w:tcW w:w="4586" w:type="dxa"/>
                  <w:noWrap w:val="0"/>
                  <w:vAlign w:val="center"/>
                </w:tcPr>
                <w:p w14:paraId="067F9982">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根据《固体废物鉴别标准 通则》（GB34330）《建设项目危险废物环境影响评价指南》，对建设项目产生的所有副产物，应依据产生来源、利用和处置过程鉴别该副产物是否属于固体废物，作为固体废物管理的副产物应按照《国家危险废物名录》《危险废物鉴别标准 通则》（GB5085.7）等进行危险废物属性判定或鉴别。环评阶段不具备开展危险特性鉴别条件的可能含有危险特性的固体废物，应明确疑似危险废物的名称、种类、可能的有害成分，并明确暂按危险废物从严管理，并要求在该类固体废物产生后开展危险特性鉴别。建设单位应持续提高资源产出率， 大宗工业固体废物综合利用率应达到国家及自治区有关要求。</w:t>
                  </w:r>
                </w:p>
              </w:tc>
              <w:tc>
                <w:tcPr>
                  <w:tcW w:w="866" w:type="dxa"/>
                  <w:noWrap w:val="0"/>
                  <w:vAlign w:val="center"/>
                </w:tcPr>
                <w:p w14:paraId="194C6E43">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本项目固体废物均进行了属性分析及判别，并针对部分固废采取资源化回收措施</w:t>
                  </w:r>
                </w:p>
              </w:tc>
              <w:tc>
                <w:tcPr>
                  <w:tcW w:w="826" w:type="dxa"/>
                  <w:noWrap w:val="0"/>
                  <w:vAlign w:val="center"/>
                </w:tcPr>
                <w:p w14:paraId="6D23E16D">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符合</w:t>
                  </w:r>
                </w:p>
              </w:tc>
            </w:tr>
            <w:tr w14:paraId="61900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noWrap w:val="0"/>
                  <w:vAlign w:val="center"/>
                </w:tcPr>
                <w:p w14:paraId="25319920">
                  <w:pPr>
                    <w:pStyle w:val="92"/>
                    <w:keepNext w:val="0"/>
                    <w:keepLines w:val="0"/>
                    <w:widowControl/>
                    <w:suppressLineNumbers w:val="0"/>
                    <w:bidi w:val="0"/>
                    <w:spacing w:before="0" w:beforeAutospacing="0" w:after="0" w:afterAutospacing="0"/>
                    <w:ind w:left="0" w:right="0"/>
                    <w:rPr>
                      <w:rFonts w:hint="default"/>
                      <w:color w:val="auto"/>
                    </w:rPr>
                  </w:pPr>
                </w:p>
              </w:tc>
              <w:tc>
                <w:tcPr>
                  <w:tcW w:w="4586" w:type="dxa"/>
                  <w:noWrap w:val="0"/>
                  <w:vAlign w:val="center"/>
                </w:tcPr>
                <w:p w14:paraId="366F5D60">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磷酸盐采选和直接以磷酸盐矿为原料的加工项目，煤炭开采、选矿项目，锆及氧化锆、铌/钽、锡、铝、铅/锌、铜、钒、钼、镍、锗、钛、金等采、选、冶建设项目应符合《关于发布&lt;矿产资源开发利用辐射环境监督管理名录&gt;的公告》和《伴生放射性矿产资源开发利用企业环境辐射监测及信息公开管理办法(试行)》的要求。</w:t>
                  </w:r>
                </w:p>
              </w:tc>
              <w:tc>
                <w:tcPr>
                  <w:tcW w:w="866" w:type="dxa"/>
                  <w:noWrap w:val="0"/>
                  <w:vAlign w:val="center"/>
                </w:tcPr>
                <w:p w14:paraId="558230A1">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本项目不属于上述行业</w:t>
                  </w:r>
                </w:p>
              </w:tc>
              <w:tc>
                <w:tcPr>
                  <w:tcW w:w="826" w:type="dxa"/>
                  <w:noWrap w:val="0"/>
                  <w:vAlign w:val="center"/>
                </w:tcPr>
                <w:p w14:paraId="6D4A8F21">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符合</w:t>
                  </w:r>
                </w:p>
              </w:tc>
            </w:tr>
            <w:tr w14:paraId="28D197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noWrap w:val="0"/>
                  <w:vAlign w:val="center"/>
                </w:tcPr>
                <w:p w14:paraId="50C2BE23">
                  <w:pPr>
                    <w:pStyle w:val="92"/>
                    <w:keepNext w:val="0"/>
                    <w:keepLines w:val="0"/>
                    <w:widowControl/>
                    <w:suppressLineNumbers w:val="0"/>
                    <w:bidi w:val="0"/>
                    <w:spacing w:before="0" w:beforeAutospacing="0" w:after="0" w:afterAutospacing="0"/>
                    <w:ind w:left="0" w:right="0"/>
                    <w:rPr>
                      <w:rFonts w:hint="default"/>
                      <w:color w:val="auto"/>
                    </w:rPr>
                  </w:pPr>
                </w:p>
              </w:tc>
              <w:tc>
                <w:tcPr>
                  <w:tcW w:w="4586" w:type="dxa"/>
                  <w:noWrap w:val="0"/>
                  <w:vAlign w:val="center"/>
                </w:tcPr>
                <w:p w14:paraId="4EA1BA3B">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建设项目清洁生产水平应达到国家清洁生产标准的国际先进、国内领先水平或满足清洁生产评价指标体系中的清洁生产企业要求。无国家清洁生产标准和清洁生产评价指标体系的建设项目，其生产工艺与装备要求、资源能源利用指标、污染物产生指标、废物回收利用指标、环境管理要求等各项指标水平应达到国内同行业现有企业先进水平。</w:t>
                  </w:r>
                </w:p>
              </w:tc>
              <w:tc>
                <w:tcPr>
                  <w:tcW w:w="866" w:type="dxa"/>
                  <w:noWrap w:val="0"/>
                  <w:vAlign w:val="center"/>
                </w:tcPr>
                <w:p w14:paraId="51F6657F">
                  <w:pPr>
                    <w:pStyle w:val="92"/>
                    <w:keepNext w:val="0"/>
                    <w:keepLines w:val="0"/>
                    <w:widowControl/>
                    <w:suppressLineNumbers w:val="0"/>
                    <w:bidi w:val="0"/>
                    <w:spacing w:before="0" w:beforeAutospacing="0" w:after="0" w:afterAutospacing="0"/>
                    <w:ind w:left="0" w:right="0"/>
                    <w:rPr>
                      <w:rFonts w:hint="default" w:eastAsia="宋体"/>
                      <w:color w:val="auto"/>
                      <w:lang w:val="en-US" w:eastAsia="zh-CN"/>
                    </w:rPr>
                  </w:pPr>
                  <w:r>
                    <w:rPr>
                      <w:rFonts w:hint="eastAsia"/>
                      <w:color w:val="auto"/>
                    </w:rPr>
                    <w:t>本项目</w:t>
                  </w:r>
                  <w:r>
                    <w:rPr>
                      <w:rFonts w:hint="eastAsia"/>
                      <w:color w:val="auto"/>
                      <w:lang w:val="en-US" w:eastAsia="zh-CN"/>
                    </w:rPr>
                    <w:t>符合清洁生产要求</w:t>
                  </w:r>
                </w:p>
              </w:tc>
              <w:tc>
                <w:tcPr>
                  <w:tcW w:w="826" w:type="dxa"/>
                  <w:noWrap w:val="0"/>
                  <w:vAlign w:val="center"/>
                </w:tcPr>
                <w:p w14:paraId="708E2308">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符合</w:t>
                  </w:r>
                </w:p>
              </w:tc>
            </w:tr>
            <w:tr w14:paraId="20DFD3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noWrap w:val="0"/>
                  <w:vAlign w:val="center"/>
                </w:tcPr>
                <w:p w14:paraId="54CDC804">
                  <w:pPr>
                    <w:pStyle w:val="92"/>
                    <w:keepNext w:val="0"/>
                    <w:keepLines w:val="0"/>
                    <w:widowControl/>
                    <w:suppressLineNumbers w:val="0"/>
                    <w:bidi w:val="0"/>
                    <w:spacing w:before="0" w:beforeAutospacing="0" w:after="0" w:afterAutospacing="0"/>
                    <w:ind w:left="0" w:right="0"/>
                    <w:rPr>
                      <w:rFonts w:hint="default"/>
                      <w:color w:val="auto"/>
                    </w:rPr>
                  </w:pPr>
                </w:p>
              </w:tc>
              <w:tc>
                <w:tcPr>
                  <w:tcW w:w="4586" w:type="dxa"/>
                  <w:noWrap w:val="0"/>
                  <w:vAlign w:val="center"/>
                </w:tcPr>
                <w:p w14:paraId="52132952">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鼓励合理利用资源、能源。尽可能采用清洁能源，生产过程中产生的余热、余气、余压应合理利用。采用天然气作原料的应符合天然气利用政策，高污染燃料的使用应符合本通则及其他相关政策要求。按照“清污分流、一水多用、循环使用”的原则，加强节水和统筹用水的管理。鼓励矿井水、中水利用，严格限制使用地下水，最大限度提高水的复用率，减少外排量或实现零排放。</w:t>
                  </w:r>
                </w:p>
              </w:tc>
              <w:tc>
                <w:tcPr>
                  <w:tcW w:w="866" w:type="dxa"/>
                  <w:noWrap w:val="0"/>
                  <w:vAlign w:val="center"/>
                </w:tcPr>
                <w:p w14:paraId="2FAB6EA6">
                  <w:pPr>
                    <w:pStyle w:val="92"/>
                    <w:keepNext w:val="0"/>
                    <w:keepLines w:val="0"/>
                    <w:widowControl/>
                    <w:suppressLineNumbers w:val="0"/>
                    <w:bidi w:val="0"/>
                    <w:spacing w:before="0" w:beforeAutospacing="0" w:after="0" w:afterAutospacing="0"/>
                    <w:ind w:left="0" w:right="0"/>
                    <w:rPr>
                      <w:rFonts w:hint="default" w:eastAsia="宋体"/>
                      <w:color w:val="auto"/>
                      <w:lang w:val="en-US" w:eastAsia="zh-CN"/>
                    </w:rPr>
                  </w:pPr>
                  <w:r>
                    <w:rPr>
                      <w:rFonts w:hint="eastAsia"/>
                      <w:color w:val="auto"/>
                    </w:rPr>
                    <w:t>项目废水综合回用，提高水利用率</w:t>
                  </w:r>
                </w:p>
              </w:tc>
              <w:tc>
                <w:tcPr>
                  <w:tcW w:w="826" w:type="dxa"/>
                  <w:noWrap w:val="0"/>
                  <w:vAlign w:val="center"/>
                </w:tcPr>
                <w:p w14:paraId="56049D3B">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符合</w:t>
                  </w:r>
                </w:p>
              </w:tc>
            </w:tr>
            <w:tr w14:paraId="4707BA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7" w:type="dxa"/>
                  <w:vMerge w:val="continue"/>
                  <w:noWrap w:val="0"/>
                  <w:vAlign w:val="center"/>
                </w:tcPr>
                <w:p w14:paraId="6E4789B0">
                  <w:pPr>
                    <w:pStyle w:val="92"/>
                    <w:keepNext w:val="0"/>
                    <w:keepLines w:val="0"/>
                    <w:widowControl/>
                    <w:suppressLineNumbers w:val="0"/>
                    <w:bidi w:val="0"/>
                    <w:spacing w:before="0" w:beforeAutospacing="0" w:after="0" w:afterAutospacing="0"/>
                    <w:ind w:left="0" w:right="0"/>
                    <w:rPr>
                      <w:rFonts w:hint="default"/>
                      <w:color w:val="auto"/>
                    </w:rPr>
                  </w:pPr>
                </w:p>
              </w:tc>
              <w:tc>
                <w:tcPr>
                  <w:tcW w:w="4586" w:type="dxa"/>
                  <w:noWrap w:val="0"/>
                  <w:vAlign w:val="center"/>
                </w:tcPr>
                <w:p w14:paraId="59902B7F">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改建、扩建项目，应对现有工程的环境保护措施及效果进行全面梳理评估，针对项目原有环境污染和生态破坏提出有效防治措施并纳入竣工环保验收。</w:t>
                  </w:r>
                </w:p>
              </w:tc>
              <w:tc>
                <w:tcPr>
                  <w:tcW w:w="866" w:type="dxa"/>
                  <w:noWrap w:val="0"/>
                  <w:vAlign w:val="center"/>
                </w:tcPr>
                <w:p w14:paraId="144B4CED">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项目属于新建项目</w:t>
                  </w:r>
                </w:p>
              </w:tc>
              <w:tc>
                <w:tcPr>
                  <w:tcW w:w="826" w:type="dxa"/>
                  <w:noWrap w:val="0"/>
                  <w:vAlign w:val="center"/>
                </w:tcPr>
                <w:p w14:paraId="03B36B7D">
                  <w:pPr>
                    <w:pStyle w:val="92"/>
                    <w:keepNext w:val="0"/>
                    <w:keepLines w:val="0"/>
                    <w:widowControl/>
                    <w:suppressLineNumbers w:val="0"/>
                    <w:bidi w:val="0"/>
                    <w:spacing w:before="0" w:beforeAutospacing="0" w:after="0" w:afterAutospacing="0"/>
                    <w:ind w:left="0" w:right="0"/>
                    <w:rPr>
                      <w:rFonts w:hint="default"/>
                      <w:color w:val="auto"/>
                    </w:rPr>
                  </w:pPr>
                  <w:r>
                    <w:rPr>
                      <w:rFonts w:hint="eastAsia"/>
                      <w:color w:val="auto"/>
                    </w:rPr>
                    <w:t>符合</w:t>
                  </w:r>
                </w:p>
              </w:tc>
            </w:tr>
          </w:tbl>
          <w:p w14:paraId="562CEA3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综合分析，项目建设符合《新疆维吾尔自治区重点行业生态环境准入条件（2024年）》相关要求。</w:t>
            </w:r>
          </w:p>
          <w:p w14:paraId="29666184">
            <w:pPr>
              <w:keepNext w:val="0"/>
              <w:keepLines w:val="0"/>
              <w:pageBreakBefore w:val="0"/>
              <w:widowControl/>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b w:val="0"/>
                <w:bCs/>
                <w:color w:val="auto"/>
                <w:sz w:val="24"/>
              </w:rPr>
            </w:pPr>
            <w:r>
              <w:rPr>
                <w:rFonts w:hint="eastAsia" w:ascii="Times New Roman" w:hAnsi="Times New Roman" w:cs="Times New Roman"/>
                <w:b w:val="0"/>
                <w:bCs/>
                <w:color w:val="auto"/>
                <w:sz w:val="24"/>
                <w:lang w:val="en-US" w:eastAsia="zh-CN"/>
              </w:rPr>
              <w:t>10</w:t>
            </w:r>
            <w:r>
              <w:rPr>
                <w:rFonts w:hint="default" w:ascii="Times New Roman" w:hAnsi="Times New Roman" w:cs="Times New Roman"/>
                <w:b w:val="0"/>
                <w:bCs/>
                <w:color w:val="auto"/>
                <w:sz w:val="24"/>
              </w:rPr>
              <w:t>、与《自然资办发〔2023〕12号 关于支持光伏发电产业发展规范用地管理有关工作的通知》的符合性</w:t>
            </w:r>
          </w:p>
          <w:p w14:paraId="0AF3A53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关于支持光伏发电产业发展规范用地管理有关工作的通知》自然资办发〔2023〕12号，鼓励利用未利用地和存量建设用地发展光伏发电产业；不得占用耕地；用地涉及占用基本草原外草原的，地方林草主管部门应科学评估本地区草原资源与生态状况，合理确定项目的试建区域、建设模式与建设要求。</w:t>
            </w:r>
          </w:p>
          <w:p w14:paraId="45FB9DE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本项目用地为国有未利用地，占地类型为其他草地，符合《关于支持光伏发电产业发展规范用地管理有关工作的通知》。</w:t>
            </w:r>
          </w:p>
          <w:p w14:paraId="253BB86D">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b w:val="0"/>
                <w:bCs/>
                <w:color w:val="auto"/>
                <w:sz w:val="24"/>
              </w:rPr>
            </w:pPr>
            <w:r>
              <w:rPr>
                <w:rFonts w:hint="eastAsia" w:ascii="Times New Roman" w:hAnsi="Times New Roman" w:cs="Times New Roman"/>
                <w:b w:val="0"/>
                <w:bCs/>
                <w:color w:val="auto"/>
                <w:sz w:val="24"/>
                <w:lang w:val="en-US" w:eastAsia="zh-CN"/>
              </w:rPr>
              <w:t>11</w:t>
            </w:r>
            <w:r>
              <w:rPr>
                <w:rFonts w:hint="default" w:ascii="Times New Roman" w:hAnsi="Times New Roman" w:cs="Times New Roman"/>
                <w:b w:val="0"/>
                <w:bCs/>
                <w:color w:val="auto"/>
                <w:sz w:val="24"/>
              </w:rPr>
              <w:t>、与《新疆维吾尔自治区国民经济和社会发展第十四个五年规划和2035年远景目标纲要》符合性分析</w:t>
            </w:r>
          </w:p>
          <w:p w14:paraId="732611F1">
            <w:pPr>
              <w:pStyle w:val="60"/>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b w:val="0"/>
                <w:bCs/>
                <w:color w:val="auto"/>
                <w:sz w:val="24"/>
              </w:rPr>
            </w:pPr>
            <w:r>
              <w:rPr>
                <w:rFonts w:hint="default" w:ascii="Times New Roman" w:hAnsi="Times New Roman" w:cs="Times New Roman"/>
                <w:b w:val="0"/>
                <w:bCs/>
                <w:color w:val="auto"/>
                <w:sz w:val="24"/>
              </w:rPr>
              <w:t>加快建设国家“三基地一通道”</w:t>
            </w:r>
            <w:r>
              <w:rPr>
                <w:rFonts w:hint="eastAsia" w:ascii="Times New Roman" w:hAnsi="Times New Roman" w:cs="Times New Roman"/>
                <w:b w:val="0"/>
                <w:bCs/>
                <w:color w:val="auto"/>
                <w:sz w:val="24"/>
                <w:lang w:eastAsia="zh-CN"/>
              </w:rPr>
              <w:t>，</w:t>
            </w:r>
            <w:r>
              <w:rPr>
                <w:rFonts w:hint="default" w:ascii="Times New Roman" w:hAnsi="Times New Roman" w:cs="Times New Roman"/>
                <w:b w:val="0"/>
                <w:bCs/>
                <w:color w:val="auto"/>
                <w:sz w:val="24"/>
              </w:rPr>
              <w:t>落实国家能源发展战略，围绕国家“三基地一通道”定位，加快煤电油气风光储一体化示范，构建清洁低碳、安全高效的能源体系，保障国家能源安全供应。</w:t>
            </w:r>
          </w:p>
          <w:p w14:paraId="09B5E86A">
            <w:pPr>
              <w:pStyle w:val="60"/>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b w:val="0"/>
                <w:bCs/>
                <w:color w:val="auto"/>
                <w:kern w:val="0"/>
                <w:sz w:val="24"/>
                <w:lang w:bidi="ar"/>
              </w:rPr>
            </w:pPr>
            <w:r>
              <w:rPr>
                <w:rFonts w:hint="default" w:ascii="Times New Roman" w:hAnsi="Times New Roman" w:cs="Times New Roman"/>
                <w:b w:val="0"/>
                <w:bCs/>
                <w:color w:val="auto"/>
                <w:kern w:val="0"/>
                <w:sz w:val="24"/>
                <w:lang w:bidi="ar"/>
              </w:rPr>
              <w:t>本项目为光能开发项目，属于绿色低碳能源，</w:t>
            </w:r>
            <w:r>
              <w:rPr>
                <w:rFonts w:hint="default" w:ascii="Times New Roman" w:hAnsi="Times New Roman" w:cs="Times New Roman"/>
                <w:b w:val="0"/>
                <w:bCs/>
                <w:color w:val="auto"/>
                <w:sz w:val="24"/>
              </w:rPr>
              <w:t>符合国家能源发展战略，</w:t>
            </w:r>
            <w:r>
              <w:rPr>
                <w:rFonts w:hint="default" w:ascii="Times New Roman" w:hAnsi="Times New Roman" w:cs="Times New Roman"/>
                <w:b w:val="0"/>
                <w:bCs/>
                <w:color w:val="auto"/>
                <w:kern w:val="0"/>
                <w:sz w:val="24"/>
                <w:lang w:bidi="ar"/>
              </w:rPr>
              <w:t>符合新疆维吾尔自治区国民经济和社会发展第十四个五年规划和2035年远景目标纲要要求。</w:t>
            </w:r>
          </w:p>
          <w:p w14:paraId="56447C6A">
            <w:pPr>
              <w:keepNext w:val="0"/>
              <w:keepLines w:val="0"/>
              <w:pageBreakBefore w:val="0"/>
              <w:widowControl/>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b w:val="0"/>
                <w:bCs/>
                <w:color w:val="auto"/>
                <w:sz w:val="24"/>
                <w:lang w:val="zh-CN"/>
              </w:rPr>
            </w:pPr>
            <w:r>
              <w:rPr>
                <w:rFonts w:hint="eastAsia" w:ascii="Times New Roman" w:hAnsi="Times New Roman" w:cs="Times New Roman"/>
                <w:b w:val="0"/>
                <w:bCs/>
                <w:color w:val="auto"/>
                <w:sz w:val="24"/>
                <w:lang w:val="en-US" w:eastAsia="zh-CN"/>
              </w:rPr>
              <w:t>12</w:t>
            </w:r>
            <w:r>
              <w:rPr>
                <w:rFonts w:hint="default" w:ascii="Times New Roman" w:hAnsi="Times New Roman" w:cs="Times New Roman"/>
                <w:b w:val="0"/>
                <w:bCs/>
                <w:color w:val="auto"/>
                <w:sz w:val="24"/>
              </w:rPr>
              <w:t>、</w:t>
            </w:r>
            <w:r>
              <w:rPr>
                <w:rFonts w:hint="default" w:ascii="Times New Roman" w:hAnsi="Times New Roman" w:cs="Times New Roman"/>
                <w:b w:val="0"/>
                <w:bCs/>
                <w:color w:val="auto"/>
                <w:sz w:val="24"/>
                <w:lang w:val="zh-CN"/>
              </w:rPr>
              <w:t>与《新疆生态环境保护“十四五”规划》的符合性</w:t>
            </w:r>
          </w:p>
          <w:p w14:paraId="0A807E4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b w:val="0"/>
                <w:bCs/>
                <w:color w:val="auto"/>
                <w:sz w:val="24"/>
                <w:lang w:val="zh-CN"/>
              </w:rPr>
            </w:pPr>
            <w:r>
              <w:rPr>
                <w:rFonts w:hint="default" w:ascii="Times New Roman" w:hAnsi="Times New Roman" w:cs="Times New Roman"/>
                <w:b w:val="0"/>
                <w:bCs/>
                <w:color w:val="auto"/>
                <w:sz w:val="24"/>
                <w:lang w:val="zh-CN"/>
              </w:rPr>
              <w:t>2021年12月，自治区党委、自治区人民政府印发了《新疆生态环境保护“十四五”规划》，规划提出：大力发展清洁能源。进一步壮大清洁能源产业，着力转变能源生产和消费模式，推动化石能源转型升级。加快非化石能源发展，推进风电和太阳能发电基地建设，积极开发分布式太阳能发电和分散式风电，支持可再生能源与工业、建筑、交通、农业、生态等产业和设施协同发展，配套发展储能产业，推进抽水蓄能电站建设，加快新型储能示范推广应用。积极发展可再生能源微电网、局域网，提高可再生能源的推广和消纳能力。</w:t>
            </w:r>
          </w:p>
          <w:p w14:paraId="63E0982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b w:val="0"/>
                <w:bCs/>
                <w:color w:val="auto"/>
                <w:sz w:val="24"/>
                <w:lang w:val="zh-CN"/>
              </w:rPr>
            </w:pPr>
            <w:r>
              <w:rPr>
                <w:rFonts w:hint="default" w:ascii="Times New Roman" w:hAnsi="Times New Roman" w:cs="Times New Roman"/>
                <w:b w:val="0"/>
                <w:bCs/>
                <w:color w:val="auto"/>
                <w:sz w:val="24"/>
                <w:lang w:val="zh-CN"/>
              </w:rPr>
              <w:t>本项目属于利用可再生清洁能源发电项目，另外本项目的建设可</w:t>
            </w:r>
            <w:r>
              <w:rPr>
                <w:rFonts w:hint="eastAsia" w:ascii="Times New Roman" w:hAnsi="Times New Roman" w:cs="Times New Roman"/>
                <w:b w:val="0"/>
                <w:bCs/>
                <w:color w:val="auto"/>
                <w:sz w:val="24"/>
                <w:lang w:val="zh-CN"/>
              </w:rPr>
              <w:t>减少化石能源</w:t>
            </w:r>
            <w:r>
              <w:rPr>
                <w:rFonts w:hint="default" w:ascii="Times New Roman" w:hAnsi="Times New Roman" w:cs="Times New Roman"/>
                <w:b w:val="0"/>
                <w:bCs/>
                <w:color w:val="auto"/>
                <w:sz w:val="24"/>
                <w:lang w:val="zh-CN"/>
              </w:rPr>
              <w:t>的消耗，减少二氧化碳的排放，因此，本项目的建设符合《新疆生态环境保护“十四五”规划》的相关要求。</w:t>
            </w:r>
          </w:p>
          <w:p w14:paraId="4AE0B072">
            <w:pPr>
              <w:keepNext w:val="0"/>
              <w:keepLines w:val="0"/>
              <w:pageBreakBefore w:val="0"/>
              <w:widowControl/>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b w:val="0"/>
                <w:bCs/>
                <w:color w:val="auto"/>
                <w:sz w:val="24"/>
              </w:rPr>
            </w:pPr>
            <w:r>
              <w:rPr>
                <w:rFonts w:hint="eastAsia" w:ascii="Times New Roman" w:hAnsi="Times New Roman" w:cs="Times New Roman"/>
                <w:b w:val="0"/>
                <w:bCs/>
                <w:color w:val="auto"/>
                <w:sz w:val="24"/>
                <w:lang w:val="en-US" w:eastAsia="zh-CN"/>
              </w:rPr>
              <w:t>13</w:t>
            </w:r>
            <w:r>
              <w:rPr>
                <w:rFonts w:hint="default" w:ascii="Times New Roman" w:hAnsi="Times New Roman" w:cs="Times New Roman"/>
                <w:b w:val="0"/>
                <w:bCs/>
                <w:color w:val="auto"/>
                <w:sz w:val="24"/>
              </w:rPr>
              <w:t>、与《新疆维吾尔自治区“十四五”电力发展规划》符合性分析</w:t>
            </w:r>
          </w:p>
          <w:p w14:paraId="0EF6000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b w:val="0"/>
                <w:bCs/>
                <w:color w:val="auto"/>
                <w:sz w:val="24"/>
              </w:rPr>
            </w:pPr>
            <w:r>
              <w:rPr>
                <w:rFonts w:hint="default" w:ascii="Times New Roman" w:hAnsi="Times New Roman" w:cs="Times New Roman"/>
                <w:b w:val="0"/>
                <w:bCs/>
                <w:color w:val="auto"/>
                <w:sz w:val="24"/>
              </w:rPr>
              <w:t>根据《新疆维吾尔自治区“十四五”电力发展规划》“加快推动沙漠、戈壁、荒漠为重点的大型风电光伏基地建设， 优化提升新能源发电占比，改革新能源汇集和电力分配方式，打破县市界限，统筹规划新能源建设，支撑新能源规模化、集约化开发。积极推进太阳能开发。光伏发电、光热项目优先布局在资源条件较好的地区，着力提升就地消纳和外送能力。以哈密、准东、南疆环塔三大新能源基地为依托，推进光伏发电发展。到2025年光伏发电总装机2970万千瓦，较2020年新增1709万千瓦；光热发电总装机15万千瓦，较2020年新增10万千瓦。”</w:t>
            </w:r>
          </w:p>
          <w:p w14:paraId="6D5BDF3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b w:val="0"/>
                <w:bCs/>
                <w:color w:val="auto"/>
                <w:sz w:val="24"/>
              </w:rPr>
            </w:pPr>
            <w:r>
              <w:rPr>
                <w:rFonts w:hint="default" w:ascii="Times New Roman" w:hAnsi="Times New Roman" w:cs="Times New Roman"/>
                <w:b w:val="0"/>
                <w:bCs/>
                <w:color w:val="auto"/>
                <w:sz w:val="24"/>
              </w:rPr>
              <w:t>本项目位于昌吉州玛纳斯县，为光伏发电项目，符合《新疆维吾尔自治区“十四五”电力发展规划》。</w:t>
            </w:r>
          </w:p>
          <w:p w14:paraId="3BB54C0D">
            <w:pPr>
              <w:keepNext w:val="0"/>
              <w:keepLines w:val="0"/>
              <w:pageBreakBefore w:val="0"/>
              <w:widowControl/>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14、与《昌吉回族自治州生态环境保护与建设“十四五”规划》符合性分析</w:t>
            </w:r>
          </w:p>
          <w:p w14:paraId="7BB1DA78">
            <w:pPr>
              <w:keepNext w:val="0"/>
              <w:keepLines w:val="0"/>
              <w:pageBreakBefore w:val="0"/>
              <w:widowControl/>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昌吉回族自治州生态环境保护与建设“十四五”规划》积极落实能源消费双控制度，强化节能评估审查。制定并实施《煤炭消费总量控制及重点区域煤炭消费削减行动计划（2021-2023年）》，到2025年“乌-昌-石”区域在保证企业生产刚性需求的情况下，煤炭消费占一次能源消费比重有所下降。推动煤炭清洁高效利用，提高煤炭综合利用效率，提升煤矸石、粉煤灰和各种余气、余热综合利用水平。大力开发水能、风能、太阳能、地热能等可再生能源，探索氢能开发利用，加快推进煤炭替代。加快构建结构多元、供应稳定的现代绿色能源产业体系，建立健全可再生能源电力消纳保障机制。</w:t>
            </w:r>
          </w:p>
          <w:p w14:paraId="3650F22D">
            <w:pPr>
              <w:keepNext w:val="0"/>
              <w:keepLines w:val="0"/>
              <w:pageBreakBefore w:val="0"/>
              <w:widowControl/>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本项目为光伏发电项目，项目建成后充分开发利用太阳能，属于清洁能源，符合《昌吉回族自治州生态环境保护与建设“十四五”规划》要求。</w:t>
            </w:r>
          </w:p>
          <w:p w14:paraId="2034DBF3">
            <w:pPr>
              <w:keepNext w:val="0"/>
              <w:keepLines w:val="0"/>
              <w:pageBreakBefore w:val="0"/>
              <w:widowControl/>
              <w:suppressLineNumbers w:val="0"/>
              <w:kinsoku/>
              <w:wordWrap/>
              <w:overflowPunct/>
              <w:topLinePunct w:val="0"/>
              <w:bidi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15</w:t>
            </w:r>
            <w:r>
              <w:rPr>
                <w:rFonts w:hint="default" w:ascii="Times New Roman" w:hAnsi="Times New Roman" w:eastAsia="宋体" w:cs="Times New Roman"/>
                <w:color w:val="auto"/>
                <w:sz w:val="24"/>
                <w:lang w:val="en-US" w:eastAsia="zh-CN"/>
              </w:rPr>
              <w:t>、生态环境分区管控</w:t>
            </w:r>
            <w:r>
              <w:rPr>
                <w:rFonts w:hint="default" w:ascii="Times New Roman" w:hAnsi="Times New Roman" w:eastAsia="宋体" w:cs="Times New Roman"/>
                <w:b w:val="0"/>
                <w:bCs/>
                <w:color w:val="auto"/>
                <w:sz w:val="24"/>
                <w:lang w:val="en-US" w:eastAsia="zh-CN"/>
              </w:rPr>
              <w:t>方案</w:t>
            </w:r>
            <w:r>
              <w:rPr>
                <w:rFonts w:hint="default" w:ascii="Times New Roman" w:hAnsi="Times New Roman" w:eastAsia="宋体" w:cs="Times New Roman"/>
                <w:color w:val="auto"/>
                <w:sz w:val="24"/>
                <w:lang w:val="en-US" w:eastAsia="zh-CN"/>
              </w:rPr>
              <w:t>符合性分析</w:t>
            </w:r>
          </w:p>
          <w:p w14:paraId="140EE35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（1）与《关于印发</w:t>
            </w:r>
            <w:r>
              <w:rPr>
                <w:rFonts w:hint="eastAsia" w:ascii="Times New Roman" w:hAnsi="Times New Roman" w:eastAsia="宋体" w:cs="Times New Roman"/>
                <w:color w:val="auto"/>
                <w:sz w:val="24"/>
                <w:lang w:val="en-US" w:eastAsia="zh-CN"/>
              </w:rPr>
              <w:t>&lt;</w:t>
            </w:r>
            <w:r>
              <w:rPr>
                <w:rFonts w:hint="default" w:ascii="Times New Roman" w:hAnsi="Times New Roman" w:eastAsia="宋体" w:cs="Times New Roman"/>
                <w:color w:val="auto"/>
                <w:sz w:val="24"/>
              </w:rPr>
              <w:t>新疆维吾尔自治区“三线一单”生态环境分区管控方案</w:t>
            </w:r>
            <w:r>
              <w:rPr>
                <w:rFonts w:hint="eastAsia" w:ascii="Times New Roman" w:hAnsi="Times New Roman" w:eastAsia="宋体" w:cs="Times New Roman"/>
                <w:color w:val="auto"/>
                <w:sz w:val="24"/>
                <w:lang w:val="en-US" w:eastAsia="zh-CN"/>
              </w:rPr>
              <w:t>&gt;</w:t>
            </w:r>
            <w:r>
              <w:rPr>
                <w:rFonts w:hint="default" w:ascii="Times New Roman" w:hAnsi="Times New Roman" w:eastAsia="宋体" w:cs="Times New Roman"/>
                <w:color w:val="auto"/>
                <w:sz w:val="24"/>
              </w:rPr>
              <w:t>的通知》（新政发〔2021〕18号）符合性分析</w:t>
            </w:r>
          </w:p>
          <w:p w14:paraId="5C92F10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根据《关于印发</w:t>
            </w:r>
            <w:r>
              <w:rPr>
                <w:rFonts w:hint="eastAsia" w:ascii="Times New Roman" w:hAnsi="Times New Roman" w:eastAsia="宋体" w:cs="Times New Roman"/>
                <w:color w:val="auto"/>
                <w:sz w:val="24"/>
                <w:lang w:val="en-US" w:eastAsia="zh-CN"/>
              </w:rPr>
              <w:t>&lt;</w:t>
            </w:r>
            <w:r>
              <w:rPr>
                <w:rFonts w:hint="default" w:ascii="Times New Roman" w:hAnsi="Times New Roman" w:eastAsia="宋体" w:cs="Times New Roman"/>
                <w:color w:val="auto"/>
                <w:sz w:val="24"/>
              </w:rPr>
              <w:t>新疆维吾尔自治区“三线一单”生态环境分区管控方案</w:t>
            </w:r>
            <w:r>
              <w:rPr>
                <w:rFonts w:hint="eastAsia" w:ascii="Times New Roman" w:hAnsi="Times New Roman" w:eastAsia="宋体" w:cs="Times New Roman"/>
                <w:color w:val="auto"/>
                <w:sz w:val="24"/>
                <w:lang w:val="en-US" w:eastAsia="zh-CN"/>
              </w:rPr>
              <w:t>&gt;</w:t>
            </w:r>
            <w:r>
              <w:rPr>
                <w:rFonts w:hint="default" w:ascii="Times New Roman" w:hAnsi="Times New Roman" w:eastAsia="宋体" w:cs="Times New Roman"/>
                <w:color w:val="auto"/>
                <w:sz w:val="24"/>
              </w:rPr>
              <w:t>的通知》（新政发〔2021〕18号），自治区按照管控要求，划定优先保护单元、重点管控单元、一般管控单元三类，实施分类管控。</w:t>
            </w:r>
          </w:p>
          <w:p w14:paraId="05C22C3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优先保护单元主要包括生态保护红线区和生态保护红线区以外的饮用水水源保护区、水源涵养区、防风固沙区、土地沙化防控区、水土流失防控区等一般生态空间管控区。生态保护红线区执行生态保护红线管理办法的有关要求；一般生态空间管控区应以生态保护优先原则，开发建设活动应严格执行相关法律、法规要求，严守生态环境质量底线，确保生态功能不降低。</w:t>
            </w:r>
          </w:p>
          <w:p w14:paraId="29061A7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重点管控单元主要包括城镇建成区、工业园区和开发强度大、污染物排放强度高的工业聚集区等。重点管控单元要着力优化空间布局，不断提升资源利用效率，有针对性地加强污染物排放管控和环境风险防控，解决生态环境质量不达标、生态环境风险高等问题。</w:t>
            </w:r>
          </w:p>
          <w:p w14:paraId="6CCF58E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一般管控单元主要包括优先保护单元和重点管控单元之外的其他区域。一般管控单元主要落实生态环境保护基本要求，推动区域环境质量持续改善。</w:t>
            </w:r>
          </w:p>
          <w:p w14:paraId="6C0F526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本项目位于</w:t>
            </w:r>
            <w:r>
              <w:rPr>
                <w:rFonts w:hint="default" w:ascii="Times New Roman" w:hAnsi="Times New Roman" w:eastAsia="宋体" w:cs="Times New Roman"/>
                <w:color w:val="auto"/>
                <w:sz w:val="24"/>
                <w:lang w:val="en-US" w:eastAsia="zh-CN"/>
              </w:rPr>
              <w:t>昌吉回族自治州玛纳斯县六户地镇北侧72km处</w:t>
            </w:r>
            <w:r>
              <w:rPr>
                <w:rFonts w:hint="default" w:ascii="Times New Roman" w:hAnsi="Times New Roman" w:eastAsia="宋体" w:cs="Times New Roman"/>
                <w:color w:val="auto"/>
                <w:sz w:val="24"/>
              </w:rPr>
              <w:t>，不位于生态保护红线区域和生态保护红线区以外的饮用水水源保护区、水源涵养区、防风固沙区、土地沙化防控区、水土流失防控区等一般生态空间管控区，项目所在区域属于玛纳斯县</w:t>
            </w:r>
            <w:r>
              <w:rPr>
                <w:rFonts w:hint="default" w:ascii="Times New Roman" w:hAnsi="Times New Roman" w:eastAsia="宋体" w:cs="Times New Roman"/>
                <w:color w:val="auto"/>
                <w:sz w:val="24"/>
                <w:lang w:val="en-US" w:eastAsia="zh-CN"/>
              </w:rPr>
              <w:t>一般管控单元</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环境管控单元编码为：</w:t>
            </w:r>
            <w:r>
              <w:rPr>
                <w:rFonts w:hint="default" w:ascii="Times New Roman" w:hAnsi="Times New Roman" w:eastAsia="宋体" w:cs="Times New Roman"/>
                <w:color w:val="auto"/>
                <w:sz w:val="24"/>
                <w:lang w:val="en-US"/>
              </w:rPr>
              <w:t>ZH65232430001</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具体位置图详见附图1。</w:t>
            </w:r>
          </w:p>
          <w:p w14:paraId="6FD3045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本项目与</w:t>
            </w:r>
            <w:r>
              <w:rPr>
                <w:rFonts w:hint="default" w:ascii="Times New Roman" w:hAnsi="Times New Roman" w:eastAsia="宋体" w:cs="Times New Roman"/>
                <w:color w:val="auto"/>
                <w:sz w:val="24"/>
              </w:rPr>
              <w:t>新政发〔2021〕18号具体符合性分析见表1-</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w:t>
            </w:r>
          </w:p>
          <w:p w14:paraId="5C010141">
            <w:pPr>
              <w:pStyle w:val="45"/>
              <w:keepNext w:val="0"/>
              <w:keepLines w:val="0"/>
              <w:suppressLineNumbers w:val="0"/>
              <w:spacing w:before="0" w:beforeAutospacing="0" w:after="0" w:afterAutospacing="0" w:line="240" w:lineRule="auto"/>
              <w:ind w:left="0" w:right="0" w:firstLine="420"/>
              <w:rPr>
                <w:rFonts w:hint="default" w:ascii="Times New Roman" w:hAnsi="Times New Roman" w:eastAsia="黑体" w:cs="Times New Roman"/>
                <w:color w:val="auto"/>
                <w:sz w:val="21"/>
                <w:lang w:eastAsia="zh-CN" w:bidi="en-US"/>
              </w:rPr>
            </w:pPr>
            <w:r>
              <w:rPr>
                <w:rFonts w:hint="default" w:ascii="Times New Roman" w:hAnsi="Times New Roman" w:eastAsia="黑体" w:cs="Times New Roman"/>
                <w:color w:val="auto"/>
                <w:sz w:val="21"/>
                <w:lang w:bidi="en-US"/>
              </w:rPr>
              <w:t>表1-</w:t>
            </w:r>
            <w:r>
              <w:rPr>
                <w:rFonts w:hint="eastAsia" w:ascii="Times New Roman" w:hAnsi="Times New Roman" w:eastAsia="黑体" w:cs="Times New Roman"/>
                <w:color w:val="auto"/>
                <w:sz w:val="21"/>
                <w:lang w:val="en-US" w:eastAsia="zh-CN" w:bidi="en-US"/>
              </w:rPr>
              <w:t>2</w:t>
            </w:r>
            <w:r>
              <w:rPr>
                <w:rFonts w:hint="default" w:ascii="Times New Roman" w:hAnsi="Times New Roman" w:eastAsia="黑体" w:cs="Times New Roman"/>
                <w:color w:val="auto"/>
                <w:sz w:val="21"/>
                <w:lang w:bidi="en-US"/>
              </w:rPr>
              <w:t xml:space="preserve">  </w:t>
            </w:r>
            <w:r>
              <w:rPr>
                <w:rFonts w:hint="default" w:ascii="Times New Roman" w:hAnsi="Times New Roman" w:eastAsia="黑体" w:cs="Times New Roman"/>
                <w:color w:val="auto"/>
                <w:sz w:val="21"/>
                <w:lang w:val="en-US" w:eastAsia="zh-CN" w:bidi="en-US"/>
              </w:rPr>
              <w:t xml:space="preserve">        </w:t>
            </w:r>
            <w:r>
              <w:rPr>
                <w:rFonts w:hint="default" w:ascii="Times New Roman" w:hAnsi="Times New Roman" w:eastAsia="黑体" w:cs="Times New Roman"/>
                <w:color w:val="auto"/>
                <w:sz w:val="21"/>
                <w:lang w:bidi="en-US"/>
              </w:rPr>
              <w:t>新政发〔2021〕18号符合性分析</w:t>
            </w:r>
            <w:r>
              <w:rPr>
                <w:rFonts w:hint="default" w:ascii="Times New Roman" w:hAnsi="Times New Roman" w:eastAsia="黑体" w:cs="Times New Roman"/>
                <w:color w:val="auto"/>
                <w:sz w:val="21"/>
                <w:lang w:val="en-US" w:eastAsia="zh-CN" w:bidi="en-US"/>
              </w:rPr>
              <w:t>一览表</w:t>
            </w:r>
          </w:p>
          <w:tbl>
            <w:tblPr>
              <w:tblStyle w:val="85"/>
              <w:tblW w:w="49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76"/>
              <w:gridCol w:w="442"/>
              <w:gridCol w:w="4098"/>
              <w:gridCol w:w="1321"/>
              <w:gridCol w:w="598"/>
            </w:tblGrid>
            <w:tr w14:paraId="4476C2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74" w:type="pct"/>
                  <w:gridSpan w:val="3"/>
                  <w:noWrap w:val="0"/>
                  <w:vAlign w:val="center"/>
                </w:tcPr>
                <w:p w14:paraId="18DCB291">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snapToGrid w:val="0"/>
                      <w:color w:val="auto"/>
                      <w:kern w:val="0"/>
                      <w:sz w:val="21"/>
                      <w:szCs w:val="21"/>
                      <w:lang w:eastAsia="en-US"/>
                    </w:rPr>
                  </w:pPr>
                  <w:r>
                    <w:rPr>
                      <w:rFonts w:hint="default" w:ascii="Times New Roman" w:hAnsi="Times New Roman" w:cs="Times New Roman"/>
                      <w:snapToGrid w:val="0"/>
                      <w:color w:val="auto"/>
                      <w:kern w:val="0"/>
                      <w:sz w:val="21"/>
                      <w:szCs w:val="21"/>
                      <w:lang w:eastAsia="en-US"/>
                    </w:rPr>
                    <w:t>管控要求</w:t>
                  </w:r>
                </w:p>
              </w:tc>
              <w:tc>
                <w:tcPr>
                  <w:tcW w:w="981" w:type="pct"/>
                  <w:noWrap w:val="0"/>
                  <w:vAlign w:val="center"/>
                </w:tcPr>
                <w:p w14:paraId="37A05858">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snapToGrid w:val="0"/>
                      <w:color w:val="auto"/>
                      <w:kern w:val="0"/>
                      <w:sz w:val="21"/>
                      <w:szCs w:val="21"/>
                      <w:lang w:eastAsia="en-US"/>
                    </w:rPr>
                  </w:pPr>
                  <w:r>
                    <w:rPr>
                      <w:rFonts w:hint="default" w:ascii="Times New Roman" w:hAnsi="Times New Roman" w:cs="Times New Roman"/>
                      <w:snapToGrid w:val="0"/>
                      <w:color w:val="auto"/>
                      <w:kern w:val="0"/>
                      <w:sz w:val="21"/>
                      <w:szCs w:val="21"/>
                      <w:lang w:eastAsia="en-US"/>
                    </w:rPr>
                    <w:t>本项目情况</w:t>
                  </w:r>
                </w:p>
              </w:tc>
              <w:tc>
                <w:tcPr>
                  <w:tcW w:w="444" w:type="pct"/>
                  <w:noWrap w:val="0"/>
                  <w:vAlign w:val="center"/>
                </w:tcPr>
                <w:p w14:paraId="65442360">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snapToGrid w:val="0"/>
                      <w:color w:val="auto"/>
                      <w:kern w:val="0"/>
                      <w:sz w:val="21"/>
                      <w:szCs w:val="21"/>
                      <w:lang w:eastAsia="en-US"/>
                    </w:rPr>
                  </w:pPr>
                  <w:r>
                    <w:rPr>
                      <w:rFonts w:hint="default" w:ascii="Times New Roman" w:hAnsi="Times New Roman" w:cs="Times New Roman"/>
                      <w:snapToGrid w:val="0"/>
                      <w:color w:val="auto"/>
                      <w:kern w:val="0"/>
                      <w:sz w:val="21"/>
                      <w:szCs w:val="21"/>
                      <w:lang w:eastAsia="en-US"/>
                    </w:rPr>
                    <w:t>符合性</w:t>
                  </w:r>
                </w:p>
              </w:tc>
            </w:tr>
            <w:tr w14:paraId="7BE0DD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4" w:type="pct"/>
                  <w:vMerge w:val="restart"/>
                  <w:noWrap w:val="0"/>
                  <w:vAlign w:val="center"/>
                </w:tcPr>
                <w:p w14:paraId="13B5CDB7">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snapToGrid w:val="0"/>
                      <w:color w:val="auto"/>
                      <w:kern w:val="0"/>
                      <w:sz w:val="21"/>
                      <w:szCs w:val="21"/>
                      <w:lang w:eastAsia="en-US"/>
                    </w:rPr>
                  </w:pPr>
                  <w:r>
                    <w:rPr>
                      <w:rFonts w:hint="default" w:ascii="Times New Roman" w:hAnsi="Times New Roman" w:cs="Times New Roman"/>
                      <w:snapToGrid w:val="0"/>
                      <w:color w:val="auto"/>
                      <w:kern w:val="0"/>
                      <w:sz w:val="21"/>
                      <w:szCs w:val="21"/>
                      <w:lang w:val="en-US" w:eastAsia="zh-CN"/>
                    </w:rPr>
                    <w:t>一般</w:t>
                  </w:r>
                  <w:r>
                    <w:rPr>
                      <w:rFonts w:hint="default" w:ascii="Times New Roman" w:hAnsi="Times New Roman" w:cs="Times New Roman"/>
                      <w:snapToGrid w:val="0"/>
                      <w:color w:val="auto"/>
                      <w:kern w:val="0"/>
                      <w:sz w:val="21"/>
                      <w:szCs w:val="21"/>
                      <w:lang w:eastAsia="en-US"/>
                    </w:rPr>
                    <w:t>管控单元</w:t>
                  </w:r>
                </w:p>
              </w:tc>
              <w:tc>
                <w:tcPr>
                  <w:tcW w:w="327" w:type="pct"/>
                  <w:noWrap w:val="0"/>
                  <w:vAlign w:val="center"/>
                </w:tcPr>
                <w:p w14:paraId="5C7ECA19">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snapToGrid w:val="0"/>
                      <w:color w:val="auto"/>
                      <w:kern w:val="0"/>
                      <w:sz w:val="21"/>
                      <w:szCs w:val="21"/>
                      <w:lang w:eastAsia="en-US"/>
                    </w:rPr>
                  </w:pPr>
                  <w:r>
                    <w:rPr>
                      <w:rFonts w:hint="default" w:ascii="Times New Roman" w:hAnsi="Times New Roman" w:cs="Times New Roman"/>
                      <w:snapToGrid w:val="0"/>
                      <w:color w:val="auto"/>
                      <w:kern w:val="0"/>
                      <w:sz w:val="21"/>
                      <w:szCs w:val="21"/>
                      <w:lang w:eastAsia="en-US"/>
                    </w:rPr>
                    <w:t>空间布局约束</w:t>
                  </w:r>
                </w:p>
              </w:tc>
              <w:tc>
                <w:tcPr>
                  <w:tcW w:w="3042" w:type="pct"/>
                  <w:noWrap w:val="0"/>
                  <w:vAlign w:val="center"/>
                </w:tcPr>
                <w:p w14:paraId="4662B50B">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snapToGrid w:val="0"/>
                      <w:color w:val="auto"/>
                      <w:kern w:val="0"/>
                      <w:sz w:val="21"/>
                      <w:szCs w:val="21"/>
                      <w:lang w:eastAsia="zh-CN"/>
                    </w:rPr>
                  </w:pPr>
                  <w:r>
                    <w:rPr>
                      <w:rFonts w:hint="default" w:ascii="Times New Roman" w:hAnsi="Times New Roman" w:cs="Times New Roman"/>
                      <w:snapToGrid w:val="0"/>
                      <w:color w:val="auto"/>
                      <w:kern w:val="0"/>
                      <w:sz w:val="21"/>
                      <w:szCs w:val="21"/>
                      <w:lang w:eastAsia="zh-CN"/>
                    </w:rPr>
                    <w:t>限制进行大规模高强度工业化城镇化开发，严格控制金属冶炼、石油化工、焦化等“高污染、高环境风险产品”工业项目，原则上不增加产能，现有“高污染、高环境风险产品”工业项目持续削减污染物排放总量并严格控制环境风险。原则上禁止建设涉及一类重金属、持久性有机污染物排放的工业项目。建立集镇居住商业区、耕地保护区与工业功能区等集聚区块之间的防护带。严格执行畜禽养殖禁养区规定，根据区域用地和消纳水平，合理确定养殖规模。加强基本农田保护，严格限制非农项目占用耕地。</w:t>
                  </w:r>
                </w:p>
              </w:tc>
              <w:tc>
                <w:tcPr>
                  <w:tcW w:w="981" w:type="pct"/>
                  <w:noWrap w:val="0"/>
                  <w:vAlign w:val="center"/>
                </w:tcPr>
                <w:p w14:paraId="6D5B60CC">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本项目为光伏发电工程建设项目，不属于城镇化开发项目，项目不占用耕地</w:t>
                  </w:r>
                </w:p>
              </w:tc>
              <w:tc>
                <w:tcPr>
                  <w:tcW w:w="444" w:type="pct"/>
                  <w:noWrap w:val="0"/>
                  <w:vAlign w:val="center"/>
                </w:tcPr>
                <w:p w14:paraId="5C116CC6">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snapToGrid w:val="0"/>
                      <w:color w:val="auto"/>
                      <w:kern w:val="0"/>
                      <w:sz w:val="21"/>
                      <w:szCs w:val="21"/>
                      <w:lang w:eastAsia="en-US"/>
                    </w:rPr>
                  </w:pPr>
                  <w:r>
                    <w:rPr>
                      <w:rFonts w:hint="default" w:ascii="Times New Roman" w:hAnsi="Times New Roman" w:cs="Times New Roman"/>
                      <w:snapToGrid w:val="0"/>
                      <w:color w:val="auto"/>
                      <w:kern w:val="0"/>
                      <w:sz w:val="21"/>
                      <w:szCs w:val="21"/>
                      <w:lang w:eastAsia="en-US"/>
                    </w:rPr>
                    <w:t>符合</w:t>
                  </w:r>
                </w:p>
              </w:tc>
            </w:tr>
            <w:tr w14:paraId="468CC1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4" w:type="pct"/>
                  <w:vMerge w:val="continue"/>
                  <w:noWrap w:val="0"/>
                  <w:vAlign w:val="center"/>
                </w:tcPr>
                <w:p w14:paraId="7EDC72D5">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snapToGrid w:val="0"/>
                      <w:color w:val="auto"/>
                      <w:kern w:val="0"/>
                      <w:sz w:val="21"/>
                      <w:szCs w:val="21"/>
                      <w:lang w:eastAsia="en-US"/>
                    </w:rPr>
                  </w:pPr>
                </w:p>
              </w:tc>
              <w:tc>
                <w:tcPr>
                  <w:tcW w:w="327" w:type="pct"/>
                  <w:noWrap w:val="0"/>
                  <w:vAlign w:val="center"/>
                </w:tcPr>
                <w:p w14:paraId="27B5DAC8">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lang w:eastAsia="en-US"/>
                    </w:rPr>
                  </w:pPr>
                  <w:r>
                    <w:rPr>
                      <w:rFonts w:hint="default" w:ascii="Times New Roman" w:hAnsi="Times New Roman" w:eastAsia="宋体" w:cs="Times New Roman"/>
                      <w:snapToGrid w:val="0"/>
                      <w:color w:val="auto"/>
                      <w:kern w:val="0"/>
                      <w:sz w:val="21"/>
                      <w:szCs w:val="21"/>
                      <w:lang w:eastAsia="en-US"/>
                    </w:rPr>
                    <w:t>污染物排放管控</w:t>
                  </w:r>
                </w:p>
              </w:tc>
              <w:tc>
                <w:tcPr>
                  <w:tcW w:w="3042" w:type="pct"/>
                  <w:noWrap w:val="0"/>
                  <w:vAlign w:val="center"/>
                </w:tcPr>
                <w:p w14:paraId="08C2B4A3">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eastAsia="宋体" w:cs="Times New Roman"/>
                      <w:snapToGrid w:val="0"/>
                      <w:color w:val="auto"/>
                      <w:kern w:val="0"/>
                      <w:sz w:val="21"/>
                      <w:szCs w:val="21"/>
                      <w:lang w:val="en-US" w:eastAsia="en-US"/>
                    </w:rPr>
                  </w:pPr>
                  <w:r>
                    <w:rPr>
                      <w:rFonts w:hint="default" w:ascii="Times New Roman" w:hAnsi="Times New Roman" w:eastAsia="宋体" w:cs="Times New Roman"/>
                      <w:snapToGrid w:val="0"/>
                      <w:color w:val="auto"/>
                      <w:kern w:val="0"/>
                      <w:sz w:val="21"/>
                      <w:szCs w:val="21"/>
                      <w:lang w:eastAsia="zh-CN"/>
                    </w:rPr>
                    <w:t>落实污染物总量控制制度，根据区域环境质量改善目标，削减污染物排放总量。加强农业面源污染治理，严格控制化肥农药施加量，逐步削减农业面源污染物排放量。</w:t>
                  </w:r>
                </w:p>
              </w:tc>
              <w:tc>
                <w:tcPr>
                  <w:tcW w:w="981" w:type="pct"/>
                  <w:noWrap w:val="0"/>
                  <w:vAlign w:val="center"/>
                </w:tcPr>
                <w:p w14:paraId="07DE8D95">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项目运营期不涉及污染物排放</w:t>
                  </w:r>
                </w:p>
              </w:tc>
              <w:tc>
                <w:tcPr>
                  <w:tcW w:w="444" w:type="pct"/>
                  <w:noWrap w:val="0"/>
                  <w:vAlign w:val="center"/>
                </w:tcPr>
                <w:p w14:paraId="66E8C74F">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snapToGrid w:val="0"/>
                      <w:color w:val="auto"/>
                      <w:kern w:val="0"/>
                      <w:sz w:val="21"/>
                      <w:szCs w:val="21"/>
                      <w:lang w:eastAsia="en-US"/>
                    </w:rPr>
                  </w:pPr>
                  <w:r>
                    <w:rPr>
                      <w:rFonts w:hint="default" w:ascii="Times New Roman" w:hAnsi="Times New Roman" w:cs="Times New Roman"/>
                      <w:snapToGrid w:val="0"/>
                      <w:color w:val="auto"/>
                      <w:kern w:val="0"/>
                      <w:sz w:val="21"/>
                      <w:szCs w:val="21"/>
                      <w:lang w:eastAsia="en-US"/>
                    </w:rPr>
                    <w:t>符合</w:t>
                  </w:r>
                </w:p>
              </w:tc>
            </w:tr>
            <w:tr w14:paraId="2F1AC3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4" w:type="pct"/>
                  <w:vMerge w:val="continue"/>
                  <w:noWrap w:val="0"/>
                  <w:vAlign w:val="center"/>
                </w:tcPr>
                <w:p w14:paraId="5CABF9F9">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snapToGrid w:val="0"/>
                      <w:color w:val="auto"/>
                      <w:kern w:val="0"/>
                      <w:sz w:val="21"/>
                      <w:szCs w:val="21"/>
                      <w:lang w:eastAsia="en-US"/>
                    </w:rPr>
                  </w:pPr>
                </w:p>
              </w:tc>
              <w:tc>
                <w:tcPr>
                  <w:tcW w:w="327" w:type="pct"/>
                  <w:noWrap w:val="0"/>
                  <w:vAlign w:val="center"/>
                </w:tcPr>
                <w:p w14:paraId="497C3089">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snapToGrid w:val="0"/>
                      <w:color w:val="auto"/>
                      <w:kern w:val="0"/>
                      <w:sz w:val="21"/>
                      <w:szCs w:val="21"/>
                      <w:lang w:eastAsia="en-US"/>
                    </w:rPr>
                  </w:pPr>
                  <w:r>
                    <w:rPr>
                      <w:rFonts w:hint="default" w:ascii="Times New Roman" w:hAnsi="Times New Roman" w:cs="Times New Roman"/>
                      <w:snapToGrid w:val="0"/>
                      <w:color w:val="auto"/>
                      <w:kern w:val="0"/>
                      <w:sz w:val="21"/>
                      <w:szCs w:val="21"/>
                      <w:lang w:eastAsia="en-US"/>
                    </w:rPr>
                    <w:t>环境风险防控</w:t>
                  </w:r>
                </w:p>
              </w:tc>
              <w:tc>
                <w:tcPr>
                  <w:tcW w:w="3042" w:type="pct"/>
                  <w:noWrap w:val="0"/>
                  <w:vAlign w:val="center"/>
                </w:tcPr>
                <w:p w14:paraId="03A9CA3E">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snapToGrid w:val="0"/>
                      <w:color w:val="auto"/>
                      <w:kern w:val="0"/>
                      <w:sz w:val="21"/>
                      <w:szCs w:val="21"/>
                      <w:lang w:eastAsia="en-US"/>
                    </w:rPr>
                  </w:pPr>
                  <w:r>
                    <w:rPr>
                      <w:rFonts w:hint="default" w:ascii="Times New Roman" w:hAnsi="Times New Roman" w:cs="Times New Roman"/>
                      <w:snapToGrid w:val="0"/>
                      <w:color w:val="auto"/>
                      <w:kern w:val="0"/>
                      <w:sz w:val="21"/>
                      <w:szCs w:val="21"/>
                      <w:lang w:eastAsia="en-US"/>
                    </w:rPr>
                    <w:t>加强生态公益林保护与建设，防止水土流失。禁止向农用地排放重金属或者其他有毒有害物质含量超标的污水、污泥，以及可能造成土壤污染的尾矿、矿渣等。加强农田土壤、灌溉水的监测及评价，对周边或区域环境风险源进行评估。</w:t>
                  </w:r>
                </w:p>
              </w:tc>
              <w:tc>
                <w:tcPr>
                  <w:tcW w:w="981" w:type="pct"/>
                  <w:noWrap w:val="0"/>
                  <w:vAlign w:val="center"/>
                </w:tcPr>
                <w:p w14:paraId="2238FA0C">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项目建设不占用公益林，也不排放重金属或有毒有害物质</w:t>
                  </w:r>
                </w:p>
              </w:tc>
              <w:tc>
                <w:tcPr>
                  <w:tcW w:w="444" w:type="pct"/>
                  <w:noWrap w:val="0"/>
                  <w:vAlign w:val="center"/>
                </w:tcPr>
                <w:p w14:paraId="5F42E926">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snapToGrid w:val="0"/>
                      <w:color w:val="auto"/>
                      <w:kern w:val="0"/>
                      <w:sz w:val="21"/>
                      <w:szCs w:val="21"/>
                      <w:lang w:eastAsia="en-US"/>
                    </w:rPr>
                  </w:pPr>
                  <w:r>
                    <w:rPr>
                      <w:rFonts w:hint="default" w:ascii="Times New Roman" w:hAnsi="Times New Roman" w:cs="Times New Roman"/>
                      <w:snapToGrid w:val="0"/>
                      <w:color w:val="auto"/>
                      <w:kern w:val="0"/>
                      <w:sz w:val="21"/>
                      <w:szCs w:val="21"/>
                      <w:lang w:eastAsia="en-US"/>
                    </w:rPr>
                    <w:t>符合</w:t>
                  </w:r>
                </w:p>
              </w:tc>
            </w:tr>
            <w:tr w14:paraId="757922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4" w:type="pct"/>
                  <w:vMerge w:val="continue"/>
                  <w:noWrap w:val="0"/>
                  <w:vAlign w:val="center"/>
                </w:tcPr>
                <w:p w14:paraId="0296F2C1">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snapToGrid w:val="0"/>
                      <w:color w:val="auto"/>
                      <w:kern w:val="0"/>
                      <w:sz w:val="21"/>
                      <w:szCs w:val="21"/>
                      <w:lang w:eastAsia="en-US"/>
                    </w:rPr>
                  </w:pPr>
                </w:p>
              </w:tc>
              <w:tc>
                <w:tcPr>
                  <w:tcW w:w="327" w:type="pct"/>
                  <w:noWrap w:val="0"/>
                  <w:vAlign w:val="center"/>
                </w:tcPr>
                <w:p w14:paraId="4FCE1C11">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snapToGrid w:val="0"/>
                      <w:color w:val="auto"/>
                      <w:kern w:val="0"/>
                      <w:sz w:val="21"/>
                      <w:szCs w:val="21"/>
                      <w:lang w:eastAsia="en-US"/>
                    </w:rPr>
                  </w:pPr>
                  <w:r>
                    <w:rPr>
                      <w:rFonts w:hint="default" w:ascii="Times New Roman" w:hAnsi="Times New Roman" w:cs="Times New Roman"/>
                      <w:snapToGrid w:val="0"/>
                      <w:color w:val="auto"/>
                      <w:kern w:val="0"/>
                      <w:sz w:val="21"/>
                      <w:szCs w:val="21"/>
                      <w:lang w:eastAsia="en-US"/>
                    </w:rPr>
                    <w:t>资源利用要求</w:t>
                  </w:r>
                </w:p>
              </w:tc>
              <w:tc>
                <w:tcPr>
                  <w:tcW w:w="3042" w:type="pct"/>
                  <w:noWrap w:val="0"/>
                  <w:vAlign w:val="center"/>
                </w:tcPr>
                <w:p w14:paraId="3B9C883A">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snapToGrid w:val="0"/>
                      <w:color w:val="auto"/>
                      <w:kern w:val="0"/>
                      <w:sz w:val="21"/>
                      <w:szCs w:val="21"/>
                      <w:lang w:eastAsia="zh-CN"/>
                    </w:rPr>
                  </w:pPr>
                  <w:r>
                    <w:rPr>
                      <w:rFonts w:hint="default" w:ascii="Times New Roman" w:hAnsi="Times New Roman" w:cs="Times New Roman"/>
                      <w:snapToGrid w:val="0"/>
                      <w:color w:val="auto"/>
                      <w:kern w:val="0"/>
                      <w:sz w:val="21"/>
                      <w:szCs w:val="21"/>
                      <w:lang w:eastAsia="zh-CN"/>
                    </w:rPr>
                    <w:t>实行水资源消耗总量和强度双控，推进农业节水，提高农业用水效率。优化能源结构，加强能源清洁利用。</w:t>
                  </w:r>
                </w:p>
              </w:tc>
              <w:tc>
                <w:tcPr>
                  <w:tcW w:w="981" w:type="pct"/>
                  <w:noWrap w:val="0"/>
                  <w:vAlign w:val="center"/>
                </w:tcPr>
                <w:p w14:paraId="17F49390">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项目运行期不涉及农业用水</w:t>
                  </w:r>
                </w:p>
              </w:tc>
              <w:tc>
                <w:tcPr>
                  <w:tcW w:w="444" w:type="pct"/>
                  <w:noWrap w:val="0"/>
                  <w:vAlign w:val="center"/>
                </w:tcPr>
                <w:p w14:paraId="1B2B062A">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snapToGrid w:val="0"/>
                      <w:color w:val="auto"/>
                      <w:kern w:val="0"/>
                      <w:sz w:val="21"/>
                      <w:szCs w:val="21"/>
                      <w:lang w:eastAsia="zh-CN"/>
                    </w:rPr>
                  </w:pPr>
                  <w:r>
                    <w:rPr>
                      <w:rFonts w:hint="default" w:ascii="Times New Roman" w:hAnsi="Times New Roman" w:cs="Times New Roman"/>
                      <w:snapToGrid w:val="0"/>
                      <w:color w:val="auto"/>
                      <w:kern w:val="0"/>
                      <w:sz w:val="21"/>
                      <w:szCs w:val="21"/>
                      <w:lang w:eastAsia="zh-CN"/>
                    </w:rPr>
                    <w:t>符合</w:t>
                  </w:r>
                </w:p>
              </w:tc>
            </w:tr>
          </w:tbl>
          <w:p w14:paraId="0297167A">
            <w:pPr>
              <w:keepNext w:val="0"/>
              <w:keepLines w:val="0"/>
              <w:pageBreakBefore w:val="0"/>
              <w:widowControl/>
              <w:suppressLineNumbers w:val="0"/>
              <w:kinsoku/>
              <w:wordWrap/>
              <w:overflowPunct/>
              <w:topLinePunct w:val="0"/>
              <w:autoSpaceDE w:val="0"/>
              <w:autoSpaceDN w:val="0"/>
              <w:bidi w:val="0"/>
              <w:adjustRightInd w:val="0"/>
              <w:snapToGrid w:val="0"/>
              <w:spacing w:before="157" w:beforeLines="5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z w:val="24"/>
                <w:lang w:val="zh-CN"/>
              </w:rPr>
            </w:pPr>
            <w:r>
              <w:rPr>
                <w:rFonts w:hint="default" w:ascii="Times New Roman" w:hAnsi="Times New Roman" w:eastAsia="宋体" w:cs="Times New Roman"/>
                <w:b w:val="0"/>
                <w:bCs/>
                <w:color w:val="auto"/>
                <w:sz w:val="24"/>
                <w:lang w:val="zh-CN"/>
              </w:rPr>
              <w:t>综合分析，本项目符合《关于印发</w:t>
            </w:r>
            <w:r>
              <w:rPr>
                <w:rFonts w:hint="eastAsia" w:ascii="Times New Roman" w:hAnsi="Times New Roman" w:eastAsia="宋体" w:cs="Times New Roman"/>
                <w:b w:val="0"/>
                <w:bCs/>
                <w:color w:val="auto"/>
                <w:sz w:val="24"/>
                <w:lang w:val="en-US" w:eastAsia="zh-CN"/>
              </w:rPr>
              <w:t>&lt;</w:t>
            </w:r>
            <w:r>
              <w:rPr>
                <w:rFonts w:hint="default" w:ascii="Times New Roman" w:hAnsi="Times New Roman" w:eastAsia="宋体" w:cs="Times New Roman"/>
                <w:b w:val="0"/>
                <w:bCs/>
                <w:color w:val="auto"/>
                <w:sz w:val="24"/>
                <w:lang w:val="zh-CN"/>
              </w:rPr>
              <w:t>新疆维吾尔自治区“三线一单”生态环境分区管控方案</w:t>
            </w:r>
            <w:r>
              <w:rPr>
                <w:rFonts w:hint="eastAsia" w:ascii="Times New Roman" w:hAnsi="Times New Roman" w:eastAsia="宋体" w:cs="Times New Roman"/>
                <w:b w:val="0"/>
                <w:bCs/>
                <w:color w:val="auto"/>
                <w:sz w:val="24"/>
                <w:lang w:val="en-US" w:eastAsia="zh-CN"/>
              </w:rPr>
              <w:t>&gt;</w:t>
            </w:r>
            <w:r>
              <w:rPr>
                <w:rFonts w:hint="default" w:ascii="Times New Roman" w:hAnsi="Times New Roman" w:eastAsia="宋体" w:cs="Times New Roman"/>
                <w:b w:val="0"/>
                <w:bCs/>
                <w:color w:val="auto"/>
                <w:sz w:val="24"/>
                <w:lang w:val="zh-CN"/>
              </w:rPr>
              <w:t>的通知》（新政发〔2021〕18号）要求。</w:t>
            </w:r>
          </w:p>
          <w:p w14:paraId="0782439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z w:val="24"/>
                <w:lang w:val="zh-CN"/>
              </w:rPr>
            </w:pPr>
            <w:r>
              <w:rPr>
                <w:rFonts w:hint="default" w:ascii="Times New Roman" w:hAnsi="Times New Roman" w:eastAsia="宋体" w:cs="Times New Roman"/>
                <w:b w:val="0"/>
                <w:bCs/>
                <w:color w:val="auto"/>
                <w:sz w:val="24"/>
                <w:lang w:val="zh-CN"/>
              </w:rPr>
              <w:t>（2）与《关于印发</w:t>
            </w:r>
            <w:r>
              <w:rPr>
                <w:rFonts w:hint="eastAsia" w:ascii="Times New Roman" w:hAnsi="Times New Roman" w:eastAsia="宋体" w:cs="Times New Roman"/>
                <w:b w:val="0"/>
                <w:bCs/>
                <w:color w:val="auto"/>
                <w:sz w:val="24"/>
                <w:lang w:val="en-US" w:eastAsia="zh-CN"/>
              </w:rPr>
              <w:t>&lt;</w:t>
            </w:r>
            <w:r>
              <w:rPr>
                <w:rFonts w:hint="default" w:ascii="Times New Roman" w:hAnsi="Times New Roman" w:eastAsia="宋体" w:cs="Times New Roman"/>
                <w:b w:val="0"/>
                <w:bCs/>
                <w:color w:val="auto"/>
                <w:sz w:val="24"/>
                <w:lang w:val="zh-CN"/>
              </w:rPr>
              <w:t>新疆维吾尔自治区七大片区“三线一单”生态环境分区管控要求</w:t>
            </w:r>
            <w:r>
              <w:rPr>
                <w:rFonts w:hint="eastAsia" w:ascii="Times New Roman" w:hAnsi="Times New Roman" w:eastAsia="宋体" w:cs="Times New Roman"/>
                <w:b w:val="0"/>
                <w:bCs/>
                <w:color w:val="auto"/>
                <w:sz w:val="24"/>
                <w:lang w:val="en-US" w:eastAsia="zh-CN"/>
              </w:rPr>
              <w:t>&gt;</w:t>
            </w:r>
            <w:r>
              <w:rPr>
                <w:rFonts w:hint="default" w:ascii="Times New Roman" w:hAnsi="Times New Roman" w:eastAsia="宋体" w:cs="Times New Roman"/>
                <w:b w:val="0"/>
                <w:bCs/>
                <w:color w:val="auto"/>
                <w:sz w:val="24"/>
                <w:lang w:val="zh-CN"/>
              </w:rPr>
              <w:t>（2021年版）的通知》（新环环评发〔2021〕162号）符合性分析</w:t>
            </w:r>
          </w:p>
          <w:p w14:paraId="2CBE319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z w:val="24"/>
                <w:lang w:val="zh-CN"/>
              </w:rPr>
            </w:pPr>
            <w:r>
              <w:rPr>
                <w:rFonts w:hint="default" w:ascii="Times New Roman" w:hAnsi="Times New Roman" w:eastAsia="宋体" w:cs="Times New Roman"/>
                <w:b w:val="0"/>
                <w:bCs/>
                <w:color w:val="auto"/>
                <w:sz w:val="24"/>
                <w:lang w:val="zh-CN"/>
              </w:rPr>
              <w:t>本项目与《关于印发</w:t>
            </w:r>
            <w:r>
              <w:rPr>
                <w:rFonts w:hint="eastAsia" w:ascii="Times New Roman" w:hAnsi="Times New Roman" w:eastAsia="宋体" w:cs="Times New Roman"/>
                <w:b w:val="0"/>
                <w:bCs/>
                <w:color w:val="auto"/>
                <w:sz w:val="24"/>
                <w:lang w:val="en-US" w:eastAsia="zh-CN"/>
              </w:rPr>
              <w:t>&lt;</w:t>
            </w:r>
            <w:r>
              <w:rPr>
                <w:rFonts w:hint="default" w:ascii="Times New Roman" w:hAnsi="Times New Roman" w:eastAsia="宋体" w:cs="Times New Roman"/>
                <w:b w:val="0"/>
                <w:bCs/>
                <w:color w:val="auto"/>
                <w:sz w:val="24"/>
                <w:lang w:val="zh-CN"/>
              </w:rPr>
              <w:t>新疆维吾尔自治区七大片区“三线一单”生态环境分区管控要求</w:t>
            </w:r>
            <w:r>
              <w:rPr>
                <w:rFonts w:hint="eastAsia" w:ascii="Times New Roman" w:hAnsi="Times New Roman" w:eastAsia="宋体" w:cs="Times New Roman"/>
                <w:b w:val="0"/>
                <w:bCs/>
                <w:color w:val="auto"/>
                <w:sz w:val="24"/>
                <w:lang w:val="en-US" w:eastAsia="zh-CN"/>
              </w:rPr>
              <w:t>&gt;</w:t>
            </w:r>
            <w:r>
              <w:rPr>
                <w:rFonts w:hint="default" w:ascii="Times New Roman" w:hAnsi="Times New Roman" w:eastAsia="宋体" w:cs="Times New Roman"/>
                <w:b w:val="0"/>
                <w:bCs/>
                <w:color w:val="auto"/>
                <w:sz w:val="24"/>
                <w:lang w:val="zh-CN"/>
              </w:rPr>
              <w:t>（2021年版）的通知》（新环环评发〔2021〕162号）符合性分析详见表1-</w:t>
            </w:r>
            <w:r>
              <w:rPr>
                <w:rFonts w:hint="eastAsia" w:ascii="Times New Roman" w:hAnsi="Times New Roman" w:eastAsia="宋体" w:cs="Times New Roman"/>
                <w:b w:val="0"/>
                <w:bCs/>
                <w:color w:val="auto"/>
                <w:sz w:val="24"/>
                <w:lang w:val="en-US" w:eastAsia="zh-CN"/>
              </w:rPr>
              <w:t>3</w:t>
            </w:r>
            <w:r>
              <w:rPr>
                <w:rFonts w:hint="default" w:ascii="Times New Roman" w:hAnsi="Times New Roman" w:eastAsia="宋体" w:cs="Times New Roman"/>
                <w:b w:val="0"/>
                <w:bCs/>
                <w:color w:val="auto"/>
                <w:sz w:val="24"/>
                <w:lang w:val="zh-CN"/>
              </w:rPr>
              <w:t>。</w:t>
            </w:r>
          </w:p>
          <w:p w14:paraId="43E13A51">
            <w:pPr>
              <w:pStyle w:val="45"/>
              <w:keepNext w:val="0"/>
              <w:keepLines w:val="0"/>
              <w:suppressLineNumbers w:val="0"/>
              <w:spacing w:before="0" w:beforeAutospacing="0" w:after="0" w:afterAutospacing="0" w:line="240" w:lineRule="auto"/>
              <w:ind w:left="0" w:right="0" w:firstLine="420"/>
              <w:rPr>
                <w:rFonts w:hint="default" w:ascii="Times New Roman" w:hAnsi="Times New Roman" w:eastAsia="黑体" w:cs="Times New Roman"/>
                <w:color w:val="auto"/>
                <w:sz w:val="21"/>
                <w:lang w:bidi="en-US"/>
              </w:rPr>
            </w:pPr>
            <w:r>
              <w:rPr>
                <w:rFonts w:hint="default" w:ascii="Times New Roman" w:hAnsi="Times New Roman" w:eastAsia="黑体" w:cs="Times New Roman"/>
                <w:color w:val="auto"/>
                <w:sz w:val="21"/>
                <w:lang w:bidi="en-US"/>
              </w:rPr>
              <w:t>表1-</w:t>
            </w:r>
            <w:r>
              <w:rPr>
                <w:rFonts w:hint="eastAsia" w:ascii="Times New Roman" w:hAnsi="Times New Roman" w:eastAsia="黑体" w:cs="Times New Roman"/>
                <w:color w:val="auto"/>
                <w:sz w:val="21"/>
                <w:lang w:val="en-US" w:eastAsia="zh-CN" w:bidi="en-US"/>
              </w:rPr>
              <w:t>3</w:t>
            </w:r>
            <w:r>
              <w:rPr>
                <w:rFonts w:hint="default" w:ascii="Times New Roman" w:hAnsi="Times New Roman" w:eastAsia="黑体" w:cs="Times New Roman"/>
                <w:color w:val="auto"/>
                <w:sz w:val="21"/>
                <w:lang w:bidi="en-US"/>
              </w:rPr>
              <w:t xml:space="preserve">            新环环评发〔2021〕162号符合性分析结果</w:t>
            </w:r>
          </w:p>
          <w:tbl>
            <w:tblPr>
              <w:tblStyle w:val="85"/>
              <w:tblW w:w="49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75"/>
              <w:gridCol w:w="442"/>
              <w:gridCol w:w="4133"/>
              <w:gridCol w:w="1287"/>
              <w:gridCol w:w="598"/>
            </w:tblGrid>
            <w:tr w14:paraId="6FA367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01" w:type="pct"/>
                  <w:gridSpan w:val="3"/>
                  <w:noWrap w:val="0"/>
                  <w:vAlign w:val="center"/>
                </w:tcPr>
                <w:p w14:paraId="41ADB0A8">
                  <w:pPr>
                    <w:widowControl/>
                    <w:adjustRightInd w:val="0"/>
                    <w:snapToGrid w:val="0"/>
                    <w:jc w:val="center"/>
                    <w:rPr>
                      <w:rFonts w:hint="default" w:ascii="Times New Roman" w:hAnsi="Times New Roman" w:cs="Times New Roman"/>
                      <w:snapToGrid w:val="0"/>
                      <w:color w:val="auto"/>
                      <w:kern w:val="0"/>
                      <w:sz w:val="21"/>
                      <w:szCs w:val="21"/>
                      <w:lang w:eastAsia="en-US"/>
                    </w:rPr>
                  </w:pPr>
                  <w:r>
                    <w:rPr>
                      <w:rFonts w:hint="default" w:ascii="Times New Roman" w:hAnsi="Times New Roman" w:cs="Times New Roman"/>
                      <w:snapToGrid w:val="0"/>
                      <w:color w:val="auto"/>
                      <w:kern w:val="0"/>
                      <w:sz w:val="21"/>
                      <w:szCs w:val="21"/>
                      <w:lang w:eastAsia="en-US"/>
                    </w:rPr>
                    <w:t>管控要求</w:t>
                  </w:r>
                </w:p>
              </w:tc>
              <w:tc>
                <w:tcPr>
                  <w:tcW w:w="955" w:type="pct"/>
                  <w:noWrap w:val="0"/>
                  <w:vAlign w:val="center"/>
                </w:tcPr>
                <w:p w14:paraId="178DF9EC">
                  <w:pPr>
                    <w:widowControl/>
                    <w:adjustRightInd w:val="0"/>
                    <w:snapToGrid w:val="0"/>
                    <w:jc w:val="center"/>
                    <w:rPr>
                      <w:rFonts w:hint="default" w:ascii="Times New Roman" w:hAnsi="Times New Roman" w:cs="Times New Roman"/>
                      <w:snapToGrid w:val="0"/>
                      <w:color w:val="auto"/>
                      <w:kern w:val="0"/>
                      <w:sz w:val="21"/>
                      <w:szCs w:val="21"/>
                      <w:lang w:eastAsia="en-US"/>
                    </w:rPr>
                  </w:pPr>
                  <w:r>
                    <w:rPr>
                      <w:rFonts w:hint="default" w:ascii="Times New Roman" w:hAnsi="Times New Roman" w:cs="Times New Roman"/>
                      <w:snapToGrid w:val="0"/>
                      <w:color w:val="auto"/>
                      <w:kern w:val="0"/>
                      <w:sz w:val="21"/>
                      <w:szCs w:val="21"/>
                      <w:lang w:eastAsia="en-US"/>
                    </w:rPr>
                    <w:t>本项目情况</w:t>
                  </w:r>
                </w:p>
              </w:tc>
              <w:tc>
                <w:tcPr>
                  <w:tcW w:w="444" w:type="pct"/>
                  <w:noWrap w:val="0"/>
                  <w:vAlign w:val="center"/>
                </w:tcPr>
                <w:p w14:paraId="79E6A65C">
                  <w:pPr>
                    <w:widowControl/>
                    <w:adjustRightInd w:val="0"/>
                    <w:snapToGrid w:val="0"/>
                    <w:jc w:val="center"/>
                    <w:rPr>
                      <w:rFonts w:hint="default" w:ascii="Times New Roman" w:hAnsi="Times New Roman" w:cs="Times New Roman"/>
                      <w:snapToGrid w:val="0"/>
                      <w:color w:val="auto"/>
                      <w:kern w:val="0"/>
                      <w:sz w:val="21"/>
                      <w:szCs w:val="21"/>
                      <w:lang w:eastAsia="en-US"/>
                    </w:rPr>
                  </w:pPr>
                  <w:r>
                    <w:rPr>
                      <w:rFonts w:hint="default" w:ascii="Times New Roman" w:hAnsi="Times New Roman" w:cs="Times New Roman"/>
                      <w:snapToGrid w:val="0"/>
                      <w:color w:val="auto"/>
                      <w:kern w:val="0"/>
                      <w:sz w:val="21"/>
                      <w:szCs w:val="21"/>
                      <w:lang w:eastAsia="en-US"/>
                    </w:rPr>
                    <w:t>符合性</w:t>
                  </w:r>
                </w:p>
              </w:tc>
            </w:tr>
            <w:tr w14:paraId="7A7D7A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4" w:type="pct"/>
                  <w:vMerge w:val="restart"/>
                  <w:noWrap w:val="0"/>
                  <w:vAlign w:val="center"/>
                </w:tcPr>
                <w:p w14:paraId="311BD02A">
                  <w:pPr>
                    <w:widowControl/>
                    <w:adjustRightInd w:val="0"/>
                    <w:snapToGrid w:val="0"/>
                    <w:jc w:val="center"/>
                    <w:rPr>
                      <w:rFonts w:hint="default" w:ascii="Times New Roman" w:hAnsi="Times New Roman" w:cs="Times New Roman"/>
                      <w:snapToGrid w:val="0"/>
                      <w:color w:val="auto"/>
                      <w:kern w:val="0"/>
                      <w:sz w:val="21"/>
                      <w:szCs w:val="21"/>
                      <w:lang w:eastAsia="en-US"/>
                    </w:rPr>
                  </w:pPr>
                  <w:r>
                    <w:rPr>
                      <w:rFonts w:hint="default" w:ascii="Times New Roman" w:hAnsi="Times New Roman" w:cs="Times New Roman"/>
                      <w:snapToGrid w:val="0"/>
                      <w:color w:val="auto"/>
                      <w:kern w:val="0"/>
                      <w:sz w:val="21"/>
                      <w:szCs w:val="21"/>
                      <w:lang w:eastAsia="en-US"/>
                    </w:rPr>
                    <w:t>总体要求</w:t>
                  </w:r>
                </w:p>
              </w:tc>
              <w:tc>
                <w:tcPr>
                  <w:tcW w:w="328" w:type="pct"/>
                  <w:noWrap w:val="0"/>
                  <w:vAlign w:val="center"/>
                </w:tcPr>
                <w:p w14:paraId="06CED502">
                  <w:pPr>
                    <w:widowControl/>
                    <w:adjustRightInd w:val="0"/>
                    <w:snapToGrid w:val="0"/>
                    <w:jc w:val="center"/>
                    <w:rPr>
                      <w:rFonts w:hint="default" w:ascii="Times New Roman" w:hAnsi="Times New Roman" w:cs="Times New Roman"/>
                      <w:snapToGrid w:val="0"/>
                      <w:color w:val="auto"/>
                      <w:kern w:val="0"/>
                      <w:sz w:val="21"/>
                      <w:szCs w:val="21"/>
                      <w:lang w:eastAsia="en-US"/>
                    </w:rPr>
                  </w:pPr>
                  <w:r>
                    <w:rPr>
                      <w:rFonts w:hint="default" w:ascii="Times New Roman" w:hAnsi="Times New Roman" w:cs="Times New Roman"/>
                      <w:snapToGrid w:val="0"/>
                      <w:color w:val="auto"/>
                      <w:kern w:val="0"/>
                      <w:sz w:val="21"/>
                      <w:szCs w:val="21"/>
                      <w:lang w:eastAsia="en-US"/>
                    </w:rPr>
                    <w:t>空间布局约束</w:t>
                  </w:r>
                </w:p>
              </w:tc>
              <w:tc>
                <w:tcPr>
                  <w:tcW w:w="3068" w:type="pct"/>
                  <w:noWrap w:val="0"/>
                  <w:vAlign w:val="center"/>
                </w:tcPr>
                <w:p w14:paraId="678A5DD3">
                  <w:pPr>
                    <w:widowControl/>
                    <w:adjustRightInd w:val="0"/>
                    <w:snapToGrid w:val="0"/>
                    <w:jc w:val="center"/>
                    <w:rPr>
                      <w:rFonts w:hint="default" w:ascii="Times New Roman" w:hAnsi="Times New Roman" w:cs="Times New Roman"/>
                      <w:snapToGrid w:val="0"/>
                      <w:color w:val="auto"/>
                      <w:kern w:val="0"/>
                      <w:sz w:val="21"/>
                      <w:szCs w:val="21"/>
                      <w:lang w:eastAsia="zh-CN"/>
                    </w:rPr>
                  </w:pPr>
                  <w:r>
                    <w:rPr>
                      <w:rFonts w:hint="default" w:ascii="Times New Roman" w:hAnsi="Times New Roman" w:cs="Times New Roman"/>
                      <w:snapToGrid w:val="0"/>
                      <w:color w:val="auto"/>
                      <w:kern w:val="0"/>
                      <w:sz w:val="21"/>
                      <w:szCs w:val="21"/>
                      <w:lang w:eastAsia="zh-CN"/>
                    </w:rPr>
                    <w:t>严格执行国家、自治区产业政策和环境准入要求，严禁“三高”项目进新疆，坚决遏制“两高”项目盲目发展。不得在水源涵养区、饮用水水源保护区和河流、湖泊、水库周围建设重化工、涉重金属等工业污染项目。推动项目集聚发展，新建、改建、扩建工业项目原则上应布置于由县级及以上人民政府批准建立、环境保护基础设施完善的产业园区、工业集聚区或规划矿区，并且符合相关规划和规划环评要求。</w:t>
                  </w:r>
                </w:p>
              </w:tc>
              <w:tc>
                <w:tcPr>
                  <w:tcW w:w="955" w:type="pct"/>
                  <w:noWrap w:val="0"/>
                  <w:vAlign w:val="center"/>
                </w:tcPr>
                <w:p w14:paraId="392BBC3F">
                  <w:pPr>
                    <w:widowControl/>
                    <w:adjustRightInd w:val="0"/>
                    <w:snapToGrid w:val="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项目为光伏发电项目，符合国家产业政策，不属于“两高”项目，不属于化工项目</w:t>
                  </w:r>
                </w:p>
              </w:tc>
              <w:tc>
                <w:tcPr>
                  <w:tcW w:w="444" w:type="pct"/>
                  <w:noWrap w:val="0"/>
                  <w:vAlign w:val="center"/>
                </w:tcPr>
                <w:p w14:paraId="555504B1">
                  <w:pPr>
                    <w:widowControl/>
                    <w:adjustRightInd w:val="0"/>
                    <w:snapToGrid w:val="0"/>
                    <w:jc w:val="center"/>
                    <w:rPr>
                      <w:rFonts w:hint="default" w:ascii="Times New Roman" w:hAnsi="Times New Roman" w:cs="Times New Roman"/>
                      <w:snapToGrid w:val="0"/>
                      <w:color w:val="auto"/>
                      <w:kern w:val="0"/>
                      <w:sz w:val="21"/>
                      <w:szCs w:val="21"/>
                      <w:lang w:eastAsia="en-US"/>
                    </w:rPr>
                  </w:pPr>
                  <w:r>
                    <w:rPr>
                      <w:rFonts w:hint="default" w:ascii="Times New Roman" w:hAnsi="Times New Roman" w:cs="Times New Roman"/>
                      <w:snapToGrid w:val="0"/>
                      <w:color w:val="auto"/>
                      <w:kern w:val="0"/>
                      <w:sz w:val="21"/>
                      <w:szCs w:val="21"/>
                      <w:lang w:eastAsia="en-US"/>
                    </w:rPr>
                    <w:t>符合</w:t>
                  </w:r>
                </w:p>
              </w:tc>
            </w:tr>
            <w:tr w14:paraId="4C75D1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4" w:type="pct"/>
                  <w:vMerge w:val="continue"/>
                  <w:noWrap w:val="0"/>
                  <w:vAlign w:val="center"/>
                </w:tcPr>
                <w:p w14:paraId="398E081B">
                  <w:pPr>
                    <w:widowControl/>
                    <w:adjustRightInd w:val="0"/>
                    <w:snapToGrid w:val="0"/>
                    <w:jc w:val="center"/>
                    <w:rPr>
                      <w:rFonts w:hint="default" w:ascii="Times New Roman" w:hAnsi="Times New Roman" w:cs="Times New Roman"/>
                      <w:snapToGrid w:val="0"/>
                      <w:color w:val="auto"/>
                      <w:kern w:val="0"/>
                      <w:sz w:val="21"/>
                      <w:szCs w:val="21"/>
                      <w:lang w:eastAsia="en-US"/>
                    </w:rPr>
                  </w:pPr>
                </w:p>
              </w:tc>
              <w:tc>
                <w:tcPr>
                  <w:tcW w:w="328" w:type="pct"/>
                  <w:noWrap w:val="0"/>
                  <w:vAlign w:val="center"/>
                </w:tcPr>
                <w:p w14:paraId="073B1FC6">
                  <w:pPr>
                    <w:widowControl/>
                    <w:adjustRightInd w:val="0"/>
                    <w:snapToGrid w:val="0"/>
                    <w:jc w:val="center"/>
                    <w:rPr>
                      <w:rFonts w:hint="default" w:ascii="Times New Roman" w:hAnsi="Times New Roman" w:cs="Times New Roman"/>
                      <w:snapToGrid w:val="0"/>
                      <w:color w:val="auto"/>
                      <w:kern w:val="0"/>
                      <w:sz w:val="21"/>
                      <w:szCs w:val="21"/>
                      <w:lang w:eastAsia="en-US"/>
                    </w:rPr>
                  </w:pPr>
                  <w:r>
                    <w:rPr>
                      <w:rFonts w:hint="default" w:ascii="Times New Roman" w:hAnsi="Times New Roman" w:cs="Times New Roman"/>
                      <w:snapToGrid w:val="0"/>
                      <w:color w:val="auto"/>
                      <w:kern w:val="0"/>
                      <w:sz w:val="21"/>
                      <w:szCs w:val="21"/>
                      <w:lang w:eastAsia="en-US"/>
                    </w:rPr>
                    <w:t>污染物排放管控</w:t>
                  </w:r>
                </w:p>
              </w:tc>
              <w:tc>
                <w:tcPr>
                  <w:tcW w:w="3068" w:type="pct"/>
                  <w:noWrap w:val="0"/>
                  <w:vAlign w:val="center"/>
                </w:tcPr>
                <w:p w14:paraId="17786714">
                  <w:pPr>
                    <w:widowControl/>
                    <w:adjustRightInd w:val="0"/>
                    <w:snapToGrid w:val="0"/>
                    <w:jc w:val="center"/>
                    <w:rPr>
                      <w:rFonts w:hint="default" w:ascii="Times New Roman" w:hAnsi="Times New Roman" w:cs="Times New Roman"/>
                      <w:snapToGrid w:val="0"/>
                      <w:color w:val="auto"/>
                      <w:kern w:val="0"/>
                      <w:sz w:val="21"/>
                      <w:szCs w:val="21"/>
                      <w:lang w:eastAsia="zh-CN"/>
                    </w:rPr>
                  </w:pPr>
                  <w:r>
                    <w:rPr>
                      <w:rFonts w:hint="default" w:ascii="Times New Roman" w:hAnsi="Times New Roman" w:cs="Times New Roman"/>
                      <w:snapToGrid w:val="0"/>
                      <w:color w:val="auto"/>
                      <w:kern w:val="0"/>
                      <w:sz w:val="21"/>
                      <w:szCs w:val="21"/>
                      <w:lang w:eastAsia="zh-CN"/>
                    </w:rPr>
                    <w:t>深化行业污染源头治理，深入开展火电行业减排，全力推进钢铁行业超低排放改造，有序推进石化行业“泄漏检测与修复”技术改造。强化煤化工、石化、有机化工、表面涂装、包装印刷等重点行业挥发性有机物控制。深入开展燃煤锅炉污染综合整治，深化工业炉窑综合治理。加强“散乱污”企业综合整治。优化区域交通运输</w:t>
                  </w:r>
                  <w:r>
                    <w:rPr>
                      <w:rFonts w:hint="eastAsia" w:ascii="Times New Roman" w:hAnsi="Times New Roman" w:cs="Times New Roman"/>
                      <w:snapToGrid w:val="0"/>
                      <w:color w:val="auto"/>
                      <w:kern w:val="0"/>
                      <w:sz w:val="21"/>
                      <w:szCs w:val="21"/>
                      <w:lang w:eastAsia="zh-CN"/>
                    </w:rPr>
                    <w:t>结构</w:t>
                  </w:r>
                  <w:r>
                    <w:rPr>
                      <w:rFonts w:hint="default" w:ascii="Times New Roman" w:hAnsi="Times New Roman" w:cs="Times New Roman"/>
                      <w:snapToGrid w:val="0"/>
                      <w:color w:val="auto"/>
                      <w:kern w:val="0"/>
                      <w:sz w:val="21"/>
                      <w:szCs w:val="21"/>
                      <w:lang w:eastAsia="zh-CN"/>
                    </w:rPr>
                    <w:t>，加快货物运输绿色转型，做好车油联合管控。以改善流域水环境质量为核心，强化源头控制，“一河（湖）一策”精准施治，减少水污染物排放，持续改善水环境质量。强化园区（工业集聚区）水污染防治，不断提高工业用水重复利用率。加快实施城镇污水处理设施提质增效，补齐生活污水收集和处理设施短板，提高再生水回用比例。持续推进农业农村污染防治。提升土壤环境监管能力，加强污染地块安全利用监管。强化工矿用地管理，严格建设用地土壤环境风险管控。加强农用地土壤污染源头控制，科学施用化肥农药，提高农膜回收率。</w:t>
                  </w:r>
                </w:p>
              </w:tc>
              <w:tc>
                <w:tcPr>
                  <w:tcW w:w="955" w:type="pct"/>
                  <w:noWrap w:val="0"/>
                  <w:vAlign w:val="center"/>
                </w:tcPr>
                <w:p w14:paraId="571E6210">
                  <w:pPr>
                    <w:widowControl/>
                    <w:adjustRightInd w:val="0"/>
                    <w:snapToGrid w:val="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本项目不属于上述行业</w:t>
                  </w:r>
                </w:p>
              </w:tc>
              <w:tc>
                <w:tcPr>
                  <w:tcW w:w="444" w:type="pct"/>
                  <w:noWrap w:val="0"/>
                  <w:vAlign w:val="center"/>
                </w:tcPr>
                <w:p w14:paraId="6FD04427">
                  <w:pPr>
                    <w:widowControl/>
                    <w:adjustRightInd w:val="0"/>
                    <w:snapToGrid w:val="0"/>
                    <w:jc w:val="center"/>
                    <w:rPr>
                      <w:rFonts w:hint="default" w:ascii="Times New Roman" w:hAnsi="Times New Roman" w:cs="Times New Roman"/>
                      <w:snapToGrid w:val="0"/>
                      <w:color w:val="auto"/>
                      <w:kern w:val="0"/>
                      <w:sz w:val="21"/>
                      <w:szCs w:val="21"/>
                      <w:lang w:eastAsia="en-US"/>
                    </w:rPr>
                  </w:pPr>
                  <w:r>
                    <w:rPr>
                      <w:rFonts w:hint="default" w:ascii="Times New Roman" w:hAnsi="Times New Roman" w:cs="Times New Roman"/>
                      <w:snapToGrid w:val="0"/>
                      <w:color w:val="auto"/>
                      <w:kern w:val="0"/>
                      <w:sz w:val="21"/>
                      <w:szCs w:val="21"/>
                      <w:lang w:eastAsia="en-US"/>
                    </w:rPr>
                    <w:t>符合</w:t>
                  </w:r>
                </w:p>
              </w:tc>
            </w:tr>
            <w:tr w14:paraId="3288C7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4" w:type="pct"/>
                  <w:vMerge w:val="continue"/>
                  <w:noWrap w:val="0"/>
                  <w:vAlign w:val="center"/>
                </w:tcPr>
                <w:p w14:paraId="4E0160E3">
                  <w:pPr>
                    <w:widowControl/>
                    <w:adjustRightInd w:val="0"/>
                    <w:snapToGrid w:val="0"/>
                    <w:jc w:val="center"/>
                    <w:rPr>
                      <w:rFonts w:hint="default" w:ascii="Times New Roman" w:hAnsi="Times New Roman" w:cs="Times New Roman"/>
                      <w:snapToGrid w:val="0"/>
                      <w:color w:val="auto"/>
                      <w:kern w:val="0"/>
                      <w:sz w:val="21"/>
                      <w:szCs w:val="21"/>
                      <w:lang w:eastAsia="en-US"/>
                    </w:rPr>
                  </w:pPr>
                </w:p>
              </w:tc>
              <w:tc>
                <w:tcPr>
                  <w:tcW w:w="328" w:type="pct"/>
                  <w:noWrap w:val="0"/>
                  <w:vAlign w:val="center"/>
                </w:tcPr>
                <w:p w14:paraId="47A3914F">
                  <w:pPr>
                    <w:widowControl/>
                    <w:adjustRightInd w:val="0"/>
                    <w:snapToGrid w:val="0"/>
                    <w:jc w:val="center"/>
                    <w:rPr>
                      <w:rFonts w:hint="default" w:ascii="Times New Roman" w:hAnsi="Times New Roman" w:cs="Times New Roman"/>
                      <w:snapToGrid w:val="0"/>
                      <w:color w:val="auto"/>
                      <w:kern w:val="0"/>
                      <w:sz w:val="21"/>
                      <w:szCs w:val="21"/>
                      <w:lang w:eastAsia="en-US"/>
                    </w:rPr>
                  </w:pPr>
                  <w:r>
                    <w:rPr>
                      <w:rFonts w:hint="default" w:ascii="Times New Roman" w:hAnsi="Times New Roman" w:cs="Times New Roman"/>
                      <w:snapToGrid w:val="0"/>
                      <w:color w:val="auto"/>
                      <w:kern w:val="0"/>
                      <w:sz w:val="21"/>
                      <w:szCs w:val="21"/>
                      <w:lang w:eastAsia="en-US"/>
                    </w:rPr>
                    <w:t>环境风险防控</w:t>
                  </w:r>
                </w:p>
              </w:tc>
              <w:tc>
                <w:tcPr>
                  <w:tcW w:w="3068" w:type="pct"/>
                  <w:noWrap w:val="0"/>
                  <w:vAlign w:val="center"/>
                </w:tcPr>
                <w:p w14:paraId="5245604D">
                  <w:pPr>
                    <w:widowControl/>
                    <w:adjustRightInd w:val="0"/>
                    <w:snapToGrid w:val="0"/>
                    <w:jc w:val="center"/>
                    <w:rPr>
                      <w:rFonts w:hint="default" w:ascii="Times New Roman" w:hAnsi="Times New Roman" w:cs="Times New Roman"/>
                      <w:snapToGrid w:val="0"/>
                      <w:color w:val="auto"/>
                      <w:kern w:val="0"/>
                      <w:sz w:val="21"/>
                      <w:szCs w:val="21"/>
                      <w:lang w:eastAsia="zh-CN"/>
                    </w:rPr>
                  </w:pPr>
                  <w:r>
                    <w:rPr>
                      <w:rFonts w:hint="default" w:ascii="Times New Roman" w:hAnsi="Times New Roman" w:cs="Times New Roman"/>
                      <w:snapToGrid w:val="0"/>
                      <w:color w:val="auto"/>
                      <w:kern w:val="0"/>
                      <w:sz w:val="21"/>
                      <w:szCs w:val="21"/>
                      <w:lang w:eastAsia="zh-CN"/>
                    </w:rPr>
                    <w:t>禁止在化工园区外新建、扩建危险化学品生产</w:t>
                  </w:r>
                  <w:r>
                    <w:rPr>
                      <w:rFonts w:hint="default" w:ascii="Times New Roman" w:hAnsi="Times New Roman" w:cs="Times New Roman"/>
                      <w:snapToGrid w:val="0"/>
                      <w:color w:val="auto"/>
                      <w:kern w:val="0"/>
                      <w:sz w:val="21"/>
                      <w:szCs w:val="21"/>
                      <w:lang w:val="en-US" w:eastAsia="zh-CN"/>
                    </w:rPr>
                    <w:t>项目</w:t>
                  </w:r>
                  <w:r>
                    <w:rPr>
                      <w:rFonts w:hint="default" w:ascii="Times New Roman" w:hAnsi="Times New Roman" w:cs="Times New Roman"/>
                      <w:snapToGrid w:val="0"/>
                      <w:color w:val="auto"/>
                      <w:kern w:val="0"/>
                      <w:sz w:val="21"/>
                      <w:szCs w:val="21"/>
                      <w:lang w:eastAsia="zh-CN"/>
                    </w:rPr>
                    <w:t>。严格落实危险废物处置相关要求。加强重点流域水环境风险管控，保障水环境安全。</w:t>
                  </w:r>
                </w:p>
              </w:tc>
              <w:tc>
                <w:tcPr>
                  <w:tcW w:w="955" w:type="pct"/>
                  <w:noWrap w:val="0"/>
                  <w:vAlign w:val="center"/>
                </w:tcPr>
                <w:p w14:paraId="7DE877A2">
                  <w:pPr>
                    <w:widowControl/>
                    <w:adjustRightInd w:val="0"/>
                    <w:snapToGrid w:val="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本项目不属于危化品生产项目</w:t>
                  </w:r>
                </w:p>
              </w:tc>
              <w:tc>
                <w:tcPr>
                  <w:tcW w:w="444" w:type="pct"/>
                  <w:noWrap w:val="0"/>
                  <w:vAlign w:val="center"/>
                </w:tcPr>
                <w:p w14:paraId="51942CC5">
                  <w:pPr>
                    <w:widowControl/>
                    <w:adjustRightInd w:val="0"/>
                    <w:snapToGrid w:val="0"/>
                    <w:jc w:val="center"/>
                    <w:rPr>
                      <w:rFonts w:hint="default" w:ascii="Times New Roman" w:hAnsi="Times New Roman" w:cs="Times New Roman"/>
                      <w:snapToGrid w:val="0"/>
                      <w:color w:val="auto"/>
                      <w:kern w:val="0"/>
                      <w:sz w:val="21"/>
                      <w:szCs w:val="21"/>
                      <w:lang w:eastAsia="en-US"/>
                    </w:rPr>
                  </w:pPr>
                  <w:r>
                    <w:rPr>
                      <w:rFonts w:hint="default" w:ascii="Times New Roman" w:hAnsi="Times New Roman" w:cs="Times New Roman"/>
                      <w:snapToGrid w:val="0"/>
                      <w:color w:val="auto"/>
                      <w:kern w:val="0"/>
                      <w:sz w:val="21"/>
                      <w:szCs w:val="21"/>
                      <w:lang w:eastAsia="en-US"/>
                    </w:rPr>
                    <w:t>符合</w:t>
                  </w:r>
                </w:p>
              </w:tc>
            </w:tr>
            <w:tr w14:paraId="70208E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4" w:type="pct"/>
                  <w:vMerge w:val="continue"/>
                  <w:noWrap w:val="0"/>
                  <w:vAlign w:val="center"/>
                </w:tcPr>
                <w:p w14:paraId="1587CAB4">
                  <w:pPr>
                    <w:widowControl/>
                    <w:adjustRightInd w:val="0"/>
                    <w:snapToGrid w:val="0"/>
                    <w:jc w:val="center"/>
                    <w:rPr>
                      <w:rFonts w:hint="default" w:ascii="Times New Roman" w:hAnsi="Times New Roman" w:cs="Times New Roman"/>
                      <w:snapToGrid w:val="0"/>
                      <w:color w:val="auto"/>
                      <w:kern w:val="0"/>
                      <w:sz w:val="21"/>
                      <w:szCs w:val="21"/>
                      <w:lang w:eastAsia="en-US"/>
                    </w:rPr>
                  </w:pPr>
                </w:p>
              </w:tc>
              <w:tc>
                <w:tcPr>
                  <w:tcW w:w="328" w:type="pct"/>
                  <w:noWrap w:val="0"/>
                  <w:vAlign w:val="center"/>
                </w:tcPr>
                <w:p w14:paraId="750F5F0E">
                  <w:pPr>
                    <w:widowControl/>
                    <w:adjustRightInd w:val="0"/>
                    <w:snapToGrid w:val="0"/>
                    <w:jc w:val="center"/>
                    <w:rPr>
                      <w:rFonts w:hint="default" w:ascii="Times New Roman" w:hAnsi="Times New Roman" w:cs="Times New Roman"/>
                      <w:snapToGrid w:val="0"/>
                      <w:color w:val="auto"/>
                      <w:kern w:val="0"/>
                      <w:sz w:val="21"/>
                      <w:szCs w:val="21"/>
                      <w:lang w:eastAsia="en-US"/>
                    </w:rPr>
                  </w:pPr>
                  <w:r>
                    <w:rPr>
                      <w:rFonts w:hint="default" w:ascii="Times New Roman" w:hAnsi="Times New Roman" w:cs="Times New Roman"/>
                      <w:snapToGrid w:val="0"/>
                      <w:color w:val="auto"/>
                      <w:kern w:val="0"/>
                      <w:sz w:val="21"/>
                      <w:szCs w:val="21"/>
                      <w:lang w:eastAsia="en-US"/>
                    </w:rPr>
                    <w:t>资源利用效率要求</w:t>
                  </w:r>
                </w:p>
              </w:tc>
              <w:tc>
                <w:tcPr>
                  <w:tcW w:w="3068" w:type="pct"/>
                  <w:noWrap w:val="0"/>
                  <w:vAlign w:val="center"/>
                </w:tcPr>
                <w:p w14:paraId="363A55D5">
                  <w:pPr>
                    <w:widowControl/>
                    <w:adjustRightInd w:val="0"/>
                    <w:snapToGrid w:val="0"/>
                    <w:jc w:val="center"/>
                    <w:rPr>
                      <w:rFonts w:hint="default" w:ascii="Times New Roman" w:hAnsi="Times New Roman" w:cs="Times New Roman"/>
                      <w:snapToGrid w:val="0"/>
                      <w:color w:val="auto"/>
                      <w:kern w:val="0"/>
                      <w:sz w:val="21"/>
                      <w:szCs w:val="21"/>
                      <w:lang w:eastAsia="zh-CN"/>
                    </w:rPr>
                  </w:pPr>
                  <w:r>
                    <w:rPr>
                      <w:rFonts w:hint="default" w:ascii="Times New Roman" w:hAnsi="Times New Roman" w:cs="Times New Roman"/>
                      <w:snapToGrid w:val="0"/>
                      <w:color w:val="auto"/>
                      <w:kern w:val="0"/>
                      <w:sz w:val="21"/>
                      <w:szCs w:val="21"/>
                      <w:lang w:eastAsia="zh-CN"/>
                    </w:rPr>
                    <w:t>优化能源结构，控制煤炭等化石能源使用量，鼓励使用清洁能源，协同推进减污降碳。全面实施节水工程，合理开发利用水资源，提升水资源利用效率，保障生态用水，严防地下水超采。</w:t>
                  </w:r>
                </w:p>
              </w:tc>
              <w:tc>
                <w:tcPr>
                  <w:tcW w:w="955" w:type="pct"/>
                  <w:noWrap w:val="0"/>
                  <w:vAlign w:val="center"/>
                </w:tcPr>
                <w:p w14:paraId="665DA1D2">
                  <w:pPr>
                    <w:widowControl/>
                    <w:adjustRightInd w:val="0"/>
                    <w:snapToGrid w:val="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项目建成后将充分利用太阳能，节约煤炭化石能源使用</w:t>
                  </w:r>
                </w:p>
              </w:tc>
              <w:tc>
                <w:tcPr>
                  <w:tcW w:w="444" w:type="pct"/>
                  <w:noWrap w:val="0"/>
                  <w:vAlign w:val="center"/>
                </w:tcPr>
                <w:p w14:paraId="38FDF451">
                  <w:pPr>
                    <w:widowControl/>
                    <w:adjustRightInd w:val="0"/>
                    <w:snapToGrid w:val="0"/>
                    <w:jc w:val="center"/>
                    <w:rPr>
                      <w:rFonts w:hint="default" w:ascii="Times New Roman" w:hAnsi="Times New Roman" w:cs="Times New Roman"/>
                      <w:snapToGrid w:val="0"/>
                      <w:color w:val="auto"/>
                      <w:kern w:val="0"/>
                      <w:sz w:val="21"/>
                      <w:szCs w:val="21"/>
                      <w:lang w:eastAsia="en-US"/>
                    </w:rPr>
                  </w:pPr>
                  <w:r>
                    <w:rPr>
                      <w:rFonts w:hint="default" w:ascii="Times New Roman" w:hAnsi="Times New Roman" w:cs="Times New Roman"/>
                      <w:snapToGrid w:val="0"/>
                      <w:color w:val="auto"/>
                      <w:kern w:val="0"/>
                      <w:sz w:val="21"/>
                      <w:szCs w:val="21"/>
                      <w:lang w:eastAsia="en-US"/>
                    </w:rPr>
                    <w:t>符合</w:t>
                  </w:r>
                </w:p>
              </w:tc>
            </w:tr>
            <w:tr w14:paraId="52D181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4" w:type="pct"/>
                  <w:vMerge w:val="restart"/>
                  <w:noWrap w:val="0"/>
                  <w:vAlign w:val="center"/>
                </w:tcPr>
                <w:p w14:paraId="1E1F5FB8">
                  <w:pPr>
                    <w:widowControl/>
                    <w:adjustRightInd w:val="0"/>
                    <w:snapToGrid w:val="0"/>
                    <w:jc w:val="center"/>
                    <w:rPr>
                      <w:rFonts w:hint="default" w:ascii="Times New Roman" w:hAnsi="Times New Roman" w:cs="Times New Roman"/>
                      <w:snapToGrid w:val="0"/>
                      <w:color w:val="auto"/>
                      <w:kern w:val="0"/>
                      <w:sz w:val="21"/>
                      <w:szCs w:val="21"/>
                      <w:lang w:eastAsia="en-US"/>
                    </w:rPr>
                  </w:pPr>
                  <w:r>
                    <w:rPr>
                      <w:rFonts w:hint="default" w:ascii="Times New Roman" w:hAnsi="Times New Roman" w:cs="Times New Roman"/>
                      <w:snapToGrid w:val="0"/>
                      <w:color w:val="auto"/>
                      <w:kern w:val="0"/>
                      <w:sz w:val="21"/>
                      <w:szCs w:val="21"/>
                      <w:lang w:eastAsia="en-US"/>
                    </w:rPr>
                    <w:t>各片区管控要求</w:t>
                  </w:r>
                </w:p>
              </w:tc>
              <w:tc>
                <w:tcPr>
                  <w:tcW w:w="328" w:type="pct"/>
                  <w:vMerge w:val="restart"/>
                  <w:noWrap w:val="0"/>
                  <w:vAlign w:val="center"/>
                </w:tcPr>
                <w:p w14:paraId="0254C26D">
                  <w:pPr>
                    <w:widowControl/>
                    <w:adjustRightInd w:val="0"/>
                    <w:snapToGrid w:val="0"/>
                    <w:jc w:val="center"/>
                    <w:rPr>
                      <w:rFonts w:hint="default" w:ascii="Times New Roman" w:hAnsi="Times New Roman" w:cs="Times New Roman"/>
                      <w:snapToGrid w:val="0"/>
                      <w:color w:val="auto"/>
                      <w:kern w:val="0"/>
                      <w:sz w:val="21"/>
                      <w:szCs w:val="21"/>
                      <w:lang w:eastAsia="en-US"/>
                    </w:rPr>
                  </w:pPr>
                  <w:r>
                    <w:rPr>
                      <w:rFonts w:hint="default" w:ascii="Times New Roman" w:hAnsi="Times New Roman" w:cs="Times New Roman"/>
                      <w:snapToGrid w:val="0"/>
                      <w:color w:val="auto"/>
                      <w:kern w:val="0"/>
                      <w:sz w:val="21"/>
                      <w:szCs w:val="21"/>
                      <w:lang w:eastAsia="zh-CN"/>
                    </w:rPr>
                    <w:t>乌昌石片区</w:t>
                  </w:r>
                </w:p>
              </w:tc>
              <w:tc>
                <w:tcPr>
                  <w:tcW w:w="3068" w:type="pct"/>
                  <w:noWrap w:val="0"/>
                  <w:vAlign w:val="center"/>
                </w:tcPr>
                <w:p w14:paraId="59484BCF">
                  <w:pPr>
                    <w:widowControl/>
                    <w:adjustRightInd w:val="0"/>
                    <w:snapToGrid w:val="0"/>
                    <w:jc w:val="center"/>
                    <w:rPr>
                      <w:rFonts w:hint="default" w:ascii="Times New Roman" w:hAnsi="Times New Roman" w:cs="Times New Roman"/>
                      <w:snapToGrid w:val="0"/>
                      <w:color w:val="auto"/>
                      <w:kern w:val="0"/>
                      <w:sz w:val="21"/>
                      <w:szCs w:val="21"/>
                      <w:lang w:eastAsia="zh-CN"/>
                    </w:rPr>
                  </w:pPr>
                  <w:r>
                    <w:rPr>
                      <w:rFonts w:hint="default" w:ascii="Times New Roman" w:hAnsi="Times New Roman" w:cs="Times New Roman"/>
                      <w:snapToGrid w:val="0"/>
                      <w:color w:val="auto"/>
                      <w:kern w:val="0"/>
                      <w:sz w:val="21"/>
                      <w:szCs w:val="21"/>
                      <w:lang w:eastAsia="zh-CN"/>
                    </w:rPr>
                    <w:t>除国家规划项目外，乌鲁木齐市七区一县、昌吉市、阜康市、玛纳斯县、呼图壁县、沙湾市建成区及周边敏感区域内不再布局建设煤化工、电解铝、燃煤纯发电机组、金属硅、碳化硅、聚氯乙烯（电石法）、焦炭（含半焦）等新增产能项目。具备风光电清洁供暖建设条件的区域原则上不新批</w:t>
                  </w:r>
                  <w:r>
                    <w:rPr>
                      <w:rFonts w:hint="eastAsia" w:ascii="Times New Roman" w:hAnsi="Times New Roman" w:cs="Times New Roman"/>
                      <w:snapToGrid w:val="0"/>
                      <w:color w:val="auto"/>
                      <w:kern w:val="0"/>
                      <w:sz w:val="21"/>
                      <w:szCs w:val="21"/>
                      <w:lang w:eastAsia="zh-CN"/>
                    </w:rPr>
                    <w:t>热电联产项目</w:t>
                  </w:r>
                  <w:r>
                    <w:rPr>
                      <w:rFonts w:hint="default" w:ascii="Times New Roman" w:hAnsi="Times New Roman" w:cs="Times New Roman"/>
                      <w:snapToGrid w:val="0"/>
                      <w:color w:val="auto"/>
                      <w:kern w:val="0"/>
                      <w:sz w:val="21"/>
                      <w:szCs w:val="21"/>
                      <w:lang w:eastAsia="zh-CN"/>
                    </w:rPr>
                    <w:t>。坚持属地负责与区域大气污染联防联控相结合，以明显降低细颗粒物浓度为重点，协同推进“乌-昌-石”同防同治区域大气环境治理。强化与生产建设兵团第六师、第八师、第十一师、第十二师同防同治，所有新建、改建、扩建工业项目执行最严格的大气污染物排放标准，强化氮氧化物深度治理，确保区域环境空气质量持续改善</w:t>
                  </w:r>
                </w:p>
              </w:tc>
              <w:tc>
                <w:tcPr>
                  <w:tcW w:w="955" w:type="pct"/>
                  <w:noWrap w:val="0"/>
                  <w:vAlign w:val="center"/>
                </w:tcPr>
                <w:p w14:paraId="383DD249">
                  <w:pPr>
                    <w:widowControl/>
                    <w:adjustRightInd w:val="0"/>
                    <w:snapToGrid w:val="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项目为光伏发电项目，不属于热电联产项目</w:t>
                  </w:r>
                </w:p>
              </w:tc>
              <w:tc>
                <w:tcPr>
                  <w:tcW w:w="444" w:type="pct"/>
                  <w:noWrap w:val="0"/>
                  <w:vAlign w:val="center"/>
                </w:tcPr>
                <w:p w14:paraId="3AA722C7">
                  <w:pPr>
                    <w:widowControl/>
                    <w:adjustRightInd w:val="0"/>
                    <w:snapToGrid w:val="0"/>
                    <w:jc w:val="center"/>
                    <w:rPr>
                      <w:rFonts w:hint="default" w:ascii="Times New Roman" w:hAnsi="Times New Roman" w:cs="Times New Roman"/>
                      <w:snapToGrid w:val="0"/>
                      <w:color w:val="auto"/>
                      <w:kern w:val="0"/>
                      <w:sz w:val="21"/>
                      <w:szCs w:val="21"/>
                      <w:lang w:eastAsia="en-US"/>
                    </w:rPr>
                  </w:pPr>
                  <w:r>
                    <w:rPr>
                      <w:rFonts w:hint="default" w:ascii="Times New Roman" w:hAnsi="Times New Roman" w:cs="Times New Roman"/>
                      <w:snapToGrid w:val="0"/>
                      <w:color w:val="auto"/>
                      <w:kern w:val="0"/>
                      <w:sz w:val="21"/>
                      <w:szCs w:val="21"/>
                      <w:lang w:eastAsia="en-US"/>
                    </w:rPr>
                    <w:t>符合</w:t>
                  </w:r>
                </w:p>
              </w:tc>
            </w:tr>
            <w:tr w14:paraId="57EF23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4" w:type="pct"/>
                  <w:vMerge w:val="continue"/>
                  <w:noWrap w:val="0"/>
                  <w:vAlign w:val="center"/>
                </w:tcPr>
                <w:p w14:paraId="39359F59">
                  <w:pPr>
                    <w:widowControl/>
                    <w:adjustRightInd w:val="0"/>
                    <w:snapToGrid w:val="0"/>
                    <w:jc w:val="center"/>
                    <w:rPr>
                      <w:rFonts w:hint="default" w:ascii="Times New Roman" w:hAnsi="Times New Roman" w:cs="Times New Roman"/>
                      <w:snapToGrid w:val="0"/>
                      <w:color w:val="auto"/>
                      <w:kern w:val="0"/>
                      <w:sz w:val="21"/>
                      <w:szCs w:val="21"/>
                      <w:lang w:eastAsia="en-US"/>
                    </w:rPr>
                  </w:pPr>
                </w:p>
              </w:tc>
              <w:tc>
                <w:tcPr>
                  <w:tcW w:w="328" w:type="pct"/>
                  <w:vMerge w:val="continue"/>
                  <w:noWrap w:val="0"/>
                  <w:vAlign w:val="center"/>
                </w:tcPr>
                <w:p w14:paraId="6BE5B089">
                  <w:pPr>
                    <w:widowControl/>
                    <w:adjustRightInd w:val="0"/>
                    <w:snapToGrid w:val="0"/>
                    <w:jc w:val="center"/>
                    <w:rPr>
                      <w:rFonts w:hint="default" w:ascii="Times New Roman" w:hAnsi="Times New Roman" w:cs="Times New Roman"/>
                      <w:snapToGrid w:val="0"/>
                      <w:color w:val="auto"/>
                      <w:kern w:val="0"/>
                      <w:sz w:val="21"/>
                      <w:szCs w:val="21"/>
                      <w:lang w:eastAsia="en-US"/>
                    </w:rPr>
                  </w:pPr>
                </w:p>
              </w:tc>
              <w:tc>
                <w:tcPr>
                  <w:tcW w:w="3068" w:type="pct"/>
                  <w:noWrap w:val="0"/>
                  <w:vAlign w:val="center"/>
                </w:tcPr>
                <w:p w14:paraId="5A055FEA">
                  <w:pPr>
                    <w:widowControl/>
                    <w:adjustRightInd w:val="0"/>
                    <w:snapToGrid w:val="0"/>
                    <w:jc w:val="center"/>
                    <w:rPr>
                      <w:rFonts w:hint="default" w:ascii="Times New Roman" w:hAnsi="Times New Roman" w:cs="Times New Roman"/>
                      <w:snapToGrid w:val="0"/>
                      <w:color w:val="auto"/>
                      <w:kern w:val="0"/>
                      <w:sz w:val="21"/>
                      <w:szCs w:val="21"/>
                      <w:lang w:eastAsia="zh-CN"/>
                    </w:rPr>
                  </w:pPr>
                  <w:r>
                    <w:rPr>
                      <w:rFonts w:hint="default" w:ascii="Times New Roman" w:hAnsi="Times New Roman" w:cs="Times New Roman"/>
                      <w:snapToGrid w:val="0"/>
                      <w:color w:val="auto"/>
                      <w:kern w:val="0"/>
                      <w:sz w:val="21"/>
                      <w:szCs w:val="21"/>
                      <w:lang w:eastAsia="zh-CN"/>
                    </w:rPr>
                    <w:t>强化挥发性有机物污染防治措施。推广使用低挥发性有机物原辅料，推动有条件的园区（工业集聚区）建设集中喷涂工程中心，配备高效治污设施，替代企业独立喷涂工序</w:t>
                  </w:r>
                </w:p>
              </w:tc>
              <w:tc>
                <w:tcPr>
                  <w:tcW w:w="955" w:type="pct"/>
                  <w:noWrap w:val="0"/>
                  <w:vAlign w:val="center"/>
                </w:tcPr>
                <w:p w14:paraId="52995E16">
                  <w:pPr>
                    <w:widowControl/>
                    <w:adjustRightInd w:val="0"/>
                    <w:snapToGrid w:val="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项目不涉及挥发性有机物</w:t>
                  </w:r>
                </w:p>
              </w:tc>
              <w:tc>
                <w:tcPr>
                  <w:tcW w:w="444" w:type="pct"/>
                  <w:noWrap w:val="0"/>
                  <w:vAlign w:val="center"/>
                </w:tcPr>
                <w:p w14:paraId="5296C1B7">
                  <w:pPr>
                    <w:widowControl/>
                    <w:adjustRightInd w:val="0"/>
                    <w:snapToGrid w:val="0"/>
                    <w:jc w:val="center"/>
                    <w:rPr>
                      <w:rFonts w:hint="default" w:ascii="Times New Roman" w:hAnsi="Times New Roman" w:cs="Times New Roman"/>
                      <w:snapToGrid w:val="0"/>
                      <w:color w:val="auto"/>
                      <w:kern w:val="0"/>
                      <w:sz w:val="21"/>
                      <w:szCs w:val="21"/>
                      <w:lang w:eastAsia="en-US"/>
                    </w:rPr>
                  </w:pPr>
                  <w:r>
                    <w:rPr>
                      <w:rFonts w:hint="default" w:ascii="Times New Roman" w:hAnsi="Times New Roman" w:cs="Times New Roman"/>
                      <w:snapToGrid w:val="0"/>
                      <w:color w:val="auto"/>
                      <w:kern w:val="0"/>
                      <w:sz w:val="21"/>
                      <w:szCs w:val="21"/>
                      <w:lang w:eastAsia="en-US"/>
                    </w:rPr>
                    <w:t>符合</w:t>
                  </w:r>
                </w:p>
              </w:tc>
            </w:tr>
            <w:tr w14:paraId="6D4D19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4" w:type="pct"/>
                  <w:vMerge w:val="continue"/>
                  <w:noWrap w:val="0"/>
                  <w:vAlign w:val="center"/>
                </w:tcPr>
                <w:p w14:paraId="11764DBC">
                  <w:pPr>
                    <w:widowControl/>
                    <w:adjustRightInd w:val="0"/>
                    <w:snapToGrid w:val="0"/>
                    <w:jc w:val="center"/>
                    <w:rPr>
                      <w:rFonts w:hint="default" w:ascii="Times New Roman" w:hAnsi="Times New Roman" w:cs="Times New Roman"/>
                      <w:snapToGrid w:val="0"/>
                      <w:color w:val="auto"/>
                      <w:kern w:val="0"/>
                      <w:szCs w:val="21"/>
                      <w:lang w:eastAsia="en-US"/>
                    </w:rPr>
                  </w:pPr>
                </w:p>
              </w:tc>
              <w:tc>
                <w:tcPr>
                  <w:tcW w:w="328" w:type="pct"/>
                  <w:vMerge w:val="continue"/>
                  <w:noWrap w:val="0"/>
                  <w:vAlign w:val="center"/>
                </w:tcPr>
                <w:p w14:paraId="2C0EDB6D">
                  <w:pPr>
                    <w:widowControl/>
                    <w:adjustRightInd w:val="0"/>
                    <w:snapToGrid w:val="0"/>
                    <w:jc w:val="center"/>
                    <w:rPr>
                      <w:rFonts w:hint="default" w:ascii="Times New Roman" w:hAnsi="Times New Roman" w:cs="Times New Roman"/>
                      <w:snapToGrid w:val="0"/>
                      <w:color w:val="auto"/>
                      <w:kern w:val="0"/>
                      <w:szCs w:val="21"/>
                      <w:lang w:eastAsia="en-US"/>
                    </w:rPr>
                  </w:pPr>
                </w:p>
              </w:tc>
              <w:tc>
                <w:tcPr>
                  <w:tcW w:w="3068" w:type="pct"/>
                  <w:noWrap w:val="0"/>
                  <w:vAlign w:val="center"/>
                </w:tcPr>
                <w:p w14:paraId="521F8B15">
                  <w:pPr>
                    <w:widowControl/>
                    <w:adjustRightInd w:val="0"/>
                    <w:snapToGrid w:val="0"/>
                    <w:jc w:val="center"/>
                    <w:rPr>
                      <w:rFonts w:hint="default" w:ascii="Times New Roman" w:hAnsi="Times New Roman" w:cs="Times New Roman"/>
                      <w:snapToGrid w:val="0"/>
                      <w:color w:val="auto"/>
                      <w:kern w:val="0"/>
                      <w:szCs w:val="21"/>
                      <w:lang w:eastAsia="zh-CN"/>
                    </w:rPr>
                  </w:pPr>
                  <w:r>
                    <w:rPr>
                      <w:rFonts w:hint="default" w:ascii="Times New Roman" w:hAnsi="Times New Roman" w:cs="Times New Roman"/>
                      <w:snapToGrid w:val="0"/>
                      <w:color w:val="auto"/>
                      <w:kern w:val="0"/>
                      <w:szCs w:val="21"/>
                      <w:lang w:eastAsia="zh-CN"/>
                    </w:rPr>
                    <w:t>强化企业清洁生产改造，推进节水型企业、节水型工业园区建设，提高资源集约节约利用水平。积极推进地下水超采治理，逐步压减地下水超采量，实现地下水采补平衡</w:t>
                  </w:r>
                </w:p>
              </w:tc>
              <w:tc>
                <w:tcPr>
                  <w:tcW w:w="955" w:type="pct"/>
                  <w:noWrap w:val="0"/>
                  <w:vAlign w:val="center"/>
                </w:tcPr>
                <w:p w14:paraId="38262AA8">
                  <w:pPr>
                    <w:widowControl/>
                    <w:adjustRightInd w:val="0"/>
                    <w:snapToGrid w:val="0"/>
                    <w:jc w:val="center"/>
                    <w:rPr>
                      <w:rFonts w:hint="default" w:ascii="Times New Roman" w:hAnsi="Times New Roman" w:cs="Times New Roman"/>
                      <w:snapToGrid w:val="0"/>
                      <w:color w:val="auto"/>
                      <w:kern w:val="0"/>
                      <w:szCs w:val="21"/>
                      <w:lang w:val="en-US" w:eastAsia="zh-CN"/>
                    </w:rPr>
                  </w:pPr>
                  <w:r>
                    <w:rPr>
                      <w:rFonts w:hint="default" w:ascii="Times New Roman" w:hAnsi="Times New Roman" w:cs="Times New Roman"/>
                      <w:snapToGrid w:val="0"/>
                      <w:color w:val="auto"/>
                      <w:kern w:val="0"/>
                      <w:szCs w:val="21"/>
                      <w:lang w:val="en-US" w:eastAsia="zh-CN"/>
                    </w:rPr>
                    <w:t>项目不开采地下水</w:t>
                  </w:r>
                </w:p>
              </w:tc>
              <w:tc>
                <w:tcPr>
                  <w:tcW w:w="444" w:type="pct"/>
                  <w:noWrap w:val="0"/>
                  <w:vAlign w:val="center"/>
                </w:tcPr>
                <w:p w14:paraId="19C6E3CF">
                  <w:pPr>
                    <w:widowControl/>
                    <w:adjustRightInd w:val="0"/>
                    <w:snapToGrid w:val="0"/>
                    <w:jc w:val="center"/>
                    <w:rPr>
                      <w:rFonts w:hint="default" w:ascii="Times New Roman" w:hAnsi="Times New Roman" w:cs="Times New Roman"/>
                      <w:snapToGrid w:val="0"/>
                      <w:color w:val="auto"/>
                      <w:kern w:val="0"/>
                      <w:szCs w:val="21"/>
                      <w:lang w:eastAsia="en-US"/>
                    </w:rPr>
                  </w:pPr>
                  <w:r>
                    <w:rPr>
                      <w:rFonts w:hint="default" w:ascii="Times New Roman" w:hAnsi="Times New Roman" w:cs="Times New Roman"/>
                      <w:snapToGrid w:val="0"/>
                      <w:color w:val="auto"/>
                      <w:kern w:val="0"/>
                      <w:sz w:val="21"/>
                      <w:szCs w:val="21"/>
                      <w:lang w:eastAsia="en-US"/>
                    </w:rPr>
                    <w:t>符合</w:t>
                  </w:r>
                </w:p>
              </w:tc>
            </w:tr>
            <w:tr w14:paraId="0929E1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4" w:type="pct"/>
                  <w:vMerge w:val="continue"/>
                  <w:noWrap w:val="0"/>
                  <w:vAlign w:val="center"/>
                </w:tcPr>
                <w:p w14:paraId="02DAD0B4">
                  <w:pPr>
                    <w:widowControl/>
                    <w:adjustRightInd w:val="0"/>
                    <w:snapToGrid w:val="0"/>
                    <w:jc w:val="center"/>
                    <w:rPr>
                      <w:rFonts w:hint="default" w:ascii="Times New Roman" w:hAnsi="Times New Roman" w:cs="Times New Roman"/>
                      <w:snapToGrid w:val="0"/>
                      <w:color w:val="auto"/>
                      <w:kern w:val="0"/>
                      <w:szCs w:val="21"/>
                      <w:lang w:eastAsia="en-US"/>
                    </w:rPr>
                  </w:pPr>
                </w:p>
              </w:tc>
              <w:tc>
                <w:tcPr>
                  <w:tcW w:w="328" w:type="pct"/>
                  <w:vMerge w:val="continue"/>
                  <w:noWrap w:val="0"/>
                  <w:vAlign w:val="center"/>
                </w:tcPr>
                <w:p w14:paraId="43483BE3">
                  <w:pPr>
                    <w:widowControl/>
                    <w:adjustRightInd w:val="0"/>
                    <w:snapToGrid w:val="0"/>
                    <w:jc w:val="center"/>
                    <w:rPr>
                      <w:rFonts w:hint="default" w:ascii="Times New Roman" w:hAnsi="Times New Roman" w:cs="Times New Roman"/>
                      <w:snapToGrid w:val="0"/>
                      <w:color w:val="auto"/>
                      <w:kern w:val="0"/>
                      <w:szCs w:val="21"/>
                      <w:lang w:eastAsia="en-US"/>
                    </w:rPr>
                  </w:pPr>
                </w:p>
              </w:tc>
              <w:tc>
                <w:tcPr>
                  <w:tcW w:w="3068" w:type="pct"/>
                  <w:noWrap w:val="0"/>
                  <w:vAlign w:val="center"/>
                </w:tcPr>
                <w:p w14:paraId="7452F425">
                  <w:pPr>
                    <w:widowControl/>
                    <w:adjustRightInd w:val="0"/>
                    <w:snapToGrid w:val="0"/>
                    <w:jc w:val="center"/>
                    <w:rPr>
                      <w:rFonts w:hint="default" w:ascii="Times New Roman" w:hAnsi="Times New Roman" w:cs="Times New Roman"/>
                      <w:snapToGrid w:val="0"/>
                      <w:color w:val="auto"/>
                      <w:kern w:val="0"/>
                      <w:szCs w:val="21"/>
                      <w:lang w:eastAsia="zh-CN"/>
                    </w:rPr>
                  </w:pPr>
                  <w:r>
                    <w:rPr>
                      <w:rFonts w:hint="default" w:ascii="Times New Roman" w:hAnsi="Times New Roman" w:cs="Times New Roman"/>
                      <w:snapToGrid w:val="0"/>
                      <w:color w:val="auto"/>
                      <w:kern w:val="0"/>
                      <w:szCs w:val="21"/>
                      <w:lang w:eastAsia="zh-CN"/>
                    </w:rPr>
                    <w:t>强化油（气）资源开发区土壤环境污染综合整治，加强涉重金属行业污染防控与工业废物处理处置</w:t>
                  </w:r>
                </w:p>
              </w:tc>
              <w:tc>
                <w:tcPr>
                  <w:tcW w:w="955" w:type="pct"/>
                  <w:noWrap w:val="0"/>
                  <w:vAlign w:val="center"/>
                </w:tcPr>
                <w:p w14:paraId="325CC0F6">
                  <w:pPr>
                    <w:widowControl/>
                    <w:adjustRightInd w:val="0"/>
                    <w:snapToGrid w:val="0"/>
                    <w:jc w:val="center"/>
                    <w:rPr>
                      <w:rFonts w:hint="default" w:ascii="Times New Roman" w:hAnsi="Times New Roman" w:cs="Times New Roman"/>
                      <w:snapToGrid w:val="0"/>
                      <w:color w:val="auto"/>
                      <w:kern w:val="0"/>
                      <w:szCs w:val="21"/>
                      <w:lang w:val="en-US" w:eastAsia="zh-CN"/>
                    </w:rPr>
                  </w:pPr>
                  <w:r>
                    <w:rPr>
                      <w:rFonts w:hint="default" w:ascii="Times New Roman" w:hAnsi="Times New Roman" w:cs="Times New Roman"/>
                      <w:snapToGrid w:val="0"/>
                      <w:color w:val="auto"/>
                      <w:kern w:val="0"/>
                      <w:szCs w:val="21"/>
                      <w:lang w:val="en-US" w:eastAsia="zh-CN"/>
                    </w:rPr>
                    <w:t>项目不属于油气开发项目</w:t>
                  </w:r>
                </w:p>
              </w:tc>
              <w:tc>
                <w:tcPr>
                  <w:tcW w:w="444" w:type="pct"/>
                  <w:noWrap w:val="0"/>
                  <w:vAlign w:val="center"/>
                </w:tcPr>
                <w:p w14:paraId="0BD531C1">
                  <w:pPr>
                    <w:widowControl/>
                    <w:adjustRightInd w:val="0"/>
                    <w:snapToGrid w:val="0"/>
                    <w:jc w:val="center"/>
                    <w:rPr>
                      <w:rFonts w:hint="default" w:ascii="Times New Roman" w:hAnsi="Times New Roman" w:cs="Times New Roman"/>
                      <w:snapToGrid w:val="0"/>
                      <w:color w:val="auto"/>
                      <w:kern w:val="0"/>
                      <w:szCs w:val="21"/>
                      <w:lang w:eastAsia="zh-CN"/>
                    </w:rPr>
                  </w:pPr>
                  <w:r>
                    <w:rPr>
                      <w:rFonts w:hint="default" w:ascii="Times New Roman" w:hAnsi="Times New Roman" w:cs="Times New Roman"/>
                      <w:snapToGrid w:val="0"/>
                      <w:color w:val="auto"/>
                      <w:kern w:val="0"/>
                      <w:sz w:val="21"/>
                      <w:szCs w:val="21"/>
                      <w:lang w:eastAsia="en-US"/>
                    </w:rPr>
                    <w:t>符合</w:t>
                  </w:r>
                </w:p>
              </w:tc>
            </w:tr>
            <w:tr w14:paraId="08E9FC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04" w:type="pct"/>
                  <w:vMerge w:val="continue"/>
                  <w:noWrap w:val="0"/>
                  <w:vAlign w:val="center"/>
                </w:tcPr>
                <w:p w14:paraId="7CF274EA">
                  <w:pPr>
                    <w:widowControl/>
                    <w:adjustRightInd w:val="0"/>
                    <w:snapToGrid w:val="0"/>
                    <w:jc w:val="center"/>
                    <w:rPr>
                      <w:rFonts w:hint="default" w:ascii="Times New Roman" w:hAnsi="Times New Roman" w:cs="Times New Roman"/>
                      <w:snapToGrid w:val="0"/>
                      <w:color w:val="auto"/>
                      <w:kern w:val="0"/>
                      <w:sz w:val="21"/>
                      <w:szCs w:val="21"/>
                      <w:lang w:eastAsia="zh-CN"/>
                    </w:rPr>
                  </w:pPr>
                </w:p>
              </w:tc>
              <w:tc>
                <w:tcPr>
                  <w:tcW w:w="328" w:type="pct"/>
                  <w:vMerge w:val="continue"/>
                  <w:noWrap w:val="0"/>
                  <w:vAlign w:val="center"/>
                </w:tcPr>
                <w:p w14:paraId="07C0065D">
                  <w:pPr>
                    <w:widowControl/>
                    <w:adjustRightInd w:val="0"/>
                    <w:snapToGrid w:val="0"/>
                    <w:jc w:val="center"/>
                    <w:rPr>
                      <w:rFonts w:hint="default" w:ascii="Times New Roman" w:hAnsi="Times New Roman" w:cs="Times New Roman"/>
                      <w:snapToGrid w:val="0"/>
                      <w:color w:val="auto"/>
                      <w:kern w:val="0"/>
                      <w:sz w:val="21"/>
                      <w:szCs w:val="21"/>
                      <w:lang w:eastAsia="zh-CN"/>
                    </w:rPr>
                  </w:pPr>
                </w:p>
              </w:tc>
              <w:tc>
                <w:tcPr>
                  <w:tcW w:w="3068" w:type="pct"/>
                  <w:noWrap w:val="0"/>
                  <w:vAlign w:val="center"/>
                </w:tcPr>
                <w:p w14:paraId="3FBA81F5">
                  <w:pPr>
                    <w:widowControl/>
                    <w:adjustRightInd w:val="0"/>
                    <w:snapToGrid w:val="0"/>
                    <w:jc w:val="center"/>
                    <w:rPr>
                      <w:rFonts w:hint="default" w:ascii="Times New Roman" w:hAnsi="Times New Roman" w:cs="Times New Roman"/>
                      <w:snapToGrid w:val="0"/>
                      <w:color w:val="auto"/>
                      <w:kern w:val="0"/>
                      <w:sz w:val="21"/>
                      <w:szCs w:val="21"/>
                      <w:lang w:eastAsia="zh-CN"/>
                    </w:rPr>
                  </w:pPr>
                  <w:r>
                    <w:rPr>
                      <w:rFonts w:hint="default" w:ascii="Times New Roman" w:hAnsi="Times New Roman" w:cs="Times New Roman"/>
                      <w:snapToGrid w:val="0"/>
                      <w:color w:val="auto"/>
                      <w:kern w:val="0"/>
                      <w:sz w:val="21"/>
                      <w:szCs w:val="21"/>
                      <w:lang w:eastAsia="zh-CN"/>
                    </w:rPr>
                    <w:t>煤炭、石油、天然气开发单位应当制定生态保护和恢复治理方案，并予以实施。生态保护和恢复治理方案内容应当向社会公布，接受社会监督</w:t>
                  </w:r>
                </w:p>
              </w:tc>
              <w:tc>
                <w:tcPr>
                  <w:tcW w:w="955" w:type="pct"/>
                  <w:noWrap w:val="0"/>
                  <w:vAlign w:val="center"/>
                </w:tcPr>
                <w:p w14:paraId="77C315DE">
                  <w:pPr>
                    <w:widowControl/>
                    <w:adjustRightInd w:val="0"/>
                    <w:snapToGrid w:val="0"/>
                    <w:jc w:val="center"/>
                    <w:rPr>
                      <w:rFonts w:hint="default" w:ascii="Times New Roman" w:hAnsi="Times New Roman" w:cs="Times New Roman"/>
                      <w:snapToGrid w:val="0"/>
                      <w:color w:val="auto"/>
                      <w:kern w:val="0"/>
                      <w:sz w:val="21"/>
                      <w:szCs w:val="21"/>
                      <w:lang w:val="en-US" w:eastAsia="zh-CN"/>
                    </w:rPr>
                  </w:pPr>
                  <w:r>
                    <w:rPr>
                      <w:rFonts w:hint="default" w:ascii="Times New Roman" w:hAnsi="Times New Roman" w:cs="Times New Roman"/>
                      <w:snapToGrid w:val="0"/>
                      <w:color w:val="auto"/>
                      <w:kern w:val="0"/>
                      <w:sz w:val="21"/>
                      <w:szCs w:val="21"/>
                      <w:lang w:val="en-US" w:eastAsia="zh-CN"/>
                    </w:rPr>
                    <w:t>项目不属于上述行业</w:t>
                  </w:r>
                </w:p>
              </w:tc>
              <w:tc>
                <w:tcPr>
                  <w:tcW w:w="444" w:type="pct"/>
                  <w:noWrap w:val="0"/>
                  <w:vAlign w:val="center"/>
                </w:tcPr>
                <w:p w14:paraId="1E4E31CD">
                  <w:pPr>
                    <w:widowControl/>
                    <w:adjustRightInd w:val="0"/>
                    <w:snapToGrid w:val="0"/>
                    <w:jc w:val="center"/>
                    <w:rPr>
                      <w:rFonts w:hint="default" w:ascii="Times New Roman" w:hAnsi="Times New Roman" w:cs="Times New Roman"/>
                      <w:snapToGrid w:val="0"/>
                      <w:color w:val="auto"/>
                      <w:kern w:val="0"/>
                      <w:sz w:val="21"/>
                      <w:szCs w:val="21"/>
                      <w:lang w:eastAsia="zh-CN"/>
                    </w:rPr>
                  </w:pPr>
                  <w:r>
                    <w:rPr>
                      <w:rFonts w:hint="default" w:ascii="Times New Roman" w:hAnsi="Times New Roman" w:cs="Times New Roman"/>
                      <w:snapToGrid w:val="0"/>
                      <w:color w:val="auto"/>
                      <w:kern w:val="0"/>
                      <w:sz w:val="21"/>
                      <w:szCs w:val="21"/>
                      <w:lang w:eastAsia="zh-CN"/>
                    </w:rPr>
                    <w:t>符合</w:t>
                  </w:r>
                </w:p>
              </w:tc>
            </w:tr>
          </w:tbl>
          <w:p w14:paraId="671F7EEF">
            <w:pPr>
              <w:keepNext w:val="0"/>
              <w:keepLines w:val="0"/>
              <w:pageBreakBefore w:val="0"/>
              <w:widowControl/>
              <w:suppressLineNumbers w:val="0"/>
              <w:kinsoku/>
              <w:wordWrap/>
              <w:overflowPunct/>
              <w:topLinePunct w:val="0"/>
              <w:autoSpaceDE w:val="0"/>
              <w:autoSpaceDN w:val="0"/>
              <w:bidi w:val="0"/>
              <w:adjustRightInd w:val="0"/>
              <w:snapToGrid w:val="0"/>
              <w:spacing w:before="157" w:beforeLines="5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z w:val="24"/>
                <w:lang w:val="zh-CN"/>
              </w:rPr>
            </w:pPr>
            <w:r>
              <w:rPr>
                <w:rFonts w:hint="default" w:ascii="Times New Roman" w:hAnsi="Times New Roman" w:eastAsia="宋体" w:cs="Times New Roman"/>
                <w:b w:val="0"/>
                <w:bCs/>
                <w:color w:val="auto"/>
                <w:sz w:val="24"/>
                <w:lang w:val="zh-CN"/>
              </w:rPr>
              <w:t>综合分析，本项目建设符合《关于印发</w:t>
            </w:r>
            <w:r>
              <w:rPr>
                <w:rFonts w:hint="eastAsia" w:ascii="Times New Roman" w:hAnsi="Times New Roman" w:eastAsia="宋体" w:cs="Times New Roman"/>
                <w:b w:val="0"/>
                <w:bCs/>
                <w:color w:val="auto"/>
                <w:sz w:val="24"/>
                <w:lang w:val="en-US" w:eastAsia="zh-CN"/>
              </w:rPr>
              <w:t>&lt;</w:t>
            </w:r>
            <w:r>
              <w:rPr>
                <w:rFonts w:hint="default" w:ascii="Times New Roman" w:hAnsi="Times New Roman" w:eastAsia="宋体" w:cs="Times New Roman"/>
                <w:b w:val="0"/>
                <w:bCs/>
                <w:color w:val="auto"/>
                <w:sz w:val="24"/>
                <w:lang w:val="zh-CN"/>
              </w:rPr>
              <w:t>新疆维吾尔自治区七大片区“三线一单”生态环境分区管控要求</w:t>
            </w:r>
            <w:r>
              <w:rPr>
                <w:rFonts w:hint="eastAsia" w:ascii="Times New Roman" w:hAnsi="Times New Roman" w:eastAsia="宋体" w:cs="Times New Roman"/>
                <w:b w:val="0"/>
                <w:bCs/>
                <w:color w:val="auto"/>
                <w:sz w:val="24"/>
                <w:lang w:val="en-US" w:eastAsia="zh-CN"/>
              </w:rPr>
              <w:t>&gt;</w:t>
            </w:r>
            <w:r>
              <w:rPr>
                <w:rFonts w:hint="default" w:ascii="Times New Roman" w:hAnsi="Times New Roman" w:eastAsia="宋体" w:cs="Times New Roman"/>
                <w:b w:val="0"/>
                <w:bCs/>
                <w:color w:val="auto"/>
                <w:sz w:val="24"/>
                <w:lang w:val="zh-CN"/>
              </w:rPr>
              <w:t>（2021年版）的通知》（新环环评发〔2021〕162号）相关要求。</w:t>
            </w:r>
          </w:p>
          <w:p w14:paraId="636D9ED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zh-CN"/>
              </w:rPr>
              <w:t>（</w:t>
            </w:r>
            <w:r>
              <w:rPr>
                <w:rFonts w:hint="default" w:ascii="Times New Roman" w:hAnsi="Times New Roman" w:eastAsia="宋体" w:cs="Times New Roman"/>
                <w:b w:val="0"/>
                <w:bCs/>
                <w:color w:val="auto"/>
                <w:sz w:val="24"/>
                <w:lang w:val="en-US" w:eastAsia="zh-CN"/>
              </w:rPr>
              <w:t>3</w:t>
            </w:r>
            <w:r>
              <w:rPr>
                <w:rFonts w:hint="default" w:ascii="Times New Roman" w:hAnsi="Times New Roman" w:eastAsia="宋体" w:cs="Times New Roman"/>
                <w:b w:val="0"/>
                <w:bCs/>
                <w:color w:val="auto"/>
                <w:sz w:val="24"/>
                <w:lang w:val="zh-CN"/>
              </w:rPr>
              <w:t>）</w:t>
            </w:r>
            <w:r>
              <w:rPr>
                <w:rFonts w:hint="default" w:ascii="Times New Roman" w:hAnsi="Times New Roman" w:eastAsia="宋体" w:cs="Times New Roman"/>
                <w:b w:val="0"/>
                <w:bCs/>
                <w:color w:val="auto"/>
                <w:sz w:val="24"/>
                <w:lang w:val="en-US" w:eastAsia="zh-CN"/>
              </w:rPr>
              <w:t>与</w:t>
            </w:r>
            <w:r>
              <w:rPr>
                <w:rFonts w:hint="default" w:ascii="Times New Roman" w:hAnsi="Times New Roman" w:eastAsia="宋体" w:cs="Times New Roman"/>
                <w:b w:val="0"/>
                <w:bCs/>
                <w:color w:val="auto"/>
                <w:sz w:val="24"/>
                <w:lang w:val="zh-CN"/>
              </w:rPr>
              <w:t>《关于印发&lt;新疆维吾尔自治区生态环境分区管控动态更新成果&gt;的通知》（新环环评发〔2024〕157 号）</w:t>
            </w:r>
            <w:r>
              <w:rPr>
                <w:rFonts w:hint="default" w:ascii="Times New Roman" w:hAnsi="Times New Roman" w:eastAsia="宋体" w:cs="Times New Roman"/>
                <w:b w:val="0"/>
                <w:bCs/>
                <w:color w:val="auto"/>
                <w:sz w:val="24"/>
                <w:lang w:val="en-US" w:eastAsia="zh-CN"/>
              </w:rPr>
              <w:t>符合性分析</w:t>
            </w:r>
          </w:p>
          <w:p w14:paraId="3916387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z w:val="24"/>
                <w:lang w:val="zh-CN"/>
              </w:rPr>
            </w:pPr>
            <w:r>
              <w:rPr>
                <w:rFonts w:hint="default" w:ascii="Times New Roman" w:hAnsi="Times New Roman" w:eastAsia="宋体" w:cs="Times New Roman"/>
                <w:b w:val="0"/>
                <w:bCs/>
                <w:color w:val="auto"/>
                <w:sz w:val="24"/>
                <w:lang w:val="zh-CN"/>
              </w:rPr>
              <w:t>本项目与《关于印发&lt;新疆维吾尔自治区生态环境分区管控动态更新成果&gt;的通知》（新环环评发〔2024〕157 号）符合性分析详见表1-</w:t>
            </w:r>
            <w:r>
              <w:rPr>
                <w:rFonts w:hint="eastAsia" w:ascii="Times New Roman" w:hAnsi="Times New Roman" w:eastAsia="宋体" w:cs="Times New Roman"/>
                <w:b w:val="0"/>
                <w:bCs/>
                <w:color w:val="auto"/>
                <w:sz w:val="24"/>
                <w:lang w:val="en-US" w:eastAsia="zh-CN"/>
              </w:rPr>
              <w:t>4</w:t>
            </w:r>
            <w:r>
              <w:rPr>
                <w:rFonts w:hint="default" w:ascii="Times New Roman" w:hAnsi="Times New Roman" w:eastAsia="宋体" w:cs="Times New Roman"/>
                <w:b w:val="0"/>
                <w:bCs/>
                <w:color w:val="auto"/>
                <w:sz w:val="24"/>
                <w:lang w:val="zh-CN"/>
              </w:rPr>
              <w:t>。</w:t>
            </w:r>
          </w:p>
          <w:p w14:paraId="089B32DB">
            <w:pPr>
              <w:pStyle w:val="45"/>
              <w:keepNext w:val="0"/>
              <w:keepLines w:val="0"/>
              <w:suppressLineNumbers w:val="0"/>
              <w:spacing w:before="0" w:beforeAutospacing="0" w:after="0" w:afterAutospacing="0" w:line="240" w:lineRule="auto"/>
              <w:ind w:left="0" w:right="0" w:firstLine="420"/>
              <w:rPr>
                <w:rFonts w:hint="default" w:ascii="Times New Roman" w:hAnsi="Times New Roman" w:eastAsia="黑体" w:cs="Times New Roman"/>
                <w:color w:val="auto"/>
                <w:sz w:val="21"/>
                <w:lang w:bidi="en-US"/>
              </w:rPr>
            </w:pPr>
            <w:r>
              <w:rPr>
                <w:rFonts w:hint="default" w:ascii="Times New Roman" w:hAnsi="Times New Roman" w:eastAsia="黑体" w:cs="Times New Roman"/>
                <w:color w:val="auto"/>
                <w:sz w:val="21"/>
                <w:lang w:bidi="en-US"/>
              </w:rPr>
              <w:t>表</w:t>
            </w:r>
            <w:r>
              <w:rPr>
                <w:rFonts w:hint="default" w:ascii="Times New Roman" w:hAnsi="Times New Roman" w:eastAsia="黑体" w:cs="Times New Roman"/>
                <w:color w:val="auto"/>
                <w:sz w:val="21"/>
                <w:lang w:val="en-US" w:eastAsia="zh-CN" w:bidi="en-US"/>
              </w:rPr>
              <w:t>1-</w:t>
            </w:r>
            <w:r>
              <w:rPr>
                <w:rFonts w:hint="eastAsia" w:ascii="Times New Roman" w:hAnsi="Times New Roman" w:eastAsia="黑体" w:cs="Times New Roman"/>
                <w:color w:val="auto"/>
                <w:sz w:val="21"/>
                <w:lang w:val="en-US" w:eastAsia="zh-CN" w:bidi="en-US"/>
              </w:rPr>
              <w:t>4</w:t>
            </w:r>
            <w:r>
              <w:rPr>
                <w:rFonts w:hint="default" w:ascii="Times New Roman" w:hAnsi="Times New Roman" w:eastAsia="黑体" w:cs="Times New Roman"/>
                <w:color w:val="auto"/>
                <w:sz w:val="21"/>
                <w:lang w:bidi="en-US"/>
              </w:rPr>
              <w:t xml:space="preserve">          新环环评发〔2024〕157号符合性分析结果</w:t>
            </w:r>
          </w:p>
          <w:tbl>
            <w:tblPr>
              <w:tblStyle w:val="29"/>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281"/>
              <w:gridCol w:w="372"/>
              <w:gridCol w:w="4471"/>
              <w:gridCol w:w="1036"/>
              <w:gridCol w:w="575"/>
            </w:tblGrid>
            <w:tr w14:paraId="0A2EE4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3804" w:type="pct"/>
                  <w:gridSpan w:val="3"/>
                  <w:tcBorders>
                    <w:tl2br w:val="nil"/>
                    <w:tr2bl w:val="nil"/>
                  </w:tcBorders>
                  <w:noWrap w:val="0"/>
                  <w:vAlign w:val="center"/>
                </w:tcPr>
                <w:p w14:paraId="0036BC2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新环环评发〔2024〕157号管控要求</w:t>
                  </w:r>
                </w:p>
              </w:tc>
              <w:tc>
                <w:tcPr>
                  <w:tcW w:w="768" w:type="pct"/>
                  <w:tcBorders>
                    <w:tl2br w:val="nil"/>
                    <w:tr2bl w:val="nil"/>
                  </w:tcBorders>
                  <w:noWrap w:val="0"/>
                  <w:vAlign w:val="center"/>
                </w:tcPr>
                <w:p w14:paraId="025A8A9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本项目情况</w:t>
                  </w:r>
                </w:p>
              </w:tc>
              <w:tc>
                <w:tcPr>
                  <w:tcW w:w="427" w:type="pct"/>
                  <w:tcBorders>
                    <w:tl2br w:val="nil"/>
                    <w:tr2bl w:val="nil"/>
                  </w:tcBorders>
                  <w:noWrap w:val="0"/>
                  <w:vAlign w:val="center"/>
                </w:tcPr>
                <w:p w14:paraId="0D93DB1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符合性</w:t>
                  </w:r>
                </w:p>
              </w:tc>
            </w:tr>
            <w:tr w14:paraId="7F8F8C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restart"/>
                  <w:tcBorders>
                    <w:tl2br w:val="nil"/>
                    <w:tr2bl w:val="nil"/>
                  </w:tcBorders>
                  <w:noWrap w:val="0"/>
                  <w:vAlign w:val="center"/>
                </w:tcPr>
                <w:p w14:paraId="5F2EB0B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A1.空间布局约束</w:t>
                  </w:r>
                </w:p>
              </w:tc>
              <w:tc>
                <w:tcPr>
                  <w:tcW w:w="276" w:type="pct"/>
                  <w:vMerge w:val="restart"/>
                  <w:tcBorders>
                    <w:tl2br w:val="nil"/>
                    <w:tr2bl w:val="nil"/>
                  </w:tcBorders>
                  <w:noWrap w:val="0"/>
                  <w:vAlign w:val="center"/>
                </w:tcPr>
                <w:p w14:paraId="1598D54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A1.1禁止开发的活动</w:t>
                  </w:r>
                </w:p>
              </w:tc>
              <w:tc>
                <w:tcPr>
                  <w:tcW w:w="3319" w:type="pct"/>
                  <w:tcBorders>
                    <w:tl2br w:val="nil"/>
                    <w:tr2bl w:val="nil"/>
                  </w:tcBorders>
                  <w:noWrap w:val="0"/>
                  <w:vAlign w:val="center"/>
                </w:tcPr>
                <w:p w14:paraId="345EDCA4">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[A1.1-1]禁止新建、扩建《产业结构调整指导目录</w:t>
                  </w:r>
                  <w:r>
                    <w:rPr>
                      <w:rFonts w:hint="eastAsia" w:ascii="Times New Roman" w:hAnsi="Times New Roman" w:cs="Times New Roman"/>
                      <w:snapToGrid w:val="0"/>
                      <w:color w:val="auto"/>
                      <w:lang w:eastAsia="zh-CN"/>
                    </w:rPr>
                    <w:t>（</w:t>
                  </w:r>
                  <w:r>
                    <w:rPr>
                      <w:rFonts w:hint="default" w:ascii="Times New Roman" w:hAnsi="Times New Roman" w:cs="Times New Roman"/>
                      <w:snapToGrid w:val="0"/>
                      <w:color w:val="auto"/>
                    </w:rPr>
                    <w:t>2024年本</w:t>
                  </w:r>
                  <w:r>
                    <w:rPr>
                      <w:rFonts w:hint="eastAsia" w:ascii="Times New Roman" w:hAnsi="Times New Roman" w:cs="Times New Roman"/>
                      <w:snapToGrid w:val="0"/>
                      <w:color w:val="auto"/>
                      <w:lang w:eastAsia="zh-CN"/>
                    </w:rPr>
                    <w:t>）</w:t>
                  </w:r>
                  <w:r>
                    <w:rPr>
                      <w:rFonts w:hint="default" w:ascii="Times New Roman" w:hAnsi="Times New Roman" w:cs="Times New Roman"/>
                      <w:snapToGrid w:val="0"/>
                      <w:color w:val="auto"/>
                    </w:rPr>
                    <w:t>》中淘汰类项目。禁止引入《市场准入负面清单</w:t>
                  </w:r>
                  <w:r>
                    <w:rPr>
                      <w:rFonts w:hint="eastAsia" w:ascii="Times New Roman" w:hAnsi="Times New Roman" w:cs="Times New Roman"/>
                      <w:snapToGrid w:val="0"/>
                      <w:color w:val="auto"/>
                      <w:lang w:eastAsia="zh-CN"/>
                    </w:rPr>
                    <w:t>（</w:t>
                  </w:r>
                  <w:r>
                    <w:rPr>
                      <w:rFonts w:hint="default" w:ascii="Times New Roman" w:hAnsi="Times New Roman" w:cs="Times New Roman"/>
                      <w:snapToGrid w:val="0"/>
                      <w:color w:val="auto"/>
                    </w:rPr>
                    <w:t>2022年版</w:t>
                  </w:r>
                  <w:r>
                    <w:rPr>
                      <w:rFonts w:hint="eastAsia" w:ascii="Times New Roman" w:hAnsi="Times New Roman" w:cs="Times New Roman"/>
                      <w:snapToGrid w:val="0"/>
                      <w:color w:val="auto"/>
                      <w:lang w:eastAsia="zh-CN"/>
                    </w:rPr>
                    <w:t>）</w:t>
                  </w:r>
                  <w:r>
                    <w:rPr>
                      <w:rFonts w:hint="default" w:ascii="Times New Roman" w:hAnsi="Times New Roman" w:cs="Times New Roman"/>
                      <w:snapToGrid w:val="0"/>
                      <w:color w:val="auto"/>
                    </w:rPr>
                    <w:t>》禁止准入类事项。</w:t>
                  </w:r>
                </w:p>
              </w:tc>
              <w:tc>
                <w:tcPr>
                  <w:tcW w:w="768" w:type="pct"/>
                  <w:tcBorders>
                    <w:tl2br w:val="nil"/>
                    <w:tr2bl w:val="nil"/>
                  </w:tcBorders>
                  <w:noWrap w:val="0"/>
                  <w:vAlign w:val="center"/>
                </w:tcPr>
                <w:p w14:paraId="2948734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本项目属于《产业结构调整指导目录</w:t>
                  </w:r>
                  <w:r>
                    <w:rPr>
                      <w:rFonts w:hint="eastAsia" w:ascii="Times New Roman" w:hAnsi="Times New Roman" w:cs="Times New Roman"/>
                      <w:snapToGrid w:val="0"/>
                      <w:color w:val="auto"/>
                      <w:lang w:val="en-US" w:eastAsia="zh-CN"/>
                    </w:rPr>
                    <w:t>（</w:t>
                  </w:r>
                  <w:r>
                    <w:rPr>
                      <w:rFonts w:hint="default" w:ascii="Times New Roman" w:hAnsi="Times New Roman" w:cs="Times New Roman"/>
                      <w:snapToGrid w:val="0"/>
                      <w:color w:val="auto"/>
                      <w:lang w:val="en-US" w:eastAsia="zh-CN"/>
                    </w:rPr>
                    <w:t>2024年本</w:t>
                  </w:r>
                  <w:r>
                    <w:rPr>
                      <w:rFonts w:hint="eastAsia" w:ascii="Times New Roman" w:hAnsi="Times New Roman" w:cs="Times New Roman"/>
                      <w:snapToGrid w:val="0"/>
                      <w:color w:val="auto"/>
                      <w:lang w:val="en-US" w:eastAsia="zh-CN"/>
                    </w:rPr>
                    <w:t>）</w:t>
                  </w:r>
                  <w:r>
                    <w:rPr>
                      <w:rFonts w:hint="default" w:ascii="Times New Roman" w:hAnsi="Times New Roman" w:cs="Times New Roman"/>
                      <w:snapToGrid w:val="0"/>
                      <w:color w:val="auto"/>
                      <w:lang w:val="en-US" w:eastAsia="zh-CN"/>
                    </w:rPr>
                    <w:t>》鼓励类，也不属于《市场准入负面清单</w:t>
                  </w:r>
                  <w:r>
                    <w:rPr>
                      <w:rFonts w:hint="eastAsia" w:ascii="Times New Roman" w:hAnsi="Times New Roman" w:cs="Times New Roman"/>
                      <w:snapToGrid w:val="0"/>
                      <w:color w:val="auto"/>
                      <w:lang w:val="en-US" w:eastAsia="zh-CN"/>
                    </w:rPr>
                    <w:t>（</w:t>
                  </w:r>
                  <w:r>
                    <w:rPr>
                      <w:rFonts w:hint="default" w:ascii="Times New Roman" w:hAnsi="Times New Roman" w:cs="Times New Roman"/>
                      <w:snapToGrid w:val="0"/>
                      <w:color w:val="auto"/>
                      <w:lang w:val="en-US" w:eastAsia="zh-CN"/>
                    </w:rPr>
                    <w:t>2025年版</w:t>
                  </w:r>
                  <w:r>
                    <w:rPr>
                      <w:rFonts w:hint="eastAsia" w:ascii="Times New Roman" w:hAnsi="Times New Roman" w:cs="Times New Roman"/>
                      <w:snapToGrid w:val="0"/>
                      <w:color w:val="auto"/>
                      <w:lang w:val="en-US" w:eastAsia="zh-CN"/>
                    </w:rPr>
                    <w:t>）</w:t>
                  </w:r>
                  <w:r>
                    <w:rPr>
                      <w:rFonts w:hint="default" w:ascii="Times New Roman" w:hAnsi="Times New Roman" w:cs="Times New Roman"/>
                      <w:snapToGrid w:val="0"/>
                      <w:color w:val="auto"/>
                      <w:lang w:val="en-US" w:eastAsia="zh-CN"/>
                    </w:rPr>
                    <w:t>》禁止准入类</w:t>
                  </w:r>
                </w:p>
              </w:tc>
              <w:tc>
                <w:tcPr>
                  <w:tcW w:w="427" w:type="pct"/>
                  <w:tcBorders>
                    <w:tl2br w:val="nil"/>
                    <w:tr2bl w:val="nil"/>
                  </w:tcBorders>
                  <w:noWrap w:val="0"/>
                  <w:vAlign w:val="center"/>
                </w:tcPr>
                <w:p w14:paraId="31C91CF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1DD234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2A49B35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0777CD1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038DB334">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[A1.1-2]禁止建设不符合国家和自治区环境保护标准的项目。</w:t>
                  </w:r>
                </w:p>
              </w:tc>
              <w:tc>
                <w:tcPr>
                  <w:tcW w:w="768" w:type="pct"/>
                  <w:tcBorders>
                    <w:tl2br w:val="nil"/>
                    <w:tr2bl w:val="nil"/>
                  </w:tcBorders>
                  <w:noWrap w:val="0"/>
                  <w:vAlign w:val="center"/>
                </w:tcPr>
                <w:p w14:paraId="5765F4A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项目建设符合国家及自治区环境保护标准</w:t>
                  </w:r>
                </w:p>
              </w:tc>
              <w:tc>
                <w:tcPr>
                  <w:tcW w:w="427" w:type="pct"/>
                  <w:tcBorders>
                    <w:tl2br w:val="nil"/>
                    <w:tr2bl w:val="nil"/>
                  </w:tcBorders>
                  <w:noWrap w:val="0"/>
                  <w:vAlign w:val="center"/>
                </w:tcPr>
                <w:p w14:paraId="12140AD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3AA099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6DD0DD6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7AD6208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6143D9A1">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[Al.1-3]禁止在饮用水水源保护区、风景名胜区、自然保护区的核心区和缓冲区、城镇居民区、文化教育科学研究区等人口集中区域以及法律法规规定的其他禁止养殖区域建设畜禽养殖场、养殖小区。</w:t>
                  </w:r>
                </w:p>
              </w:tc>
              <w:tc>
                <w:tcPr>
                  <w:tcW w:w="768" w:type="pct"/>
                  <w:tcBorders>
                    <w:tl2br w:val="nil"/>
                    <w:tr2bl w:val="nil"/>
                  </w:tcBorders>
                  <w:noWrap w:val="0"/>
                  <w:vAlign w:val="center"/>
                </w:tcPr>
                <w:p w14:paraId="31E24AE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项目为光伏发电项目，建设不涉及占用上述所列区域</w:t>
                  </w:r>
                </w:p>
              </w:tc>
              <w:tc>
                <w:tcPr>
                  <w:tcW w:w="427" w:type="pct"/>
                  <w:tcBorders>
                    <w:tl2br w:val="nil"/>
                    <w:tr2bl w:val="nil"/>
                  </w:tcBorders>
                  <w:noWrap w:val="0"/>
                  <w:vAlign w:val="center"/>
                </w:tcPr>
                <w:p w14:paraId="2CC70CD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14F011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4869B26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70CC17E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1AA2421A">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[Al.1-4]禁止在水源涵养区、地下水源、饮用水源、自然保护区风景名胜区、森林公园、重要湿地及人群密集区等生态敏感区域内进行煤炭、石油、天然气开发。</w:t>
                  </w:r>
                </w:p>
              </w:tc>
              <w:tc>
                <w:tcPr>
                  <w:tcW w:w="768" w:type="pct"/>
                  <w:tcBorders>
                    <w:tl2br w:val="nil"/>
                    <w:tr2bl w:val="nil"/>
                  </w:tcBorders>
                  <w:noWrap w:val="0"/>
                  <w:vAlign w:val="center"/>
                </w:tcPr>
                <w:p w14:paraId="62EE50E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lang w:val="en-US" w:eastAsia="zh-CN"/>
                    </w:rPr>
                    <w:t>项目为光伏发电项目，建设不涉及占用上述所列区域</w:t>
                  </w:r>
                </w:p>
              </w:tc>
              <w:tc>
                <w:tcPr>
                  <w:tcW w:w="427" w:type="pct"/>
                  <w:tcBorders>
                    <w:tl2br w:val="nil"/>
                    <w:tr2bl w:val="nil"/>
                  </w:tcBorders>
                  <w:noWrap w:val="0"/>
                  <w:vAlign w:val="center"/>
                </w:tcPr>
                <w:p w14:paraId="071AC52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255A7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3BEDDF7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55D7C40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033E1FE7">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[Al.1-5]禁止下列破坏湿地及其生态功能的行为：</w:t>
                  </w:r>
                </w:p>
                <w:p w14:paraId="30F239C8">
                  <w:pPr>
                    <w:pStyle w:val="2"/>
                    <w:keepNext w:val="0"/>
                    <w:keepLines w:val="0"/>
                    <w:suppressLineNumbers w:val="0"/>
                    <w:spacing w:beforeAutospacing="0" w:after="0" w:afterAutospacing="0"/>
                    <w:ind w:left="0"/>
                    <w:jc w:val="left"/>
                    <w:rPr>
                      <w:rFonts w:hint="default" w:ascii="Times New Roman" w:hAnsi="Times New Roman" w:cs="Times New Roman"/>
                      <w:snapToGrid w:val="0"/>
                      <w:color w:val="auto"/>
                      <w:kern w:val="2"/>
                      <w:sz w:val="21"/>
                      <w:szCs w:val="21"/>
                    </w:rPr>
                  </w:pPr>
                  <w:r>
                    <w:rPr>
                      <w:rFonts w:hint="default" w:ascii="Times New Roman" w:hAnsi="Times New Roman" w:cs="Times New Roman"/>
                      <w:snapToGrid w:val="0"/>
                      <w:color w:val="auto"/>
                      <w:kern w:val="2"/>
                      <w:sz w:val="21"/>
                      <w:szCs w:val="21"/>
                    </w:rPr>
                    <w:t>（一）开（围）垦、排干自然湿地，永久性截断自然湿地水源；</w:t>
                  </w:r>
                </w:p>
                <w:p w14:paraId="7764E06A">
                  <w:pPr>
                    <w:pStyle w:val="2"/>
                    <w:keepNext w:val="0"/>
                    <w:keepLines w:val="0"/>
                    <w:suppressLineNumbers w:val="0"/>
                    <w:spacing w:beforeAutospacing="0" w:after="0" w:afterAutospacing="0"/>
                    <w:ind w:left="0"/>
                    <w:jc w:val="left"/>
                    <w:rPr>
                      <w:rFonts w:hint="default" w:ascii="Times New Roman" w:hAnsi="Times New Roman" w:cs="Times New Roman"/>
                      <w:snapToGrid w:val="0"/>
                      <w:color w:val="auto"/>
                      <w:kern w:val="2"/>
                      <w:sz w:val="21"/>
                      <w:szCs w:val="21"/>
                    </w:rPr>
                  </w:pPr>
                  <w:r>
                    <w:rPr>
                      <w:rFonts w:hint="default" w:ascii="Times New Roman" w:hAnsi="Times New Roman" w:cs="Times New Roman"/>
                      <w:snapToGrid w:val="0"/>
                      <w:color w:val="auto"/>
                      <w:kern w:val="2"/>
                      <w:sz w:val="21"/>
                      <w:szCs w:val="21"/>
                    </w:rPr>
                    <w:t>（二）擅自填埋自然湿地，擅自采砂、采矿、取土；</w:t>
                  </w:r>
                </w:p>
                <w:p w14:paraId="6F59901C">
                  <w:pPr>
                    <w:pStyle w:val="2"/>
                    <w:keepNext w:val="0"/>
                    <w:keepLines w:val="0"/>
                    <w:suppressLineNumbers w:val="0"/>
                    <w:spacing w:beforeAutospacing="0" w:after="0" w:afterAutospacing="0"/>
                    <w:ind w:left="0"/>
                    <w:jc w:val="left"/>
                    <w:rPr>
                      <w:rFonts w:hint="default" w:ascii="Times New Roman" w:hAnsi="Times New Roman" w:cs="Times New Roman"/>
                      <w:snapToGrid w:val="0"/>
                      <w:color w:val="auto"/>
                      <w:kern w:val="2"/>
                      <w:sz w:val="21"/>
                      <w:szCs w:val="21"/>
                    </w:rPr>
                  </w:pPr>
                  <w:r>
                    <w:rPr>
                      <w:rFonts w:hint="default" w:ascii="Times New Roman" w:hAnsi="Times New Roman" w:cs="Times New Roman"/>
                      <w:snapToGrid w:val="0"/>
                      <w:color w:val="auto"/>
                      <w:kern w:val="2"/>
                      <w:sz w:val="21"/>
                      <w:szCs w:val="21"/>
                    </w:rPr>
                    <w:t>（三）排放不符合水污染物排放标准的工业废水、生活污水及其他污染湿地的废水、污水，倾倒、堆放、丢弃、遗撒固体废物；</w:t>
                  </w:r>
                </w:p>
                <w:p w14:paraId="5FA325F9">
                  <w:pPr>
                    <w:pStyle w:val="2"/>
                    <w:keepNext w:val="0"/>
                    <w:keepLines w:val="0"/>
                    <w:suppressLineNumbers w:val="0"/>
                    <w:spacing w:beforeAutospacing="0" w:after="0" w:afterAutospacing="0"/>
                    <w:ind w:left="0"/>
                    <w:jc w:val="left"/>
                    <w:rPr>
                      <w:rFonts w:hint="default" w:ascii="Times New Roman" w:hAnsi="Times New Roman" w:cs="Times New Roman"/>
                      <w:snapToGrid w:val="0"/>
                      <w:color w:val="auto"/>
                      <w:kern w:val="2"/>
                      <w:sz w:val="21"/>
                      <w:szCs w:val="21"/>
                    </w:rPr>
                  </w:pPr>
                  <w:r>
                    <w:rPr>
                      <w:rFonts w:hint="default" w:ascii="Times New Roman" w:hAnsi="Times New Roman" w:cs="Times New Roman"/>
                      <w:snapToGrid w:val="0"/>
                      <w:color w:val="auto"/>
                      <w:kern w:val="2"/>
                      <w:sz w:val="21"/>
                      <w:szCs w:val="21"/>
                    </w:rPr>
                    <w:t>（四）过度放牧或者滥采野生植物，过度捕捞或者灭绝式捕捞，过度施肥、投药、投放饵料等污染湿地的种植养殖行为；</w:t>
                  </w:r>
                </w:p>
                <w:p w14:paraId="0B1ACB60">
                  <w:pPr>
                    <w:pStyle w:val="2"/>
                    <w:keepNext w:val="0"/>
                    <w:keepLines w:val="0"/>
                    <w:suppressLineNumbers w:val="0"/>
                    <w:spacing w:beforeAutospacing="0" w:after="0" w:afterAutospacing="0"/>
                    <w:ind w:left="0"/>
                    <w:jc w:val="left"/>
                    <w:rPr>
                      <w:rFonts w:hint="default" w:ascii="Times New Roman" w:hAnsi="Times New Roman" w:cs="Times New Roman"/>
                      <w:snapToGrid w:val="0"/>
                      <w:color w:val="auto"/>
                      <w:kern w:val="2"/>
                      <w:sz w:val="21"/>
                      <w:szCs w:val="21"/>
                    </w:rPr>
                  </w:pPr>
                  <w:r>
                    <w:rPr>
                      <w:rFonts w:hint="default" w:ascii="Times New Roman" w:hAnsi="Times New Roman" w:cs="Times New Roman"/>
                      <w:snapToGrid w:val="0"/>
                      <w:color w:val="auto"/>
                      <w:kern w:val="2"/>
                      <w:sz w:val="21"/>
                      <w:szCs w:val="21"/>
                    </w:rPr>
                    <w:t>（五）其他破坏湿地及其生态功能的行为。</w:t>
                  </w:r>
                </w:p>
              </w:tc>
              <w:tc>
                <w:tcPr>
                  <w:tcW w:w="768" w:type="pct"/>
                  <w:tcBorders>
                    <w:tl2br w:val="nil"/>
                    <w:tr2bl w:val="nil"/>
                  </w:tcBorders>
                  <w:noWrap w:val="0"/>
                  <w:vAlign w:val="center"/>
                </w:tcPr>
                <w:p w14:paraId="40DE285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lang w:val="en-US"/>
                    </w:rPr>
                  </w:pPr>
                  <w:r>
                    <w:rPr>
                      <w:rFonts w:hint="default" w:ascii="Times New Roman" w:hAnsi="Times New Roman" w:cs="Times New Roman"/>
                      <w:snapToGrid w:val="0"/>
                      <w:color w:val="auto"/>
                      <w:lang w:val="en-US" w:eastAsia="zh-CN"/>
                    </w:rPr>
                    <w:t>项目为光伏发电项目，不涉及占用湿地或破坏湿地功能</w:t>
                  </w:r>
                </w:p>
              </w:tc>
              <w:tc>
                <w:tcPr>
                  <w:tcW w:w="427" w:type="pct"/>
                  <w:tcBorders>
                    <w:tl2br w:val="nil"/>
                    <w:tr2bl w:val="nil"/>
                  </w:tcBorders>
                  <w:noWrap w:val="0"/>
                  <w:vAlign w:val="center"/>
                </w:tcPr>
                <w:p w14:paraId="6692616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69145C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7875AC6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6F0CC42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477D01BD">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[A1.1-6]禁止在自治区行政区域内引进能</w:t>
                  </w:r>
                  <w:r>
                    <w:rPr>
                      <w:rFonts w:hint="eastAsia" w:ascii="Times New Roman" w:hAnsi="Times New Roman" w:cs="Times New Roman"/>
                      <w:snapToGrid w:val="0"/>
                      <w:color w:val="auto"/>
                      <w:lang w:eastAsia="zh-CN"/>
                    </w:rPr>
                    <w:t>（</w:t>
                  </w:r>
                  <w:r>
                    <w:rPr>
                      <w:rFonts w:hint="default" w:ascii="Times New Roman" w:hAnsi="Times New Roman" w:cs="Times New Roman"/>
                      <w:snapToGrid w:val="0"/>
                      <w:color w:val="auto"/>
                    </w:rPr>
                    <w:t>水</w:t>
                  </w:r>
                  <w:r>
                    <w:rPr>
                      <w:rFonts w:hint="eastAsia" w:ascii="Times New Roman" w:hAnsi="Times New Roman" w:cs="Times New Roman"/>
                      <w:snapToGrid w:val="0"/>
                      <w:color w:val="auto"/>
                      <w:lang w:eastAsia="zh-CN"/>
                    </w:rPr>
                    <w:t>）</w:t>
                  </w:r>
                  <w:r>
                    <w:rPr>
                      <w:rFonts w:hint="default" w:ascii="Times New Roman" w:hAnsi="Times New Roman" w:cs="Times New Roman"/>
                      <w:snapToGrid w:val="0"/>
                      <w:color w:val="auto"/>
                    </w:rPr>
                    <w:t>耗不符合相关国家标准中准入值要求且污染物排放和环境风险防控不符合国家</w:t>
                  </w:r>
                  <w:r>
                    <w:rPr>
                      <w:rFonts w:hint="eastAsia" w:ascii="Times New Roman" w:hAnsi="Times New Roman" w:cs="Times New Roman"/>
                      <w:snapToGrid w:val="0"/>
                      <w:color w:val="auto"/>
                      <w:lang w:eastAsia="zh-CN"/>
                    </w:rPr>
                    <w:t>（</w:t>
                  </w:r>
                  <w:r>
                    <w:rPr>
                      <w:rFonts w:hint="default" w:ascii="Times New Roman" w:hAnsi="Times New Roman" w:cs="Times New Roman"/>
                      <w:snapToGrid w:val="0"/>
                      <w:color w:val="auto"/>
                    </w:rPr>
                    <w:t>地方</w:t>
                  </w:r>
                  <w:r>
                    <w:rPr>
                      <w:rFonts w:hint="eastAsia" w:ascii="Times New Roman" w:hAnsi="Times New Roman" w:cs="Times New Roman"/>
                      <w:snapToGrid w:val="0"/>
                      <w:color w:val="auto"/>
                      <w:lang w:eastAsia="zh-CN"/>
                    </w:rPr>
                    <w:t>）</w:t>
                  </w:r>
                  <w:r>
                    <w:rPr>
                      <w:rFonts w:hint="default" w:ascii="Times New Roman" w:hAnsi="Times New Roman" w:cs="Times New Roman"/>
                      <w:snapToGrid w:val="0"/>
                      <w:color w:val="auto"/>
                    </w:rPr>
                    <w:t>标准及有关产业准入条件的高污染</w:t>
                  </w:r>
                  <w:r>
                    <w:rPr>
                      <w:rFonts w:hint="eastAsia" w:ascii="Times New Roman" w:hAnsi="Times New Roman" w:cs="Times New Roman"/>
                      <w:snapToGrid w:val="0"/>
                      <w:color w:val="auto"/>
                      <w:lang w:eastAsia="zh-CN"/>
                    </w:rPr>
                    <w:t>（</w:t>
                  </w:r>
                  <w:r>
                    <w:rPr>
                      <w:rFonts w:hint="default" w:ascii="Times New Roman" w:hAnsi="Times New Roman" w:cs="Times New Roman"/>
                      <w:snapToGrid w:val="0"/>
                      <w:color w:val="auto"/>
                    </w:rPr>
                    <w:t>排放</w:t>
                  </w:r>
                  <w:r>
                    <w:rPr>
                      <w:rFonts w:hint="eastAsia" w:ascii="Times New Roman" w:hAnsi="Times New Roman" w:cs="Times New Roman"/>
                      <w:snapToGrid w:val="0"/>
                      <w:color w:val="auto"/>
                      <w:lang w:eastAsia="zh-CN"/>
                    </w:rPr>
                    <w:t>）</w:t>
                  </w:r>
                  <w:r>
                    <w:rPr>
                      <w:rFonts w:hint="default" w:ascii="Times New Roman" w:hAnsi="Times New Roman" w:cs="Times New Roman"/>
                      <w:snapToGrid w:val="0"/>
                      <w:color w:val="auto"/>
                    </w:rPr>
                    <w:t>、高能</w:t>
                  </w:r>
                  <w:r>
                    <w:rPr>
                      <w:rFonts w:hint="eastAsia" w:ascii="Times New Roman" w:hAnsi="Times New Roman" w:cs="Times New Roman"/>
                      <w:snapToGrid w:val="0"/>
                      <w:color w:val="auto"/>
                      <w:lang w:eastAsia="zh-CN"/>
                    </w:rPr>
                    <w:t>（</w:t>
                  </w:r>
                  <w:r>
                    <w:rPr>
                      <w:rFonts w:hint="default" w:ascii="Times New Roman" w:hAnsi="Times New Roman" w:cs="Times New Roman"/>
                      <w:snapToGrid w:val="0"/>
                      <w:color w:val="auto"/>
                    </w:rPr>
                    <w:t>水</w:t>
                  </w:r>
                  <w:r>
                    <w:rPr>
                      <w:rFonts w:hint="eastAsia" w:ascii="Times New Roman" w:hAnsi="Times New Roman" w:cs="Times New Roman"/>
                      <w:snapToGrid w:val="0"/>
                      <w:color w:val="auto"/>
                      <w:lang w:eastAsia="zh-CN"/>
                    </w:rPr>
                    <w:t>）</w:t>
                  </w:r>
                  <w:r>
                    <w:rPr>
                      <w:rFonts w:hint="default" w:ascii="Times New Roman" w:hAnsi="Times New Roman" w:cs="Times New Roman"/>
                      <w:snapToGrid w:val="0"/>
                      <w:color w:val="auto"/>
                    </w:rPr>
                    <w:t>耗、高环境风险的工业项目。</w:t>
                  </w:r>
                </w:p>
              </w:tc>
              <w:tc>
                <w:tcPr>
                  <w:tcW w:w="768" w:type="pct"/>
                  <w:tcBorders>
                    <w:tl2br w:val="nil"/>
                    <w:tr2bl w:val="nil"/>
                  </w:tcBorders>
                  <w:noWrap w:val="0"/>
                  <w:vAlign w:val="center"/>
                </w:tcPr>
                <w:p w14:paraId="47835AC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lang w:val="en-US"/>
                    </w:rPr>
                  </w:pPr>
                  <w:r>
                    <w:rPr>
                      <w:rFonts w:hint="default" w:ascii="Times New Roman" w:hAnsi="Times New Roman" w:cs="Times New Roman"/>
                      <w:snapToGrid w:val="0"/>
                      <w:color w:val="auto"/>
                      <w:lang w:val="en-US" w:eastAsia="zh-CN"/>
                    </w:rPr>
                    <w:t>项目为光伏发电项目，不属于高污染</w:t>
                  </w:r>
                  <w:r>
                    <w:rPr>
                      <w:rFonts w:hint="eastAsia" w:ascii="Times New Roman" w:hAnsi="Times New Roman" w:cs="Times New Roman"/>
                      <w:snapToGrid w:val="0"/>
                      <w:color w:val="auto"/>
                      <w:lang w:val="en-US" w:eastAsia="zh-CN"/>
                    </w:rPr>
                    <w:t>（</w:t>
                  </w:r>
                  <w:r>
                    <w:rPr>
                      <w:rFonts w:hint="default" w:ascii="Times New Roman" w:hAnsi="Times New Roman" w:cs="Times New Roman"/>
                      <w:snapToGrid w:val="0"/>
                      <w:color w:val="auto"/>
                      <w:lang w:val="en-US" w:eastAsia="zh-CN"/>
                    </w:rPr>
                    <w:t>排放</w:t>
                  </w:r>
                  <w:r>
                    <w:rPr>
                      <w:rFonts w:hint="eastAsia" w:ascii="Times New Roman" w:hAnsi="Times New Roman" w:cs="Times New Roman"/>
                      <w:snapToGrid w:val="0"/>
                      <w:color w:val="auto"/>
                      <w:lang w:val="en-US" w:eastAsia="zh-CN"/>
                    </w:rPr>
                    <w:t>）</w:t>
                  </w:r>
                  <w:r>
                    <w:rPr>
                      <w:rFonts w:hint="default" w:ascii="Times New Roman" w:hAnsi="Times New Roman" w:cs="Times New Roman"/>
                      <w:snapToGrid w:val="0"/>
                      <w:color w:val="auto"/>
                      <w:lang w:val="en-US" w:eastAsia="zh-CN"/>
                    </w:rPr>
                    <w:t>、高能</w:t>
                  </w:r>
                  <w:r>
                    <w:rPr>
                      <w:rFonts w:hint="eastAsia" w:ascii="Times New Roman" w:hAnsi="Times New Roman" w:cs="Times New Roman"/>
                      <w:snapToGrid w:val="0"/>
                      <w:color w:val="auto"/>
                      <w:lang w:val="en-US" w:eastAsia="zh-CN"/>
                    </w:rPr>
                    <w:t>（</w:t>
                  </w:r>
                  <w:r>
                    <w:rPr>
                      <w:rFonts w:hint="default" w:ascii="Times New Roman" w:hAnsi="Times New Roman" w:cs="Times New Roman"/>
                      <w:snapToGrid w:val="0"/>
                      <w:color w:val="auto"/>
                      <w:lang w:val="en-US" w:eastAsia="zh-CN"/>
                    </w:rPr>
                    <w:t>水</w:t>
                  </w:r>
                  <w:r>
                    <w:rPr>
                      <w:rFonts w:hint="eastAsia" w:ascii="Times New Roman" w:hAnsi="Times New Roman" w:cs="Times New Roman"/>
                      <w:snapToGrid w:val="0"/>
                      <w:color w:val="auto"/>
                      <w:lang w:val="en-US" w:eastAsia="zh-CN"/>
                    </w:rPr>
                    <w:t>）</w:t>
                  </w:r>
                  <w:r>
                    <w:rPr>
                      <w:rFonts w:hint="default" w:ascii="Times New Roman" w:hAnsi="Times New Roman" w:cs="Times New Roman"/>
                      <w:snapToGrid w:val="0"/>
                      <w:color w:val="auto"/>
                      <w:lang w:val="en-US" w:eastAsia="zh-CN"/>
                    </w:rPr>
                    <w:t>耗、高环境风险的工业项目</w:t>
                  </w:r>
                </w:p>
              </w:tc>
              <w:tc>
                <w:tcPr>
                  <w:tcW w:w="427" w:type="pct"/>
                  <w:tcBorders>
                    <w:tl2br w:val="nil"/>
                    <w:tr2bl w:val="nil"/>
                  </w:tcBorders>
                  <w:noWrap w:val="0"/>
                  <w:vAlign w:val="center"/>
                </w:tcPr>
                <w:p w14:paraId="1A79D9F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79EC66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5C5E67C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306C3CB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6CB70C7F">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1.1-7]①坚决遏制高耗能高排放低水平项目盲目发展。严把高耗能高排放低水平项目准入关口，严格落实污染物排放区域削减要求，对不符合规定的项目坚决停批停建。依法依规淘汰落后产能和化解过剩产能。②重点行业企业纳入重污染天气绩效分级，制定“一厂一策”应急减排清单，实现应纳尽纳；引导重点企业在秋冬季安排停产检修计划，减少冬季和采暖期排放。推进重点行业深度治理，实施全工况脱硫脱硝提标改造，加大无组织排放治理力度，深度开展工业炉窑综合整治，全面提升电解铝、活性炭、硅冶炼、纯碱、电石、聚氯乙烯、石化等行业污染治理水平。</w:t>
                  </w:r>
                </w:p>
              </w:tc>
              <w:tc>
                <w:tcPr>
                  <w:tcW w:w="768" w:type="pct"/>
                  <w:tcBorders>
                    <w:tl2br w:val="nil"/>
                    <w:tr2bl w:val="nil"/>
                  </w:tcBorders>
                  <w:noWrap w:val="0"/>
                  <w:vAlign w:val="center"/>
                </w:tcPr>
                <w:p w14:paraId="7F07A8A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lang w:val="en-US" w:eastAsia="zh-CN"/>
                    </w:rPr>
                    <w:t>项目为光伏发电项目，不属于高污染</w:t>
                  </w:r>
                  <w:r>
                    <w:rPr>
                      <w:rFonts w:hint="eastAsia" w:ascii="Times New Roman" w:hAnsi="Times New Roman" w:cs="Times New Roman"/>
                      <w:snapToGrid w:val="0"/>
                      <w:color w:val="auto"/>
                      <w:lang w:val="en-US" w:eastAsia="zh-CN"/>
                    </w:rPr>
                    <w:t>（</w:t>
                  </w:r>
                  <w:r>
                    <w:rPr>
                      <w:rFonts w:hint="default" w:ascii="Times New Roman" w:hAnsi="Times New Roman" w:cs="Times New Roman"/>
                      <w:snapToGrid w:val="0"/>
                      <w:color w:val="auto"/>
                      <w:lang w:val="en-US" w:eastAsia="zh-CN"/>
                    </w:rPr>
                    <w:t>排放</w:t>
                  </w:r>
                  <w:r>
                    <w:rPr>
                      <w:rFonts w:hint="eastAsia" w:ascii="Times New Roman" w:hAnsi="Times New Roman" w:cs="Times New Roman"/>
                      <w:snapToGrid w:val="0"/>
                      <w:color w:val="auto"/>
                      <w:lang w:val="en-US" w:eastAsia="zh-CN"/>
                    </w:rPr>
                    <w:t>）</w:t>
                  </w:r>
                  <w:r>
                    <w:rPr>
                      <w:rFonts w:hint="default" w:ascii="Times New Roman" w:hAnsi="Times New Roman" w:cs="Times New Roman"/>
                      <w:snapToGrid w:val="0"/>
                      <w:color w:val="auto"/>
                      <w:lang w:val="en-US" w:eastAsia="zh-CN"/>
                    </w:rPr>
                    <w:t>、高能</w:t>
                  </w:r>
                  <w:r>
                    <w:rPr>
                      <w:rFonts w:hint="eastAsia" w:ascii="Times New Roman" w:hAnsi="Times New Roman" w:cs="Times New Roman"/>
                      <w:snapToGrid w:val="0"/>
                      <w:color w:val="auto"/>
                      <w:lang w:val="en-US" w:eastAsia="zh-CN"/>
                    </w:rPr>
                    <w:t>（</w:t>
                  </w:r>
                  <w:r>
                    <w:rPr>
                      <w:rFonts w:hint="default" w:ascii="Times New Roman" w:hAnsi="Times New Roman" w:cs="Times New Roman"/>
                      <w:snapToGrid w:val="0"/>
                      <w:color w:val="auto"/>
                      <w:lang w:val="en-US" w:eastAsia="zh-CN"/>
                    </w:rPr>
                    <w:t>水</w:t>
                  </w:r>
                  <w:r>
                    <w:rPr>
                      <w:rFonts w:hint="eastAsia" w:ascii="Times New Roman" w:hAnsi="Times New Roman" w:cs="Times New Roman"/>
                      <w:snapToGrid w:val="0"/>
                      <w:color w:val="auto"/>
                      <w:lang w:val="en-US" w:eastAsia="zh-CN"/>
                    </w:rPr>
                    <w:t>）</w:t>
                  </w:r>
                  <w:r>
                    <w:rPr>
                      <w:rFonts w:hint="default" w:ascii="Times New Roman" w:hAnsi="Times New Roman" w:cs="Times New Roman"/>
                      <w:snapToGrid w:val="0"/>
                      <w:color w:val="auto"/>
                      <w:lang w:val="en-US" w:eastAsia="zh-CN"/>
                    </w:rPr>
                    <w:t>耗、高环境风险的工业项目</w:t>
                  </w:r>
                </w:p>
              </w:tc>
              <w:tc>
                <w:tcPr>
                  <w:tcW w:w="427" w:type="pct"/>
                  <w:tcBorders>
                    <w:tl2br w:val="nil"/>
                    <w:tr2bl w:val="nil"/>
                  </w:tcBorders>
                  <w:noWrap w:val="0"/>
                  <w:vAlign w:val="center"/>
                </w:tcPr>
                <w:p w14:paraId="3F466D6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5AED7B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31FA488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570FAC6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799482BB">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[Al.1-8]严格执行危险化学品禁限控”目录，新建危险化学品生产项目必须进入一般或较低安全风险的化工园区</w:t>
                  </w:r>
                </w:p>
              </w:tc>
              <w:tc>
                <w:tcPr>
                  <w:tcW w:w="768" w:type="pct"/>
                  <w:tcBorders>
                    <w:tl2br w:val="nil"/>
                    <w:tr2bl w:val="nil"/>
                  </w:tcBorders>
                  <w:noWrap w:val="0"/>
                  <w:vAlign w:val="center"/>
                </w:tcPr>
                <w:p w14:paraId="125E393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lang w:val="en-US"/>
                    </w:rPr>
                  </w:pPr>
                  <w:r>
                    <w:rPr>
                      <w:rFonts w:hint="default" w:ascii="Times New Roman" w:hAnsi="Times New Roman" w:cs="Times New Roman"/>
                      <w:snapToGrid w:val="0"/>
                      <w:color w:val="auto"/>
                      <w:lang w:val="en-US" w:eastAsia="zh-CN"/>
                    </w:rPr>
                    <w:t>项目为光伏发电项目，不涉及危险化学品</w:t>
                  </w:r>
                </w:p>
              </w:tc>
              <w:tc>
                <w:tcPr>
                  <w:tcW w:w="427" w:type="pct"/>
                  <w:tcBorders>
                    <w:tl2br w:val="nil"/>
                    <w:tr2bl w:val="nil"/>
                  </w:tcBorders>
                  <w:noWrap w:val="0"/>
                  <w:vAlign w:val="center"/>
                </w:tcPr>
                <w:p w14:paraId="0A72AF2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405C9F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236775C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757442D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2B73B49C">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[A1.1-9]严禁新建自治区《禁止、控制和限制危险化学品目录》中淘汰类、禁止类危险化学品化工项目。严格执行生态保护红线、永久基本农田管控要求，禁止新</w:t>
                  </w:r>
                  <w:r>
                    <w:rPr>
                      <w:rFonts w:hint="eastAsia" w:ascii="Times New Roman" w:hAnsi="Times New Roman" w:cs="Times New Roman"/>
                      <w:snapToGrid w:val="0"/>
                      <w:color w:val="auto"/>
                      <w:lang w:eastAsia="zh-CN"/>
                    </w:rPr>
                    <w:t>（</w:t>
                  </w:r>
                  <w:r>
                    <w:rPr>
                      <w:rFonts w:hint="default" w:ascii="Times New Roman" w:hAnsi="Times New Roman" w:cs="Times New Roman"/>
                      <w:snapToGrid w:val="0"/>
                      <w:color w:val="auto"/>
                    </w:rPr>
                    <w:t>改、扩</w:t>
                  </w:r>
                  <w:r>
                    <w:rPr>
                      <w:rFonts w:hint="eastAsia" w:ascii="Times New Roman" w:hAnsi="Times New Roman" w:cs="Times New Roman"/>
                      <w:snapToGrid w:val="0"/>
                      <w:color w:val="auto"/>
                      <w:lang w:eastAsia="zh-CN"/>
                    </w:rPr>
                    <w:t>）</w:t>
                  </w:r>
                  <w:r>
                    <w:rPr>
                      <w:rFonts w:hint="default" w:ascii="Times New Roman" w:hAnsi="Times New Roman" w:cs="Times New Roman"/>
                      <w:snapToGrid w:val="0"/>
                      <w:color w:val="auto"/>
                    </w:rPr>
                    <w:t>建化工项目违规占用生态保护红线和永久基本农田。在塔里木河、伊犁河、额尔齐斯河干流及主要支流岸线1公里范围内，除提升安全、环保、节能、智能化、产品质量水平的技术改造项目外，严格禁止新建、扩建化工项目，不得布局新的化工园区</w:t>
                  </w:r>
                  <w:r>
                    <w:rPr>
                      <w:rFonts w:hint="eastAsia" w:ascii="Times New Roman" w:hAnsi="Times New Roman" w:cs="Times New Roman"/>
                      <w:snapToGrid w:val="0"/>
                      <w:color w:val="auto"/>
                      <w:lang w:eastAsia="zh-CN"/>
                    </w:rPr>
                    <w:t>（</w:t>
                  </w:r>
                  <w:r>
                    <w:rPr>
                      <w:rFonts w:hint="default" w:ascii="Times New Roman" w:hAnsi="Times New Roman" w:cs="Times New Roman"/>
                      <w:snapToGrid w:val="0"/>
                      <w:color w:val="auto"/>
                    </w:rPr>
                    <w:t>含化工集中区</w:t>
                  </w:r>
                  <w:r>
                    <w:rPr>
                      <w:rFonts w:hint="eastAsia" w:ascii="Times New Roman" w:hAnsi="Times New Roman" w:cs="Times New Roman"/>
                      <w:snapToGrid w:val="0"/>
                      <w:color w:val="auto"/>
                      <w:lang w:eastAsia="zh-CN"/>
                    </w:rPr>
                    <w:t>）</w:t>
                  </w:r>
                  <w:r>
                    <w:rPr>
                      <w:rFonts w:hint="default" w:ascii="Times New Roman" w:hAnsi="Times New Roman" w:cs="Times New Roman"/>
                      <w:snapToGrid w:val="0"/>
                      <w:color w:val="auto"/>
                    </w:rPr>
                    <w:t>。</w:t>
                  </w:r>
                </w:p>
              </w:tc>
              <w:tc>
                <w:tcPr>
                  <w:tcW w:w="768" w:type="pct"/>
                  <w:tcBorders>
                    <w:tl2br w:val="nil"/>
                    <w:tr2bl w:val="nil"/>
                  </w:tcBorders>
                  <w:noWrap w:val="0"/>
                  <w:vAlign w:val="center"/>
                </w:tcPr>
                <w:p w14:paraId="13C2402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lang w:val="en-US" w:eastAsia="zh-CN"/>
                    </w:rPr>
                    <w:t>项目为光伏发电项目，不涉及危险化学品</w:t>
                  </w:r>
                </w:p>
              </w:tc>
              <w:tc>
                <w:tcPr>
                  <w:tcW w:w="427" w:type="pct"/>
                  <w:tcBorders>
                    <w:tl2br w:val="nil"/>
                    <w:tr2bl w:val="nil"/>
                  </w:tcBorders>
                  <w:noWrap w:val="0"/>
                  <w:vAlign w:val="center"/>
                </w:tcPr>
                <w:p w14:paraId="60A3850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31EDD7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604E2DE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6F09D8B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04B3C871">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[Al.1-10]推动涉重金属产业集中优化发展，禁止新建用录的电石法（聚）氯乙烯生产工艺，新建、扩建的重有色金属冶炼、电镀、制革企业优先选择布设在依法合规设立并依法开展规划环境影响评价的产业园区。</w:t>
                  </w:r>
                </w:p>
              </w:tc>
              <w:tc>
                <w:tcPr>
                  <w:tcW w:w="768" w:type="pct"/>
                  <w:tcBorders>
                    <w:tl2br w:val="nil"/>
                    <w:tr2bl w:val="nil"/>
                  </w:tcBorders>
                  <w:noWrap w:val="0"/>
                  <w:vAlign w:val="center"/>
                </w:tcPr>
                <w:p w14:paraId="1285EEA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lang w:val="en-US" w:eastAsia="zh-CN"/>
                    </w:rPr>
                    <w:t>项目为光伏发电项目，不涉及重金属</w:t>
                  </w:r>
                </w:p>
              </w:tc>
              <w:tc>
                <w:tcPr>
                  <w:tcW w:w="427" w:type="pct"/>
                  <w:tcBorders>
                    <w:tl2br w:val="nil"/>
                    <w:tr2bl w:val="nil"/>
                  </w:tcBorders>
                  <w:noWrap w:val="0"/>
                  <w:vAlign w:val="center"/>
                </w:tcPr>
                <w:p w14:paraId="2032444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7C1BB1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2B620F0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399DF69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4D6B836B">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l.1-11]国务院有关部门和青藏高原县级以上地方人民政府应当建立健全青藏高原雪山冰川冻土保护制度，加强对雪山冰川冻土的监测预警和系统保护。青藏高原省级人民政府应当将大型冰帽冰川｜、小规模冰川群等划入生态保护红线，对重要雪山冰川实施封禁保护，采取有效措施，严格控制人为扰动。青藏高原省级人民政府应当划定冻土区保护范围，加强对多年冻土区和中深季节冻土区的保护，严格控制多年冻土区资源开发，严格审批多年冻土区城镇规划和交通、管线、输变电等重大工程项目。青藏高原省级人民政府应当开展雪山冰川冻土与周边生态系统的协同保护，维持有利于雪山冰川冻土保护的自然生态环境。</w:t>
                  </w:r>
                </w:p>
              </w:tc>
              <w:tc>
                <w:tcPr>
                  <w:tcW w:w="768" w:type="pct"/>
                  <w:tcBorders>
                    <w:tl2br w:val="nil"/>
                    <w:tr2bl w:val="nil"/>
                  </w:tcBorders>
                  <w:noWrap w:val="0"/>
                  <w:vAlign w:val="center"/>
                </w:tcPr>
                <w:p w14:paraId="4C40617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项目为光伏发电项目，位于玛纳斯县境内，不占用</w:t>
                  </w:r>
                  <w:r>
                    <w:rPr>
                      <w:rFonts w:hint="default" w:ascii="Times New Roman" w:hAnsi="Times New Roman" w:cs="Times New Roman"/>
                      <w:snapToGrid w:val="0"/>
                      <w:color w:val="auto"/>
                    </w:rPr>
                    <w:t>青藏高原雪山冰川冻土</w:t>
                  </w:r>
                  <w:r>
                    <w:rPr>
                      <w:rFonts w:hint="default" w:ascii="Times New Roman" w:hAnsi="Times New Roman" w:cs="Times New Roman"/>
                      <w:snapToGrid w:val="0"/>
                      <w:color w:val="auto"/>
                      <w:lang w:val="en-US" w:eastAsia="zh-CN"/>
                    </w:rPr>
                    <w:t>等</w:t>
                  </w:r>
                </w:p>
              </w:tc>
              <w:tc>
                <w:tcPr>
                  <w:tcW w:w="427" w:type="pct"/>
                  <w:tcBorders>
                    <w:tl2br w:val="nil"/>
                    <w:tr2bl w:val="nil"/>
                  </w:tcBorders>
                  <w:noWrap w:val="0"/>
                  <w:vAlign w:val="center"/>
                </w:tcPr>
                <w:p w14:paraId="780C787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0C3528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1F54C5A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restart"/>
                  <w:tcBorders>
                    <w:tl2br w:val="nil"/>
                    <w:tr2bl w:val="nil"/>
                  </w:tcBorders>
                  <w:noWrap w:val="0"/>
                  <w:vAlign w:val="center"/>
                </w:tcPr>
                <w:p w14:paraId="46E61A3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A1.2限制开发的活动</w:t>
                  </w:r>
                </w:p>
              </w:tc>
              <w:tc>
                <w:tcPr>
                  <w:tcW w:w="3319" w:type="pct"/>
                  <w:tcBorders>
                    <w:tl2br w:val="nil"/>
                    <w:tr2bl w:val="nil"/>
                  </w:tcBorders>
                  <w:noWrap w:val="0"/>
                  <w:vAlign w:val="center"/>
                </w:tcPr>
                <w:p w14:paraId="65EE6A9A">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[Al.2-1]严格控制缺水地区、水污染严重区域和敏感区域高耗水、高污染行业发展。</w:t>
                  </w:r>
                </w:p>
              </w:tc>
              <w:tc>
                <w:tcPr>
                  <w:tcW w:w="768" w:type="pct"/>
                  <w:tcBorders>
                    <w:tl2br w:val="nil"/>
                    <w:tr2bl w:val="nil"/>
                  </w:tcBorders>
                  <w:noWrap w:val="0"/>
                  <w:vAlign w:val="center"/>
                </w:tcPr>
                <w:p w14:paraId="71E6434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项目为光伏发电项目，不属于高耗水、高污染行业</w:t>
                  </w:r>
                </w:p>
              </w:tc>
              <w:tc>
                <w:tcPr>
                  <w:tcW w:w="427" w:type="pct"/>
                  <w:tcBorders>
                    <w:tl2br w:val="nil"/>
                    <w:tr2bl w:val="nil"/>
                  </w:tcBorders>
                  <w:noWrap w:val="0"/>
                  <w:vAlign w:val="center"/>
                </w:tcPr>
                <w:p w14:paraId="3EC2A50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096A76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48177AA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77FDEB0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5EEAFA08">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1.2-2]建设项目用地原则上不得占用永久基本农田，确需占用永久基本农田的建设项目须符合《中华人民共和国基本农田保护条例》中相关要求，占用耕地、林地或草地的建设项目须按照国家、自治区相关补偿要求进行补偿。</w:t>
                  </w:r>
                </w:p>
              </w:tc>
              <w:tc>
                <w:tcPr>
                  <w:tcW w:w="768" w:type="pct"/>
                  <w:tcBorders>
                    <w:tl2br w:val="nil"/>
                    <w:tr2bl w:val="nil"/>
                  </w:tcBorders>
                  <w:noWrap w:val="0"/>
                  <w:vAlign w:val="center"/>
                </w:tcPr>
                <w:p w14:paraId="47EEA6E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项目不占用基本农田</w:t>
                  </w:r>
                </w:p>
              </w:tc>
              <w:tc>
                <w:tcPr>
                  <w:tcW w:w="427" w:type="pct"/>
                  <w:tcBorders>
                    <w:tl2br w:val="nil"/>
                    <w:tr2bl w:val="nil"/>
                  </w:tcBorders>
                  <w:noWrap w:val="0"/>
                  <w:vAlign w:val="center"/>
                </w:tcPr>
                <w:p w14:paraId="3DC97F7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2283C0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5C2CD32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71EAF60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6BAD0212">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[Al.2-3]以用途变更为住宅、公共管理与公共服务用地的地块为重点，严格建设用地准入管理和风险管控，未依法完成土壤污染状况调查或风险评估的地块，不得开工建设与风险管控和修复无关的项目。</w:t>
                  </w:r>
                </w:p>
              </w:tc>
              <w:tc>
                <w:tcPr>
                  <w:tcW w:w="768" w:type="pct"/>
                  <w:tcBorders>
                    <w:tl2br w:val="nil"/>
                    <w:tr2bl w:val="nil"/>
                  </w:tcBorders>
                  <w:noWrap w:val="0"/>
                  <w:vAlign w:val="center"/>
                </w:tcPr>
                <w:p w14:paraId="10734C3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项目不涉及土地性质变更为住宅等</w:t>
                  </w:r>
                </w:p>
              </w:tc>
              <w:tc>
                <w:tcPr>
                  <w:tcW w:w="427" w:type="pct"/>
                  <w:tcBorders>
                    <w:tl2br w:val="nil"/>
                    <w:tr2bl w:val="nil"/>
                  </w:tcBorders>
                  <w:noWrap w:val="0"/>
                  <w:vAlign w:val="center"/>
                </w:tcPr>
                <w:p w14:paraId="648F018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430467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56EC405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39AB79D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7A2263D6">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[Al.2-4]严格控制建设项目占用湿地。因国家和自治区重点建设工程、基础设施建设，以及重点公益性项目建设，确需占用湿地的，应当按照有关法律、法规规定的权限和程序办理批准手续。</w:t>
                  </w:r>
                </w:p>
              </w:tc>
              <w:tc>
                <w:tcPr>
                  <w:tcW w:w="768" w:type="pct"/>
                  <w:tcBorders>
                    <w:tl2br w:val="nil"/>
                    <w:tr2bl w:val="nil"/>
                  </w:tcBorders>
                  <w:noWrap w:val="0"/>
                  <w:vAlign w:val="center"/>
                </w:tcPr>
                <w:p w14:paraId="6034B5F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项目占地不占用湿地</w:t>
                  </w:r>
                </w:p>
              </w:tc>
              <w:tc>
                <w:tcPr>
                  <w:tcW w:w="427" w:type="pct"/>
                  <w:tcBorders>
                    <w:tl2br w:val="nil"/>
                    <w:tr2bl w:val="nil"/>
                  </w:tcBorders>
                  <w:noWrap w:val="0"/>
                  <w:vAlign w:val="center"/>
                </w:tcPr>
                <w:p w14:paraId="5469682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177C1F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29698D6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6B0E37F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59675241">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[Al.2-5]严格管控自然保护地范围内非生态活动，稳妥推进核心区内居民、耕地有序退出，矿权依法依规退出。</w:t>
                  </w:r>
                </w:p>
              </w:tc>
              <w:tc>
                <w:tcPr>
                  <w:tcW w:w="768" w:type="pct"/>
                  <w:tcBorders>
                    <w:tl2br w:val="nil"/>
                    <w:tr2bl w:val="nil"/>
                  </w:tcBorders>
                  <w:noWrap w:val="0"/>
                  <w:vAlign w:val="center"/>
                </w:tcPr>
                <w:p w14:paraId="7FA0AA8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项目不占用自然保护区</w:t>
                  </w:r>
                </w:p>
              </w:tc>
              <w:tc>
                <w:tcPr>
                  <w:tcW w:w="427" w:type="pct"/>
                  <w:tcBorders>
                    <w:tl2br w:val="nil"/>
                    <w:tr2bl w:val="nil"/>
                  </w:tcBorders>
                  <w:noWrap w:val="0"/>
                  <w:vAlign w:val="center"/>
                </w:tcPr>
                <w:p w14:paraId="15907D1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67F3E4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66D5F85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restart"/>
                  <w:tcBorders>
                    <w:tl2br w:val="nil"/>
                    <w:tr2bl w:val="nil"/>
                  </w:tcBorders>
                  <w:noWrap w:val="0"/>
                  <w:vAlign w:val="center"/>
                </w:tcPr>
                <w:p w14:paraId="284D35B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A1.3不符合空</w:t>
                  </w:r>
                </w:p>
                <w:p w14:paraId="033F651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间布局要求活动的退出要求</w:t>
                  </w:r>
                </w:p>
              </w:tc>
              <w:tc>
                <w:tcPr>
                  <w:tcW w:w="3319" w:type="pct"/>
                  <w:tcBorders>
                    <w:tl2br w:val="nil"/>
                    <w:tr2bl w:val="nil"/>
                  </w:tcBorders>
                  <w:noWrap w:val="0"/>
                  <w:vAlign w:val="center"/>
                </w:tcPr>
                <w:p w14:paraId="37564539">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[A1.3-1]任何单位和个人不得在水源涵养区、饮用水水源保护区内和河流、湖泊、水库周围建设重化工、涉重金属等工业污染项目；对已建成的工业污染项目，当地人民政府应当组织限期搬迁。</w:t>
                  </w:r>
                </w:p>
              </w:tc>
              <w:tc>
                <w:tcPr>
                  <w:tcW w:w="768" w:type="pct"/>
                  <w:tcBorders>
                    <w:tl2br w:val="nil"/>
                    <w:tr2bl w:val="nil"/>
                  </w:tcBorders>
                  <w:noWrap w:val="0"/>
                  <w:vAlign w:val="center"/>
                </w:tcPr>
                <w:p w14:paraId="1801E0F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项目不属于工业污染项目，不涉及上述区域</w:t>
                  </w:r>
                </w:p>
              </w:tc>
              <w:tc>
                <w:tcPr>
                  <w:tcW w:w="427" w:type="pct"/>
                  <w:tcBorders>
                    <w:tl2br w:val="nil"/>
                    <w:tr2bl w:val="nil"/>
                  </w:tcBorders>
                  <w:noWrap w:val="0"/>
                  <w:vAlign w:val="center"/>
                </w:tcPr>
                <w:p w14:paraId="2A5D941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5F3EF0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68A6A00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5E64C11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09BE6F8C">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[A1.3-2]对不符合国家产业政策、严重污染水环境的生产项目全部予以取缔。</w:t>
                  </w:r>
                </w:p>
              </w:tc>
              <w:tc>
                <w:tcPr>
                  <w:tcW w:w="768" w:type="pct"/>
                  <w:tcBorders>
                    <w:tl2br w:val="nil"/>
                    <w:tr2bl w:val="nil"/>
                  </w:tcBorders>
                  <w:noWrap w:val="0"/>
                  <w:vAlign w:val="center"/>
                </w:tcPr>
                <w:p w14:paraId="5782E5B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项目不涉及严重水环境污染</w:t>
                  </w:r>
                </w:p>
              </w:tc>
              <w:tc>
                <w:tcPr>
                  <w:tcW w:w="427" w:type="pct"/>
                  <w:tcBorders>
                    <w:tl2br w:val="nil"/>
                    <w:tr2bl w:val="nil"/>
                  </w:tcBorders>
                  <w:noWrap w:val="0"/>
                  <w:vAlign w:val="center"/>
                </w:tcPr>
                <w:p w14:paraId="57090D9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68F52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08F7203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47E772F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09F0AFB5">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1.3-3]根据《产业结构调整指导目录》《限期淘汰产生严重污染环境的工业固体废物的落后生产工艺设备名录》等要求，配合有关部门依法淘汰烧结-鼓风炉5炼铅工艺炼铅等涉重金属落后产能和化解过剩产能。严格执行生态环境保护等相关法规标准，推动经整改仍达不到要求的产能依法依规关闭退出。</w:t>
                  </w:r>
                </w:p>
              </w:tc>
              <w:tc>
                <w:tcPr>
                  <w:tcW w:w="768" w:type="pct"/>
                  <w:tcBorders>
                    <w:tl2br w:val="nil"/>
                    <w:tr2bl w:val="nil"/>
                  </w:tcBorders>
                  <w:noWrap w:val="0"/>
                  <w:vAlign w:val="center"/>
                </w:tcPr>
                <w:p w14:paraId="776EED3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项目属于鼓励类</w:t>
                  </w:r>
                </w:p>
              </w:tc>
              <w:tc>
                <w:tcPr>
                  <w:tcW w:w="427" w:type="pct"/>
                  <w:tcBorders>
                    <w:tl2br w:val="nil"/>
                    <w:tr2bl w:val="nil"/>
                  </w:tcBorders>
                  <w:noWrap w:val="0"/>
                  <w:vAlign w:val="center"/>
                </w:tcPr>
                <w:p w14:paraId="4E57D6B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09408D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5880B6F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2933CCF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5BE2D080">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[1.3-4]城市建成区、重点流域内已建成投产化工企业和危险化学品生产企业应加快退城入园，搬入化工园区前企业不应实施改扩建工程扩大生产规模。</w:t>
                  </w:r>
                </w:p>
              </w:tc>
              <w:tc>
                <w:tcPr>
                  <w:tcW w:w="768" w:type="pct"/>
                  <w:tcBorders>
                    <w:tl2br w:val="nil"/>
                    <w:tr2bl w:val="nil"/>
                  </w:tcBorders>
                  <w:noWrap w:val="0"/>
                  <w:vAlign w:val="center"/>
                </w:tcPr>
                <w:p w14:paraId="67FD2A7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项目不涉及危化品</w:t>
                  </w:r>
                </w:p>
              </w:tc>
              <w:tc>
                <w:tcPr>
                  <w:tcW w:w="427" w:type="pct"/>
                  <w:tcBorders>
                    <w:tl2br w:val="nil"/>
                    <w:tr2bl w:val="nil"/>
                  </w:tcBorders>
                  <w:noWrap w:val="0"/>
                  <w:vAlign w:val="center"/>
                </w:tcPr>
                <w:p w14:paraId="2C566C8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380C34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77190F5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restart"/>
                  <w:tcBorders>
                    <w:tl2br w:val="nil"/>
                    <w:tr2bl w:val="nil"/>
                  </w:tcBorders>
                  <w:noWrap w:val="0"/>
                  <w:vAlign w:val="center"/>
                </w:tcPr>
                <w:p w14:paraId="4F8DBC1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A1.4其他布局要求</w:t>
                  </w:r>
                </w:p>
              </w:tc>
              <w:tc>
                <w:tcPr>
                  <w:tcW w:w="3319" w:type="pct"/>
                  <w:tcBorders>
                    <w:tl2br w:val="nil"/>
                    <w:tr2bl w:val="nil"/>
                  </w:tcBorders>
                  <w:noWrap w:val="0"/>
                  <w:vAlign w:val="center"/>
                </w:tcPr>
                <w:p w14:paraId="2260AA65">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1.4-1]一切开发建设活动应符合国家、自治区主体功能区规划、自治区和各地颁布实施的生态环境功能区划、国民经济发展规划、产业发展规划、国土空间规划等相关规划及重点生态功能区负面清单要求，符合区域或产业规划环评要求。</w:t>
                  </w:r>
                </w:p>
              </w:tc>
              <w:tc>
                <w:tcPr>
                  <w:tcW w:w="768" w:type="pct"/>
                  <w:tcBorders>
                    <w:tl2br w:val="nil"/>
                    <w:tr2bl w:val="nil"/>
                  </w:tcBorders>
                  <w:noWrap w:val="0"/>
                  <w:vAlign w:val="center"/>
                </w:tcPr>
                <w:p w14:paraId="13696D3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项目建设符合</w:t>
                  </w:r>
                  <w:r>
                    <w:rPr>
                      <w:rFonts w:hint="eastAsia" w:ascii="Times New Roman" w:hAnsi="Times New Roman" w:cs="Times New Roman"/>
                      <w:snapToGrid w:val="0"/>
                      <w:color w:val="auto"/>
                      <w:lang w:val="en-US" w:eastAsia="zh-CN"/>
                    </w:rPr>
                    <w:t>主体</w:t>
                  </w:r>
                  <w:r>
                    <w:rPr>
                      <w:rFonts w:hint="default" w:ascii="Times New Roman" w:hAnsi="Times New Roman" w:cs="Times New Roman"/>
                      <w:snapToGrid w:val="0"/>
                      <w:color w:val="auto"/>
                      <w:lang w:val="en-US" w:eastAsia="zh-CN"/>
                    </w:rPr>
                    <w:t>功能区划、生态环境分区管控要求</w:t>
                  </w:r>
                </w:p>
              </w:tc>
              <w:tc>
                <w:tcPr>
                  <w:tcW w:w="427" w:type="pct"/>
                  <w:tcBorders>
                    <w:tl2br w:val="nil"/>
                    <w:tr2bl w:val="nil"/>
                  </w:tcBorders>
                  <w:noWrap w:val="0"/>
                  <w:vAlign w:val="center"/>
                </w:tcPr>
                <w:p w14:paraId="7261B26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2618D0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1A3DB14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7811373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56302532">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[A1.4-2]新建、扩建石化、化工、焦化、有色金属冶炼、平板玻璃项目应布设在依法合规设立并经规划环评的产业园区。</w:t>
                  </w:r>
                </w:p>
              </w:tc>
              <w:tc>
                <w:tcPr>
                  <w:tcW w:w="768" w:type="pct"/>
                  <w:tcBorders>
                    <w:tl2br w:val="nil"/>
                    <w:tr2bl w:val="nil"/>
                  </w:tcBorders>
                  <w:noWrap w:val="0"/>
                  <w:vAlign w:val="center"/>
                </w:tcPr>
                <w:p w14:paraId="2A828D3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本项目不属于上述行业</w:t>
                  </w:r>
                </w:p>
              </w:tc>
              <w:tc>
                <w:tcPr>
                  <w:tcW w:w="427" w:type="pct"/>
                  <w:tcBorders>
                    <w:tl2br w:val="nil"/>
                    <w:tr2bl w:val="nil"/>
                  </w:tcBorders>
                  <w:noWrap w:val="0"/>
                  <w:vAlign w:val="center"/>
                </w:tcPr>
                <w:p w14:paraId="646BF95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18D852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1899432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7BA9565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20D479A6">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1.4-3]危险化学品生产企业搬迁改造及新建化工项目必须进入国家及自治区各级人民政府正式批准设立，规划环评通过审查，规划通过审批且环保基础设施完善的工业园区，并符合国土空间规划、产业发展规划和生态红线管控要求。</w:t>
                  </w:r>
                </w:p>
              </w:tc>
              <w:tc>
                <w:tcPr>
                  <w:tcW w:w="768" w:type="pct"/>
                  <w:tcBorders>
                    <w:tl2br w:val="nil"/>
                    <w:tr2bl w:val="nil"/>
                  </w:tcBorders>
                  <w:noWrap w:val="0"/>
                  <w:vAlign w:val="center"/>
                </w:tcPr>
                <w:p w14:paraId="3EB5C74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本项目不属于危险化学品生产行业</w:t>
                  </w:r>
                </w:p>
              </w:tc>
              <w:tc>
                <w:tcPr>
                  <w:tcW w:w="427" w:type="pct"/>
                  <w:tcBorders>
                    <w:tl2br w:val="nil"/>
                    <w:tr2bl w:val="nil"/>
                  </w:tcBorders>
                  <w:noWrap w:val="0"/>
                  <w:vAlign w:val="center"/>
                </w:tcPr>
                <w:p w14:paraId="1C3B16F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215200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restart"/>
                  <w:tcBorders>
                    <w:tl2br w:val="nil"/>
                    <w:tr2bl w:val="nil"/>
                  </w:tcBorders>
                  <w:noWrap w:val="0"/>
                  <w:vAlign w:val="center"/>
                </w:tcPr>
                <w:p w14:paraId="6FCF586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A2污染物排放管控</w:t>
                  </w:r>
                </w:p>
              </w:tc>
              <w:tc>
                <w:tcPr>
                  <w:tcW w:w="276" w:type="pct"/>
                  <w:vMerge w:val="restart"/>
                  <w:tcBorders>
                    <w:tl2br w:val="nil"/>
                    <w:tr2bl w:val="nil"/>
                  </w:tcBorders>
                  <w:noWrap w:val="0"/>
                  <w:vAlign w:val="center"/>
                </w:tcPr>
                <w:p w14:paraId="7A14FA0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A2.1污染物削减/替代要求</w:t>
                  </w:r>
                </w:p>
              </w:tc>
              <w:tc>
                <w:tcPr>
                  <w:tcW w:w="3319" w:type="pct"/>
                  <w:tcBorders>
                    <w:tl2br w:val="nil"/>
                    <w:tr2bl w:val="nil"/>
                  </w:tcBorders>
                  <w:noWrap w:val="0"/>
                  <w:vAlign w:val="center"/>
                </w:tcPr>
                <w:p w14:paraId="1F2448E9">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2.1-1]新、改、扩建重点行业建设项目应符合“三线一单”、产业政策、区域环评、规划环评和行业环境准入管控要求。重点区域的新、改、扩建重点行业建设项目应遵循重点重金属污染物排放“减量替代”原则。</w:t>
                  </w:r>
                </w:p>
              </w:tc>
              <w:tc>
                <w:tcPr>
                  <w:tcW w:w="768" w:type="pct"/>
                  <w:tcBorders>
                    <w:tl2br w:val="nil"/>
                    <w:tr2bl w:val="nil"/>
                  </w:tcBorders>
                  <w:noWrap w:val="0"/>
                  <w:vAlign w:val="center"/>
                </w:tcPr>
                <w:p w14:paraId="3D42666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项目不属于重点行业</w:t>
                  </w:r>
                </w:p>
              </w:tc>
              <w:tc>
                <w:tcPr>
                  <w:tcW w:w="427" w:type="pct"/>
                  <w:tcBorders>
                    <w:tl2br w:val="nil"/>
                    <w:tr2bl w:val="nil"/>
                  </w:tcBorders>
                  <w:noWrap w:val="0"/>
                  <w:vAlign w:val="center"/>
                </w:tcPr>
                <w:p w14:paraId="35ED412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1CCCA1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59AACBA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53FE5F9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18D6B339">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[A2.1-2]以石化、化工、涂装、医药、包装印刷、油品储运销等行业领域为重点，安全高效推进挥发性有机物综合治理，实施原辅材料和产品源头替代工程。</w:t>
                  </w:r>
                </w:p>
              </w:tc>
              <w:tc>
                <w:tcPr>
                  <w:tcW w:w="768" w:type="pct"/>
                  <w:tcBorders>
                    <w:tl2br w:val="nil"/>
                    <w:tr2bl w:val="nil"/>
                  </w:tcBorders>
                  <w:noWrap w:val="0"/>
                  <w:vAlign w:val="center"/>
                </w:tcPr>
                <w:p w14:paraId="5C439F5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项目不属于上述行业</w:t>
                  </w:r>
                </w:p>
              </w:tc>
              <w:tc>
                <w:tcPr>
                  <w:tcW w:w="427" w:type="pct"/>
                  <w:tcBorders>
                    <w:tl2br w:val="nil"/>
                    <w:tr2bl w:val="nil"/>
                  </w:tcBorders>
                  <w:noWrap w:val="0"/>
                  <w:vAlign w:val="center"/>
                </w:tcPr>
                <w:p w14:paraId="4ED28D4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07316F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6406C6E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479344C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1BE90C7D">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2.1-3]促进大气污染物与温室气体协同控制。实施污染物和温室气体协同控制，实现减污降碳协同效应。开展工业、农业温室气体和污染减排协同控制研究，减少温室气体和污染物排放。强化污水、垃圾等集中处置设施环境管理，协同控制氢氟碳化物、甲烷、氧化亚氨等温室气体。加强节约能源与大气污染防治协同有效衔接，促进大气污染防治协同增效。</w:t>
                  </w:r>
                </w:p>
              </w:tc>
              <w:tc>
                <w:tcPr>
                  <w:tcW w:w="768" w:type="pct"/>
                  <w:tcBorders>
                    <w:tl2br w:val="nil"/>
                    <w:tr2bl w:val="nil"/>
                  </w:tcBorders>
                  <w:noWrap w:val="0"/>
                  <w:vAlign w:val="center"/>
                </w:tcPr>
                <w:p w14:paraId="5EF588A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项目运行期不涉及大气污染物排放</w:t>
                  </w:r>
                </w:p>
              </w:tc>
              <w:tc>
                <w:tcPr>
                  <w:tcW w:w="427" w:type="pct"/>
                  <w:tcBorders>
                    <w:tl2br w:val="nil"/>
                    <w:tr2bl w:val="nil"/>
                  </w:tcBorders>
                  <w:noWrap w:val="0"/>
                  <w:vAlign w:val="center"/>
                </w:tcPr>
                <w:p w14:paraId="095CF84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7A917E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6CD968B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6AA1774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1D4CC7F5">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[A2.1-4]严控建材、铸造、冶炼等行业无组织排放，推进石化、化工、涂装、医药、包装印刷、油品储运销等行业项目挥发性有机物</w:t>
                  </w:r>
                  <w:r>
                    <w:rPr>
                      <w:rFonts w:hint="eastAsia" w:ascii="Times New Roman" w:hAnsi="Times New Roman" w:cs="Times New Roman"/>
                      <w:snapToGrid w:val="0"/>
                      <w:color w:val="auto"/>
                      <w:lang w:eastAsia="zh-CN"/>
                    </w:rPr>
                    <w:t>（</w:t>
                  </w:r>
                  <w:r>
                    <w:rPr>
                      <w:rFonts w:hint="default" w:ascii="Times New Roman" w:hAnsi="Times New Roman" w:cs="Times New Roman"/>
                      <w:snapToGrid w:val="0"/>
                      <w:color w:val="auto"/>
                    </w:rPr>
                    <w:t>VOCs</w:t>
                  </w:r>
                  <w:r>
                    <w:rPr>
                      <w:rFonts w:hint="eastAsia" w:ascii="Times New Roman" w:hAnsi="Times New Roman" w:cs="Times New Roman"/>
                      <w:snapToGrid w:val="0"/>
                      <w:color w:val="auto"/>
                      <w:lang w:eastAsia="zh-CN"/>
                    </w:rPr>
                    <w:t>）</w:t>
                  </w:r>
                  <w:r>
                    <w:rPr>
                      <w:rFonts w:hint="default" w:ascii="Times New Roman" w:hAnsi="Times New Roman" w:cs="Times New Roman"/>
                      <w:snapToGrid w:val="0"/>
                      <w:color w:val="auto"/>
                    </w:rPr>
                    <w:t>防治。严格有色金属冶炼、石油加工、化工、焦化等行业项目的土壤、地下水污染防治措施要求。推进工业园区和企业集群建设涉VOCs“绿岛”项目，统筹规划建设一批集中涂装中心、活性炭集中处理中心、溶剂回收中心等，实现VOCs集中高效处理。</w:t>
                  </w:r>
                </w:p>
              </w:tc>
              <w:tc>
                <w:tcPr>
                  <w:tcW w:w="768" w:type="pct"/>
                  <w:tcBorders>
                    <w:tl2br w:val="nil"/>
                    <w:tr2bl w:val="nil"/>
                  </w:tcBorders>
                  <w:noWrap w:val="0"/>
                  <w:vAlign w:val="center"/>
                </w:tcPr>
                <w:p w14:paraId="5B83A38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项目不涉及上述行业</w:t>
                  </w:r>
                </w:p>
              </w:tc>
              <w:tc>
                <w:tcPr>
                  <w:tcW w:w="427" w:type="pct"/>
                  <w:tcBorders>
                    <w:tl2br w:val="nil"/>
                    <w:tr2bl w:val="nil"/>
                  </w:tcBorders>
                  <w:noWrap w:val="0"/>
                  <w:vAlign w:val="center"/>
                </w:tcPr>
                <w:p w14:paraId="7C47064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78F5EE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78D7180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restart"/>
                  <w:tcBorders>
                    <w:tl2br w:val="nil"/>
                    <w:tr2bl w:val="nil"/>
                  </w:tcBorders>
                  <w:noWrap w:val="0"/>
                  <w:vAlign w:val="center"/>
                </w:tcPr>
                <w:p w14:paraId="50C2686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A2.2污染控制措施要求</w:t>
                  </w:r>
                </w:p>
              </w:tc>
              <w:tc>
                <w:tcPr>
                  <w:tcW w:w="3319" w:type="pct"/>
                  <w:tcBorders>
                    <w:tl2br w:val="nil"/>
                    <w:tr2bl w:val="nil"/>
                  </w:tcBorders>
                  <w:noWrap w:val="0"/>
                  <w:vAlign w:val="center"/>
                </w:tcPr>
                <w:p w14:paraId="36A5B151">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2.2-1]推动能源、钢铁、建材、有色、电力、化工等重点领域技术升级，控制工业过程温室气体排放，推动工业领域绿色低碳发展。积极鼓励发展二氧化碳捕集利用与封存等低碳技术。促进大气污染物与温室气体协同控制。实施污染物和温室气体协同控制，实现减污降碳协同效应。强化污水、垃圾等集中处置设施环境管理，协同控制氢氟碳化物、甲烷、氧化亚氦等温室气体。加强节约能源与大气污染防治协同有效衔接，促进大气污染防治协同增效。</w:t>
                  </w:r>
                </w:p>
              </w:tc>
              <w:tc>
                <w:tcPr>
                  <w:tcW w:w="768" w:type="pct"/>
                  <w:tcBorders>
                    <w:tl2br w:val="nil"/>
                    <w:tr2bl w:val="nil"/>
                  </w:tcBorders>
                  <w:noWrap w:val="0"/>
                  <w:vAlign w:val="center"/>
                </w:tcPr>
                <w:p w14:paraId="7736D36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lang w:val="en-US" w:eastAsia="zh-CN"/>
                    </w:rPr>
                    <w:t>项目不涉及上述行业</w:t>
                  </w:r>
                </w:p>
              </w:tc>
              <w:tc>
                <w:tcPr>
                  <w:tcW w:w="427" w:type="pct"/>
                  <w:tcBorders>
                    <w:tl2br w:val="nil"/>
                    <w:tr2bl w:val="nil"/>
                  </w:tcBorders>
                  <w:noWrap w:val="0"/>
                  <w:vAlign w:val="center"/>
                </w:tcPr>
                <w:p w14:paraId="5347008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0FB37B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2F1F2F7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0924E95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0B2F0A55">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2.2-2]实施重点行业氮氧化物等污染物深度治理。持续推进钢铁、水泥、焦化行业超低排放改造。推进玻璃、陶瓷、铸造、铁合金、有色、煤化和石化等行业采取清洁生产、提标改造、深度治理等综合措施。加强自备燃煤机组污染治理设施运行管控，确保按照超低排放标准运行。针对铸造、铁合金、焦化、水泥、砖瓦、石灰、耐火材料、金属冶炼以及煤化工、石油化工等行业，严格控制物料储存、输送及生产工艺过程无组织排放。重点涉气排放企业逐步取消烟气旁路，因安全生产无法取消的，安装在线监控系统。</w:t>
                  </w:r>
                </w:p>
              </w:tc>
              <w:tc>
                <w:tcPr>
                  <w:tcW w:w="768" w:type="pct"/>
                  <w:tcBorders>
                    <w:tl2br w:val="nil"/>
                    <w:tr2bl w:val="nil"/>
                  </w:tcBorders>
                  <w:noWrap w:val="0"/>
                  <w:vAlign w:val="center"/>
                </w:tcPr>
                <w:p w14:paraId="18B85B9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lang w:val="en-US" w:eastAsia="zh-CN"/>
                    </w:rPr>
                    <w:t>项目不涉及上述行业</w:t>
                  </w:r>
                </w:p>
              </w:tc>
              <w:tc>
                <w:tcPr>
                  <w:tcW w:w="427" w:type="pct"/>
                  <w:tcBorders>
                    <w:tl2br w:val="nil"/>
                    <w:tr2bl w:val="nil"/>
                  </w:tcBorders>
                  <w:noWrap w:val="0"/>
                  <w:vAlign w:val="center"/>
                </w:tcPr>
                <w:p w14:paraId="573B612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1C892E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62C87DD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2B087F0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2359D599">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2.2-3]强化重点区域大气污染联防联控，合理确定产业布局，推动区域内统一产业准入和排放标准。实施水泥行业错峰生产，推进散煤整治、挥发性有机污染物综合治理、钢铁、水泥、焦化和燃煤工业锅炉行业超低排放改造、燃气锅炉低氨燃烧改造、工业园区内轨道运输</w:t>
                  </w:r>
                  <w:r>
                    <w:rPr>
                      <w:rFonts w:hint="eastAsia" w:ascii="Times New Roman" w:hAnsi="Times New Roman" w:cs="Times New Roman"/>
                      <w:snapToGrid w:val="0"/>
                      <w:color w:val="auto"/>
                      <w:lang w:eastAsia="zh-CN"/>
                    </w:rPr>
                    <w:t>（</w:t>
                  </w:r>
                  <w:r>
                    <w:rPr>
                      <w:rFonts w:hint="default" w:ascii="Times New Roman" w:hAnsi="Times New Roman" w:cs="Times New Roman"/>
                      <w:snapToGrid w:val="0"/>
                      <w:color w:val="auto"/>
                    </w:rPr>
                    <w:t>大宗货物“公转铁”</w:t>
                  </w:r>
                  <w:r>
                    <w:rPr>
                      <w:rFonts w:hint="eastAsia" w:ascii="Times New Roman" w:hAnsi="Times New Roman" w:cs="Times New Roman"/>
                      <w:snapToGrid w:val="0"/>
                      <w:color w:val="auto"/>
                      <w:lang w:eastAsia="zh-CN"/>
                    </w:rPr>
                    <w:t>）</w:t>
                  </w:r>
                  <w:r>
                    <w:rPr>
                      <w:rFonts w:hint="default" w:ascii="Times New Roman" w:hAnsi="Times New Roman" w:cs="Times New Roman"/>
                      <w:snapToGrid w:val="0"/>
                      <w:color w:val="auto"/>
                    </w:rPr>
                    <w:t>、柴油货车治理、锅炉炉窑综合治理等工程项目。全面推行绿色施工，持续推动城市建成区重污染企业搬迁或关闭退出。</w:t>
                  </w:r>
                </w:p>
              </w:tc>
              <w:tc>
                <w:tcPr>
                  <w:tcW w:w="768" w:type="pct"/>
                  <w:tcBorders>
                    <w:tl2br w:val="nil"/>
                    <w:tr2bl w:val="nil"/>
                  </w:tcBorders>
                  <w:noWrap w:val="0"/>
                  <w:vAlign w:val="center"/>
                </w:tcPr>
                <w:p w14:paraId="49AD2AD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lang w:val="en-US" w:eastAsia="zh-CN"/>
                    </w:rPr>
                    <w:t>项目不涉及上述行业</w:t>
                  </w:r>
                </w:p>
              </w:tc>
              <w:tc>
                <w:tcPr>
                  <w:tcW w:w="427" w:type="pct"/>
                  <w:tcBorders>
                    <w:tl2br w:val="nil"/>
                    <w:tr2bl w:val="nil"/>
                  </w:tcBorders>
                  <w:noWrap w:val="0"/>
                  <w:vAlign w:val="center"/>
                </w:tcPr>
                <w:p w14:paraId="04C6486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4AE521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58B6B16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37FE27D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0A38ED4E">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[A2.2-4]强化用水定额管理。推进地下水超采综合治理。开展河湖生态流量（水量）确定工作，强化生态用水保障。</w:t>
                  </w:r>
                </w:p>
              </w:tc>
              <w:tc>
                <w:tcPr>
                  <w:tcW w:w="768" w:type="pct"/>
                  <w:tcBorders>
                    <w:tl2br w:val="nil"/>
                    <w:tr2bl w:val="nil"/>
                  </w:tcBorders>
                  <w:noWrap w:val="0"/>
                  <w:vAlign w:val="center"/>
                </w:tcPr>
                <w:p w14:paraId="30088B3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项目不开采地下水</w:t>
                  </w:r>
                </w:p>
              </w:tc>
              <w:tc>
                <w:tcPr>
                  <w:tcW w:w="427" w:type="pct"/>
                  <w:tcBorders>
                    <w:tl2br w:val="nil"/>
                    <w:tr2bl w:val="nil"/>
                  </w:tcBorders>
                  <w:noWrap w:val="0"/>
                  <w:vAlign w:val="center"/>
                </w:tcPr>
                <w:p w14:paraId="51BB0FF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164797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6826290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4DF6B02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60274DDA">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2.2-5]持续推进伊犁河、额尔齐斯河、额敏河、玛纳斯河、乌伦古湖、博斯腾湖等流域生态治理，加强生态修复。推动重点行业、重点企业绿色发展，严格落实水污染物排放标准。加强农副食品加工、化工、印染、棉浆柏、粘胶纤维等企业综合治理和清洁化改造</w:t>
                  </w:r>
                </w:p>
              </w:tc>
              <w:tc>
                <w:tcPr>
                  <w:tcW w:w="768" w:type="pct"/>
                  <w:tcBorders>
                    <w:tl2br w:val="nil"/>
                    <w:tr2bl w:val="nil"/>
                  </w:tcBorders>
                  <w:noWrap w:val="0"/>
                  <w:vAlign w:val="center"/>
                </w:tcPr>
                <w:p w14:paraId="7A4DEC9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lang w:val="en-US" w:eastAsia="zh-CN"/>
                    </w:rPr>
                    <w:t>项目不涉及上述行业</w:t>
                  </w:r>
                </w:p>
              </w:tc>
              <w:tc>
                <w:tcPr>
                  <w:tcW w:w="427" w:type="pct"/>
                  <w:tcBorders>
                    <w:tl2br w:val="nil"/>
                    <w:tr2bl w:val="nil"/>
                  </w:tcBorders>
                  <w:noWrap w:val="0"/>
                  <w:vAlign w:val="center"/>
                </w:tcPr>
                <w:p w14:paraId="33DD8A2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1172BB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63E5B94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741BF63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68FC5A83">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2.2-6]推进地表水与地下水协同防治。以傍河型地下水饮用水水源为重点，防范受污染河段侧渗和垂直补给对地下水污染。加强化学品生产企业、工业聚集区、矿山开采区等污染源的地表、地下协同防治与环境风险管控。加强工业污染防治。推动重点行业、重点企业绿色发展，严格落实水污染物排放标准和排污许可制度。加强农副食品加工、化工、印染、棉浆粕、粘胶纤维、制糖等企业综合治理和清洁化改造。支持企业积极实施节水技术改造，加强工业园区污水集中处理设施运行管理，加快再生水回用设施建设，提升园区水资源循环利用水平。</w:t>
                  </w:r>
                </w:p>
              </w:tc>
              <w:tc>
                <w:tcPr>
                  <w:tcW w:w="768" w:type="pct"/>
                  <w:tcBorders>
                    <w:tl2br w:val="nil"/>
                    <w:tr2bl w:val="nil"/>
                  </w:tcBorders>
                  <w:noWrap w:val="0"/>
                  <w:vAlign w:val="center"/>
                </w:tcPr>
                <w:p w14:paraId="2C90AC9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lang w:val="en-US" w:eastAsia="zh-CN"/>
                    </w:rPr>
                    <w:t>项目不涉及上述行业</w:t>
                  </w:r>
                </w:p>
              </w:tc>
              <w:tc>
                <w:tcPr>
                  <w:tcW w:w="427" w:type="pct"/>
                  <w:tcBorders>
                    <w:tl2br w:val="nil"/>
                    <w:tr2bl w:val="nil"/>
                  </w:tcBorders>
                  <w:noWrap w:val="0"/>
                  <w:vAlign w:val="center"/>
                </w:tcPr>
                <w:p w14:paraId="0FAD5AD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1C5BFB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4D355DB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1362060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035CF3A7">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[A2.2-7]强化重点区域地下水环境风险管控，对化学品生产企业、工业集聚区、尾矿库、矿山开采区、危险废物处置场、垃圾填埋场等地下水污染源及周边区域，逐步开展地下水环境状况调查评估，加强风险管控。</w:t>
                  </w:r>
                </w:p>
              </w:tc>
              <w:tc>
                <w:tcPr>
                  <w:tcW w:w="768" w:type="pct"/>
                  <w:tcBorders>
                    <w:tl2br w:val="nil"/>
                    <w:tr2bl w:val="nil"/>
                  </w:tcBorders>
                  <w:noWrap w:val="0"/>
                  <w:vAlign w:val="center"/>
                </w:tcPr>
                <w:p w14:paraId="1C58FF3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lang w:val="en-US" w:eastAsia="zh-CN"/>
                    </w:rPr>
                    <w:t>项目不涉及上述行业</w:t>
                  </w:r>
                </w:p>
              </w:tc>
              <w:tc>
                <w:tcPr>
                  <w:tcW w:w="427" w:type="pct"/>
                  <w:tcBorders>
                    <w:tl2br w:val="nil"/>
                    <w:tr2bl w:val="nil"/>
                  </w:tcBorders>
                  <w:noWrap w:val="0"/>
                  <w:vAlign w:val="center"/>
                </w:tcPr>
                <w:p w14:paraId="7FC3056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02309F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12DBB66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2F0F6D7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0961ADE5">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[A2.2-8]严控土壤重金属污染，加强油（气）田开发土壤污染防治，以历史遗留工业企业污染场地为重点，开展土壤污染风险管控与修复工程。</w:t>
                  </w:r>
                </w:p>
              </w:tc>
              <w:tc>
                <w:tcPr>
                  <w:tcW w:w="768" w:type="pct"/>
                  <w:tcBorders>
                    <w:tl2br w:val="nil"/>
                    <w:tr2bl w:val="nil"/>
                  </w:tcBorders>
                  <w:noWrap w:val="0"/>
                  <w:vAlign w:val="center"/>
                </w:tcPr>
                <w:p w14:paraId="155B17B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项目不涉及上述行业</w:t>
                  </w:r>
                </w:p>
              </w:tc>
              <w:tc>
                <w:tcPr>
                  <w:tcW w:w="427" w:type="pct"/>
                  <w:tcBorders>
                    <w:tl2br w:val="nil"/>
                    <w:tr2bl w:val="nil"/>
                  </w:tcBorders>
                  <w:noWrap w:val="0"/>
                  <w:vAlign w:val="center"/>
                </w:tcPr>
                <w:p w14:paraId="5F9FB1D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1D47CB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2520B60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3DB9D44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6F262A58">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2.2-9]加强种植业污染防治。深入推进化肥农药减量增效，全面推广测土配方施肥，引导推动有机肥、绿肥替代化肥，集成推广化肥减量增效技术模式，加强农药包装废弃物管理。实施农膜回收行动，健全农田废旧地膜回收利用体系，提高废旧地膜回收率。推进农作物秸秆综合利用，不断完善秸秆收储运用体系，形成布局合理、多元利用的秸秆综合利用格局。</w:t>
                  </w:r>
                </w:p>
              </w:tc>
              <w:tc>
                <w:tcPr>
                  <w:tcW w:w="768" w:type="pct"/>
                  <w:tcBorders>
                    <w:tl2br w:val="nil"/>
                    <w:tr2bl w:val="nil"/>
                  </w:tcBorders>
                  <w:noWrap w:val="0"/>
                  <w:vAlign w:val="center"/>
                </w:tcPr>
                <w:p w14:paraId="08A4736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项目为光伏发电项目，不属于农业生产项目</w:t>
                  </w:r>
                </w:p>
              </w:tc>
              <w:tc>
                <w:tcPr>
                  <w:tcW w:w="427" w:type="pct"/>
                  <w:tcBorders>
                    <w:tl2br w:val="nil"/>
                    <w:tr2bl w:val="nil"/>
                  </w:tcBorders>
                  <w:noWrap w:val="0"/>
                  <w:vAlign w:val="center"/>
                </w:tcPr>
                <w:p w14:paraId="7246D02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2B2A3F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restart"/>
                  <w:tcBorders>
                    <w:tl2br w:val="nil"/>
                    <w:tr2bl w:val="nil"/>
                  </w:tcBorders>
                  <w:noWrap w:val="0"/>
                  <w:vAlign w:val="center"/>
                </w:tcPr>
                <w:p w14:paraId="4AFEEEF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A3环境风险防控</w:t>
                  </w:r>
                </w:p>
              </w:tc>
              <w:tc>
                <w:tcPr>
                  <w:tcW w:w="276" w:type="pct"/>
                  <w:vMerge w:val="restart"/>
                  <w:tcBorders>
                    <w:tl2br w:val="nil"/>
                    <w:tr2bl w:val="nil"/>
                  </w:tcBorders>
                  <w:noWrap w:val="0"/>
                  <w:vAlign w:val="center"/>
                </w:tcPr>
                <w:p w14:paraId="6478E08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A3.1人居环境要求</w:t>
                  </w:r>
                </w:p>
              </w:tc>
              <w:tc>
                <w:tcPr>
                  <w:tcW w:w="3319" w:type="pct"/>
                  <w:tcBorders>
                    <w:tl2br w:val="nil"/>
                    <w:tr2bl w:val="nil"/>
                  </w:tcBorders>
                  <w:noWrap w:val="0"/>
                  <w:vAlign w:val="center"/>
                </w:tcPr>
                <w:p w14:paraId="71099117">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[A3.1-1]建立和完善重污染天气兵地联合应急预案、预报预警应急机制和会商联动机制。“乌-昌-石”区域内可能影响相邻行政区域大气环境的项目，兵地间、城市间必须相互征求意见。</w:t>
                  </w:r>
                </w:p>
              </w:tc>
              <w:tc>
                <w:tcPr>
                  <w:tcW w:w="768" w:type="pct"/>
                  <w:tcBorders>
                    <w:tl2br w:val="nil"/>
                    <w:tr2bl w:val="nil"/>
                  </w:tcBorders>
                  <w:noWrap w:val="0"/>
                  <w:vAlign w:val="center"/>
                </w:tcPr>
                <w:p w14:paraId="4B08AD7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本项目不涉及废气排放</w:t>
                  </w:r>
                </w:p>
              </w:tc>
              <w:tc>
                <w:tcPr>
                  <w:tcW w:w="427" w:type="pct"/>
                  <w:tcBorders>
                    <w:tl2br w:val="nil"/>
                    <w:tr2bl w:val="nil"/>
                  </w:tcBorders>
                  <w:noWrap w:val="0"/>
                  <w:vAlign w:val="center"/>
                </w:tcPr>
                <w:p w14:paraId="0BBB9EC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154A8F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7855028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4857D04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28F9B4E0">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3.1-2]对跨国境河流、涉及县级及以上集中式饮用水水源地的河流、其他重要环境敏感目标的河流，建立健全流域上下游突发水污染事件联防联动机制，建立流域环境应急基础信息动态更新长效机制，绘制全流域“一河一策一图”。建立健全跨部门、跨区域的环境应急协调联动处置机制，强化流域上下游、兵地各部门协调，实施联合监测、联合执法、应急联动、信息共享，形成“政府引导、多元联动、社会参与、专业救援”的环境应急处置机制，持续开展应急综合演练，实现从被动应对到主动防控的重大转变。加强流域突发水环境事件应急能力建设，提升应急响应水平，加强监测预警、拦污控污、信息通报、协同处置、基础保障等工作，防范重大生态环境风险，坚决守住生态环境安全底线。</w:t>
                  </w:r>
                </w:p>
              </w:tc>
              <w:tc>
                <w:tcPr>
                  <w:tcW w:w="768" w:type="pct"/>
                  <w:tcBorders>
                    <w:tl2br w:val="nil"/>
                    <w:tr2bl w:val="nil"/>
                  </w:tcBorders>
                  <w:noWrap w:val="0"/>
                  <w:vAlign w:val="center"/>
                </w:tcPr>
                <w:p w14:paraId="7C9EEF4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项目不涉及重点河流等</w:t>
                  </w:r>
                </w:p>
              </w:tc>
              <w:tc>
                <w:tcPr>
                  <w:tcW w:w="427" w:type="pct"/>
                  <w:tcBorders>
                    <w:tl2br w:val="nil"/>
                    <w:tr2bl w:val="nil"/>
                  </w:tcBorders>
                  <w:noWrap w:val="0"/>
                  <w:vAlign w:val="center"/>
                </w:tcPr>
                <w:p w14:paraId="416BB72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35E09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23CEDAE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1E93D84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7D0372C1">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[A3.1-3]强化重污染天气监测预报预警能力，建立和完善重污染天气兵地联合应急预案、预警应急机制和会商联动机制，加强轻、中度污染天气管控。</w:t>
                  </w:r>
                </w:p>
              </w:tc>
              <w:tc>
                <w:tcPr>
                  <w:tcW w:w="768" w:type="pct"/>
                  <w:tcBorders>
                    <w:tl2br w:val="nil"/>
                    <w:tr2bl w:val="nil"/>
                  </w:tcBorders>
                  <w:noWrap w:val="0"/>
                  <w:vAlign w:val="center"/>
                </w:tcPr>
                <w:p w14:paraId="4AF3200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项目不涉及废气污染物排放</w:t>
                  </w:r>
                </w:p>
              </w:tc>
              <w:tc>
                <w:tcPr>
                  <w:tcW w:w="427" w:type="pct"/>
                  <w:tcBorders>
                    <w:tl2br w:val="nil"/>
                    <w:tr2bl w:val="nil"/>
                  </w:tcBorders>
                  <w:noWrap w:val="0"/>
                  <w:vAlign w:val="center"/>
                </w:tcPr>
                <w:p w14:paraId="58A56A7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358BBC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1B3620F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restart"/>
                  <w:tcBorders>
                    <w:tl2br w:val="nil"/>
                    <w:tr2bl w:val="nil"/>
                  </w:tcBorders>
                  <w:noWrap w:val="0"/>
                  <w:vAlign w:val="center"/>
                </w:tcPr>
                <w:p w14:paraId="54F28D2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A3.2联防联控要求</w:t>
                  </w:r>
                </w:p>
              </w:tc>
              <w:tc>
                <w:tcPr>
                  <w:tcW w:w="3319" w:type="pct"/>
                  <w:tcBorders>
                    <w:tl2br w:val="nil"/>
                    <w:tr2bl w:val="nil"/>
                  </w:tcBorders>
                  <w:noWrap w:val="0"/>
                  <w:vAlign w:val="center"/>
                </w:tcPr>
                <w:p w14:paraId="552DD290">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3.2-1]提升饮用水安全保障水平。以县级及以上集中式饮用水水源地为重点，推进饮用水水源保护区规范化建设，统筹推进备用水源或应急水源建设。单一水源供水的重点城市于2025年底前基本完成备用水源或应急水源建设，有条件的地区开展兵地互为备用水源建设。梯次推进农村集中式饮用水水源保护区划定，到2025年，完成乡镇级集中式饮用水水源保护区划定与勘界立标。开展“千吨万人”农村饮用水水源保护区环境风险排查整治，加强农村水源水质监测，依法清理饮用水水源保护区内违法建筑和排污口，实施从水源到水龙头全过程监管。强化饮用水水源保护区环境应急管理，完善重大突发环境事件的物资和技术储备。针对汇水区、补给区存在兵地跨界的，建立统一的饮用水水源应急和执法机制，共享应急物资。</w:t>
                  </w:r>
                </w:p>
              </w:tc>
              <w:tc>
                <w:tcPr>
                  <w:tcW w:w="768" w:type="pct"/>
                  <w:tcBorders>
                    <w:tl2br w:val="nil"/>
                    <w:tr2bl w:val="nil"/>
                  </w:tcBorders>
                  <w:noWrap w:val="0"/>
                  <w:vAlign w:val="center"/>
                </w:tcPr>
                <w:p w14:paraId="6604692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本项目为光伏发电项目，不属于提供饮用水项目</w:t>
                  </w:r>
                </w:p>
              </w:tc>
              <w:tc>
                <w:tcPr>
                  <w:tcW w:w="427" w:type="pct"/>
                  <w:tcBorders>
                    <w:tl2br w:val="nil"/>
                    <w:tr2bl w:val="nil"/>
                  </w:tcBorders>
                  <w:noWrap w:val="0"/>
                  <w:vAlign w:val="center"/>
                </w:tcPr>
                <w:p w14:paraId="121AD5D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27DC02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438AF5D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5D3CF83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1D0CFD13">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[A3.2-2]依法推行农用地分类管理制度，强化受污染耕地安全利用和风险管控。因地制宜制定实施安全利用方案，鼓励采取种植结构调整等措施，确保受污染耕地全部实现安全利用。</w:t>
                  </w:r>
                </w:p>
              </w:tc>
              <w:tc>
                <w:tcPr>
                  <w:tcW w:w="768" w:type="pct"/>
                  <w:tcBorders>
                    <w:tl2br w:val="nil"/>
                    <w:tr2bl w:val="nil"/>
                  </w:tcBorders>
                  <w:noWrap w:val="0"/>
                  <w:vAlign w:val="center"/>
                </w:tcPr>
                <w:p w14:paraId="1F1CB4E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项目占地不属于耕地</w:t>
                  </w:r>
                </w:p>
              </w:tc>
              <w:tc>
                <w:tcPr>
                  <w:tcW w:w="427" w:type="pct"/>
                  <w:tcBorders>
                    <w:tl2br w:val="nil"/>
                    <w:tr2bl w:val="nil"/>
                  </w:tcBorders>
                  <w:noWrap w:val="0"/>
                  <w:vAlign w:val="center"/>
                </w:tcPr>
                <w:p w14:paraId="7C019EB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5DCBC1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1637835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4785E5D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37AD8E27">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3.2-3]加强新污染物多环境介质协同治理。排放重点管控新污染物的企事业单位应采取污染控制措施，达到相关污染物排放标准及环境质量目标要求；按照排污许可管理有关要求，依法申领排污许可证或填写排污登记表，并在其中载明执行的污染控制标准要求及采取的污染控制措施。排放重点管控新污染物的企事业单位和其他生产经营者应按照相关法律法规要求，对排放</w:t>
                  </w:r>
                  <w:r>
                    <w:rPr>
                      <w:rFonts w:hint="eastAsia" w:ascii="Times New Roman" w:hAnsi="Times New Roman" w:cs="Times New Roman"/>
                      <w:snapToGrid w:val="0"/>
                      <w:color w:val="auto"/>
                      <w:lang w:eastAsia="zh-CN"/>
                    </w:rPr>
                    <w:t>（</w:t>
                  </w:r>
                  <w:r>
                    <w:rPr>
                      <w:rFonts w:hint="default" w:ascii="Times New Roman" w:hAnsi="Times New Roman" w:cs="Times New Roman"/>
                      <w:snapToGrid w:val="0"/>
                      <w:color w:val="auto"/>
                    </w:rPr>
                    <w:t>污</w:t>
                  </w:r>
                  <w:r>
                    <w:rPr>
                      <w:rFonts w:hint="eastAsia" w:ascii="Times New Roman" w:hAnsi="Times New Roman" w:cs="Times New Roman"/>
                      <w:snapToGrid w:val="0"/>
                      <w:color w:val="auto"/>
                      <w:lang w:eastAsia="zh-CN"/>
                    </w:rPr>
                    <w:t>）</w:t>
                  </w:r>
                  <w:r>
                    <w:rPr>
                      <w:rFonts w:hint="default" w:ascii="Times New Roman" w:hAnsi="Times New Roman" w:cs="Times New Roman"/>
                      <w:snapToGrid w:val="0"/>
                      <w:color w:val="auto"/>
                    </w:rPr>
                    <w:t>口及其周边环境定期开展环境监测，评估环境风险，排查整治环境安全隐患，依法公开新污染物信息，采取措施防范环境风险。土壤污染重点监管单位应严格控制有毒有害物质排放，建立土壤污染隐患排查制度，防止有毒有害物质渗漏、流失、扬散。</w:t>
                  </w:r>
                </w:p>
              </w:tc>
              <w:tc>
                <w:tcPr>
                  <w:tcW w:w="768" w:type="pct"/>
                  <w:tcBorders>
                    <w:tl2br w:val="nil"/>
                    <w:tr2bl w:val="nil"/>
                  </w:tcBorders>
                  <w:noWrap w:val="0"/>
                  <w:vAlign w:val="center"/>
                </w:tcPr>
                <w:p w14:paraId="5FBCF2F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项目运行期不涉及新污染排放</w:t>
                  </w:r>
                </w:p>
              </w:tc>
              <w:tc>
                <w:tcPr>
                  <w:tcW w:w="427" w:type="pct"/>
                  <w:tcBorders>
                    <w:tl2br w:val="nil"/>
                    <w:tr2bl w:val="nil"/>
                  </w:tcBorders>
                  <w:noWrap w:val="0"/>
                  <w:vAlign w:val="center"/>
                </w:tcPr>
                <w:p w14:paraId="7819666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586A0E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1E58D52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45911C0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29A5F6ED">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3.2-4]加强环境风险预警防控。加强涉危险废物企业、涉重金属企业、化工园区、集中式饮用水水源地及重点流域环境风险调查评估，实施分类分级风险管控，协同推进重点区域、流域生态环境污染综合防治、风险防控与生态修复。</w:t>
                  </w:r>
                </w:p>
              </w:tc>
              <w:tc>
                <w:tcPr>
                  <w:tcW w:w="768" w:type="pct"/>
                  <w:tcBorders>
                    <w:tl2br w:val="nil"/>
                    <w:tr2bl w:val="nil"/>
                  </w:tcBorders>
                  <w:noWrap w:val="0"/>
                  <w:vAlign w:val="center"/>
                </w:tcPr>
                <w:p w14:paraId="79FFFA6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highlight w:val="none"/>
                      <w:lang w:val="en-US" w:eastAsia="zh-CN"/>
                    </w:rPr>
                    <w:t>项目产生危险废物等均委托有资质单位处置</w:t>
                  </w:r>
                </w:p>
              </w:tc>
              <w:tc>
                <w:tcPr>
                  <w:tcW w:w="427" w:type="pct"/>
                  <w:tcBorders>
                    <w:tl2br w:val="nil"/>
                    <w:tr2bl w:val="nil"/>
                  </w:tcBorders>
                  <w:noWrap w:val="0"/>
                  <w:vAlign w:val="center"/>
                </w:tcPr>
                <w:p w14:paraId="1643F1B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3D2ECC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5EA9134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693C8A9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231BECDC">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3.2-5]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tc>
              <w:tc>
                <w:tcPr>
                  <w:tcW w:w="768" w:type="pct"/>
                  <w:tcBorders>
                    <w:tl2br w:val="nil"/>
                    <w:tr2bl w:val="nil"/>
                  </w:tcBorders>
                  <w:noWrap w:val="0"/>
                  <w:vAlign w:val="center"/>
                </w:tcPr>
                <w:p w14:paraId="19C867D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环评要求企业编制突发环境事件应急预案并进行备案</w:t>
                  </w:r>
                </w:p>
              </w:tc>
              <w:tc>
                <w:tcPr>
                  <w:tcW w:w="427" w:type="pct"/>
                  <w:tcBorders>
                    <w:tl2br w:val="nil"/>
                    <w:tr2bl w:val="nil"/>
                  </w:tcBorders>
                  <w:noWrap w:val="0"/>
                  <w:vAlign w:val="center"/>
                </w:tcPr>
                <w:p w14:paraId="0485CA1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09A622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6DEE6E1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439756B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5A4B2A27">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3.2-6]强化兵地联防联控联治，落实兵地统一规划、统一政策、统一标准、统一要求、统一推进的防治管理措施，完善重大项目环境影响评价区域会商、重污染天气兵地联合应急联动机制。建立兵地生态环境联合执法和联合监测长效机制。</w:t>
                  </w:r>
                </w:p>
              </w:tc>
              <w:tc>
                <w:tcPr>
                  <w:tcW w:w="768" w:type="pct"/>
                  <w:tcBorders>
                    <w:tl2br w:val="nil"/>
                    <w:tr2bl w:val="nil"/>
                  </w:tcBorders>
                  <w:noWrap w:val="0"/>
                  <w:vAlign w:val="center"/>
                </w:tcPr>
                <w:p w14:paraId="28AE551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项目不属于重大项目</w:t>
                  </w:r>
                </w:p>
              </w:tc>
              <w:tc>
                <w:tcPr>
                  <w:tcW w:w="427" w:type="pct"/>
                  <w:tcBorders>
                    <w:tl2br w:val="nil"/>
                    <w:tr2bl w:val="nil"/>
                  </w:tcBorders>
                  <w:noWrap w:val="0"/>
                  <w:vAlign w:val="center"/>
                </w:tcPr>
                <w:p w14:paraId="6BAD007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30BDC0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restart"/>
                  <w:tcBorders>
                    <w:tl2br w:val="nil"/>
                    <w:tr2bl w:val="nil"/>
                  </w:tcBorders>
                  <w:noWrap w:val="0"/>
                  <w:vAlign w:val="center"/>
                </w:tcPr>
                <w:p w14:paraId="694816E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A4资源利用要求</w:t>
                  </w:r>
                </w:p>
              </w:tc>
              <w:tc>
                <w:tcPr>
                  <w:tcW w:w="276" w:type="pct"/>
                  <w:vMerge w:val="restart"/>
                  <w:tcBorders>
                    <w:tl2br w:val="nil"/>
                    <w:tr2bl w:val="nil"/>
                  </w:tcBorders>
                  <w:noWrap w:val="0"/>
                  <w:vAlign w:val="center"/>
                </w:tcPr>
                <w:p w14:paraId="53F61D2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A4.1水资源</w:t>
                  </w:r>
                </w:p>
              </w:tc>
              <w:tc>
                <w:tcPr>
                  <w:tcW w:w="3319" w:type="pct"/>
                  <w:tcBorders>
                    <w:tl2br w:val="nil"/>
                    <w:tr2bl w:val="nil"/>
                  </w:tcBorders>
                  <w:noWrap w:val="0"/>
                  <w:vAlign w:val="center"/>
                </w:tcPr>
                <w:p w14:paraId="3BE0B9DA">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[A4.1-1]自治区用水总量2025年、2030年控制在国家下达的指标内。</w:t>
                  </w:r>
                </w:p>
              </w:tc>
              <w:tc>
                <w:tcPr>
                  <w:tcW w:w="768" w:type="pct"/>
                  <w:tcBorders>
                    <w:tl2br w:val="nil"/>
                    <w:tr2bl w:val="nil"/>
                  </w:tcBorders>
                  <w:noWrap w:val="0"/>
                  <w:vAlign w:val="center"/>
                </w:tcPr>
                <w:p w14:paraId="407B7AD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项目用水不超出总量指标</w:t>
                  </w:r>
                </w:p>
              </w:tc>
              <w:tc>
                <w:tcPr>
                  <w:tcW w:w="427" w:type="pct"/>
                  <w:tcBorders>
                    <w:tl2br w:val="nil"/>
                    <w:tr2bl w:val="nil"/>
                  </w:tcBorders>
                  <w:noWrap w:val="0"/>
                  <w:vAlign w:val="center"/>
                </w:tcPr>
                <w:p w14:paraId="68C3303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55D71A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7EF3DFA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1355839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22E50B1F">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[A4.1-2]加大城镇污水再生利用工程建设力度，推进区域再生水循环利用，到2025年，城市生活污水再生利用率力争达到60%。</w:t>
                  </w:r>
                </w:p>
              </w:tc>
              <w:tc>
                <w:tcPr>
                  <w:tcW w:w="768" w:type="pct"/>
                  <w:tcBorders>
                    <w:tl2br w:val="nil"/>
                    <w:tr2bl w:val="nil"/>
                  </w:tcBorders>
                  <w:noWrap w:val="0"/>
                  <w:vAlign w:val="center"/>
                </w:tcPr>
                <w:p w14:paraId="7A01519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项目不涉及再生水利用</w:t>
                  </w:r>
                </w:p>
              </w:tc>
              <w:tc>
                <w:tcPr>
                  <w:tcW w:w="427" w:type="pct"/>
                  <w:tcBorders>
                    <w:tl2br w:val="nil"/>
                    <w:tr2bl w:val="nil"/>
                  </w:tcBorders>
                  <w:noWrap w:val="0"/>
                  <w:vAlign w:val="center"/>
                </w:tcPr>
                <w:p w14:paraId="20BDBDA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3DC9BF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20BBADF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4EE9342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0C9DF902">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[A4.1-3]加强农村水利基础设施建设，推进农村供水保障工程，农村自来水普及率、集中供水率分别达到99.3%、99.7%。</w:t>
                  </w:r>
                </w:p>
              </w:tc>
              <w:tc>
                <w:tcPr>
                  <w:tcW w:w="768" w:type="pct"/>
                  <w:tcBorders>
                    <w:tl2br w:val="nil"/>
                    <w:tr2bl w:val="nil"/>
                  </w:tcBorders>
                  <w:noWrap w:val="0"/>
                  <w:vAlign w:val="center"/>
                </w:tcPr>
                <w:p w14:paraId="6AF1D35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本项目不涉及</w:t>
                  </w:r>
                </w:p>
              </w:tc>
              <w:tc>
                <w:tcPr>
                  <w:tcW w:w="427" w:type="pct"/>
                  <w:tcBorders>
                    <w:tl2br w:val="nil"/>
                    <w:tr2bl w:val="nil"/>
                  </w:tcBorders>
                  <w:noWrap w:val="0"/>
                  <w:vAlign w:val="center"/>
                </w:tcPr>
                <w:p w14:paraId="5D09B92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157308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76DDB6B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251A417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08DB37D8">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[A4.1-4]地下水资源利用实行总量控制和水位控制。取用地下水资源，应当按照国家和自治区有关规定申请取水许可。地下水利用应当以浅层地下水为主。</w:t>
                  </w:r>
                </w:p>
              </w:tc>
              <w:tc>
                <w:tcPr>
                  <w:tcW w:w="768" w:type="pct"/>
                  <w:tcBorders>
                    <w:tl2br w:val="nil"/>
                    <w:tr2bl w:val="nil"/>
                  </w:tcBorders>
                  <w:noWrap w:val="0"/>
                  <w:vAlign w:val="center"/>
                </w:tcPr>
                <w:p w14:paraId="3A04710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本项目不开采地下水</w:t>
                  </w:r>
                </w:p>
              </w:tc>
              <w:tc>
                <w:tcPr>
                  <w:tcW w:w="427" w:type="pct"/>
                  <w:tcBorders>
                    <w:tl2br w:val="nil"/>
                    <w:tr2bl w:val="nil"/>
                  </w:tcBorders>
                  <w:noWrap w:val="0"/>
                  <w:vAlign w:val="center"/>
                </w:tcPr>
                <w:p w14:paraId="4CB8398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378F74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00FCECC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tcBorders>
                    <w:tl2br w:val="nil"/>
                    <w:tr2bl w:val="nil"/>
                  </w:tcBorders>
                  <w:noWrap w:val="0"/>
                  <w:vAlign w:val="center"/>
                </w:tcPr>
                <w:p w14:paraId="6D4D5EA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A4.2土地资源</w:t>
                  </w:r>
                </w:p>
              </w:tc>
              <w:tc>
                <w:tcPr>
                  <w:tcW w:w="3319" w:type="pct"/>
                  <w:tcBorders>
                    <w:tl2br w:val="nil"/>
                    <w:tr2bl w:val="nil"/>
                  </w:tcBorders>
                  <w:noWrap w:val="0"/>
                  <w:vAlign w:val="center"/>
                </w:tcPr>
                <w:p w14:paraId="03BA4861">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[A4.2-1]土地资源上线指标控制在最终批复的国土空间规划控制指标内。</w:t>
                  </w:r>
                </w:p>
              </w:tc>
              <w:tc>
                <w:tcPr>
                  <w:tcW w:w="768" w:type="pct"/>
                  <w:tcBorders>
                    <w:tl2br w:val="nil"/>
                    <w:tr2bl w:val="nil"/>
                  </w:tcBorders>
                  <w:noWrap w:val="0"/>
                  <w:vAlign w:val="center"/>
                </w:tcPr>
                <w:p w14:paraId="195DECE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项目严格控制用地，不超国土空间规划指标</w:t>
                  </w:r>
                </w:p>
              </w:tc>
              <w:tc>
                <w:tcPr>
                  <w:tcW w:w="427" w:type="pct"/>
                  <w:tcBorders>
                    <w:tl2br w:val="nil"/>
                    <w:tr2bl w:val="nil"/>
                  </w:tcBorders>
                  <w:noWrap w:val="0"/>
                  <w:vAlign w:val="center"/>
                </w:tcPr>
                <w:p w14:paraId="47E376A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27E8E3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299B1EF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restart"/>
                  <w:tcBorders>
                    <w:tl2br w:val="nil"/>
                    <w:tr2bl w:val="nil"/>
                  </w:tcBorders>
                  <w:noWrap w:val="0"/>
                  <w:vAlign w:val="center"/>
                </w:tcPr>
                <w:p w14:paraId="3F194F8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A4.3能源利用</w:t>
                  </w:r>
                </w:p>
              </w:tc>
              <w:tc>
                <w:tcPr>
                  <w:tcW w:w="3319" w:type="pct"/>
                  <w:tcBorders>
                    <w:tl2br w:val="nil"/>
                    <w:tr2bl w:val="nil"/>
                  </w:tcBorders>
                  <w:noWrap w:val="0"/>
                  <w:vAlign w:val="center"/>
                </w:tcPr>
                <w:p w14:paraId="310F0B02">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[A4.3-1]单位地区生产总值二氧化碳排放降低水平完成国家下达指标。</w:t>
                  </w:r>
                </w:p>
                <w:p w14:paraId="05279680">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[A4.3-2]到2025年，自治区万元国内生产总值能耗比2020年下降14.5%。</w:t>
                  </w:r>
                </w:p>
                <w:p w14:paraId="06B1D522">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[A4.3-3]到2025年，非化石能源占一次能源消费比重达18%以上。</w:t>
                  </w:r>
                </w:p>
              </w:tc>
              <w:tc>
                <w:tcPr>
                  <w:tcW w:w="768" w:type="pct"/>
                  <w:tcBorders>
                    <w:tl2br w:val="nil"/>
                    <w:tr2bl w:val="nil"/>
                  </w:tcBorders>
                  <w:noWrap w:val="0"/>
                  <w:vAlign w:val="center"/>
                </w:tcPr>
                <w:p w14:paraId="6B3794B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项目不涉及</w:t>
                  </w:r>
                </w:p>
              </w:tc>
              <w:tc>
                <w:tcPr>
                  <w:tcW w:w="427" w:type="pct"/>
                  <w:tcBorders>
                    <w:tl2br w:val="nil"/>
                    <w:tr2bl w:val="nil"/>
                  </w:tcBorders>
                  <w:noWrap w:val="0"/>
                  <w:vAlign w:val="center"/>
                </w:tcPr>
                <w:p w14:paraId="52355F4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07D95B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30647DE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3A7E73E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77195D53">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[A4.3-4]鼓励使用清洁能源或电厂热力、工业余热等替代锅炉、炉窑燃料用煤。</w:t>
                  </w:r>
                </w:p>
                <w:p w14:paraId="16604F88">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[A4.3-5]以碳达峰碳中和工作为引领，着力提高能源资源利用效率。引导重点行业深入实施清洁生产改造，钢铁、建材、石油化工等重点行业以及其他行业重点用能单位持续开展节能降耗。</w:t>
                  </w:r>
                </w:p>
                <w:p w14:paraId="00056BF8">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[A4.3-6]深入推进碳达峰碳中和行动。推动能源清洁低碳转型，加强能耗“双控”管理，优化能源消费结构。新增原料用能不纳入能源消费总量控制。持续推进散煤整治。</w:t>
                  </w:r>
                </w:p>
              </w:tc>
              <w:tc>
                <w:tcPr>
                  <w:tcW w:w="768" w:type="pct"/>
                  <w:tcBorders>
                    <w:tl2br w:val="nil"/>
                    <w:tr2bl w:val="nil"/>
                  </w:tcBorders>
                  <w:noWrap w:val="0"/>
                  <w:vAlign w:val="center"/>
                </w:tcPr>
                <w:p w14:paraId="2B9531A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项目不涉及</w:t>
                  </w:r>
                </w:p>
              </w:tc>
              <w:tc>
                <w:tcPr>
                  <w:tcW w:w="427" w:type="pct"/>
                  <w:tcBorders>
                    <w:tl2br w:val="nil"/>
                    <w:tr2bl w:val="nil"/>
                  </w:tcBorders>
                  <w:noWrap w:val="0"/>
                  <w:vAlign w:val="center"/>
                </w:tcPr>
                <w:p w14:paraId="2CBC332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17C869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4CF23B1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tcBorders>
                    <w:tl2br w:val="nil"/>
                    <w:tr2bl w:val="nil"/>
                  </w:tcBorders>
                  <w:noWrap w:val="0"/>
                  <w:vAlign w:val="center"/>
                </w:tcPr>
                <w:p w14:paraId="49C7D94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A4.4禁燃区要求</w:t>
                  </w:r>
                </w:p>
              </w:tc>
              <w:tc>
                <w:tcPr>
                  <w:tcW w:w="3319" w:type="pct"/>
                  <w:tcBorders>
                    <w:tl2br w:val="nil"/>
                    <w:tr2bl w:val="nil"/>
                  </w:tcBorders>
                  <w:noWrap w:val="0"/>
                  <w:vAlign w:val="center"/>
                </w:tcPr>
                <w:p w14:paraId="312EF575">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[A4.4-1]在禁燃区内，禁止销售、燃用高污染燃料；禁止新建、扩建燃用高污染燃料的设施。已建成的，应当在规定期限内改用清洁能源。</w:t>
                  </w:r>
                </w:p>
              </w:tc>
              <w:tc>
                <w:tcPr>
                  <w:tcW w:w="768" w:type="pct"/>
                  <w:tcBorders>
                    <w:tl2br w:val="nil"/>
                    <w:tr2bl w:val="nil"/>
                  </w:tcBorders>
                  <w:noWrap w:val="0"/>
                  <w:vAlign w:val="center"/>
                </w:tcPr>
                <w:p w14:paraId="2F5C54F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项目不涉及燃料燃烧</w:t>
                  </w:r>
                </w:p>
              </w:tc>
              <w:tc>
                <w:tcPr>
                  <w:tcW w:w="427" w:type="pct"/>
                  <w:tcBorders>
                    <w:tl2br w:val="nil"/>
                    <w:tr2bl w:val="nil"/>
                  </w:tcBorders>
                  <w:noWrap w:val="0"/>
                  <w:vAlign w:val="center"/>
                </w:tcPr>
                <w:p w14:paraId="6CA8852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063A21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3D1B388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restart"/>
                  <w:tcBorders>
                    <w:tl2br w:val="nil"/>
                    <w:tr2bl w:val="nil"/>
                  </w:tcBorders>
                  <w:noWrap w:val="0"/>
                  <w:vAlign w:val="center"/>
                </w:tcPr>
                <w:p w14:paraId="7DEC68A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A4.5资源综合利用</w:t>
                  </w:r>
                </w:p>
              </w:tc>
              <w:tc>
                <w:tcPr>
                  <w:tcW w:w="3319" w:type="pct"/>
                  <w:tcBorders>
                    <w:tl2br w:val="nil"/>
                    <w:tr2bl w:val="nil"/>
                  </w:tcBorders>
                  <w:noWrap w:val="0"/>
                  <w:vAlign w:val="center"/>
                </w:tcPr>
                <w:p w14:paraId="181B46AD">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4.5-1]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逆向回收”等模式。以尾矿和共伴生矿、煤矸石、炉渣、粉煤灰、脱硫石膏、冶炼渣、建筑垃圾等为重点，持续推进固体废物综合利用和环境整治，不断提高大宗固体废物资源化利用水平。推行生活垃圾分类，加快建设县</w:t>
                  </w:r>
                  <w:r>
                    <w:rPr>
                      <w:rFonts w:hint="eastAsia" w:ascii="Times New Roman" w:hAnsi="Times New Roman" w:cs="Times New Roman"/>
                      <w:snapToGrid w:val="0"/>
                      <w:color w:val="auto"/>
                      <w:lang w:eastAsia="zh-CN"/>
                    </w:rPr>
                    <w:t>（</w:t>
                  </w:r>
                  <w:r>
                    <w:rPr>
                      <w:rFonts w:hint="default" w:ascii="Times New Roman" w:hAnsi="Times New Roman" w:cs="Times New Roman"/>
                      <w:snapToGrid w:val="0"/>
                      <w:color w:val="auto"/>
                    </w:rPr>
                    <w:t>市</w:t>
                  </w:r>
                  <w:r>
                    <w:rPr>
                      <w:rFonts w:hint="eastAsia" w:ascii="Times New Roman" w:hAnsi="Times New Roman" w:cs="Times New Roman"/>
                      <w:snapToGrid w:val="0"/>
                      <w:color w:val="auto"/>
                      <w:lang w:eastAsia="zh-CN"/>
                    </w:rPr>
                    <w:t>）</w:t>
                  </w:r>
                  <w:r>
                    <w:rPr>
                      <w:rFonts w:hint="default" w:ascii="Times New Roman" w:hAnsi="Times New Roman" w:cs="Times New Roman"/>
                      <w:snapToGrid w:val="0"/>
                      <w:color w:val="auto"/>
                    </w:rPr>
                    <w:t>生活垃圾处理设施，到2025年，全疆城市生活垃圾无害化处理率达到99%以上。</w:t>
                  </w:r>
                </w:p>
              </w:tc>
              <w:tc>
                <w:tcPr>
                  <w:tcW w:w="768" w:type="pct"/>
                  <w:tcBorders>
                    <w:tl2br w:val="nil"/>
                    <w:tr2bl w:val="nil"/>
                  </w:tcBorders>
                  <w:noWrap w:val="0"/>
                  <w:vAlign w:val="center"/>
                </w:tcPr>
                <w:p w14:paraId="7290B76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项目不涉及上述各类固废</w:t>
                  </w:r>
                </w:p>
              </w:tc>
              <w:tc>
                <w:tcPr>
                  <w:tcW w:w="427" w:type="pct"/>
                  <w:tcBorders>
                    <w:tl2br w:val="nil"/>
                    <w:tr2bl w:val="nil"/>
                  </w:tcBorders>
                  <w:noWrap w:val="0"/>
                  <w:vAlign w:val="center"/>
                </w:tcPr>
                <w:p w14:paraId="6B7DF62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57185D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6152BE8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218B0D6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28F14B2A">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4.5-2]推动工业固废按元素价值综合开发利用，加快推进尾矿（共伴生矿）、粉煤灰、煤矸石、冶炼、工业副产石膏、赤泥、化工废渣等工业固废在有价组分提取、建材生产、市政设施建设、井下充填、生态修复、土壤治理等领域的规模化利用。着力提升工业固废在生产纤维材料、微晶玻璃、超细化填料、低碳水泥、固废基高性能混凝土、预制件、节能型建筑材料等领域的高值化利用水平。</w:t>
                  </w:r>
                </w:p>
              </w:tc>
              <w:tc>
                <w:tcPr>
                  <w:tcW w:w="768" w:type="pct"/>
                  <w:tcBorders>
                    <w:tl2br w:val="nil"/>
                    <w:tr2bl w:val="nil"/>
                  </w:tcBorders>
                  <w:noWrap w:val="0"/>
                  <w:vAlign w:val="center"/>
                </w:tcPr>
                <w:p w14:paraId="545B3AD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lang w:val="en-US" w:eastAsia="zh-CN"/>
                    </w:rPr>
                    <w:t>项目不涉及上述各类固废</w:t>
                  </w:r>
                </w:p>
              </w:tc>
              <w:tc>
                <w:tcPr>
                  <w:tcW w:w="427" w:type="pct"/>
                  <w:tcBorders>
                    <w:tl2br w:val="nil"/>
                    <w:tr2bl w:val="nil"/>
                  </w:tcBorders>
                  <w:noWrap w:val="0"/>
                  <w:vAlign w:val="center"/>
                </w:tcPr>
                <w:p w14:paraId="239F7C5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2E859E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5AD42CB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62D0DB9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172A008E">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4.5-3]结合工业领域减污降碳要求，加快探索钢铁、有色、化工、建材等重点行业工业固体废物减量化路径，全面推行清洁生产。全面推进绿色矿山、无废”矿区建设，推广尾矿等大宗工业固体废物环境友好型井下充填回填，减少尾矿库贮存量。推动大宗工业固体废物在提取有价组分、生产建材、筑路、生态修复、土壤治理等领域的规模化利用。</w:t>
                  </w:r>
                </w:p>
              </w:tc>
              <w:tc>
                <w:tcPr>
                  <w:tcW w:w="768" w:type="pct"/>
                  <w:tcBorders>
                    <w:tl2br w:val="nil"/>
                    <w:tr2bl w:val="nil"/>
                  </w:tcBorders>
                  <w:noWrap w:val="0"/>
                  <w:vAlign w:val="center"/>
                </w:tcPr>
                <w:p w14:paraId="2A6FCE2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lang w:val="en-US" w:eastAsia="zh-CN"/>
                    </w:rPr>
                    <w:t>项目不涉及上述各行业</w:t>
                  </w:r>
                </w:p>
              </w:tc>
              <w:tc>
                <w:tcPr>
                  <w:tcW w:w="427" w:type="pct"/>
                  <w:tcBorders>
                    <w:tl2br w:val="nil"/>
                    <w:tr2bl w:val="nil"/>
                  </w:tcBorders>
                  <w:noWrap w:val="0"/>
                  <w:vAlign w:val="center"/>
                </w:tcPr>
                <w:p w14:paraId="3AE84D3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r w14:paraId="7F7645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0" w:hRule="atLeast"/>
                <w:jc w:val="center"/>
              </w:trPr>
              <w:tc>
                <w:tcPr>
                  <w:tcW w:w="208" w:type="pct"/>
                  <w:vMerge w:val="continue"/>
                  <w:tcBorders>
                    <w:tl2br w:val="nil"/>
                    <w:tr2bl w:val="nil"/>
                  </w:tcBorders>
                  <w:noWrap w:val="0"/>
                  <w:vAlign w:val="center"/>
                </w:tcPr>
                <w:p w14:paraId="1475B65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276" w:type="pct"/>
                  <w:vMerge w:val="continue"/>
                  <w:tcBorders>
                    <w:tl2br w:val="nil"/>
                    <w:tr2bl w:val="nil"/>
                  </w:tcBorders>
                  <w:noWrap w:val="0"/>
                  <w:vAlign w:val="center"/>
                </w:tcPr>
                <w:p w14:paraId="29B113C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p>
              </w:tc>
              <w:tc>
                <w:tcPr>
                  <w:tcW w:w="3319" w:type="pct"/>
                  <w:tcBorders>
                    <w:tl2br w:val="nil"/>
                    <w:tr2bl w:val="nil"/>
                  </w:tcBorders>
                  <w:noWrap w:val="0"/>
                  <w:vAlign w:val="center"/>
                </w:tcPr>
                <w:p w14:paraId="5D4C2F39">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auto"/>
                    </w:rPr>
                  </w:pPr>
                  <w:r>
                    <w:rPr>
                      <w:rFonts w:hint="default" w:ascii="Times New Roman" w:hAnsi="Times New Roman" w:cs="Times New Roman"/>
                      <w:snapToGrid w:val="0"/>
                      <w:color w:val="auto"/>
                    </w:rPr>
                    <w:t>[A4.5-4]发展生态种植、生态养殖，建立农业循环经济发展模式，促进农业固体废物综合利用。鼓励和引导农民采用增施有机肥秸秆还田、种植绿肥等技术，持续减少化肥农药使用比例。加大畜禽粪污和秸秆资源化利用先进技术和新型市场模式的集成推广，推动形成长效运行机制。</w:t>
                  </w:r>
                </w:p>
              </w:tc>
              <w:tc>
                <w:tcPr>
                  <w:tcW w:w="768" w:type="pct"/>
                  <w:tcBorders>
                    <w:tl2br w:val="nil"/>
                    <w:tr2bl w:val="nil"/>
                  </w:tcBorders>
                  <w:noWrap w:val="0"/>
                  <w:vAlign w:val="center"/>
                </w:tcPr>
                <w:p w14:paraId="3E13FDB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napToGrid w:val="0"/>
                      <w:color w:val="auto"/>
                      <w:lang w:val="en-US" w:eastAsia="zh-CN"/>
                    </w:rPr>
                  </w:pPr>
                  <w:r>
                    <w:rPr>
                      <w:rFonts w:hint="default" w:ascii="Times New Roman" w:hAnsi="Times New Roman" w:cs="Times New Roman"/>
                      <w:snapToGrid w:val="0"/>
                      <w:color w:val="auto"/>
                      <w:lang w:val="en-US" w:eastAsia="zh-CN"/>
                    </w:rPr>
                    <w:t>项目为光伏发电项目，不属于农业生产项目</w:t>
                  </w:r>
                </w:p>
              </w:tc>
              <w:tc>
                <w:tcPr>
                  <w:tcW w:w="427" w:type="pct"/>
                  <w:tcBorders>
                    <w:tl2br w:val="nil"/>
                    <w:tr2bl w:val="nil"/>
                  </w:tcBorders>
                  <w:noWrap w:val="0"/>
                  <w:vAlign w:val="center"/>
                </w:tcPr>
                <w:p w14:paraId="208A335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snapToGrid w:val="0"/>
                      <w:color w:val="auto"/>
                    </w:rPr>
                  </w:pPr>
                  <w:r>
                    <w:rPr>
                      <w:rFonts w:hint="default" w:ascii="Times New Roman" w:hAnsi="Times New Roman" w:cs="Times New Roman"/>
                      <w:snapToGrid w:val="0"/>
                      <w:color w:val="auto"/>
                    </w:rPr>
                    <w:t>符合</w:t>
                  </w:r>
                </w:p>
              </w:tc>
            </w:tr>
          </w:tbl>
          <w:p w14:paraId="4384E387">
            <w:pPr>
              <w:keepNext w:val="0"/>
              <w:keepLines w:val="0"/>
              <w:pageBreakBefore w:val="0"/>
              <w:widowControl/>
              <w:suppressLineNumbers w:val="0"/>
              <w:kinsoku/>
              <w:wordWrap/>
              <w:overflowPunct/>
              <w:topLinePunct w:val="0"/>
              <w:autoSpaceDE w:val="0"/>
              <w:autoSpaceDN w:val="0"/>
              <w:bidi w:val="0"/>
              <w:adjustRightInd w:val="0"/>
              <w:snapToGrid w:val="0"/>
              <w:spacing w:before="157" w:beforeLines="5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z w:val="24"/>
                <w:lang w:val="zh-CN"/>
              </w:rPr>
            </w:pPr>
            <w:r>
              <w:rPr>
                <w:rFonts w:hint="default" w:ascii="Times New Roman" w:hAnsi="Times New Roman" w:eastAsia="宋体" w:cs="Times New Roman"/>
                <w:b w:val="0"/>
                <w:bCs/>
                <w:color w:val="auto"/>
                <w:sz w:val="24"/>
                <w:lang w:val="zh-CN"/>
              </w:rPr>
              <w:t>综合分析，本项目建设符合《关于印发&lt;新疆维吾尔自治区生态环境分区管控动态更新成果&gt;的通知》（新环环评发〔2024〕157 号）相关要求。</w:t>
            </w:r>
          </w:p>
          <w:p w14:paraId="2D0D494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zh-CN"/>
              </w:rPr>
              <w:t>（</w:t>
            </w:r>
            <w:r>
              <w:rPr>
                <w:rFonts w:hint="default" w:ascii="Times New Roman" w:hAnsi="Times New Roman" w:eastAsia="宋体" w:cs="Times New Roman"/>
                <w:b w:val="0"/>
                <w:bCs/>
                <w:color w:val="auto"/>
                <w:sz w:val="24"/>
                <w:lang w:val="en-US" w:eastAsia="zh-CN"/>
              </w:rPr>
              <w:t>4</w:t>
            </w:r>
            <w:r>
              <w:rPr>
                <w:rFonts w:hint="default" w:ascii="Times New Roman" w:hAnsi="Times New Roman" w:eastAsia="宋体" w:cs="Times New Roman"/>
                <w:b w:val="0"/>
                <w:bCs/>
                <w:color w:val="auto"/>
                <w:sz w:val="24"/>
                <w:lang w:val="zh-CN"/>
              </w:rPr>
              <w:t>）</w:t>
            </w:r>
            <w:r>
              <w:rPr>
                <w:rFonts w:hint="default" w:ascii="Times New Roman" w:hAnsi="Times New Roman" w:eastAsia="宋体" w:cs="Times New Roman"/>
                <w:b w:val="0"/>
                <w:bCs/>
                <w:color w:val="auto"/>
                <w:sz w:val="24"/>
                <w:lang w:val="en-US" w:eastAsia="zh-CN"/>
              </w:rPr>
              <w:t>与</w:t>
            </w:r>
            <w:r>
              <w:rPr>
                <w:rFonts w:hint="default" w:ascii="Times New Roman" w:hAnsi="Times New Roman" w:eastAsia="宋体" w:cs="Times New Roman"/>
                <w:b w:val="0"/>
                <w:bCs/>
                <w:color w:val="auto"/>
                <w:sz w:val="24"/>
                <w:lang w:val="zh-CN"/>
              </w:rPr>
              <w:t>《昌吉回族自治州区域空间生态环境评价暨“三线一单”生态环境准入清单动态更新成果》</w:t>
            </w:r>
            <w:r>
              <w:rPr>
                <w:rFonts w:hint="default" w:ascii="Times New Roman" w:hAnsi="Times New Roman" w:eastAsia="宋体" w:cs="Times New Roman"/>
                <w:b w:val="0"/>
                <w:bCs/>
                <w:color w:val="auto"/>
                <w:sz w:val="24"/>
                <w:lang w:val="en-US" w:eastAsia="zh-CN"/>
              </w:rPr>
              <w:t>符合性分析</w:t>
            </w:r>
          </w:p>
          <w:p w14:paraId="21B780B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z w:val="24"/>
                <w:lang w:val="zh-CN"/>
              </w:rPr>
            </w:pPr>
            <w:r>
              <w:rPr>
                <w:rFonts w:hint="default" w:ascii="Times New Roman" w:hAnsi="Times New Roman" w:eastAsia="宋体" w:cs="Times New Roman"/>
                <w:b w:val="0"/>
                <w:bCs/>
                <w:color w:val="auto"/>
                <w:sz w:val="24"/>
                <w:lang w:val="zh-CN"/>
              </w:rPr>
              <w:t>本项目与《昌吉回族自治州区域空间生态环境评价暨“三线一单”生态环境准入清单动态更新成果》符合性分析详见表1-</w:t>
            </w:r>
            <w:r>
              <w:rPr>
                <w:rFonts w:hint="eastAsia" w:ascii="Times New Roman" w:hAnsi="Times New Roman" w:eastAsia="宋体" w:cs="Times New Roman"/>
                <w:b w:val="0"/>
                <w:bCs/>
                <w:color w:val="auto"/>
                <w:sz w:val="24"/>
                <w:lang w:val="en-US" w:eastAsia="zh-CN"/>
              </w:rPr>
              <w:t>5</w:t>
            </w:r>
            <w:r>
              <w:rPr>
                <w:rFonts w:hint="default" w:ascii="Times New Roman" w:hAnsi="Times New Roman" w:eastAsia="宋体" w:cs="Times New Roman"/>
                <w:b w:val="0"/>
                <w:bCs/>
                <w:color w:val="auto"/>
                <w:sz w:val="24"/>
                <w:lang w:val="zh-CN"/>
              </w:rPr>
              <w:t>。</w:t>
            </w:r>
          </w:p>
          <w:p w14:paraId="0B5886D2">
            <w:pPr>
              <w:pStyle w:val="45"/>
              <w:keepNext w:val="0"/>
              <w:keepLines w:val="0"/>
              <w:suppressLineNumbers w:val="0"/>
              <w:spacing w:before="0" w:beforeAutospacing="0" w:after="0" w:afterAutospacing="0" w:line="240" w:lineRule="auto"/>
              <w:ind w:left="0" w:right="0" w:firstLine="420"/>
              <w:rPr>
                <w:rFonts w:hint="default" w:ascii="Times New Roman" w:hAnsi="Times New Roman" w:eastAsia="黑体" w:cs="Times New Roman"/>
                <w:color w:val="auto"/>
                <w:sz w:val="21"/>
                <w:lang w:bidi="en-US"/>
              </w:rPr>
            </w:pPr>
            <w:r>
              <w:rPr>
                <w:rFonts w:hint="default" w:ascii="Times New Roman" w:hAnsi="Times New Roman" w:eastAsia="黑体" w:cs="Times New Roman"/>
                <w:color w:val="auto"/>
                <w:sz w:val="21"/>
                <w:lang w:bidi="en-US"/>
              </w:rPr>
              <w:t>表</w:t>
            </w:r>
            <w:r>
              <w:rPr>
                <w:rFonts w:hint="default" w:ascii="Times New Roman" w:hAnsi="Times New Roman" w:eastAsia="黑体" w:cs="Times New Roman"/>
                <w:color w:val="auto"/>
                <w:sz w:val="21"/>
                <w:lang w:val="en-US" w:eastAsia="zh-CN" w:bidi="en-US"/>
              </w:rPr>
              <w:t>1-</w:t>
            </w:r>
            <w:r>
              <w:rPr>
                <w:rFonts w:hint="eastAsia" w:ascii="Times New Roman" w:hAnsi="Times New Roman" w:eastAsia="黑体" w:cs="Times New Roman"/>
                <w:color w:val="auto"/>
                <w:sz w:val="21"/>
                <w:lang w:val="en-US" w:eastAsia="zh-CN" w:bidi="en-US"/>
              </w:rPr>
              <w:t>5</w:t>
            </w:r>
            <w:r>
              <w:rPr>
                <w:rFonts w:hint="default" w:ascii="Times New Roman" w:hAnsi="Times New Roman" w:eastAsia="黑体" w:cs="Times New Roman"/>
                <w:color w:val="auto"/>
                <w:sz w:val="21"/>
                <w:lang w:bidi="en-US"/>
              </w:rPr>
              <w:t xml:space="preserve">    </w:t>
            </w:r>
            <w:r>
              <w:rPr>
                <w:rFonts w:hint="default" w:ascii="Times New Roman" w:hAnsi="Times New Roman" w:eastAsia="黑体" w:cs="Times New Roman"/>
                <w:color w:val="auto"/>
                <w:sz w:val="21"/>
                <w:lang w:val="en-US" w:eastAsia="zh-CN" w:bidi="en-US"/>
              </w:rPr>
              <w:t xml:space="preserve"> </w:t>
            </w:r>
            <w:r>
              <w:rPr>
                <w:rFonts w:hint="default" w:ascii="Times New Roman" w:hAnsi="Times New Roman" w:eastAsia="黑体" w:cs="Times New Roman"/>
                <w:color w:val="auto"/>
                <w:sz w:val="21"/>
                <w:lang w:bidi="en-US"/>
              </w:rPr>
              <w:t xml:space="preserve"> </w:t>
            </w:r>
            <w:r>
              <w:rPr>
                <w:rFonts w:hint="default" w:ascii="Times New Roman" w:hAnsi="Times New Roman" w:eastAsia="黑体" w:cs="Times New Roman"/>
                <w:color w:val="auto"/>
                <w:sz w:val="21"/>
                <w:lang w:val="en-US" w:eastAsia="zh-CN" w:bidi="en-US"/>
              </w:rPr>
              <w:t xml:space="preserve"> </w:t>
            </w:r>
            <w:r>
              <w:rPr>
                <w:rFonts w:hint="default" w:ascii="Times New Roman" w:hAnsi="Times New Roman" w:eastAsia="黑体" w:cs="Times New Roman"/>
                <w:color w:val="auto"/>
                <w:sz w:val="21"/>
                <w:lang w:bidi="en-US"/>
              </w:rPr>
              <w:t>玛纳斯县</w:t>
            </w:r>
            <w:r>
              <w:rPr>
                <w:rFonts w:hint="default" w:ascii="Times New Roman" w:hAnsi="Times New Roman" w:eastAsia="黑体" w:cs="Times New Roman"/>
                <w:color w:val="auto"/>
                <w:sz w:val="21"/>
                <w:lang w:val="en-US" w:eastAsia="zh-CN" w:bidi="en-US"/>
              </w:rPr>
              <w:t>一般</w:t>
            </w:r>
            <w:r>
              <w:rPr>
                <w:rFonts w:hint="default" w:ascii="Times New Roman" w:hAnsi="Times New Roman" w:eastAsia="黑体" w:cs="Times New Roman"/>
                <w:color w:val="auto"/>
                <w:sz w:val="21"/>
                <w:lang w:bidi="en-US"/>
              </w:rPr>
              <w:t>管控单元准入清单及符合性分析</w:t>
            </w:r>
          </w:p>
          <w:tbl>
            <w:tblPr>
              <w:tblStyle w:val="29"/>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88"/>
              <w:gridCol w:w="4510"/>
              <w:gridCol w:w="1314"/>
              <w:gridCol w:w="523"/>
            </w:tblGrid>
            <w:tr w14:paraId="61FE57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noWrap w:val="0"/>
                  <w:vAlign w:val="center"/>
                </w:tcPr>
                <w:p w14:paraId="7EDD4455">
                  <w:pPr>
                    <w:pStyle w:val="46"/>
                    <w:keepNext w:val="0"/>
                    <w:keepLines w:val="0"/>
                    <w:pageBreakBefore w:val="0"/>
                    <w:suppressLineNumbers w:val="0"/>
                    <w:kinsoku/>
                    <w:wordWrap/>
                    <w:overflowPunct/>
                    <w:topLinePunct w:val="0"/>
                    <w:bidi w:val="0"/>
                    <w:adjustRightIn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3348" w:type="pct"/>
                  <w:noWrap w:val="0"/>
                  <w:vAlign w:val="center"/>
                </w:tcPr>
                <w:p w14:paraId="1F14C28A">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重点管控类环境管控单元分类准入清单</w:t>
                  </w:r>
                </w:p>
              </w:tc>
              <w:tc>
                <w:tcPr>
                  <w:tcW w:w="975" w:type="pct"/>
                  <w:noWrap w:val="0"/>
                  <w:vAlign w:val="center"/>
                </w:tcPr>
                <w:p w14:paraId="1ABE9D75">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符合性分析</w:t>
                  </w:r>
                </w:p>
              </w:tc>
              <w:tc>
                <w:tcPr>
                  <w:tcW w:w="388" w:type="pct"/>
                  <w:noWrap w:val="0"/>
                  <w:vAlign w:val="center"/>
                </w:tcPr>
                <w:p w14:paraId="4F48843B">
                  <w:pPr>
                    <w:pStyle w:val="46"/>
                    <w:keepNext w:val="0"/>
                    <w:keepLines w:val="0"/>
                    <w:pageBreakBefore w:val="0"/>
                    <w:suppressLineNumbers w:val="0"/>
                    <w:kinsoku/>
                    <w:wordWrap/>
                    <w:overflowPunct/>
                    <w:topLinePunct w:val="0"/>
                    <w:bidi w:val="0"/>
                    <w:adjustRightIn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结论</w:t>
                  </w:r>
                </w:p>
              </w:tc>
            </w:tr>
            <w:tr w14:paraId="344645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noWrap w:val="0"/>
                  <w:vAlign w:val="center"/>
                </w:tcPr>
                <w:p w14:paraId="49990A1D">
                  <w:pPr>
                    <w:pStyle w:val="46"/>
                    <w:keepNext w:val="0"/>
                    <w:keepLines w:val="0"/>
                    <w:pageBreakBefore w:val="0"/>
                    <w:suppressLineNumbers w:val="0"/>
                    <w:kinsoku/>
                    <w:wordWrap/>
                    <w:overflowPunct/>
                    <w:topLinePunct w:val="0"/>
                    <w:bidi w:val="0"/>
                    <w:adjustRightIn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空间布局约束</w:t>
                  </w:r>
                </w:p>
              </w:tc>
              <w:tc>
                <w:tcPr>
                  <w:tcW w:w="3348" w:type="pct"/>
                  <w:noWrap w:val="0"/>
                  <w:vAlign w:val="center"/>
                </w:tcPr>
                <w:p w14:paraId="3869523B">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lang w:val="en-US"/>
                    </w:rPr>
                    <w:t>1、建立集镇居住商业区、耕地保护区与工业功能区等集聚区块之间的防护带。严格执行畜禽养殖禁养区规定，根据区域用地和消纳水平，合理确定养殖规模。加强基本农田保护，严格限制非农项目占用耕地。</w:t>
                  </w:r>
                </w:p>
              </w:tc>
              <w:tc>
                <w:tcPr>
                  <w:tcW w:w="975" w:type="pct"/>
                  <w:noWrap w:val="0"/>
                  <w:vAlign w:val="center"/>
                </w:tcPr>
                <w:p w14:paraId="513197EB">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项目为光伏发电项目，不占用农田</w:t>
                  </w:r>
                </w:p>
              </w:tc>
              <w:tc>
                <w:tcPr>
                  <w:tcW w:w="388" w:type="pct"/>
                  <w:noWrap w:val="0"/>
                  <w:vAlign w:val="center"/>
                </w:tcPr>
                <w:p w14:paraId="7AB3FBFD">
                  <w:pPr>
                    <w:pStyle w:val="46"/>
                    <w:keepNext w:val="0"/>
                    <w:keepLines w:val="0"/>
                    <w:pageBreakBefore w:val="0"/>
                    <w:suppressLineNumbers w:val="0"/>
                    <w:kinsoku/>
                    <w:wordWrap/>
                    <w:overflowPunct/>
                    <w:topLinePunct w:val="0"/>
                    <w:bidi w:val="0"/>
                    <w:adjustRightInd w:val="0"/>
                    <w:spacing w:before="0" w:beforeAutospacing="0" w:after="0" w:afterAutospacing="0"/>
                    <w:ind w:left="0" w:right="0"/>
                    <w:jc w:val="center"/>
                    <w:textAlignment w:val="auto"/>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rPr>
                    <w:t>符合</w:t>
                  </w:r>
                </w:p>
              </w:tc>
            </w:tr>
            <w:tr w14:paraId="2F934C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vMerge w:val="restart"/>
                  <w:noWrap w:val="0"/>
                  <w:vAlign w:val="center"/>
                </w:tcPr>
                <w:p w14:paraId="4C360A92">
                  <w:pPr>
                    <w:pStyle w:val="46"/>
                    <w:keepNext w:val="0"/>
                    <w:keepLines w:val="0"/>
                    <w:pageBreakBefore w:val="0"/>
                    <w:suppressLineNumbers w:val="0"/>
                    <w:kinsoku/>
                    <w:wordWrap/>
                    <w:overflowPunct/>
                    <w:topLinePunct w:val="0"/>
                    <w:bidi w:val="0"/>
                    <w:adjustRightIn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污染物排放管控</w:t>
                  </w:r>
                </w:p>
              </w:tc>
              <w:tc>
                <w:tcPr>
                  <w:tcW w:w="3348" w:type="pct"/>
                  <w:noWrap w:val="0"/>
                  <w:vAlign w:val="center"/>
                </w:tcPr>
                <w:p w14:paraId="43A34918">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lang w:val="en-US"/>
                    </w:rPr>
                    <w:t>1、加强农业面源污染治理，科学合理使用化肥农药，逐步削减农业面源污染物排放量。</w:t>
                  </w:r>
                </w:p>
              </w:tc>
              <w:tc>
                <w:tcPr>
                  <w:tcW w:w="975" w:type="pct"/>
                  <w:noWrap w:val="0"/>
                  <w:vAlign w:val="center"/>
                </w:tcPr>
                <w:p w14:paraId="077EFCEA">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项目不属于农业生产</w:t>
                  </w:r>
                </w:p>
              </w:tc>
              <w:tc>
                <w:tcPr>
                  <w:tcW w:w="388" w:type="pct"/>
                  <w:noWrap w:val="0"/>
                  <w:vAlign w:val="center"/>
                </w:tcPr>
                <w:p w14:paraId="37436788">
                  <w:pPr>
                    <w:pStyle w:val="46"/>
                    <w:keepNext w:val="0"/>
                    <w:keepLines w:val="0"/>
                    <w:pageBreakBefore w:val="0"/>
                    <w:suppressLineNumbers w:val="0"/>
                    <w:kinsoku/>
                    <w:wordWrap/>
                    <w:overflowPunct/>
                    <w:topLinePunct w:val="0"/>
                    <w:bidi w:val="0"/>
                    <w:adjustRightIn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2B7DD9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vMerge w:val="continue"/>
                  <w:noWrap w:val="0"/>
                  <w:vAlign w:val="center"/>
                </w:tcPr>
                <w:p w14:paraId="685885A1">
                  <w:pPr>
                    <w:pStyle w:val="46"/>
                    <w:keepNext w:val="0"/>
                    <w:keepLines w:val="0"/>
                    <w:pageBreakBefore w:val="0"/>
                    <w:suppressLineNumbers w:val="0"/>
                    <w:kinsoku/>
                    <w:wordWrap/>
                    <w:overflowPunct/>
                    <w:topLinePunct w:val="0"/>
                    <w:bidi w:val="0"/>
                    <w:adjustRightIn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3348" w:type="pct"/>
                  <w:noWrap w:val="0"/>
                  <w:vAlign w:val="center"/>
                </w:tcPr>
                <w:p w14:paraId="1FA84A48">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lang w:val="en-US"/>
                    </w:rPr>
                    <w:t>2、到2025年，主要污染物排放总量持续下降，单位地区生产总值二氧化碳排放完成国家下达指标。</w:t>
                  </w:r>
                </w:p>
              </w:tc>
              <w:tc>
                <w:tcPr>
                  <w:tcW w:w="975" w:type="pct"/>
                  <w:vMerge w:val="restart"/>
                  <w:noWrap w:val="0"/>
                  <w:vAlign w:val="center"/>
                </w:tcPr>
                <w:p w14:paraId="7EE93B50">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项目不涉及</w:t>
                  </w:r>
                </w:p>
              </w:tc>
              <w:tc>
                <w:tcPr>
                  <w:tcW w:w="388" w:type="pct"/>
                  <w:noWrap w:val="0"/>
                  <w:vAlign w:val="center"/>
                </w:tcPr>
                <w:p w14:paraId="696D0F76">
                  <w:pPr>
                    <w:pStyle w:val="46"/>
                    <w:keepNext w:val="0"/>
                    <w:keepLines w:val="0"/>
                    <w:pageBreakBefore w:val="0"/>
                    <w:suppressLineNumbers w:val="0"/>
                    <w:kinsoku/>
                    <w:wordWrap/>
                    <w:overflowPunct/>
                    <w:topLinePunct w:val="0"/>
                    <w:bidi w:val="0"/>
                    <w:adjustRightIn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369C8D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vMerge w:val="continue"/>
                  <w:noWrap w:val="0"/>
                  <w:vAlign w:val="center"/>
                </w:tcPr>
                <w:p w14:paraId="1B55F479">
                  <w:pPr>
                    <w:pStyle w:val="46"/>
                    <w:keepNext w:val="0"/>
                    <w:keepLines w:val="0"/>
                    <w:pageBreakBefore w:val="0"/>
                    <w:suppressLineNumbers w:val="0"/>
                    <w:kinsoku/>
                    <w:wordWrap/>
                    <w:overflowPunct/>
                    <w:topLinePunct w:val="0"/>
                    <w:bidi w:val="0"/>
                    <w:adjustRightIn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3348" w:type="pct"/>
                  <w:noWrap w:val="0"/>
                  <w:vAlign w:val="center"/>
                </w:tcPr>
                <w:p w14:paraId="75EBBC61">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lang w:val="en-US"/>
                    </w:rPr>
                    <w:t>3、城镇生活污水处理率达到97%以上、城镇生活垃圾无害化处理率保持在98%以上，农村生活污水治理率达到30%左右，土壤污染风险得到有效管控，固体废物和新污染物治理能力明显增强。</w:t>
                  </w:r>
                </w:p>
              </w:tc>
              <w:tc>
                <w:tcPr>
                  <w:tcW w:w="975" w:type="pct"/>
                  <w:vMerge w:val="continue"/>
                  <w:noWrap w:val="0"/>
                  <w:vAlign w:val="center"/>
                </w:tcPr>
                <w:p w14:paraId="26D246B0">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snapToGrid w:val="0"/>
                      <w:color w:val="auto"/>
                      <w:szCs w:val="21"/>
                    </w:rPr>
                  </w:pPr>
                </w:p>
              </w:tc>
              <w:tc>
                <w:tcPr>
                  <w:tcW w:w="388" w:type="pct"/>
                  <w:noWrap w:val="0"/>
                  <w:vAlign w:val="center"/>
                </w:tcPr>
                <w:p w14:paraId="7172DB50">
                  <w:pPr>
                    <w:pStyle w:val="46"/>
                    <w:keepNext w:val="0"/>
                    <w:keepLines w:val="0"/>
                    <w:pageBreakBefore w:val="0"/>
                    <w:suppressLineNumbers w:val="0"/>
                    <w:kinsoku/>
                    <w:wordWrap/>
                    <w:overflowPunct/>
                    <w:topLinePunct w:val="0"/>
                    <w:bidi w:val="0"/>
                    <w:adjustRightIn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21A3BB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vMerge w:val="continue"/>
                  <w:noWrap w:val="0"/>
                  <w:vAlign w:val="center"/>
                </w:tcPr>
                <w:p w14:paraId="1DD5ED06">
                  <w:pPr>
                    <w:pStyle w:val="46"/>
                    <w:keepNext w:val="0"/>
                    <w:keepLines w:val="0"/>
                    <w:pageBreakBefore w:val="0"/>
                    <w:suppressLineNumbers w:val="0"/>
                    <w:kinsoku/>
                    <w:wordWrap/>
                    <w:overflowPunct/>
                    <w:topLinePunct w:val="0"/>
                    <w:bidi w:val="0"/>
                    <w:adjustRightIn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3348" w:type="pct"/>
                  <w:noWrap w:val="0"/>
                  <w:vAlign w:val="center"/>
                </w:tcPr>
                <w:p w14:paraId="1BBFB3C6">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lang w:val="en-US"/>
                    </w:rPr>
                    <w:t>4、除国家规定新增原料用能不纳入能源消费总量控制的项目和列入国家规划的项目外，“乌—昌—石”等重点区域不再新建、扩建使用煤炭项目。</w:t>
                  </w:r>
                </w:p>
              </w:tc>
              <w:tc>
                <w:tcPr>
                  <w:tcW w:w="975" w:type="pct"/>
                  <w:noWrap w:val="0"/>
                  <w:vAlign w:val="center"/>
                </w:tcPr>
                <w:p w14:paraId="1E522CB5">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项目不涉及能源消费</w:t>
                  </w:r>
                </w:p>
              </w:tc>
              <w:tc>
                <w:tcPr>
                  <w:tcW w:w="388" w:type="pct"/>
                  <w:noWrap w:val="0"/>
                  <w:vAlign w:val="center"/>
                </w:tcPr>
                <w:p w14:paraId="38EDDF58">
                  <w:pPr>
                    <w:pStyle w:val="46"/>
                    <w:keepNext w:val="0"/>
                    <w:keepLines w:val="0"/>
                    <w:pageBreakBefore w:val="0"/>
                    <w:suppressLineNumbers w:val="0"/>
                    <w:kinsoku/>
                    <w:wordWrap/>
                    <w:overflowPunct/>
                    <w:topLinePunct w:val="0"/>
                    <w:bidi w:val="0"/>
                    <w:adjustRightIn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r>
            <w:tr w14:paraId="37A2FC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vMerge w:val="continue"/>
                  <w:noWrap w:val="0"/>
                  <w:vAlign w:val="center"/>
                </w:tcPr>
                <w:p w14:paraId="335050DD">
                  <w:pPr>
                    <w:pStyle w:val="46"/>
                    <w:keepNext w:val="0"/>
                    <w:keepLines w:val="0"/>
                    <w:pageBreakBefore w:val="0"/>
                    <w:suppressLineNumbers w:val="0"/>
                    <w:kinsoku/>
                    <w:wordWrap/>
                    <w:overflowPunct/>
                    <w:topLinePunct w:val="0"/>
                    <w:bidi w:val="0"/>
                    <w:adjustRightIn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3348" w:type="pct"/>
                  <w:noWrap w:val="0"/>
                  <w:vAlign w:val="center"/>
                </w:tcPr>
                <w:p w14:paraId="27B0BD38">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lang w:val="en-US"/>
                    </w:rPr>
                    <w:t>5、“乌-昌-石”区域内，已实施超低排放的涉气排污单位，其实施超低排放改造的污染因子执行超低排放限值，其他污染因子执行特别排放限值和特别控制要求。</w:t>
                  </w:r>
                </w:p>
              </w:tc>
              <w:tc>
                <w:tcPr>
                  <w:tcW w:w="975" w:type="pct"/>
                  <w:noWrap w:val="0"/>
                  <w:vAlign w:val="center"/>
                </w:tcPr>
                <w:p w14:paraId="2DC6471E">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项目不属于涉气单位</w:t>
                  </w:r>
                </w:p>
              </w:tc>
              <w:tc>
                <w:tcPr>
                  <w:tcW w:w="388" w:type="pct"/>
                  <w:noWrap w:val="0"/>
                  <w:vAlign w:val="center"/>
                </w:tcPr>
                <w:p w14:paraId="37726C59">
                  <w:pPr>
                    <w:pStyle w:val="46"/>
                    <w:keepNext w:val="0"/>
                    <w:keepLines w:val="0"/>
                    <w:pageBreakBefore w:val="0"/>
                    <w:suppressLineNumbers w:val="0"/>
                    <w:kinsoku/>
                    <w:wordWrap/>
                    <w:overflowPunct/>
                    <w:topLinePunct w:val="0"/>
                    <w:bidi w:val="0"/>
                    <w:adjustRightIn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0F9023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vMerge w:val="continue"/>
                  <w:noWrap w:val="0"/>
                  <w:vAlign w:val="center"/>
                </w:tcPr>
                <w:p w14:paraId="23E4CC9B">
                  <w:pPr>
                    <w:pStyle w:val="46"/>
                    <w:keepNext w:val="0"/>
                    <w:keepLines w:val="0"/>
                    <w:pageBreakBefore w:val="0"/>
                    <w:suppressLineNumbers w:val="0"/>
                    <w:kinsoku/>
                    <w:wordWrap/>
                    <w:overflowPunct/>
                    <w:topLinePunct w:val="0"/>
                    <w:bidi w:val="0"/>
                    <w:adjustRightIn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3348" w:type="pct"/>
                  <w:noWrap w:val="0"/>
                  <w:vAlign w:val="center"/>
                </w:tcPr>
                <w:p w14:paraId="24D5C8F6">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lang w:val="en-US"/>
                    </w:rPr>
                    <w:t>6、施工工地全面落实“六个百分之百”（施工工地周边围挡、物料堆放覆盖、出入车辆冲洗、施工现场地面硬化、拆迁工地湿法作业、渣土车辆密闭运输）。</w:t>
                  </w:r>
                </w:p>
              </w:tc>
              <w:tc>
                <w:tcPr>
                  <w:tcW w:w="975" w:type="pct"/>
                  <w:noWrap w:val="0"/>
                  <w:vAlign w:val="center"/>
                </w:tcPr>
                <w:p w14:paraId="08F2AB7B">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项目施工过程严格落实“六个百分百”</w:t>
                  </w:r>
                </w:p>
              </w:tc>
              <w:tc>
                <w:tcPr>
                  <w:tcW w:w="388" w:type="pct"/>
                  <w:noWrap w:val="0"/>
                  <w:vAlign w:val="center"/>
                </w:tcPr>
                <w:p w14:paraId="2CFCEFF1">
                  <w:pPr>
                    <w:pStyle w:val="46"/>
                    <w:keepNext w:val="0"/>
                    <w:keepLines w:val="0"/>
                    <w:pageBreakBefore w:val="0"/>
                    <w:suppressLineNumbers w:val="0"/>
                    <w:kinsoku/>
                    <w:wordWrap/>
                    <w:overflowPunct/>
                    <w:topLinePunct w:val="0"/>
                    <w:bidi w:val="0"/>
                    <w:adjustRightIn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381598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vMerge w:val="restart"/>
                  <w:noWrap w:val="0"/>
                  <w:vAlign w:val="center"/>
                </w:tcPr>
                <w:p w14:paraId="1171D5A6">
                  <w:pPr>
                    <w:pStyle w:val="46"/>
                    <w:keepNext w:val="0"/>
                    <w:keepLines w:val="0"/>
                    <w:pageBreakBefore w:val="0"/>
                    <w:suppressLineNumbers w:val="0"/>
                    <w:kinsoku/>
                    <w:wordWrap/>
                    <w:overflowPunct/>
                    <w:topLinePunct w:val="0"/>
                    <w:bidi w:val="0"/>
                    <w:adjustRightIn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环境风险防控</w:t>
                  </w:r>
                </w:p>
              </w:tc>
              <w:tc>
                <w:tcPr>
                  <w:tcW w:w="3348" w:type="pct"/>
                  <w:noWrap w:val="0"/>
                  <w:vAlign w:val="center"/>
                </w:tcPr>
                <w:p w14:paraId="3270BE60">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lang w:val="en-US"/>
                    </w:rPr>
                    <w:t>1、加强生态公益林保护与建设，防止水土流失。禁止向农用地排放重金属或者其他有毒有害物质含量超标的污水、污泥，以及可能造成土壤污染的尾矿、矿渣等。加强农田土壤、灌溉水的监测及评价，对周边或区域环境风险源进行评估。</w:t>
                  </w:r>
                </w:p>
              </w:tc>
              <w:tc>
                <w:tcPr>
                  <w:tcW w:w="975" w:type="pct"/>
                  <w:noWrap w:val="0"/>
                  <w:vAlign w:val="center"/>
                </w:tcPr>
                <w:p w14:paraId="5BCD0244">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项目不破坏和占用公益林，不涉及重金属及有毒有害物质排放</w:t>
                  </w:r>
                </w:p>
              </w:tc>
              <w:tc>
                <w:tcPr>
                  <w:tcW w:w="388" w:type="pct"/>
                  <w:noWrap w:val="0"/>
                  <w:vAlign w:val="center"/>
                </w:tcPr>
                <w:p w14:paraId="5807FC17">
                  <w:pPr>
                    <w:pStyle w:val="46"/>
                    <w:keepNext w:val="0"/>
                    <w:keepLines w:val="0"/>
                    <w:pageBreakBefore w:val="0"/>
                    <w:suppressLineNumbers w:val="0"/>
                    <w:kinsoku/>
                    <w:wordWrap/>
                    <w:overflowPunct/>
                    <w:topLinePunct w:val="0"/>
                    <w:bidi w:val="0"/>
                    <w:adjustRightIn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5A687C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vMerge w:val="continue"/>
                  <w:noWrap w:val="0"/>
                  <w:vAlign w:val="center"/>
                </w:tcPr>
                <w:p w14:paraId="65B47AFD">
                  <w:pPr>
                    <w:pStyle w:val="46"/>
                    <w:keepNext w:val="0"/>
                    <w:keepLines w:val="0"/>
                    <w:pageBreakBefore w:val="0"/>
                    <w:suppressLineNumbers w:val="0"/>
                    <w:kinsoku/>
                    <w:wordWrap/>
                    <w:overflowPunct/>
                    <w:topLinePunct w:val="0"/>
                    <w:bidi w:val="0"/>
                    <w:adjustRightIn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3348" w:type="pct"/>
                  <w:noWrap w:val="0"/>
                  <w:vAlign w:val="center"/>
                </w:tcPr>
                <w:p w14:paraId="4DDD0C95">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snapToGrid w:val="0"/>
                      <w:color w:val="auto"/>
                      <w:szCs w:val="21"/>
                      <w:lang w:val="en-US"/>
                    </w:rPr>
                  </w:pPr>
                  <w:r>
                    <w:rPr>
                      <w:rFonts w:hint="default" w:ascii="Times New Roman" w:hAnsi="Times New Roman" w:cs="Times New Roman"/>
                      <w:snapToGrid w:val="0"/>
                      <w:color w:val="auto"/>
                      <w:szCs w:val="21"/>
                      <w:lang w:val="en-US"/>
                    </w:rPr>
                    <w:t>2、统筹农村河湖管控与生态治理保护，深入开展河湖监督检查，强化河长湖长履职尽责，严厉打击河道乱占、乱采、乱堆、乱建等违法违规行为。建立健全促进水质改善的长效运行维护机制。</w:t>
                  </w:r>
                </w:p>
              </w:tc>
              <w:tc>
                <w:tcPr>
                  <w:tcW w:w="975" w:type="pct"/>
                  <w:noWrap w:val="0"/>
                  <w:vAlign w:val="center"/>
                </w:tcPr>
                <w:p w14:paraId="56FD82CC">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项目不涉及</w:t>
                  </w:r>
                </w:p>
              </w:tc>
              <w:tc>
                <w:tcPr>
                  <w:tcW w:w="388" w:type="pct"/>
                  <w:noWrap w:val="0"/>
                  <w:vAlign w:val="center"/>
                </w:tcPr>
                <w:p w14:paraId="5BA2C590">
                  <w:pPr>
                    <w:pStyle w:val="46"/>
                    <w:keepNext w:val="0"/>
                    <w:keepLines w:val="0"/>
                    <w:pageBreakBefore w:val="0"/>
                    <w:suppressLineNumbers w:val="0"/>
                    <w:kinsoku/>
                    <w:wordWrap/>
                    <w:overflowPunct/>
                    <w:topLinePunct w:val="0"/>
                    <w:bidi w:val="0"/>
                    <w:adjustRightIn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r>
            <w:tr w14:paraId="52A8BD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vMerge w:val="restart"/>
                  <w:noWrap w:val="0"/>
                  <w:vAlign w:val="center"/>
                </w:tcPr>
                <w:p w14:paraId="2A3D5512">
                  <w:pPr>
                    <w:pStyle w:val="46"/>
                    <w:keepNext w:val="0"/>
                    <w:keepLines w:val="0"/>
                    <w:pageBreakBefore w:val="0"/>
                    <w:suppressLineNumbers w:val="0"/>
                    <w:kinsoku/>
                    <w:wordWrap/>
                    <w:overflowPunct/>
                    <w:topLinePunct w:val="0"/>
                    <w:bidi w:val="0"/>
                    <w:adjustRightIn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资源利用效率</w:t>
                  </w:r>
                </w:p>
              </w:tc>
              <w:tc>
                <w:tcPr>
                  <w:tcW w:w="3348" w:type="pct"/>
                  <w:noWrap w:val="0"/>
                  <w:vAlign w:val="center"/>
                </w:tcPr>
                <w:p w14:paraId="790D5AC4">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lang w:val="en-US"/>
                    </w:rPr>
                    <w:t>1、实行水资源消耗总量和强度双控，推进农业节水，提高农业用水效率。优化能源结构，加强能源清洁利用。</w:t>
                  </w:r>
                </w:p>
              </w:tc>
              <w:tc>
                <w:tcPr>
                  <w:tcW w:w="975" w:type="pct"/>
                  <w:noWrap w:val="0"/>
                  <w:vAlign w:val="center"/>
                </w:tcPr>
                <w:p w14:paraId="59B58791">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项目不涉及</w:t>
                  </w:r>
                </w:p>
              </w:tc>
              <w:tc>
                <w:tcPr>
                  <w:tcW w:w="388" w:type="pct"/>
                  <w:noWrap w:val="0"/>
                  <w:vAlign w:val="center"/>
                </w:tcPr>
                <w:p w14:paraId="57D0B88B">
                  <w:pPr>
                    <w:pStyle w:val="46"/>
                    <w:keepNext w:val="0"/>
                    <w:keepLines w:val="0"/>
                    <w:pageBreakBefore w:val="0"/>
                    <w:suppressLineNumbers w:val="0"/>
                    <w:kinsoku/>
                    <w:wordWrap/>
                    <w:overflowPunct/>
                    <w:topLinePunct w:val="0"/>
                    <w:bidi w:val="0"/>
                    <w:adjustRightIn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634AF9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vMerge w:val="continue"/>
                  <w:noWrap w:val="0"/>
                  <w:vAlign w:val="center"/>
                </w:tcPr>
                <w:p w14:paraId="595075FB">
                  <w:pPr>
                    <w:pStyle w:val="46"/>
                    <w:keepNext w:val="0"/>
                    <w:keepLines w:val="0"/>
                    <w:pageBreakBefore w:val="0"/>
                    <w:suppressLineNumbers w:val="0"/>
                    <w:kinsoku/>
                    <w:wordWrap/>
                    <w:overflowPunct/>
                    <w:topLinePunct w:val="0"/>
                    <w:bidi w:val="0"/>
                    <w:adjustRightIn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3348" w:type="pct"/>
                  <w:noWrap w:val="0"/>
                  <w:vAlign w:val="center"/>
                </w:tcPr>
                <w:p w14:paraId="17A4FA45">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lang w:val="en-US"/>
                    </w:rPr>
                    <w:t>2、实施节水行动，强化农业节水增效、工业节水减排、城镇节水降损。推进污水资源化利用，到2025年全区城镇生活污水再生利用率力争达到60%。</w:t>
                  </w:r>
                </w:p>
              </w:tc>
              <w:tc>
                <w:tcPr>
                  <w:tcW w:w="975" w:type="pct"/>
                  <w:noWrap w:val="0"/>
                  <w:vAlign w:val="center"/>
                </w:tcPr>
                <w:p w14:paraId="6D4874F1">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项目不属于农业生产项目</w:t>
                  </w:r>
                </w:p>
              </w:tc>
              <w:tc>
                <w:tcPr>
                  <w:tcW w:w="388" w:type="pct"/>
                  <w:noWrap w:val="0"/>
                  <w:vAlign w:val="center"/>
                </w:tcPr>
                <w:p w14:paraId="33C78C92">
                  <w:pPr>
                    <w:pStyle w:val="46"/>
                    <w:keepNext w:val="0"/>
                    <w:keepLines w:val="0"/>
                    <w:pageBreakBefore w:val="0"/>
                    <w:suppressLineNumbers w:val="0"/>
                    <w:kinsoku/>
                    <w:wordWrap/>
                    <w:overflowPunct/>
                    <w:topLinePunct w:val="0"/>
                    <w:bidi w:val="0"/>
                    <w:adjustRightIn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14:paraId="599ADA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vMerge w:val="continue"/>
                  <w:noWrap w:val="0"/>
                  <w:vAlign w:val="center"/>
                </w:tcPr>
                <w:p w14:paraId="5424F0BD">
                  <w:pPr>
                    <w:pStyle w:val="46"/>
                    <w:keepNext w:val="0"/>
                    <w:keepLines w:val="0"/>
                    <w:pageBreakBefore w:val="0"/>
                    <w:suppressLineNumbers w:val="0"/>
                    <w:kinsoku/>
                    <w:wordWrap/>
                    <w:overflowPunct/>
                    <w:topLinePunct w:val="0"/>
                    <w:bidi w:val="0"/>
                    <w:adjustRightIn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3348" w:type="pct"/>
                  <w:noWrap w:val="0"/>
                  <w:vAlign w:val="center"/>
                </w:tcPr>
                <w:p w14:paraId="438872C6">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lang w:val="en-US"/>
                    </w:rPr>
                    <w:t>3、壮大清洁能源产业，加快非化石能源发展，实施绿电替代，优化用能结构，到2025年非化石能源消费比重提高到18%左右。推进大型清洁能源基地建设，积极开发分布式太阳能发电和分散式风电。积极推动储能产业进步，推进抽水蓄能电站建设，加快新型储能技术和模式示范推广应用。持续完善750千伏骨干电网及农村电网建设，积极发展可再生能源微电网、局域网，提高可再生能源的推广和消纳能力。</w:t>
                  </w:r>
                </w:p>
              </w:tc>
              <w:tc>
                <w:tcPr>
                  <w:tcW w:w="975" w:type="pct"/>
                  <w:noWrap w:val="0"/>
                  <w:vAlign w:val="center"/>
                </w:tcPr>
                <w:p w14:paraId="04196431">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项目不涉及化石燃料</w:t>
                  </w:r>
                </w:p>
              </w:tc>
              <w:tc>
                <w:tcPr>
                  <w:tcW w:w="388" w:type="pct"/>
                  <w:noWrap w:val="0"/>
                  <w:vAlign w:val="center"/>
                </w:tcPr>
                <w:p w14:paraId="3330D01D">
                  <w:pPr>
                    <w:pStyle w:val="46"/>
                    <w:keepNext w:val="0"/>
                    <w:keepLines w:val="0"/>
                    <w:pageBreakBefore w:val="0"/>
                    <w:suppressLineNumbers w:val="0"/>
                    <w:kinsoku/>
                    <w:wordWrap/>
                    <w:overflowPunct/>
                    <w:topLinePunct w:val="0"/>
                    <w:bidi w:val="0"/>
                    <w:adjustRightIn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r>
            <w:tr w14:paraId="032CCF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88" w:type="pct"/>
                  <w:vMerge w:val="continue"/>
                  <w:noWrap w:val="0"/>
                  <w:vAlign w:val="center"/>
                </w:tcPr>
                <w:p w14:paraId="7E1F0594">
                  <w:pPr>
                    <w:pStyle w:val="46"/>
                    <w:keepNext w:val="0"/>
                    <w:keepLines w:val="0"/>
                    <w:pageBreakBefore w:val="0"/>
                    <w:suppressLineNumbers w:val="0"/>
                    <w:kinsoku/>
                    <w:wordWrap/>
                    <w:overflowPunct/>
                    <w:topLinePunct w:val="0"/>
                    <w:bidi w:val="0"/>
                    <w:adjustRightInd w:val="0"/>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3348" w:type="pct"/>
                  <w:noWrap w:val="0"/>
                  <w:vAlign w:val="center"/>
                </w:tcPr>
                <w:p w14:paraId="7C1F4956">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lang w:val="en-US"/>
                    </w:rPr>
                    <w:t>4、严格保护优先保护类农用地，确保其面积不减少、土壤环境质量不下降。加强耕地污染源源头控制，推进耕地周边涉镉等重金属行业企业排查整治。鼓励采取种植结构调整等措施，确保受污染耕地全部实现安全利用。动态调整耕地土壤环境质量类别。</w:t>
                  </w:r>
                </w:p>
              </w:tc>
              <w:tc>
                <w:tcPr>
                  <w:tcW w:w="975" w:type="pct"/>
                  <w:noWrap w:val="0"/>
                  <w:vAlign w:val="center"/>
                </w:tcPr>
                <w:p w14:paraId="7EC0D429">
                  <w:pPr>
                    <w:keepNext w:val="0"/>
                    <w:keepLines w:val="0"/>
                    <w:pageBreakBefore w:val="0"/>
                    <w:widowControl/>
                    <w:suppressLineNumbers w:val="0"/>
                    <w:kinsoku/>
                    <w:wordWrap/>
                    <w:overflowPunct/>
                    <w:topLinePunct w:val="0"/>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snapToGrid w:val="0"/>
                      <w:color w:val="auto"/>
                      <w:szCs w:val="21"/>
                      <w:lang w:val="en-US" w:eastAsia="zh-CN"/>
                    </w:rPr>
                  </w:pPr>
                  <w:r>
                    <w:rPr>
                      <w:rFonts w:hint="default" w:ascii="Times New Roman" w:hAnsi="Times New Roman" w:cs="Times New Roman"/>
                      <w:snapToGrid w:val="0"/>
                      <w:color w:val="auto"/>
                      <w:szCs w:val="21"/>
                      <w:lang w:val="en-US" w:eastAsia="zh-CN"/>
                    </w:rPr>
                    <w:t>项目不占用农用地等</w:t>
                  </w:r>
                </w:p>
              </w:tc>
              <w:tc>
                <w:tcPr>
                  <w:tcW w:w="388" w:type="pct"/>
                  <w:noWrap w:val="0"/>
                  <w:vAlign w:val="center"/>
                </w:tcPr>
                <w:p w14:paraId="597A7D80">
                  <w:pPr>
                    <w:pStyle w:val="46"/>
                    <w:keepNext w:val="0"/>
                    <w:keepLines w:val="0"/>
                    <w:pageBreakBefore w:val="0"/>
                    <w:suppressLineNumbers w:val="0"/>
                    <w:kinsoku/>
                    <w:wordWrap/>
                    <w:overflowPunct/>
                    <w:topLinePunct w:val="0"/>
                    <w:bidi w:val="0"/>
                    <w:adjustRightInd w:val="0"/>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bl>
          <w:p w14:paraId="41F6A255">
            <w:pPr>
              <w:keepNext w:val="0"/>
              <w:keepLines w:val="0"/>
              <w:pageBreakBefore w:val="0"/>
              <w:widowControl/>
              <w:suppressLineNumbers w:val="0"/>
              <w:kinsoku/>
              <w:wordWrap/>
              <w:overflowPunct/>
              <w:topLinePunct w:val="0"/>
              <w:autoSpaceDE w:val="0"/>
              <w:autoSpaceDN w:val="0"/>
              <w:bidi w:val="0"/>
              <w:adjustRightInd w:val="0"/>
              <w:snapToGrid w:val="0"/>
              <w:spacing w:before="157" w:beforeLines="5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z w:val="24"/>
                <w:lang w:val="zh-CN"/>
              </w:rPr>
            </w:pPr>
            <w:r>
              <w:rPr>
                <w:rFonts w:hint="default" w:ascii="Times New Roman" w:hAnsi="Times New Roman" w:eastAsia="宋体" w:cs="Times New Roman"/>
                <w:b w:val="0"/>
                <w:bCs/>
                <w:color w:val="auto"/>
                <w:sz w:val="24"/>
                <w:lang w:val="zh-CN"/>
              </w:rPr>
              <w:t>综合分析，本项目建设符合《关于印发&lt;新疆维吾尔自治区生态环境分区管控动态更新成果&gt;的通知》（新环环评发〔2024〕157 号）相关要求。</w:t>
            </w:r>
          </w:p>
          <w:p w14:paraId="252A4FF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z w:val="24"/>
                <w:lang w:val="zh-CN"/>
              </w:rPr>
            </w:pPr>
          </w:p>
          <w:p w14:paraId="0FCA04D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b w:val="0"/>
                <w:bCs/>
                <w:color w:val="auto"/>
                <w:sz w:val="24"/>
                <w:lang w:val="zh-CN"/>
              </w:rPr>
            </w:pPr>
          </w:p>
          <w:p w14:paraId="65C423CD">
            <w:pPr>
              <w:keepNext w:val="0"/>
              <w:keepLines w:val="0"/>
              <w:suppressLineNumbers w:val="0"/>
              <w:spacing w:before="0" w:beforeAutospacing="0" w:after="0" w:afterAutospacing="0"/>
              <w:ind w:left="0" w:right="0"/>
              <w:jc w:val="left"/>
              <w:rPr>
                <w:rFonts w:hint="default" w:ascii="Times New Roman" w:hAnsi="Times New Roman" w:cs="Times New Roman"/>
                <w:color w:val="auto"/>
                <w:sz w:val="24"/>
              </w:rPr>
            </w:pPr>
          </w:p>
        </w:tc>
      </w:tr>
    </w:tbl>
    <w:p w14:paraId="155BF296">
      <w:pPr>
        <w:spacing w:line="360" w:lineRule="auto"/>
        <w:outlineLvl w:val="0"/>
        <w:rPr>
          <w:rFonts w:hint="default" w:ascii="Times New Roman" w:hAnsi="Times New Roman" w:eastAsia="黑体" w:cs="Times New Roman"/>
          <w:color w:val="000000"/>
          <w:sz w:val="30"/>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191C7739">
      <w:pPr>
        <w:pStyle w:val="25"/>
        <w:jc w:val="center"/>
        <w:outlineLvl w:val="0"/>
        <w:rPr>
          <w:rFonts w:hint="default" w:ascii="Times New Roman" w:hAnsi="Times New Roman" w:eastAsia="黑体" w:cs="Times New Roman"/>
          <w:snapToGrid w:val="0"/>
          <w:color w:val="000000"/>
          <w:sz w:val="30"/>
          <w:szCs w:val="30"/>
        </w:rPr>
      </w:pPr>
      <w:bookmarkStart w:id="2" w:name="_Toc6360"/>
      <w:r>
        <w:rPr>
          <w:rFonts w:hint="default" w:ascii="Times New Roman" w:hAnsi="Times New Roman" w:eastAsia="黑体" w:cs="Times New Roman"/>
          <w:snapToGrid w:val="0"/>
          <w:color w:val="000000"/>
          <w:sz w:val="30"/>
          <w:szCs w:val="30"/>
        </w:rPr>
        <w:t>二、建设内容</w:t>
      </w:r>
      <w:bookmarkEnd w:id="2"/>
    </w:p>
    <w:tbl>
      <w:tblPr>
        <w:tblStyle w:val="29"/>
        <w:tblW w:w="90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0"/>
        <w:gridCol w:w="8380"/>
      </w:tblGrid>
      <w:tr w14:paraId="27E908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710" w:type="dxa"/>
            <w:noWrap w:val="0"/>
            <w:vAlign w:val="center"/>
          </w:tcPr>
          <w:p w14:paraId="79D1E74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地理位置</w:t>
            </w:r>
          </w:p>
        </w:tc>
        <w:tc>
          <w:tcPr>
            <w:tcW w:w="8380" w:type="dxa"/>
            <w:noWrap w:val="0"/>
            <w:vAlign w:val="center"/>
          </w:tcPr>
          <w:p w14:paraId="05512510">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textAlignment w:val="auto"/>
              <w:rPr>
                <w:rFonts w:hint="default" w:ascii="Times New Roman" w:hAnsi="Times New Roman" w:cs="Times New Roman"/>
                <w:color w:val="auto"/>
                <w:sz w:val="24"/>
              </w:rPr>
            </w:pPr>
            <w:r>
              <w:rPr>
                <w:rFonts w:hint="default" w:ascii="Times New Roman" w:hAnsi="Times New Roman" w:cs="Times New Roman"/>
                <w:color w:val="auto"/>
                <w:sz w:val="24"/>
              </w:rPr>
              <w:t>第八师石玛兵地融合陕建100万千瓦“草光互补”光伏项目位于</w:t>
            </w:r>
            <w:r>
              <w:rPr>
                <w:rFonts w:hint="default" w:ascii="Times New Roman" w:hAnsi="Times New Roman" w:cs="Times New Roman"/>
                <w:color w:val="auto"/>
                <w:sz w:val="24"/>
                <w:lang w:val="en-US" w:eastAsia="zh-CN"/>
              </w:rPr>
              <w:t>昌吉回族自治州玛纳斯县六户地镇北侧72km处</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一五零团北侧30km</w:t>
            </w:r>
            <w:r>
              <w:rPr>
                <w:rFonts w:hint="default" w:ascii="Times New Roman" w:hAnsi="Times New Roman" w:cs="Times New Roman"/>
                <w:color w:val="auto"/>
                <w:sz w:val="24"/>
              </w:rPr>
              <w:t>。</w:t>
            </w:r>
          </w:p>
          <w:p w14:paraId="57339209">
            <w:pPr>
              <w:pStyle w:val="6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textAlignment w:val="auto"/>
              <w:rPr>
                <w:rFonts w:hint="default" w:ascii="Times New Roman" w:hAnsi="Times New Roman" w:cs="Times New Roman"/>
                <w:color w:val="auto"/>
                <w:kern w:val="0"/>
                <w:sz w:val="24"/>
              </w:rPr>
            </w:pPr>
            <w:r>
              <w:rPr>
                <w:rFonts w:hint="default" w:ascii="Times New Roman" w:hAnsi="Times New Roman" w:cs="Times New Roman"/>
                <w:color w:val="auto"/>
                <w:sz w:val="24"/>
              </w:rPr>
              <w:t>本项目地理位置</w:t>
            </w:r>
            <w:r>
              <w:rPr>
                <w:rFonts w:hint="default" w:ascii="Times New Roman" w:hAnsi="Times New Roman" w:cs="Times New Roman"/>
                <w:color w:val="auto"/>
                <w:sz w:val="24"/>
                <w:lang w:val="en-US" w:eastAsia="zh-CN"/>
              </w:rPr>
              <w:t>图</w:t>
            </w:r>
            <w:r>
              <w:rPr>
                <w:rFonts w:hint="default" w:ascii="Times New Roman" w:hAnsi="Times New Roman" w:cs="Times New Roman"/>
                <w:color w:val="auto"/>
                <w:sz w:val="24"/>
              </w:rPr>
              <w:t>见附图2。</w:t>
            </w:r>
          </w:p>
        </w:tc>
      </w:tr>
      <w:tr w14:paraId="2B7AAF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noWrap w:val="0"/>
            <w:vAlign w:val="center"/>
          </w:tcPr>
          <w:p w14:paraId="67DC558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项目组成及规模</w:t>
            </w:r>
          </w:p>
        </w:tc>
        <w:tc>
          <w:tcPr>
            <w:tcW w:w="8380" w:type="dxa"/>
            <w:noWrap w:val="0"/>
            <w:vAlign w:val="top"/>
          </w:tcPr>
          <w:p w14:paraId="5B55D5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1</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项目组成及规模</w:t>
            </w:r>
            <w:r>
              <w:rPr>
                <w:rFonts w:hint="default" w:ascii="Times New Roman" w:hAnsi="Times New Roman" w:cs="Times New Roman"/>
                <w:color w:val="auto"/>
                <w:sz w:val="24"/>
                <w:lang w:val="en-US" w:eastAsia="zh-CN"/>
              </w:rPr>
              <w:t xml:space="preserve"> </w:t>
            </w:r>
          </w:p>
          <w:p w14:paraId="25619491">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陕西建工集团股份有限公司玛纳斯县兵地融合1GW“草光互补”光伏发电工程规划装机容量</w:t>
            </w:r>
            <w:r>
              <w:rPr>
                <w:rFonts w:hint="eastAsia" w:ascii="Times New Roman" w:hAnsi="Times New Roman" w:cs="Times New Roman"/>
                <w:color w:val="auto"/>
                <w:sz w:val="24"/>
                <w:lang w:val="en-US" w:eastAsia="zh-CN"/>
              </w:rPr>
              <w:t>1069.36128</w:t>
            </w:r>
            <w:r>
              <w:rPr>
                <w:rFonts w:hint="default" w:ascii="Times New Roman" w:hAnsi="Times New Roman" w:cs="Times New Roman"/>
                <w:color w:val="auto"/>
                <w:sz w:val="24"/>
              </w:rPr>
              <w:t>MW</w:t>
            </w:r>
            <w:r>
              <w:rPr>
                <w:rFonts w:hint="eastAsia" w:ascii="Times New Roman" w:hAnsi="Times New Roman" w:cs="Times New Roman"/>
                <w:color w:val="auto"/>
                <w:sz w:val="24"/>
                <w:lang w:val="en-US" w:eastAsia="zh-CN"/>
              </w:rPr>
              <w:t>p</w:t>
            </w:r>
            <w:r>
              <w:rPr>
                <w:rFonts w:hint="default" w:ascii="Times New Roman" w:hAnsi="Times New Roman" w:cs="Times New Roman"/>
                <w:color w:val="auto"/>
                <w:sz w:val="24"/>
              </w:rPr>
              <w:t>，年平均发电量</w:t>
            </w:r>
            <w:r>
              <w:rPr>
                <w:rFonts w:hint="eastAsia" w:ascii="Times New Roman" w:hAnsi="Times New Roman" w:cs="Times New Roman"/>
                <w:color w:val="auto"/>
                <w:sz w:val="24"/>
                <w:lang w:val="en-US" w:eastAsia="zh-CN"/>
              </w:rPr>
              <w:t>1447363.02M</w:t>
            </w:r>
            <w:r>
              <w:rPr>
                <w:rFonts w:hint="default" w:ascii="Times New Roman" w:hAnsi="Times New Roman" w:cs="Times New Roman"/>
                <w:color w:val="auto"/>
                <w:sz w:val="24"/>
              </w:rPr>
              <w:t>Wh，年均利用小时</w:t>
            </w:r>
            <w:r>
              <w:rPr>
                <w:rFonts w:hint="eastAsia" w:ascii="Times New Roman" w:hAnsi="Times New Roman" w:cs="Times New Roman"/>
                <w:color w:val="auto"/>
                <w:sz w:val="24"/>
                <w:lang w:val="en-US" w:eastAsia="zh-CN"/>
              </w:rPr>
              <w:t>1353.48</w:t>
            </w:r>
            <w:r>
              <w:rPr>
                <w:rFonts w:hint="default" w:ascii="Times New Roman" w:hAnsi="Times New Roman" w:cs="Times New Roman"/>
                <w:color w:val="auto"/>
                <w:sz w:val="24"/>
              </w:rPr>
              <w:t>h。本项目共</w:t>
            </w:r>
            <w:r>
              <w:rPr>
                <w:rFonts w:hint="eastAsia" w:ascii="Times New Roman" w:hAnsi="Times New Roman" w:cs="Times New Roman"/>
                <w:color w:val="auto"/>
                <w:sz w:val="24"/>
                <w:lang w:val="en-US" w:eastAsia="zh-CN"/>
              </w:rPr>
              <w:t>安装</w:t>
            </w:r>
            <w:r>
              <w:rPr>
                <w:rFonts w:hint="default" w:ascii="Times New Roman" w:hAnsi="Times New Roman" w:cs="Times New Roman"/>
                <w:color w:val="auto"/>
                <w:sz w:val="24"/>
              </w:rPr>
              <w:t>1485224块N型单晶双面双玻720Wp光伏组件，207个4.8MW箱式升压逆变一体机和2个3.2MW箱式升压逆变一体机，共3750台18汇1的光伏专用防雷汇流箱。光伏发电厂区不设置生活区，</w:t>
            </w:r>
            <w:r>
              <w:rPr>
                <w:rFonts w:hint="eastAsia" w:ascii="Times New Roman" w:hAnsi="Times New Roman" w:cs="Times New Roman"/>
                <w:color w:val="auto"/>
                <w:sz w:val="24"/>
                <w:lang w:val="en-US" w:eastAsia="zh-CN"/>
              </w:rPr>
              <w:t>本项目无人值守，由本公司人员定期巡检，不在项目区办公生活等。危废暂存点</w:t>
            </w:r>
            <w:r>
              <w:rPr>
                <w:rFonts w:hint="default" w:ascii="Times New Roman" w:hAnsi="Times New Roman" w:cs="Times New Roman"/>
                <w:color w:val="auto"/>
                <w:sz w:val="24"/>
              </w:rPr>
              <w:t>依托配套220kV升压站（配套220kV升压站单独环评，不在本次评价范围之内）。</w:t>
            </w:r>
          </w:p>
          <w:p w14:paraId="77965C5C">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本项目组成见表2-1，拐点坐标见表2-2。</w:t>
            </w:r>
          </w:p>
          <w:p w14:paraId="7A665BCE">
            <w:pPr>
              <w:pStyle w:val="45"/>
              <w:keepNext w:val="0"/>
              <w:keepLines w:val="0"/>
              <w:suppressLineNumbers w:val="0"/>
              <w:spacing w:before="0" w:beforeAutospacing="0" w:after="0" w:afterAutospacing="0" w:line="240" w:lineRule="auto"/>
              <w:ind w:left="0" w:right="0" w:firstLine="420"/>
              <w:rPr>
                <w:rFonts w:hint="default" w:ascii="Times New Roman" w:hAnsi="Times New Roman" w:eastAsia="黑体" w:cs="Times New Roman"/>
                <w:color w:val="auto"/>
                <w:sz w:val="21"/>
                <w:lang w:bidi="en-US"/>
              </w:rPr>
            </w:pPr>
            <w:r>
              <w:rPr>
                <w:rFonts w:hint="default" w:ascii="Times New Roman" w:hAnsi="Times New Roman" w:eastAsia="黑体" w:cs="Times New Roman"/>
                <w:color w:val="auto"/>
                <w:sz w:val="21"/>
                <w:lang w:bidi="en-US"/>
              </w:rPr>
              <w:t>表2-1                  本项目组成一览表</w:t>
            </w:r>
          </w:p>
          <w:tbl>
            <w:tblPr>
              <w:tblStyle w:val="29"/>
              <w:tblW w:w="49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8"/>
              <w:gridCol w:w="426"/>
              <w:gridCol w:w="754"/>
              <w:gridCol w:w="6213"/>
            </w:tblGrid>
            <w:tr w14:paraId="528D41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tcBorders>
                    <w:tl2br w:val="nil"/>
                    <w:tr2bl w:val="nil"/>
                  </w:tcBorders>
                  <w:noWrap w:val="0"/>
                  <w:vAlign w:val="center"/>
                </w:tcPr>
                <w:p w14:paraId="61945CDE">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建设项目</w:t>
                  </w:r>
                </w:p>
              </w:tc>
              <w:tc>
                <w:tcPr>
                  <w:tcW w:w="7393" w:type="dxa"/>
                  <w:gridSpan w:val="3"/>
                  <w:tcBorders>
                    <w:tl2br w:val="nil"/>
                    <w:tr2bl w:val="nil"/>
                  </w:tcBorders>
                  <w:noWrap w:val="0"/>
                  <w:vAlign w:val="center"/>
                </w:tcPr>
                <w:p w14:paraId="493CB4BB">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建设内容</w:t>
                  </w:r>
                </w:p>
              </w:tc>
            </w:tr>
            <w:tr w14:paraId="2455DD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restart"/>
                  <w:tcBorders>
                    <w:tl2br w:val="nil"/>
                    <w:tr2bl w:val="nil"/>
                  </w:tcBorders>
                  <w:noWrap w:val="0"/>
                  <w:vAlign w:val="center"/>
                </w:tcPr>
                <w:p w14:paraId="600EDC7D">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主体工程</w:t>
                  </w:r>
                </w:p>
              </w:tc>
              <w:tc>
                <w:tcPr>
                  <w:tcW w:w="1180" w:type="dxa"/>
                  <w:gridSpan w:val="2"/>
                  <w:tcBorders>
                    <w:tl2br w:val="nil"/>
                    <w:tr2bl w:val="nil"/>
                  </w:tcBorders>
                  <w:noWrap w:val="0"/>
                  <w:vAlign w:val="center"/>
                </w:tcPr>
                <w:p w14:paraId="7354A0D3">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光伏发电机组</w:t>
                  </w:r>
                </w:p>
              </w:tc>
              <w:tc>
                <w:tcPr>
                  <w:tcW w:w="6213" w:type="dxa"/>
                  <w:tcBorders>
                    <w:tl2br w:val="nil"/>
                    <w:tr2bl w:val="nil"/>
                  </w:tcBorders>
                  <w:noWrap w:val="0"/>
                  <w:vAlign w:val="center"/>
                </w:tcPr>
                <w:p w14:paraId="6702918A">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光伏组件选用</w:t>
                  </w:r>
                  <w:r>
                    <w:rPr>
                      <w:rFonts w:hint="default" w:ascii="Times New Roman" w:hAnsi="Times New Roman" w:cs="Times New Roman"/>
                      <w:color w:val="auto"/>
                      <w:sz w:val="21"/>
                      <w:szCs w:val="21"/>
                      <w:lang w:val="en-US" w:eastAsia="zh-CN"/>
                    </w:rPr>
                    <w:t>720</w:t>
                  </w:r>
                  <w:r>
                    <w:rPr>
                      <w:rFonts w:hint="default" w:ascii="Times New Roman" w:hAnsi="Times New Roman" w:cs="Times New Roman"/>
                      <w:color w:val="auto"/>
                      <w:sz w:val="21"/>
                      <w:szCs w:val="21"/>
                    </w:rPr>
                    <w:t>Wp单晶硅双玻</w:t>
                  </w:r>
                  <w:r>
                    <w:rPr>
                      <w:rFonts w:hint="default" w:ascii="Times New Roman" w:hAnsi="Times New Roman" w:cs="Times New Roman"/>
                      <w:color w:val="auto"/>
                      <w:sz w:val="21"/>
                      <w:szCs w:val="21"/>
                      <w:lang w:val="en-US" w:eastAsia="zh-CN"/>
                    </w:rPr>
                    <w:t>双面N型</w:t>
                  </w:r>
                  <w:r>
                    <w:rPr>
                      <w:rFonts w:hint="default" w:ascii="Times New Roman" w:hAnsi="Times New Roman" w:cs="Times New Roman"/>
                      <w:color w:val="auto"/>
                      <w:sz w:val="21"/>
                      <w:szCs w:val="21"/>
                    </w:rPr>
                    <w:t>光伏组件，共计</w:t>
                  </w:r>
                  <w:r>
                    <w:rPr>
                      <w:rFonts w:hint="eastAsia" w:ascii="Times New Roman" w:hAnsi="Times New Roman" w:cs="Times New Roman"/>
                      <w:color w:val="auto"/>
                      <w:sz w:val="21"/>
                      <w:szCs w:val="21"/>
                      <w:lang w:val="en-US" w:eastAsia="zh-CN"/>
                    </w:rPr>
                    <w:t>148</w:t>
                  </w:r>
                  <w:r>
                    <w:rPr>
                      <w:rFonts w:hint="default" w:ascii="Times New Roman" w:hAnsi="Times New Roman" w:cs="Times New Roman"/>
                      <w:color w:val="auto"/>
                      <w:sz w:val="21"/>
                      <w:szCs w:val="21"/>
                      <w:lang w:val="en-US" w:eastAsia="zh-CN"/>
                    </w:rPr>
                    <w:t>5</w:t>
                  </w:r>
                  <w:r>
                    <w:rPr>
                      <w:rFonts w:hint="eastAsia" w:ascii="Times New Roman" w:hAnsi="Times New Roman" w:cs="Times New Roman"/>
                      <w:color w:val="auto"/>
                      <w:sz w:val="21"/>
                      <w:szCs w:val="21"/>
                      <w:lang w:val="en-US" w:eastAsia="zh-CN"/>
                    </w:rPr>
                    <w:t>224</w:t>
                  </w:r>
                  <w:r>
                    <w:rPr>
                      <w:rFonts w:hint="default" w:ascii="Times New Roman" w:hAnsi="Times New Roman" w:cs="Times New Roman"/>
                      <w:color w:val="auto"/>
                      <w:sz w:val="21"/>
                      <w:szCs w:val="21"/>
                    </w:rPr>
                    <w:t>块</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设置207个4.8MW子方阵</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2个3.2MW子方阵，共209个子方阵</w:t>
                  </w:r>
                </w:p>
              </w:tc>
            </w:tr>
            <w:tr w14:paraId="75CA32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noWrap w:val="0"/>
                  <w:vAlign w:val="center"/>
                </w:tcPr>
                <w:p w14:paraId="623AAE41">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p>
              </w:tc>
              <w:tc>
                <w:tcPr>
                  <w:tcW w:w="1180" w:type="dxa"/>
                  <w:gridSpan w:val="2"/>
                  <w:vMerge w:val="restart"/>
                  <w:tcBorders>
                    <w:tl2br w:val="nil"/>
                    <w:tr2bl w:val="nil"/>
                  </w:tcBorders>
                  <w:noWrap w:val="0"/>
                  <w:vAlign w:val="center"/>
                </w:tcPr>
                <w:p w14:paraId="6E4E3CE7">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箱式升压逆变一体机</w:t>
                  </w:r>
                </w:p>
              </w:tc>
              <w:tc>
                <w:tcPr>
                  <w:tcW w:w="6213" w:type="dxa"/>
                  <w:tcBorders>
                    <w:tl2br w:val="nil"/>
                    <w:tr2bl w:val="nil"/>
                  </w:tcBorders>
                  <w:noWrap w:val="0"/>
                  <w:vAlign w:val="center"/>
                </w:tcPr>
                <w:p w14:paraId="1B05242E">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177个4.8MW光伏子方阵设置1台4.8MVA箱式升压逆变一体机（含1台4.8MVA升压变和6台0.8MVA集中式逆变器），安装7176块单晶双面双玻N型720Wp光伏组件，共276串光伏组件串并联而成。每个光伏组件串由26块光伏组件串联而成。每15-16串光伏组串接入1台18汇1的光伏专用防雷汇流箱，每个方阵设置18台汇流箱（即每台0.8MVA集中式逆变器接入3台汇流箱）通过电缆接入4.8MVA箱式升压逆变一体机低压侧，经逆变及升压至35kV送出至新建220kV光伏升压站</w:t>
                  </w:r>
                </w:p>
              </w:tc>
            </w:tr>
            <w:tr w14:paraId="197D7B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noWrap w:val="0"/>
                  <w:vAlign w:val="center"/>
                </w:tcPr>
                <w:p w14:paraId="57D7620F">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p>
              </w:tc>
              <w:tc>
                <w:tcPr>
                  <w:tcW w:w="1180" w:type="dxa"/>
                  <w:gridSpan w:val="2"/>
                  <w:vMerge w:val="continue"/>
                  <w:tcBorders>
                    <w:tl2br w:val="nil"/>
                    <w:tr2bl w:val="nil"/>
                  </w:tcBorders>
                  <w:noWrap w:val="0"/>
                  <w:vAlign w:val="center"/>
                </w:tcPr>
                <w:p w14:paraId="0C889FBF">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p>
              </w:tc>
              <w:tc>
                <w:tcPr>
                  <w:tcW w:w="6213" w:type="dxa"/>
                  <w:tcBorders>
                    <w:tl2br w:val="nil"/>
                    <w:tr2bl w:val="nil"/>
                  </w:tcBorders>
                  <w:noWrap w:val="0"/>
                  <w:vAlign w:val="center"/>
                </w:tcPr>
                <w:p w14:paraId="4952FCA4">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个4.8MW光伏子方阵设置1台4.8MVA箱式升压逆变一体机（含1台4.8MVA升压变和6台0.8MVA集中式逆变器），安装6864块单晶双面双玻N型720Wp光伏组件，共264串光伏组件串并联而成；每个光伏组件串由26块光伏组件串联而成。每14-15串光伏组串接入1台18汇1的光伏专用防雷汇流箱，每个方阵设置18台汇流箱（即每台0.8MVA集中式逆变器接入3台汇流箱）通过电缆接入4.8MVA箱式升压逆变一体机低压侧，经逆变及升压至35kV送出至新建220kV光伏升压站</w:t>
                  </w:r>
                </w:p>
              </w:tc>
            </w:tr>
            <w:tr w14:paraId="63C70F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noWrap w:val="0"/>
                  <w:vAlign w:val="center"/>
                </w:tcPr>
                <w:p w14:paraId="629510FE">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p>
              </w:tc>
              <w:tc>
                <w:tcPr>
                  <w:tcW w:w="1180" w:type="dxa"/>
                  <w:gridSpan w:val="2"/>
                  <w:vMerge w:val="continue"/>
                  <w:tcBorders>
                    <w:tl2br w:val="nil"/>
                    <w:tr2bl w:val="nil"/>
                  </w:tcBorders>
                  <w:noWrap w:val="0"/>
                  <w:vAlign w:val="center"/>
                </w:tcPr>
                <w:p w14:paraId="3ABDA811">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p>
              </w:tc>
              <w:tc>
                <w:tcPr>
                  <w:tcW w:w="6213" w:type="dxa"/>
                  <w:tcBorders>
                    <w:tl2br w:val="nil"/>
                    <w:tr2bl w:val="nil"/>
                  </w:tcBorders>
                  <w:noWrap w:val="0"/>
                  <w:vAlign w:val="center"/>
                </w:tcPr>
                <w:p w14:paraId="6EFDD4A1">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个3.2MW光伏子方阵设置1台3.2MVA箱式升压逆变一体机（含1台3.2MVA升压变和4台0.8MVA集中式逆变器），安装4576块单晶双面双玻N型720Wp光伏组件，共176串光伏组件串并联而成；每个光伏组件串由26块光伏组件串联而成。每14-15串光伏组串接入1台18汇1的光伏专用防雷汇流箱，每个方阵设置12台汇流箱（即每台0.8MVA集中式逆变器接入3台汇流箱）通过电缆接入3.2MVA箱式升压逆变一体机低压侧，经逆变及升压至35kV送出至新建220kV光伏升压站</w:t>
                  </w:r>
                </w:p>
              </w:tc>
            </w:tr>
            <w:tr w14:paraId="7E3430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restart"/>
                  <w:tcBorders>
                    <w:tl2br w:val="nil"/>
                    <w:tr2bl w:val="nil"/>
                  </w:tcBorders>
                  <w:noWrap w:val="0"/>
                  <w:vAlign w:val="center"/>
                </w:tcPr>
                <w:p w14:paraId="3679F922">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辅助工程</w:t>
                  </w:r>
                </w:p>
              </w:tc>
              <w:tc>
                <w:tcPr>
                  <w:tcW w:w="1180" w:type="dxa"/>
                  <w:gridSpan w:val="2"/>
                  <w:tcBorders>
                    <w:tl2br w:val="nil"/>
                    <w:tr2bl w:val="nil"/>
                  </w:tcBorders>
                  <w:noWrap w:val="0"/>
                  <w:vAlign w:val="center"/>
                </w:tcPr>
                <w:p w14:paraId="50D1A43C">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集电线路</w:t>
                  </w:r>
                </w:p>
              </w:tc>
              <w:tc>
                <w:tcPr>
                  <w:tcW w:w="6213" w:type="dxa"/>
                  <w:tcBorders>
                    <w:tl2br w:val="nil"/>
                    <w:tr2bl w:val="nil"/>
                  </w:tcBorders>
                  <w:noWrap w:val="0"/>
                  <w:vAlign w:val="center"/>
                </w:tcPr>
                <w:p w14:paraId="58C2C295">
                  <w:pPr>
                    <w:keepNext w:val="0"/>
                    <w:keepLines w:val="0"/>
                    <w:pageBreakBefore w:val="0"/>
                    <w:suppressLineNumbers w:val="0"/>
                    <w:kinsoku/>
                    <w:wordWrap/>
                    <w:overflowPunct/>
                    <w:topLinePunct w:val="0"/>
                    <w:autoSpaceDE w:val="0"/>
                    <w:autoSpaceDN w:val="0"/>
                    <w:bidi w:val="0"/>
                    <w:adjustRightInd w:val="0"/>
                    <w:spacing w:before="0" w:beforeAutospacing="0" w:after="0" w:afterAutospacing="0" w:line="240" w:lineRule="auto"/>
                    <w:ind w:left="0" w:right="0" w:rightChars="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光伏项目以</w:t>
                  </w:r>
                  <w:r>
                    <w:rPr>
                      <w:rFonts w:hint="eastAsia" w:ascii="Times New Roman" w:hAnsi="Times New Roman" w:cs="Times New Roman"/>
                      <w:color w:val="auto"/>
                      <w:sz w:val="21"/>
                      <w:szCs w:val="21"/>
                      <w:lang w:val="en-US" w:eastAsia="zh-CN"/>
                    </w:rPr>
                    <w:t>40</w:t>
                  </w:r>
                  <w:r>
                    <w:rPr>
                      <w:rFonts w:hint="default" w:ascii="Times New Roman" w:hAnsi="Times New Roman" w:cs="Times New Roman"/>
                      <w:color w:val="auto"/>
                      <w:sz w:val="21"/>
                      <w:szCs w:val="21"/>
                    </w:rPr>
                    <w:t>回集电线路接入，电压等级为35kV，线路路径总长约</w:t>
                  </w:r>
                  <w:r>
                    <w:rPr>
                      <w:rFonts w:hint="eastAsia" w:ascii="Times New Roman" w:hAnsi="Times New Roman" w:cs="Times New Roman"/>
                      <w:color w:val="auto"/>
                      <w:sz w:val="21"/>
                      <w:szCs w:val="21"/>
                      <w:lang w:val="en-US" w:eastAsia="zh-CN"/>
                    </w:rPr>
                    <w:t>320</w:t>
                  </w:r>
                  <w:r>
                    <w:rPr>
                      <w:rFonts w:hint="default" w:ascii="Times New Roman" w:hAnsi="Times New Roman" w:cs="Times New Roman"/>
                      <w:color w:val="auto"/>
                      <w:sz w:val="21"/>
                      <w:szCs w:val="21"/>
                    </w:rPr>
                    <w:t>km，</w:t>
                  </w:r>
                  <w:r>
                    <w:rPr>
                      <w:rFonts w:hint="eastAsia" w:ascii="Times New Roman" w:hAnsi="Times New Roman" w:cs="Times New Roman"/>
                      <w:color w:val="auto"/>
                      <w:sz w:val="21"/>
                      <w:szCs w:val="21"/>
                      <w:highlight w:val="none"/>
                      <w:lang w:val="en-US" w:eastAsia="zh-CN"/>
                    </w:rPr>
                    <w:t>采用</w:t>
                  </w:r>
                  <w:r>
                    <w:rPr>
                      <w:rFonts w:hint="default" w:ascii="Times New Roman" w:hAnsi="Times New Roman" w:cs="Times New Roman"/>
                      <w:color w:val="auto"/>
                      <w:sz w:val="21"/>
                      <w:szCs w:val="21"/>
                      <w:highlight w:val="none"/>
                    </w:rPr>
                    <w:t>电缆</w:t>
                  </w:r>
                  <w:r>
                    <w:rPr>
                      <w:rFonts w:hint="eastAsia" w:ascii="Times New Roman" w:hAnsi="Times New Roman" w:cs="Times New Roman"/>
                      <w:color w:val="auto"/>
                      <w:sz w:val="21"/>
                      <w:szCs w:val="21"/>
                      <w:highlight w:val="none"/>
                      <w:lang w:val="en-US" w:eastAsia="zh-CN"/>
                    </w:rPr>
                    <w:t>直埋</w:t>
                  </w:r>
                  <w:r>
                    <w:rPr>
                      <w:rFonts w:hint="default" w:ascii="Times New Roman" w:hAnsi="Times New Roman" w:cs="Times New Roman"/>
                      <w:color w:val="auto"/>
                      <w:sz w:val="21"/>
                      <w:szCs w:val="21"/>
                      <w:highlight w:val="none"/>
                    </w:rPr>
                    <w:t>敷设</w:t>
                  </w:r>
                  <w:r>
                    <w:rPr>
                      <w:rFonts w:hint="eastAsia" w:ascii="Times New Roman" w:hAnsi="Times New Roman" w:cs="Times New Roman"/>
                      <w:color w:val="auto"/>
                      <w:sz w:val="21"/>
                      <w:szCs w:val="21"/>
                      <w:highlight w:val="none"/>
                      <w:lang w:val="en-US" w:eastAsia="zh-CN"/>
                    </w:rPr>
                    <w:t>方式</w:t>
                  </w:r>
                </w:p>
              </w:tc>
            </w:tr>
            <w:tr w14:paraId="2382CA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noWrap w:val="0"/>
                  <w:vAlign w:val="center"/>
                </w:tcPr>
                <w:p w14:paraId="0596BD6C">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p>
              </w:tc>
              <w:tc>
                <w:tcPr>
                  <w:tcW w:w="1180" w:type="dxa"/>
                  <w:gridSpan w:val="2"/>
                  <w:vMerge w:val="restart"/>
                  <w:tcBorders>
                    <w:tl2br w:val="nil"/>
                    <w:tr2bl w:val="nil"/>
                  </w:tcBorders>
                  <w:noWrap w:val="0"/>
                  <w:vAlign w:val="center"/>
                </w:tcPr>
                <w:p w14:paraId="656DD73F">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道路工程</w:t>
                  </w:r>
                </w:p>
              </w:tc>
              <w:tc>
                <w:tcPr>
                  <w:tcW w:w="6213" w:type="dxa"/>
                  <w:tcBorders>
                    <w:tl2br w:val="nil"/>
                    <w:tr2bl w:val="nil"/>
                  </w:tcBorders>
                  <w:noWrap w:val="0"/>
                  <w:vAlign w:val="center"/>
                </w:tcPr>
                <w:p w14:paraId="19827674">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场内检修道路：长</w:t>
                  </w:r>
                  <w:r>
                    <w:rPr>
                      <w:rFonts w:hint="eastAsia" w:ascii="Times New Roman" w:hAnsi="Times New Roman" w:cs="Times New Roman"/>
                      <w:color w:val="auto"/>
                      <w:sz w:val="21"/>
                      <w:szCs w:val="21"/>
                      <w:highlight w:val="none"/>
                      <w:lang w:val="en-US" w:eastAsia="zh-CN"/>
                    </w:rPr>
                    <w:t>69.10</w:t>
                  </w:r>
                  <w:r>
                    <w:rPr>
                      <w:rFonts w:hint="default" w:ascii="Times New Roman" w:hAnsi="Times New Roman" w:cs="Times New Roman"/>
                      <w:color w:val="auto"/>
                      <w:sz w:val="21"/>
                      <w:szCs w:val="21"/>
                      <w:highlight w:val="none"/>
                    </w:rPr>
                    <w:t>km，采用砂砾石路面，路面宽</w:t>
                  </w:r>
                  <w:r>
                    <w:rPr>
                      <w:rFonts w:hint="eastAsia" w:ascii="Times New Roman" w:hAnsi="Times New Roman" w:cs="Times New Roman"/>
                      <w:color w:val="auto"/>
                      <w:sz w:val="21"/>
                      <w:szCs w:val="21"/>
                      <w:highlight w:val="none"/>
                      <w:lang w:val="en-US" w:eastAsia="zh-CN"/>
                    </w:rPr>
                    <w:t>4.0</w:t>
                  </w:r>
                  <w:r>
                    <w:rPr>
                      <w:rFonts w:hint="default" w:ascii="Times New Roman" w:hAnsi="Times New Roman" w:cs="Times New Roman"/>
                      <w:color w:val="auto"/>
                      <w:sz w:val="21"/>
                      <w:szCs w:val="21"/>
                      <w:highlight w:val="none"/>
                    </w:rPr>
                    <w:t>m，路基宽4.</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m，采用永临结合，利用施工道路</w:t>
                  </w:r>
                </w:p>
              </w:tc>
            </w:tr>
            <w:tr w14:paraId="7B6126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noWrap w:val="0"/>
                  <w:vAlign w:val="center"/>
                </w:tcPr>
                <w:p w14:paraId="07858B9D">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p>
              </w:tc>
              <w:tc>
                <w:tcPr>
                  <w:tcW w:w="1180" w:type="dxa"/>
                  <w:gridSpan w:val="2"/>
                  <w:vMerge w:val="continue"/>
                  <w:tcBorders>
                    <w:tl2br w:val="nil"/>
                    <w:tr2bl w:val="nil"/>
                  </w:tcBorders>
                  <w:noWrap w:val="0"/>
                  <w:vAlign w:val="center"/>
                </w:tcPr>
                <w:p w14:paraId="409FE679">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p>
              </w:tc>
              <w:tc>
                <w:tcPr>
                  <w:tcW w:w="6213" w:type="dxa"/>
                  <w:tcBorders>
                    <w:tl2br w:val="nil"/>
                    <w:tr2bl w:val="nil"/>
                  </w:tcBorders>
                  <w:noWrap w:val="0"/>
                  <w:vAlign w:val="center"/>
                </w:tcPr>
                <w:p w14:paraId="06DF43FC">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进站道路：进站道路</w:t>
                  </w:r>
                  <w:r>
                    <w:rPr>
                      <w:rFonts w:hint="eastAsia" w:ascii="Times New Roman" w:hAnsi="Times New Roman" w:cs="Times New Roman"/>
                      <w:color w:val="auto"/>
                      <w:sz w:val="21"/>
                      <w:szCs w:val="21"/>
                      <w:lang w:val="en-US" w:eastAsia="zh-CN"/>
                    </w:rPr>
                    <w:t>330</w:t>
                  </w:r>
                  <w:r>
                    <w:rPr>
                      <w:rFonts w:hint="default" w:ascii="Times New Roman" w:hAnsi="Times New Roman" w:cs="Times New Roman"/>
                      <w:color w:val="auto"/>
                      <w:sz w:val="21"/>
                      <w:szCs w:val="21"/>
                    </w:rPr>
                    <w:t>m，采用砂砾石路面，路面宽</w:t>
                  </w:r>
                  <w:r>
                    <w:rPr>
                      <w:rFonts w:hint="eastAsia" w:ascii="Times New Roman" w:hAnsi="Times New Roman" w:cs="Times New Roman"/>
                      <w:color w:val="auto"/>
                      <w:sz w:val="21"/>
                      <w:szCs w:val="21"/>
                      <w:lang w:val="en-US" w:eastAsia="zh-CN"/>
                    </w:rPr>
                    <w:t>4.0</w:t>
                  </w:r>
                  <w:r>
                    <w:rPr>
                      <w:rFonts w:hint="default" w:ascii="Times New Roman" w:hAnsi="Times New Roman" w:cs="Times New Roman"/>
                      <w:color w:val="auto"/>
                      <w:sz w:val="21"/>
                      <w:szCs w:val="21"/>
                    </w:rPr>
                    <w:t>m，路基宽</w:t>
                  </w:r>
                  <w:r>
                    <w:rPr>
                      <w:rFonts w:hint="eastAsia" w:ascii="Times New Roman" w:hAnsi="Times New Roman" w:cs="Times New Roman"/>
                      <w:color w:val="auto"/>
                      <w:sz w:val="21"/>
                      <w:szCs w:val="21"/>
                      <w:lang w:val="en-US" w:eastAsia="zh-CN"/>
                    </w:rPr>
                    <w:t>4.5</w:t>
                  </w:r>
                  <w:r>
                    <w:rPr>
                      <w:rFonts w:hint="default" w:ascii="Times New Roman" w:hAnsi="Times New Roman" w:cs="Times New Roman"/>
                      <w:color w:val="auto"/>
                      <w:sz w:val="21"/>
                      <w:szCs w:val="21"/>
                    </w:rPr>
                    <w:t>m</w:t>
                  </w:r>
                </w:p>
              </w:tc>
            </w:tr>
            <w:tr w14:paraId="5E0907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restart"/>
                  <w:tcBorders>
                    <w:tl2br w:val="nil"/>
                    <w:tr2bl w:val="nil"/>
                  </w:tcBorders>
                  <w:noWrap w:val="0"/>
                  <w:vAlign w:val="center"/>
                </w:tcPr>
                <w:p w14:paraId="6B06001B">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公用工程</w:t>
                  </w:r>
                </w:p>
              </w:tc>
              <w:tc>
                <w:tcPr>
                  <w:tcW w:w="1180" w:type="dxa"/>
                  <w:gridSpan w:val="2"/>
                  <w:tcBorders>
                    <w:tl2br w:val="nil"/>
                    <w:tr2bl w:val="nil"/>
                  </w:tcBorders>
                  <w:noWrap w:val="0"/>
                  <w:vAlign w:val="center"/>
                </w:tcPr>
                <w:p w14:paraId="0B8C51EF">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供水</w:t>
                  </w:r>
                </w:p>
              </w:tc>
              <w:tc>
                <w:tcPr>
                  <w:tcW w:w="6213" w:type="dxa"/>
                  <w:tcBorders>
                    <w:tl2br w:val="nil"/>
                    <w:tr2bl w:val="nil"/>
                  </w:tcBorders>
                  <w:noWrap w:val="0"/>
                  <w:vAlign w:val="center"/>
                </w:tcPr>
                <w:p w14:paraId="5B52D158">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施工及运营期用水采用水车从附近村镇拉运</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由于本工程与升压站均设计为“无人值守、无人值班”模式，因此运营期不设置给水系统，运营期用水主要为光伏板冲洗用水，每次冲洗由水车自附近村镇拉运至项目区</w:t>
                  </w:r>
                </w:p>
              </w:tc>
            </w:tr>
            <w:tr w14:paraId="7C9E3E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noWrap w:val="0"/>
                  <w:vAlign w:val="center"/>
                </w:tcPr>
                <w:p w14:paraId="041351E5">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p>
              </w:tc>
              <w:tc>
                <w:tcPr>
                  <w:tcW w:w="1180" w:type="dxa"/>
                  <w:gridSpan w:val="2"/>
                  <w:tcBorders>
                    <w:tl2br w:val="nil"/>
                    <w:tr2bl w:val="nil"/>
                  </w:tcBorders>
                  <w:noWrap w:val="0"/>
                  <w:vAlign w:val="center"/>
                </w:tcPr>
                <w:p w14:paraId="5BD84C41">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供电</w:t>
                  </w:r>
                </w:p>
              </w:tc>
              <w:tc>
                <w:tcPr>
                  <w:tcW w:w="6213" w:type="dxa"/>
                  <w:tcBorders>
                    <w:tl2br w:val="nil"/>
                    <w:tr2bl w:val="nil"/>
                  </w:tcBorders>
                  <w:noWrap w:val="0"/>
                  <w:vAlign w:val="center"/>
                </w:tcPr>
                <w:p w14:paraId="43544E2C">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施工用电由附近的10kV线路接入</w:t>
                  </w:r>
                </w:p>
              </w:tc>
            </w:tr>
            <w:tr w14:paraId="43AFAA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noWrap w:val="0"/>
                  <w:vAlign w:val="center"/>
                </w:tcPr>
                <w:p w14:paraId="529C4A43">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p>
              </w:tc>
              <w:tc>
                <w:tcPr>
                  <w:tcW w:w="1180" w:type="dxa"/>
                  <w:gridSpan w:val="2"/>
                  <w:tcBorders>
                    <w:tl2br w:val="nil"/>
                    <w:tr2bl w:val="nil"/>
                  </w:tcBorders>
                  <w:noWrap w:val="0"/>
                  <w:vAlign w:val="center"/>
                </w:tcPr>
                <w:p w14:paraId="78C75AC6">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供暖</w:t>
                  </w:r>
                </w:p>
              </w:tc>
              <w:tc>
                <w:tcPr>
                  <w:tcW w:w="6213" w:type="dxa"/>
                  <w:tcBorders>
                    <w:tl2br w:val="nil"/>
                    <w:tr2bl w:val="nil"/>
                  </w:tcBorders>
                  <w:noWrap w:val="0"/>
                  <w:vAlign w:val="center"/>
                </w:tcPr>
                <w:p w14:paraId="6B40EFD6">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项目不设生活区，无供暖需求</w:t>
                  </w:r>
                </w:p>
              </w:tc>
            </w:tr>
            <w:tr w14:paraId="01993E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tcBorders>
                    <w:tl2br w:val="nil"/>
                    <w:tr2bl w:val="nil"/>
                  </w:tcBorders>
                  <w:noWrap w:val="0"/>
                  <w:vAlign w:val="center"/>
                </w:tcPr>
                <w:p w14:paraId="420D3957">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依托工程</w:t>
                  </w:r>
                </w:p>
              </w:tc>
              <w:tc>
                <w:tcPr>
                  <w:tcW w:w="1180" w:type="dxa"/>
                  <w:gridSpan w:val="2"/>
                  <w:tcBorders>
                    <w:tl2br w:val="nil"/>
                    <w:tr2bl w:val="nil"/>
                  </w:tcBorders>
                  <w:noWrap w:val="0"/>
                  <w:vAlign w:val="center"/>
                </w:tcPr>
                <w:p w14:paraId="0B45905E">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sz w:val="21"/>
                      <w:szCs w:val="21"/>
                    </w:rPr>
                    <w:t>环保设施</w:t>
                  </w:r>
                </w:p>
              </w:tc>
              <w:tc>
                <w:tcPr>
                  <w:tcW w:w="6213" w:type="dxa"/>
                  <w:tcBorders>
                    <w:tl2br w:val="nil"/>
                    <w:tr2bl w:val="nil"/>
                  </w:tcBorders>
                  <w:noWrap w:val="0"/>
                  <w:vAlign w:val="center"/>
                </w:tcPr>
                <w:p w14:paraId="536A7E68">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sz w:val="21"/>
                      <w:szCs w:val="21"/>
                      <w:highlight w:val="none"/>
                      <w:lang w:val="en-US" w:eastAsia="zh-CN"/>
                    </w:rPr>
                    <w:t>升压站</w:t>
                  </w:r>
                  <w:r>
                    <w:rPr>
                      <w:rFonts w:hint="default" w:ascii="Times New Roman" w:hAnsi="Times New Roman" w:cs="Times New Roman"/>
                      <w:color w:val="auto"/>
                      <w:sz w:val="21"/>
                      <w:szCs w:val="21"/>
                      <w:highlight w:val="none"/>
                    </w:rPr>
                    <w:t>设置一座</w:t>
                  </w:r>
                  <w:r>
                    <w:rPr>
                      <w:rFonts w:hint="eastAsia" w:ascii="Times New Roman" w:hAnsi="Times New Roman" w:cs="Times New Roman"/>
                      <w:color w:val="auto"/>
                      <w:sz w:val="21"/>
                      <w:szCs w:val="21"/>
                      <w:highlight w:val="none"/>
                      <w:lang w:val="en-US" w:eastAsia="zh-CN"/>
                    </w:rPr>
                    <w:t>40m</w:t>
                  </w:r>
                  <w:r>
                    <w:rPr>
                      <w:rFonts w:hint="eastAsia" w:ascii="Times New Roman" w:hAnsi="Times New Roman"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危废暂存点</w:t>
                  </w:r>
                </w:p>
              </w:tc>
            </w:tr>
            <w:tr w14:paraId="27454D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restart"/>
                  <w:tcBorders>
                    <w:tl2br w:val="nil"/>
                    <w:tr2bl w:val="nil"/>
                  </w:tcBorders>
                  <w:noWrap w:val="0"/>
                  <w:vAlign w:val="center"/>
                </w:tcPr>
                <w:p w14:paraId="7E81D204">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环保工程</w:t>
                  </w:r>
                </w:p>
              </w:tc>
              <w:tc>
                <w:tcPr>
                  <w:tcW w:w="426" w:type="dxa"/>
                  <w:vMerge w:val="restart"/>
                  <w:tcBorders>
                    <w:tl2br w:val="nil"/>
                    <w:tr2bl w:val="nil"/>
                  </w:tcBorders>
                  <w:noWrap w:val="0"/>
                  <w:vAlign w:val="center"/>
                </w:tcPr>
                <w:p w14:paraId="46AA9F3A">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施工期</w:t>
                  </w:r>
                </w:p>
              </w:tc>
              <w:tc>
                <w:tcPr>
                  <w:tcW w:w="754" w:type="dxa"/>
                  <w:tcBorders>
                    <w:tl2br w:val="nil"/>
                    <w:tr2bl w:val="nil"/>
                  </w:tcBorders>
                  <w:noWrap w:val="0"/>
                  <w:vAlign w:val="center"/>
                </w:tcPr>
                <w:p w14:paraId="25B8397C">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生态保护</w:t>
                  </w:r>
                </w:p>
              </w:tc>
              <w:tc>
                <w:tcPr>
                  <w:tcW w:w="6213" w:type="dxa"/>
                  <w:tcBorders>
                    <w:tl2br w:val="nil"/>
                    <w:tr2bl w:val="nil"/>
                  </w:tcBorders>
                  <w:noWrap w:val="0"/>
                  <w:vAlign w:val="center"/>
                </w:tcPr>
                <w:p w14:paraId="641207D6">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限制施工作业范围，不超出项目占地范围，施工结束后恢复临时占地原有地貌</w:t>
                  </w:r>
                </w:p>
              </w:tc>
            </w:tr>
            <w:tr w14:paraId="5370DD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noWrap w:val="0"/>
                  <w:vAlign w:val="center"/>
                </w:tcPr>
                <w:p w14:paraId="59A2AAE9">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p>
              </w:tc>
              <w:tc>
                <w:tcPr>
                  <w:tcW w:w="426" w:type="dxa"/>
                  <w:vMerge w:val="continue"/>
                  <w:tcBorders>
                    <w:tl2br w:val="nil"/>
                    <w:tr2bl w:val="nil"/>
                  </w:tcBorders>
                  <w:noWrap w:val="0"/>
                  <w:vAlign w:val="center"/>
                </w:tcPr>
                <w:p w14:paraId="2FE0D1D1">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p>
              </w:tc>
              <w:tc>
                <w:tcPr>
                  <w:tcW w:w="754" w:type="dxa"/>
                  <w:tcBorders>
                    <w:tl2br w:val="nil"/>
                    <w:tr2bl w:val="nil"/>
                  </w:tcBorders>
                  <w:noWrap w:val="0"/>
                  <w:vAlign w:val="center"/>
                </w:tcPr>
                <w:p w14:paraId="2F5B7A0D">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水土保持措施</w:t>
                  </w:r>
                </w:p>
              </w:tc>
              <w:tc>
                <w:tcPr>
                  <w:tcW w:w="6213" w:type="dxa"/>
                  <w:tcBorders>
                    <w:tl2br w:val="nil"/>
                    <w:tr2bl w:val="nil"/>
                  </w:tcBorders>
                  <w:noWrap w:val="0"/>
                  <w:vAlign w:val="center"/>
                </w:tcPr>
                <w:p w14:paraId="495DED02">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采用工程措施、植物措施、临时措施和管理措施相结合</w:t>
                  </w:r>
                </w:p>
              </w:tc>
            </w:tr>
            <w:tr w14:paraId="5BBEA2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noWrap w:val="0"/>
                  <w:vAlign w:val="center"/>
                </w:tcPr>
                <w:p w14:paraId="3876D441">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p>
              </w:tc>
              <w:tc>
                <w:tcPr>
                  <w:tcW w:w="426" w:type="dxa"/>
                  <w:vMerge w:val="continue"/>
                  <w:tcBorders>
                    <w:tl2br w:val="nil"/>
                    <w:tr2bl w:val="nil"/>
                  </w:tcBorders>
                  <w:noWrap w:val="0"/>
                  <w:vAlign w:val="center"/>
                </w:tcPr>
                <w:p w14:paraId="61F6DF45">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p>
              </w:tc>
              <w:tc>
                <w:tcPr>
                  <w:tcW w:w="754" w:type="dxa"/>
                  <w:tcBorders>
                    <w:tl2br w:val="nil"/>
                    <w:tr2bl w:val="nil"/>
                  </w:tcBorders>
                  <w:noWrap w:val="0"/>
                  <w:vAlign w:val="center"/>
                </w:tcPr>
                <w:p w14:paraId="66664F4A">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6213" w:type="dxa"/>
                  <w:tcBorders>
                    <w:tl2br w:val="nil"/>
                    <w:tr2bl w:val="nil"/>
                  </w:tcBorders>
                  <w:noWrap w:val="0"/>
                  <w:vAlign w:val="center"/>
                </w:tcPr>
                <w:p w14:paraId="7E4A958A">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防渗污水收集池；移动卫生厕所</w:t>
                  </w:r>
                </w:p>
              </w:tc>
            </w:tr>
            <w:tr w14:paraId="38A068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noWrap w:val="0"/>
                  <w:vAlign w:val="center"/>
                </w:tcPr>
                <w:p w14:paraId="5EE0C5D2">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p>
              </w:tc>
              <w:tc>
                <w:tcPr>
                  <w:tcW w:w="426" w:type="dxa"/>
                  <w:vMerge w:val="continue"/>
                  <w:tcBorders>
                    <w:tl2br w:val="nil"/>
                    <w:tr2bl w:val="nil"/>
                  </w:tcBorders>
                  <w:noWrap w:val="0"/>
                  <w:vAlign w:val="center"/>
                </w:tcPr>
                <w:p w14:paraId="06C93572">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p>
              </w:tc>
              <w:tc>
                <w:tcPr>
                  <w:tcW w:w="754" w:type="dxa"/>
                  <w:tcBorders>
                    <w:tl2br w:val="nil"/>
                    <w:tr2bl w:val="nil"/>
                  </w:tcBorders>
                  <w:noWrap w:val="0"/>
                  <w:vAlign w:val="center"/>
                </w:tcPr>
                <w:p w14:paraId="3DC0D622">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固废治理</w:t>
                  </w:r>
                </w:p>
              </w:tc>
              <w:tc>
                <w:tcPr>
                  <w:tcW w:w="6213" w:type="dxa"/>
                  <w:tcBorders>
                    <w:tl2br w:val="nil"/>
                    <w:tr2bl w:val="nil"/>
                  </w:tcBorders>
                  <w:noWrap w:val="0"/>
                  <w:vAlign w:val="center"/>
                </w:tcPr>
                <w:p w14:paraId="53605E7F">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施工生活区设置垃圾桶</w:t>
                  </w:r>
                </w:p>
              </w:tc>
            </w:tr>
            <w:tr w14:paraId="3D5896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noWrap w:val="0"/>
                  <w:vAlign w:val="center"/>
                </w:tcPr>
                <w:p w14:paraId="6F5997F9">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p>
              </w:tc>
              <w:tc>
                <w:tcPr>
                  <w:tcW w:w="426" w:type="dxa"/>
                  <w:vMerge w:val="continue"/>
                  <w:tcBorders>
                    <w:tl2br w:val="nil"/>
                    <w:tr2bl w:val="nil"/>
                  </w:tcBorders>
                  <w:noWrap w:val="0"/>
                  <w:vAlign w:val="center"/>
                </w:tcPr>
                <w:p w14:paraId="032CBD7A">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p>
              </w:tc>
              <w:tc>
                <w:tcPr>
                  <w:tcW w:w="754" w:type="dxa"/>
                  <w:tcBorders>
                    <w:tl2br w:val="nil"/>
                    <w:tr2bl w:val="nil"/>
                  </w:tcBorders>
                  <w:noWrap w:val="0"/>
                  <w:vAlign w:val="center"/>
                </w:tcPr>
                <w:p w14:paraId="27670CD1">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废气治理</w:t>
                  </w:r>
                </w:p>
              </w:tc>
              <w:tc>
                <w:tcPr>
                  <w:tcW w:w="6213" w:type="dxa"/>
                  <w:tcBorders>
                    <w:tl2br w:val="nil"/>
                    <w:tr2bl w:val="nil"/>
                  </w:tcBorders>
                  <w:noWrap w:val="0"/>
                  <w:vAlign w:val="center"/>
                </w:tcPr>
                <w:p w14:paraId="68E8F974">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运输途中要加篷布、场地定期洒水</w:t>
                  </w:r>
                </w:p>
              </w:tc>
            </w:tr>
            <w:tr w14:paraId="60CB2A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noWrap w:val="0"/>
                  <w:vAlign w:val="center"/>
                </w:tcPr>
                <w:p w14:paraId="0B9F5857">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p>
              </w:tc>
              <w:tc>
                <w:tcPr>
                  <w:tcW w:w="426" w:type="dxa"/>
                  <w:vMerge w:val="restart"/>
                  <w:tcBorders>
                    <w:tl2br w:val="nil"/>
                    <w:tr2bl w:val="nil"/>
                  </w:tcBorders>
                  <w:noWrap w:val="0"/>
                  <w:vAlign w:val="center"/>
                </w:tcPr>
                <w:p w14:paraId="71631533">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运营期</w:t>
                  </w:r>
                </w:p>
              </w:tc>
              <w:tc>
                <w:tcPr>
                  <w:tcW w:w="754" w:type="dxa"/>
                  <w:tcBorders>
                    <w:tl2br w:val="nil"/>
                    <w:tr2bl w:val="nil"/>
                  </w:tcBorders>
                  <w:noWrap w:val="0"/>
                  <w:vAlign w:val="center"/>
                </w:tcPr>
                <w:p w14:paraId="0DC2DB4A">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噪声治理</w:t>
                  </w:r>
                </w:p>
              </w:tc>
              <w:tc>
                <w:tcPr>
                  <w:tcW w:w="6213" w:type="dxa"/>
                  <w:tcBorders>
                    <w:tl2br w:val="nil"/>
                    <w:tr2bl w:val="nil"/>
                  </w:tcBorders>
                  <w:noWrap w:val="0"/>
                  <w:vAlign w:val="center"/>
                </w:tcPr>
                <w:p w14:paraId="4A8F8F77">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设备基础减震，选用低噪声设备，加强车辆运行管理</w:t>
                  </w:r>
                </w:p>
              </w:tc>
            </w:tr>
            <w:tr w14:paraId="4B8AF3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noWrap w:val="0"/>
                  <w:vAlign w:val="center"/>
                </w:tcPr>
                <w:p w14:paraId="675B0DE5">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p>
              </w:tc>
              <w:tc>
                <w:tcPr>
                  <w:tcW w:w="426" w:type="dxa"/>
                  <w:vMerge w:val="continue"/>
                  <w:tcBorders>
                    <w:tl2br w:val="nil"/>
                    <w:tr2bl w:val="nil"/>
                  </w:tcBorders>
                  <w:noWrap w:val="0"/>
                  <w:vAlign w:val="center"/>
                </w:tcPr>
                <w:p w14:paraId="65C643DA">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p>
              </w:tc>
              <w:tc>
                <w:tcPr>
                  <w:tcW w:w="754" w:type="dxa"/>
                  <w:tcBorders>
                    <w:tl2br w:val="nil"/>
                    <w:tr2bl w:val="nil"/>
                  </w:tcBorders>
                  <w:noWrap w:val="0"/>
                  <w:vAlign w:val="center"/>
                </w:tcPr>
                <w:p w14:paraId="75F3739B">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固体废物</w:t>
                  </w:r>
                </w:p>
              </w:tc>
              <w:tc>
                <w:tcPr>
                  <w:tcW w:w="6213" w:type="dxa"/>
                  <w:tcBorders>
                    <w:tl2br w:val="nil"/>
                    <w:tr2bl w:val="nil"/>
                  </w:tcBorders>
                  <w:noWrap w:val="0"/>
                  <w:vAlign w:val="center"/>
                </w:tcPr>
                <w:p w14:paraId="573FBBF1">
                  <w:pPr>
                    <w:keepNext w:val="0"/>
                    <w:keepLines w:val="0"/>
                    <w:pageBreakBefore w:val="0"/>
                    <w:widowControl/>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废弃光伏发电组件，集中收集后由</w:t>
                  </w:r>
                  <w:r>
                    <w:rPr>
                      <w:rFonts w:hint="eastAsia" w:ascii="Times New Roman" w:hAnsi="Times New Roman" w:cs="Times New Roman"/>
                      <w:color w:val="auto"/>
                      <w:sz w:val="21"/>
                      <w:szCs w:val="21"/>
                      <w:lang w:val="en-US" w:eastAsia="zh-CN"/>
                    </w:rPr>
                    <w:t>厂家</w:t>
                  </w:r>
                  <w:r>
                    <w:rPr>
                      <w:rFonts w:hint="default" w:ascii="Times New Roman" w:hAnsi="Times New Roman" w:cs="Times New Roman"/>
                      <w:color w:val="auto"/>
                      <w:sz w:val="21"/>
                      <w:szCs w:val="21"/>
                    </w:rPr>
                    <w:t>回收处置；箱变事故废油进入设置</w:t>
                  </w:r>
                  <w:r>
                    <w:rPr>
                      <w:rFonts w:hint="eastAsia" w:ascii="Times New Roman" w:hAnsi="Times New Roman" w:cs="Times New Roman"/>
                      <w:color w:val="auto"/>
                      <w:sz w:val="21"/>
                      <w:szCs w:val="21"/>
                      <w:lang w:val="en-US" w:eastAsia="zh-CN"/>
                    </w:rPr>
                    <w:t>在下方</w:t>
                  </w:r>
                  <w:r>
                    <w:rPr>
                      <w:rFonts w:hint="default" w:ascii="Times New Roman" w:hAnsi="Times New Roman" w:cs="Times New Roman"/>
                      <w:color w:val="auto"/>
                      <w:sz w:val="21"/>
                      <w:szCs w:val="21"/>
                    </w:rPr>
                    <w:t>的事故贮油坑，</w:t>
                  </w:r>
                  <w:r>
                    <w:rPr>
                      <w:rFonts w:hint="default" w:ascii="Times New Roman" w:hAnsi="Times New Roman" w:cs="Times New Roman"/>
                      <w:color w:val="auto"/>
                      <w:sz w:val="21"/>
                      <w:szCs w:val="21"/>
                      <w:highlight w:val="none"/>
                    </w:rPr>
                    <w:t>每个事故储油池有效容积为</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3</w:t>
                  </w:r>
                  <w:r>
                    <w:rPr>
                      <w:rFonts w:hint="eastAsia" w:ascii="Times New Roman" w:hAnsi="Times New Roman" w:cs="Times New Roman"/>
                      <w:color w:val="auto"/>
                      <w:sz w:val="21"/>
                      <w:szCs w:val="21"/>
                      <w:highlight w:val="none"/>
                      <w:vertAlign w:val="baseline"/>
                      <w:lang w:eastAsia="zh-CN"/>
                    </w:rPr>
                    <w:t>（</w:t>
                  </w:r>
                  <w:r>
                    <w:rPr>
                      <w:rFonts w:hint="eastAsia" w:ascii="Times New Roman" w:hAnsi="Times New Roman" w:cs="Times New Roman"/>
                      <w:color w:val="auto"/>
                      <w:sz w:val="21"/>
                      <w:szCs w:val="21"/>
                      <w:highlight w:val="none"/>
                      <w:vertAlign w:val="baseline"/>
                      <w:lang w:val="en-US" w:eastAsia="zh-CN"/>
                    </w:rPr>
                    <w:t>共计209个</w:t>
                  </w:r>
                  <w:r>
                    <w:rPr>
                      <w:rFonts w:hint="eastAsia" w:ascii="Times New Roman" w:hAnsi="Times New Roman" w:cs="Times New Roman"/>
                      <w:color w:val="auto"/>
                      <w:sz w:val="21"/>
                      <w:szCs w:val="21"/>
                      <w:highlight w:val="none"/>
                      <w:vertAlign w:val="baseline"/>
                      <w:lang w:eastAsia="zh-CN"/>
                    </w:rPr>
                    <w:t>）</w:t>
                  </w:r>
                  <w:r>
                    <w:rPr>
                      <w:rFonts w:hint="eastAsia" w:ascii="Times New Roman" w:hAnsi="Times New Roman" w:cs="Times New Roman"/>
                      <w:color w:val="auto"/>
                      <w:sz w:val="21"/>
                      <w:szCs w:val="21"/>
                      <w:highlight w:val="none"/>
                      <w:vertAlign w:val="baseline"/>
                      <w:lang w:val="en-US" w:eastAsia="zh-CN"/>
                    </w:rPr>
                    <w:t>事故贮油坑按照《危险废物贮存污染控制标准》（GB18597-2023）防渗要求进行建设</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rPr>
                    <w:t>然后将收集的废变压器油</w:t>
                  </w:r>
                  <w:r>
                    <w:rPr>
                      <w:rFonts w:hint="eastAsia" w:ascii="Times New Roman" w:hAnsi="Times New Roman" w:cs="Times New Roman"/>
                      <w:color w:val="auto"/>
                      <w:sz w:val="21"/>
                      <w:szCs w:val="21"/>
                      <w:lang w:val="en-US" w:eastAsia="zh-CN"/>
                    </w:rPr>
                    <w:t>暂存于220kV升压站危废暂存点定期</w:t>
                  </w:r>
                  <w:r>
                    <w:rPr>
                      <w:rFonts w:hint="default" w:ascii="Times New Roman" w:hAnsi="Times New Roman" w:cs="Times New Roman"/>
                      <w:color w:val="auto"/>
                      <w:sz w:val="21"/>
                      <w:szCs w:val="21"/>
                    </w:rPr>
                    <w:t>交由有危险废物处理资质的单位处置</w:t>
                  </w:r>
                </w:p>
              </w:tc>
            </w:tr>
            <w:tr w14:paraId="51795C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restart"/>
                  <w:tcBorders>
                    <w:tl2br w:val="nil"/>
                    <w:tr2bl w:val="nil"/>
                  </w:tcBorders>
                  <w:noWrap w:val="0"/>
                  <w:vAlign w:val="center"/>
                </w:tcPr>
                <w:p w14:paraId="06F3FACB">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临时工程</w:t>
                  </w:r>
                </w:p>
              </w:tc>
              <w:tc>
                <w:tcPr>
                  <w:tcW w:w="1180" w:type="dxa"/>
                  <w:gridSpan w:val="2"/>
                  <w:tcBorders>
                    <w:tl2br w:val="nil"/>
                    <w:tr2bl w:val="nil"/>
                  </w:tcBorders>
                  <w:noWrap w:val="0"/>
                  <w:vAlign w:val="center"/>
                </w:tcPr>
                <w:p w14:paraId="11EF0F94">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施工生活区</w:t>
                  </w:r>
                </w:p>
              </w:tc>
              <w:tc>
                <w:tcPr>
                  <w:tcW w:w="6213" w:type="dxa"/>
                  <w:tcBorders>
                    <w:tl2br w:val="nil"/>
                    <w:tr2bl w:val="nil"/>
                  </w:tcBorders>
                  <w:noWrap w:val="0"/>
                  <w:vAlign w:val="center"/>
                </w:tcPr>
                <w:p w14:paraId="3879BEE1">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w:t>
                  </w:r>
                  <w:r>
                    <w:rPr>
                      <w:rFonts w:hint="eastAsia" w:ascii="Times New Roman" w:hAnsi="Times New Roman" w:cs="Times New Roman"/>
                      <w:color w:val="auto"/>
                      <w:sz w:val="21"/>
                      <w:szCs w:val="21"/>
                      <w:lang w:val="en-US" w:eastAsia="zh-CN"/>
                    </w:rPr>
                    <w:t>临时生活区</w:t>
                  </w:r>
                  <w:r>
                    <w:rPr>
                      <w:rFonts w:hint="default" w:ascii="Times New Roman" w:hAnsi="Times New Roman" w:cs="Times New Roman"/>
                      <w:color w:val="auto"/>
                      <w:sz w:val="21"/>
                      <w:szCs w:val="21"/>
                    </w:rPr>
                    <w:t>占地面积</w:t>
                  </w:r>
                  <w:r>
                    <w:rPr>
                      <w:rFonts w:hint="eastAsia" w:ascii="Times New Roman" w:hAnsi="Times New Roman" w:cs="Times New Roman"/>
                      <w:color w:val="auto"/>
                      <w:sz w:val="21"/>
                      <w:szCs w:val="21"/>
                      <w:lang w:val="en-US" w:eastAsia="zh-CN"/>
                    </w:rPr>
                    <w:t>15</w:t>
                  </w:r>
                  <w:r>
                    <w:rPr>
                      <w:rFonts w:hint="default" w:ascii="Times New Roman" w:hAnsi="Times New Roman" w:cs="Times New Roman"/>
                      <w:color w:val="auto"/>
                      <w:sz w:val="21"/>
                      <w:szCs w:val="21"/>
                    </w:rPr>
                    <w:t>000m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，包含施工单位办公区</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占地在永久占地范围内</w:t>
                  </w:r>
                </w:p>
              </w:tc>
            </w:tr>
            <w:tr w14:paraId="16760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dxa"/>
                  <w:vMerge w:val="continue"/>
                  <w:tcBorders>
                    <w:tl2br w:val="nil"/>
                    <w:tr2bl w:val="nil"/>
                  </w:tcBorders>
                  <w:noWrap w:val="0"/>
                  <w:vAlign w:val="center"/>
                </w:tcPr>
                <w:p w14:paraId="4C552D85">
                  <w:pPr>
                    <w:keepNext w:val="0"/>
                    <w:keepLines w:val="0"/>
                    <w:pageBreakBefore w:val="0"/>
                    <w:suppressLineNumbers w:val="0"/>
                    <w:kinsoku/>
                    <w:wordWrap/>
                    <w:overflowPunct/>
                    <w:topLinePunct w:val="0"/>
                    <w:bidi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p>
              </w:tc>
              <w:tc>
                <w:tcPr>
                  <w:tcW w:w="1180" w:type="dxa"/>
                  <w:gridSpan w:val="2"/>
                  <w:tcBorders>
                    <w:tl2br w:val="nil"/>
                    <w:tr2bl w:val="nil"/>
                  </w:tcBorders>
                  <w:noWrap w:val="0"/>
                  <w:vAlign w:val="center"/>
                </w:tcPr>
                <w:p w14:paraId="4D71A325">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综合加工及综合仓库</w:t>
                  </w:r>
                </w:p>
              </w:tc>
              <w:tc>
                <w:tcPr>
                  <w:tcW w:w="6213" w:type="dxa"/>
                  <w:tcBorders>
                    <w:tl2br w:val="nil"/>
                    <w:tr2bl w:val="nil"/>
                  </w:tcBorders>
                  <w:noWrap w:val="0"/>
                  <w:vAlign w:val="center"/>
                </w:tcPr>
                <w:p w14:paraId="6A48B84E">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综合加工包括钢结构加工及机械停放场地，占地面积</w:t>
                  </w:r>
                  <w:r>
                    <w:rPr>
                      <w:rFonts w:hint="eastAsia"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000m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；综合仓库包括电池组件、组件支架、机电设备、钢筋等堆放场地，占地面积</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000m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，占地在永久占地范围内</w:t>
                  </w:r>
                </w:p>
              </w:tc>
            </w:tr>
          </w:tbl>
          <w:p w14:paraId="028DAA0B">
            <w:pPr>
              <w:pStyle w:val="46"/>
              <w:keepNext w:val="0"/>
              <w:keepLines w:val="0"/>
              <w:suppressLineNumbers w:val="0"/>
              <w:spacing w:before="0" w:beforeAutospacing="0" w:after="0" w:afterAutospacing="0"/>
              <w:ind w:left="0" w:right="0"/>
              <w:rPr>
                <w:rFonts w:hint="default" w:ascii="Times New Roman" w:hAnsi="Times New Roman" w:cs="Times New Roman"/>
                <w:color w:val="auto"/>
              </w:rPr>
            </w:pPr>
          </w:p>
          <w:p w14:paraId="74D2B035">
            <w:pPr>
              <w:pStyle w:val="45"/>
              <w:keepNext w:val="0"/>
              <w:keepLines w:val="0"/>
              <w:suppressLineNumbers w:val="0"/>
              <w:spacing w:before="0" w:beforeAutospacing="0" w:after="0" w:afterAutospacing="0" w:line="240" w:lineRule="auto"/>
              <w:ind w:left="0" w:right="0" w:firstLine="420"/>
              <w:rPr>
                <w:rFonts w:hint="default" w:ascii="Times New Roman" w:hAnsi="Times New Roman" w:eastAsia="黑体" w:cs="Times New Roman"/>
                <w:color w:val="auto"/>
                <w:sz w:val="21"/>
                <w:lang w:bidi="en-US"/>
              </w:rPr>
            </w:pPr>
            <w:r>
              <w:rPr>
                <w:rFonts w:hint="default" w:ascii="Times New Roman" w:hAnsi="Times New Roman" w:eastAsia="黑体" w:cs="Times New Roman"/>
                <w:color w:val="auto"/>
                <w:sz w:val="21"/>
                <w:lang w:bidi="en-US"/>
              </w:rPr>
              <w:t>表2-2                  本项目拐点坐标表</w:t>
            </w:r>
          </w:p>
          <w:tbl>
            <w:tblPr>
              <w:tblStyle w:val="29"/>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45"/>
              <w:gridCol w:w="3435"/>
              <w:gridCol w:w="3402"/>
            </w:tblGrid>
            <w:tr w14:paraId="480FC7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335C1722">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序号</w:t>
                  </w:r>
                </w:p>
              </w:tc>
              <w:tc>
                <w:tcPr>
                  <w:tcW w:w="2124" w:type="pct"/>
                  <w:tcBorders>
                    <w:tl2br w:val="nil"/>
                    <w:tr2bl w:val="nil"/>
                  </w:tcBorders>
                  <w:noWrap/>
                  <w:tcMar>
                    <w:top w:w="15" w:type="dxa"/>
                    <w:left w:w="15" w:type="dxa"/>
                    <w:right w:w="15" w:type="dxa"/>
                  </w:tcMar>
                  <w:vAlign w:val="center"/>
                </w:tcPr>
                <w:p w14:paraId="311A375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1"/>
                      <w:szCs w:val="21"/>
                      <w:lang w:val="en-US" w:eastAsia="zh-CN" w:bidi="ar"/>
                    </w:rPr>
                    <w:t>X坐标（m）</w:t>
                  </w:r>
                </w:p>
              </w:tc>
              <w:tc>
                <w:tcPr>
                  <w:tcW w:w="2104" w:type="pct"/>
                  <w:tcBorders>
                    <w:tl2br w:val="nil"/>
                    <w:tr2bl w:val="nil"/>
                  </w:tcBorders>
                  <w:noWrap/>
                  <w:tcMar>
                    <w:top w:w="15" w:type="dxa"/>
                    <w:left w:w="15" w:type="dxa"/>
                    <w:right w:w="15" w:type="dxa"/>
                  </w:tcMar>
                  <w:vAlign w:val="center"/>
                </w:tcPr>
                <w:p w14:paraId="0C23F74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Y坐标（m）</w:t>
                  </w:r>
                </w:p>
              </w:tc>
            </w:tr>
            <w:tr w14:paraId="28370F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103360ED">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w:t>
                  </w:r>
                </w:p>
              </w:tc>
              <w:tc>
                <w:tcPr>
                  <w:tcW w:w="3435" w:type="dxa"/>
                  <w:tcBorders>
                    <w:tl2br w:val="nil"/>
                    <w:tr2bl w:val="nil"/>
                  </w:tcBorders>
                  <w:noWrap/>
                  <w:tcMar>
                    <w:top w:w="15" w:type="dxa"/>
                    <w:left w:w="15" w:type="dxa"/>
                    <w:right w:w="15" w:type="dxa"/>
                  </w:tcMar>
                  <w:vAlign w:val="center"/>
                </w:tcPr>
                <w:p w14:paraId="1679D84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5022325.244</w:t>
                  </w:r>
                </w:p>
              </w:tc>
              <w:tc>
                <w:tcPr>
                  <w:tcW w:w="3402" w:type="dxa"/>
                  <w:tcBorders>
                    <w:tl2br w:val="nil"/>
                    <w:tr2bl w:val="nil"/>
                  </w:tcBorders>
                  <w:noWrap/>
                  <w:tcMar>
                    <w:top w:w="15" w:type="dxa"/>
                    <w:left w:w="15" w:type="dxa"/>
                    <w:right w:w="15" w:type="dxa"/>
                  </w:tcMar>
                  <w:vAlign w:val="center"/>
                </w:tcPr>
                <w:p w14:paraId="59BF038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29435541.154</w:t>
                  </w:r>
                </w:p>
              </w:tc>
            </w:tr>
            <w:tr w14:paraId="012057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62025710">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w:t>
                  </w:r>
                </w:p>
              </w:tc>
              <w:tc>
                <w:tcPr>
                  <w:tcW w:w="3435" w:type="dxa"/>
                  <w:tcBorders>
                    <w:tl2br w:val="nil"/>
                    <w:tr2bl w:val="nil"/>
                  </w:tcBorders>
                  <w:noWrap/>
                  <w:tcMar>
                    <w:top w:w="15" w:type="dxa"/>
                    <w:left w:w="15" w:type="dxa"/>
                    <w:right w:w="15" w:type="dxa"/>
                  </w:tcMar>
                  <w:vAlign w:val="center"/>
                </w:tcPr>
                <w:p w14:paraId="6C22BA0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5022325.244</w:t>
                  </w:r>
                </w:p>
              </w:tc>
              <w:tc>
                <w:tcPr>
                  <w:tcW w:w="3402" w:type="dxa"/>
                  <w:tcBorders>
                    <w:tl2br w:val="nil"/>
                    <w:tr2bl w:val="nil"/>
                  </w:tcBorders>
                  <w:noWrap/>
                  <w:tcMar>
                    <w:top w:w="15" w:type="dxa"/>
                    <w:left w:w="15" w:type="dxa"/>
                    <w:right w:w="15" w:type="dxa"/>
                  </w:tcMar>
                  <w:vAlign w:val="center"/>
                </w:tcPr>
                <w:p w14:paraId="2EED595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29438923.575</w:t>
                  </w:r>
                </w:p>
              </w:tc>
            </w:tr>
            <w:tr w14:paraId="4BA72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5572310F">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3</w:t>
                  </w:r>
                </w:p>
              </w:tc>
              <w:tc>
                <w:tcPr>
                  <w:tcW w:w="3435" w:type="dxa"/>
                  <w:tcBorders>
                    <w:tl2br w:val="nil"/>
                    <w:tr2bl w:val="nil"/>
                  </w:tcBorders>
                  <w:noWrap/>
                  <w:tcMar>
                    <w:top w:w="15" w:type="dxa"/>
                    <w:left w:w="15" w:type="dxa"/>
                    <w:right w:w="15" w:type="dxa"/>
                  </w:tcMar>
                  <w:vAlign w:val="center"/>
                </w:tcPr>
                <w:p w14:paraId="56CE5E2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5020995.525</w:t>
                  </w:r>
                </w:p>
              </w:tc>
              <w:tc>
                <w:tcPr>
                  <w:tcW w:w="3402" w:type="dxa"/>
                  <w:tcBorders>
                    <w:tl2br w:val="nil"/>
                    <w:tr2bl w:val="nil"/>
                  </w:tcBorders>
                  <w:noWrap/>
                  <w:tcMar>
                    <w:top w:w="15" w:type="dxa"/>
                    <w:left w:w="15" w:type="dxa"/>
                    <w:right w:w="15" w:type="dxa"/>
                  </w:tcMar>
                  <w:vAlign w:val="center"/>
                </w:tcPr>
                <w:p w14:paraId="3161C8E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29440580.611</w:t>
                  </w:r>
                </w:p>
              </w:tc>
            </w:tr>
            <w:tr w14:paraId="467B5E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51A7D640">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4</w:t>
                  </w:r>
                </w:p>
              </w:tc>
              <w:tc>
                <w:tcPr>
                  <w:tcW w:w="3435" w:type="dxa"/>
                  <w:tcBorders>
                    <w:tl2br w:val="nil"/>
                    <w:tr2bl w:val="nil"/>
                  </w:tcBorders>
                  <w:noWrap/>
                  <w:tcMar>
                    <w:top w:w="15" w:type="dxa"/>
                    <w:left w:w="15" w:type="dxa"/>
                    <w:right w:w="15" w:type="dxa"/>
                  </w:tcMar>
                  <w:vAlign w:val="center"/>
                </w:tcPr>
                <w:p w14:paraId="6EE5B2B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5020900.216</w:t>
                  </w:r>
                </w:p>
              </w:tc>
              <w:tc>
                <w:tcPr>
                  <w:tcW w:w="3402" w:type="dxa"/>
                  <w:tcBorders>
                    <w:tl2br w:val="nil"/>
                    <w:tr2bl w:val="nil"/>
                  </w:tcBorders>
                  <w:noWrap/>
                  <w:tcMar>
                    <w:top w:w="15" w:type="dxa"/>
                    <w:left w:w="15" w:type="dxa"/>
                    <w:right w:w="15" w:type="dxa"/>
                  </w:tcMar>
                  <w:vAlign w:val="center"/>
                </w:tcPr>
                <w:p w14:paraId="0ADA57D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29440580.611</w:t>
                  </w:r>
                </w:p>
              </w:tc>
            </w:tr>
            <w:tr w14:paraId="227AC0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0D45460C">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5</w:t>
                  </w:r>
                </w:p>
              </w:tc>
              <w:tc>
                <w:tcPr>
                  <w:tcW w:w="3435" w:type="dxa"/>
                  <w:tcBorders>
                    <w:tl2br w:val="nil"/>
                    <w:tr2bl w:val="nil"/>
                  </w:tcBorders>
                  <w:noWrap/>
                  <w:tcMar>
                    <w:top w:w="15" w:type="dxa"/>
                    <w:left w:w="15" w:type="dxa"/>
                    <w:right w:w="15" w:type="dxa"/>
                  </w:tcMar>
                  <w:vAlign w:val="center"/>
                </w:tcPr>
                <w:p w14:paraId="13A6FA5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5020586.744</w:t>
                  </w:r>
                </w:p>
              </w:tc>
              <w:tc>
                <w:tcPr>
                  <w:tcW w:w="3402" w:type="dxa"/>
                  <w:tcBorders>
                    <w:tl2br w:val="nil"/>
                    <w:tr2bl w:val="nil"/>
                  </w:tcBorders>
                  <w:noWrap/>
                  <w:tcMar>
                    <w:top w:w="15" w:type="dxa"/>
                    <w:left w:w="15" w:type="dxa"/>
                    <w:right w:w="15" w:type="dxa"/>
                  </w:tcMar>
                  <w:vAlign w:val="center"/>
                </w:tcPr>
                <w:p w14:paraId="2A4DC85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29441211.783</w:t>
                  </w:r>
                </w:p>
              </w:tc>
            </w:tr>
            <w:tr w14:paraId="0225F8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10AF832E">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6</w:t>
                  </w:r>
                </w:p>
              </w:tc>
              <w:tc>
                <w:tcPr>
                  <w:tcW w:w="3435" w:type="dxa"/>
                  <w:tcBorders>
                    <w:tl2br w:val="nil"/>
                    <w:tr2bl w:val="nil"/>
                  </w:tcBorders>
                  <w:noWrap/>
                  <w:tcMar>
                    <w:top w:w="15" w:type="dxa"/>
                    <w:left w:w="15" w:type="dxa"/>
                    <w:right w:w="15" w:type="dxa"/>
                  </w:tcMar>
                  <w:vAlign w:val="center"/>
                </w:tcPr>
                <w:p w14:paraId="2990ED0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5020586.744</w:t>
                  </w:r>
                </w:p>
              </w:tc>
              <w:tc>
                <w:tcPr>
                  <w:tcW w:w="3402" w:type="dxa"/>
                  <w:tcBorders>
                    <w:tl2br w:val="nil"/>
                    <w:tr2bl w:val="nil"/>
                  </w:tcBorders>
                  <w:noWrap/>
                  <w:tcMar>
                    <w:top w:w="15" w:type="dxa"/>
                    <w:left w:w="15" w:type="dxa"/>
                    <w:right w:w="15" w:type="dxa"/>
                  </w:tcMar>
                  <w:vAlign w:val="center"/>
                </w:tcPr>
                <w:p w14:paraId="745D15E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29441606.570</w:t>
                  </w:r>
                </w:p>
              </w:tc>
            </w:tr>
            <w:tr w14:paraId="0AFB6C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4AA1FABB">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7</w:t>
                  </w:r>
                </w:p>
              </w:tc>
              <w:tc>
                <w:tcPr>
                  <w:tcW w:w="3435" w:type="dxa"/>
                  <w:tcBorders>
                    <w:tl2br w:val="nil"/>
                    <w:tr2bl w:val="nil"/>
                  </w:tcBorders>
                  <w:noWrap/>
                  <w:tcMar>
                    <w:top w:w="15" w:type="dxa"/>
                    <w:left w:w="15" w:type="dxa"/>
                    <w:right w:w="15" w:type="dxa"/>
                  </w:tcMar>
                  <w:vAlign w:val="center"/>
                </w:tcPr>
                <w:p w14:paraId="260D977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5021329.490</w:t>
                  </w:r>
                </w:p>
              </w:tc>
              <w:tc>
                <w:tcPr>
                  <w:tcW w:w="3402" w:type="dxa"/>
                  <w:tcBorders>
                    <w:tl2br w:val="nil"/>
                    <w:tr2bl w:val="nil"/>
                  </w:tcBorders>
                  <w:noWrap/>
                  <w:tcMar>
                    <w:top w:w="15" w:type="dxa"/>
                    <w:left w:w="15" w:type="dxa"/>
                    <w:right w:w="15" w:type="dxa"/>
                  </w:tcMar>
                  <w:vAlign w:val="center"/>
                </w:tcPr>
                <w:p w14:paraId="7C8D0EC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29441606.570</w:t>
                  </w:r>
                </w:p>
              </w:tc>
            </w:tr>
            <w:tr w14:paraId="2A455D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1223A63F">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8</w:t>
                  </w:r>
                </w:p>
              </w:tc>
              <w:tc>
                <w:tcPr>
                  <w:tcW w:w="3435" w:type="dxa"/>
                  <w:tcBorders>
                    <w:tl2br w:val="nil"/>
                    <w:tr2bl w:val="nil"/>
                  </w:tcBorders>
                  <w:noWrap/>
                  <w:tcMar>
                    <w:top w:w="15" w:type="dxa"/>
                    <w:left w:w="15" w:type="dxa"/>
                    <w:right w:w="15" w:type="dxa"/>
                  </w:tcMar>
                  <w:vAlign w:val="center"/>
                </w:tcPr>
                <w:p w14:paraId="61FEBDE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5021639.244</w:t>
                  </w:r>
                </w:p>
              </w:tc>
              <w:tc>
                <w:tcPr>
                  <w:tcW w:w="3402" w:type="dxa"/>
                  <w:tcBorders>
                    <w:tl2br w:val="nil"/>
                    <w:tr2bl w:val="nil"/>
                  </w:tcBorders>
                  <w:noWrap/>
                  <w:tcMar>
                    <w:top w:w="15" w:type="dxa"/>
                    <w:left w:w="15" w:type="dxa"/>
                    <w:right w:w="15" w:type="dxa"/>
                  </w:tcMar>
                  <w:vAlign w:val="center"/>
                </w:tcPr>
                <w:p w14:paraId="0B8A81B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29441996.064</w:t>
                  </w:r>
                </w:p>
              </w:tc>
            </w:tr>
            <w:tr w14:paraId="396284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1DCD2F2D">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9</w:t>
                  </w:r>
                </w:p>
              </w:tc>
              <w:tc>
                <w:tcPr>
                  <w:tcW w:w="3435" w:type="dxa"/>
                  <w:tcBorders>
                    <w:tl2br w:val="nil"/>
                    <w:tr2bl w:val="nil"/>
                  </w:tcBorders>
                  <w:noWrap/>
                  <w:tcMar>
                    <w:top w:w="15" w:type="dxa"/>
                    <w:left w:w="15" w:type="dxa"/>
                    <w:right w:w="15" w:type="dxa"/>
                  </w:tcMar>
                  <w:vAlign w:val="center"/>
                </w:tcPr>
                <w:p w14:paraId="6569A791">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5021639.244</w:t>
                  </w:r>
                </w:p>
              </w:tc>
              <w:tc>
                <w:tcPr>
                  <w:tcW w:w="3402" w:type="dxa"/>
                  <w:tcBorders>
                    <w:tl2br w:val="nil"/>
                    <w:tr2bl w:val="nil"/>
                  </w:tcBorders>
                  <w:noWrap/>
                  <w:tcMar>
                    <w:top w:w="15" w:type="dxa"/>
                    <w:left w:w="15" w:type="dxa"/>
                    <w:right w:w="15" w:type="dxa"/>
                  </w:tcMar>
                  <w:vAlign w:val="center"/>
                </w:tcPr>
                <w:p w14:paraId="64852D9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29442821.322</w:t>
                  </w:r>
                </w:p>
              </w:tc>
            </w:tr>
            <w:tr w14:paraId="544E2D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10CAD959">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10</w:t>
                  </w:r>
                </w:p>
              </w:tc>
              <w:tc>
                <w:tcPr>
                  <w:tcW w:w="3435" w:type="dxa"/>
                  <w:tcBorders>
                    <w:tl2br w:val="nil"/>
                    <w:tr2bl w:val="nil"/>
                  </w:tcBorders>
                  <w:noWrap/>
                  <w:tcMar>
                    <w:top w:w="15" w:type="dxa"/>
                    <w:left w:w="15" w:type="dxa"/>
                    <w:right w:w="15" w:type="dxa"/>
                  </w:tcMar>
                  <w:vAlign w:val="center"/>
                </w:tcPr>
                <w:p w14:paraId="7D2E827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5021418.370</w:t>
                  </w:r>
                </w:p>
              </w:tc>
              <w:tc>
                <w:tcPr>
                  <w:tcW w:w="3402" w:type="dxa"/>
                  <w:tcBorders>
                    <w:tl2br w:val="nil"/>
                    <w:tr2bl w:val="nil"/>
                  </w:tcBorders>
                  <w:noWrap/>
                  <w:tcMar>
                    <w:top w:w="15" w:type="dxa"/>
                    <w:left w:w="15" w:type="dxa"/>
                    <w:right w:w="15" w:type="dxa"/>
                  </w:tcMar>
                  <w:vAlign w:val="center"/>
                </w:tcPr>
                <w:p w14:paraId="0AD2726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29442821.322</w:t>
                  </w:r>
                </w:p>
              </w:tc>
            </w:tr>
            <w:tr w14:paraId="620C72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07A64A91">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11</w:t>
                  </w:r>
                </w:p>
              </w:tc>
              <w:tc>
                <w:tcPr>
                  <w:tcW w:w="3435" w:type="dxa"/>
                  <w:tcBorders>
                    <w:tl2br w:val="nil"/>
                    <w:tr2bl w:val="nil"/>
                  </w:tcBorders>
                  <w:noWrap/>
                  <w:tcMar>
                    <w:top w:w="15" w:type="dxa"/>
                    <w:left w:w="15" w:type="dxa"/>
                    <w:right w:w="15" w:type="dxa"/>
                  </w:tcMar>
                  <w:vAlign w:val="center"/>
                </w:tcPr>
                <w:p w14:paraId="5956397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5021418.370</w:t>
                  </w:r>
                </w:p>
              </w:tc>
              <w:tc>
                <w:tcPr>
                  <w:tcW w:w="3402" w:type="dxa"/>
                  <w:tcBorders>
                    <w:tl2br w:val="nil"/>
                    <w:tr2bl w:val="nil"/>
                  </w:tcBorders>
                  <w:noWrap/>
                  <w:tcMar>
                    <w:top w:w="15" w:type="dxa"/>
                    <w:left w:w="15" w:type="dxa"/>
                    <w:right w:w="15" w:type="dxa"/>
                  </w:tcMar>
                  <w:vAlign w:val="center"/>
                </w:tcPr>
                <w:p w14:paraId="3A2E5B5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29443887.862</w:t>
                  </w:r>
                </w:p>
              </w:tc>
            </w:tr>
            <w:tr w14:paraId="5C3C9A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2070C64E">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12</w:t>
                  </w:r>
                </w:p>
              </w:tc>
              <w:tc>
                <w:tcPr>
                  <w:tcW w:w="3435" w:type="dxa"/>
                  <w:tcBorders>
                    <w:tl2br w:val="nil"/>
                    <w:tr2bl w:val="nil"/>
                  </w:tcBorders>
                  <w:noWrap/>
                  <w:tcMar>
                    <w:top w:w="15" w:type="dxa"/>
                    <w:left w:w="15" w:type="dxa"/>
                    <w:right w:w="15" w:type="dxa"/>
                  </w:tcMar>
                  <w:vAlign w:val="center"/>
                </w:tcPr>
                <w:p w14:paraId="56B91DC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5020035.375</w:t>
                  </w:r>
                </w:p>
              </w:tc>
              <w:tc>
                <w:tcPr>
                  <w:tcW w:w="3402" w:type="dxa"/>
                  <w:tcBorders>
                    <w:tl2br w:val="nil"/>
                    <w:tr2bl w:val="nil"/>
                  </w:tcBorders>
                  <w:noWrap/>
                  <w:tcMar>
                    <w:top w:w="15" w:type="dxa"/>
                    <w:left w:w="15" w:type="dxa"/>
                    <w:right w:w="15" w:type="dxa"/>
                  </w:tcMar>
                  <w:vAlign w:val="center"/>
                </w:tcPr>
                <w:p w14:paraId="14D319E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29443887.862</w:t>
                  </w:r>
                </w:p>
              </w:tc>
            </w:tr>
            <w:tr w14:paraId="2FC30E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4AA3DBB1">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13</w:t>
                  </w:r>
                </w:p>
              </w:tc>
              <w:tc>
                <w:tcPr>
                  <w:tcW w:w="3435" w:type="dxa"/>
                  <w:tcBorders>
                    <w:tl2br w:val="nil"/>
                    <w:tr2bl w:val="nil"/>
                  </w:tcBorders>
                  <w:noWrap/>
                  <w:tcMar>
                    <w:top w:w="15" w:type="dxa"/>
                    <w:left w:w="15" w:type="dxa"/>
                    <w:right w:w="15" w:type="dxa"/>
                  </w:tcMar>
                  <w:vAlign w:val="center"/>
                </w:tcPr>
                <w:p w14:paraId="38CA6ED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5020035.375</w:t>
                  </w:r>
                </w:p>
              </w:tc>
              <w:tc>
                <w:tcPr>
                  <w:tcW w:w="3402" w:type="dxa"/>
                  <w:tcBorders>
                    <w:tl2br w:val="nil"/>
                    <w:tr2bl w:val="nil"/>
                  </w:tcBorders>
                  <w:noWrap/>
                  <w:tcMar>
                    <w:top w:w="15" w:type="dxa"/>
                    <w:left w:w="15" w:type="dxa"/>
                    <w:right w:w="15" w:type="dxa"/>
                  </w:tcMar>
                  <w:vAlign w:val="center"/>
                </w:tcPr>
                <w:p w14:paraId="7824287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29442284.839</w:t>
                  </w:r>
                </w:p>
              </w:tc>
            </w:tr>
            <w:tr w14:paraId="3D89B3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3C36EE27">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14</w:t>
                  </w:r>
                </w:p>
              </w:tc>
              <w:tc>
                <w:tcPr>
                  <w:tcW w:w="3435" w:type="dxa"/>
                  <w:tcBorders>
                    <w:tl2br w:val="nil"/>
                    <w:tr2bl w:val="nil"/>
                  </w:tcBorders>
                  <w:noWrap/>
                  <w:tcMar>
                    <w:top w:w="15" w:type="dxa"/>
                    <w:left w:w="15" w:type="dxa"/>
                    <w:right w:w="15" w:type="dxa"/>
                  </w:tcMar>
                  <w:vAlign w:val="center"/>
                </w:tcPr>
                <w:p w14:paraId="2419B0B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5020164.249</w:t>
                  </w:r>
                </w:p>
              </w:tc>
              <w:tc>
                <w:tcPr>
                  <w:tcW w:w="3402" w:type="dxa"/>
                  <w:tcBorders>
                    <w:tl2br w:val="nil"/>
                    <w:tr2bl w:val="nil"/>
                  </w:tcBorders>
                  <w:noWrap/>
                  <w:tcMar>
                    <w:top w:w="15" w:type="dxa"/>
                    <w:left w:w="15" w:type="dxa"/>
                    <w:right w:w="15" w:type="dxa"/>
                  </w:tcMar>
                  <w:vAlign w:val="center"/>
                </w:tcPr>
                <w:p w14:paraId="72B1B1E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29442200.662</w:t>
                  </w:r>
                </w:p>
              </w:tc>
            </w:tr>
            <w:tr w14:paraId="6CD7F4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230653CB">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15</w:t>
                  </w:r>
                </w:p>
              </w:tc>
              <w:tc>
                <w:tcPr>
                  <w:tcW w:w="3435" w:type="dxa"/>
                  <w:tcBorders>
                    <w:tl2br w:val="nil"/>
                    <w:tr2bl w:val="nil"/>
                  </w:tcBorders>
                  <w:noWrap/>
                  <w:tcMar>
                    <w:top w:w="15" w:type="dxa"/>
                    <w:left w:w="15" w:type="dxa"/>
                    <w:right w:w="15" w:type="dxa"/>
                  </w:tcMar>
                  <w:vAlign w:val="center"/>
                </w:tcPr>
                <w:p w14:paraId="399F8C1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5020164.249</w:t>
                  </w:r>
                </w:p>
              </w:tc>
              <w:tc>
                <w:tcPr>
                  <w:tcW w:w="3402" w:type="dxa"/>
                  <w:tcBorders>
                    <w:tl2br w:val="nil"/>
                    <w:tr2bl w:val="nil"/>
                  </w:tcBorders>
                  <w:noWrap/>
                  <w:tcMar>
                    <w:top w:w="15" w:type="dxa"/>
                    <w:left w:w="15" w:type="dxa"/>
                    <w:right w:w="15" w:type="dxa"/>
                  </w:tcMar>
                  <w:vAlign w:val="center"/>
                </w:tcPr>
                <w:p w14:paraId="2DC5EED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29441625.770</w:t>
                  </w:r>
                </w:p>
              </w:tc>
            </w:tr>
            <w:tr w14:paraId="1E8EBD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585A796F">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16</w:t>
                  </w:r>
                </w:p>
              </w:tc>
              <w:tc>
                <w:tcPr>
                  <w:tcW w:w="3435" w:type="dxa"/>
                  <w:tcBorders>
                    <w:tl2br w:val="nil"/>
                    <w:tr2bl w:val="nil"/>
                  </w:tcBorders>
                  <w:noWrap/>
                  <w:tcMar>
                    <w:top w:w="15" w:type="dxa"/>
                    <w:left w:w="15" w:type="dxa"/>
                    <w:right w:w="15" w:type="dxa"/>
                  </w:tcMar>
                  <w:vAlign w:val="center"/>
                </w:tcPr>
                <w:p w14:paraId="1FAD8B6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5019596.875</w:t>
                  </w:r>
                </w:p>
              </w:tc>
              <w:tc>
                <w:tcPr>
                  <w:tcW w:w="3402" w:type="dxa"/>
                  <w:tcBorders>
                    <w:tl2br w:val="nil"/>
                    <w:tr2bl w:val="nil"/>
                  </w:tcBorders>
                  <w:noWrap/>
                  <w:tcMar>
                    <w:top w:w="15" w:type="dxa"/>
                    <w:left w:w="15" w:type="dxa"/>
                    <w:right w:w="15" w:type="dxa"/>
                  </w:tcMar>
                  <w:vAlign w:val="center"/>
                </w:tcPr>
                <w:p w14:paraId="73EA9CD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29441625.770</w:t>
                  </w:r>
                </w:p>
              </w:tc>
            </w:tr>
            <w:tr w14:paraId="0DD29A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73FBA8EA">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17</w:t>
                  </w:r>
                </w:p>
              </w:tc>
              <w:tc>
                <w:tcPr>
                  <w:tcW w:w="3435" w:type="dxa"/>
                  <w:tcBorders>
                    <w:tl2br w:val="nil"/>
                    <w:tr2bl w:val="nil"/>
                  </w:tcBorders>
                  <w:noWrap/>
                  <w:tcMar>
                    <w:top w:w="15" w:type="dxa"/>
                    <w:left w:w="15" w:type="dxa"/>
                    <w:right w:w="15" w:type="dxa"/>
                  </w:tcMar>
                  <w:vAlign w:val="center"/>
                </w:tcPr>
                <w:p w14:paraId="5AE1B86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5019596.875</w:t>
                  </w:r>
                </w:p>
              </w:tc>
              <w:tc>
                <w:tcPr>
                  <w:tcW w:w="3402" w:type="dxa"/>
                  <w:tcBorders>
                    <w:tl2br w:val="nil"/>
                    <w:tr2bl w:val="nil"/>
                  </w:tcBorders>
                  <w:noWrap/>
                  <w:tcMar>
                    <w:top w:w="15" w:type="dxa"/>
                    <w:left w:w="15" w:type="dxa"/>
                    <w:right w:w="15" w:type="dxa"/>
                  </w:tcMar>
                  <w:vAlign w:val="center"/>
                </w:tcPr>
                <w:p w14:paraId="35BD590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29441697.126</w:t>
                  </w:r>
                </w:p>
              </w:tc>
            </w:tr>
            <w:tr w14:paraId="51F348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5018EB69">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18</w:t>
                  </w:r>
                </w:p>
              </w:tc>
              <w:tc>
                <w:tcPr>
                  <w:tcW w:w="3435" w:type="dxa"/>
                  <w:tcBorders>
                    <w:tl2br w:val="nil"/>
                    <w:tr2bl w:val="nil"/>
                  </w:tcBorders>
                  <w:noWrap/>
                  <w:tcMar>
                    <w:top w:w="15" w:type="dxa"/>
                    <w:left w:w="15" w:type="dxa"/>
                    <w:right w:w="15" w:type="dxa"/>
                  </w:tcMar>
                  <w:vAlign w:val="center"/>
                </w:tcPr>
                <w:p w14:paraId="1230F2C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5018903.875</w:t>
                  </w:r>
                </w:p>
              </w:tc>
              <w:tc>
                <w:tcPr>
                  <w:tcW w:w="3402" w:type="dxa"/>
                  <w:tcBorders>
                    <w:tl2br w:val="nil"/>
                    <w:tr2bl w:val="nil"/>
                  </w:tcBorders>
                  <w:noWrap/>
                  <w:tcMar>
                    <w:top w:w="15" w:type="dxa"/>
                    <w:left w:w="15" w:type="dxa"/>
                    <w:right w:w="15" w:type="dxa"/>
                  </w:tcMar>
                  <w:vAlign w:val="center"/>
                </w:tcPr>
                <w:p w14:paraId="4636282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29441697.126</w:t>
                  </w:r>
                </w:p>
              </w:tc>
            </w:tr>
            <w:tr w14:paraId="17F4E0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5CD4C902">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19</w:t>
                  </w:r>
                </w:p>
              </w:tc>
              <w:tc>
                <w:tcPr>
                  <w:tcW w:w="3435" w:type="dxa"/>
                  <w:tcBorders>
                    <w:tl2br w:val="nil"/>
                    <w:tr2bl w:val="nil"/>
                  </w:tcBorders>
                  <w:noWrap/>
                  <w:tcMar>
                    <w:top w:w="15" w:type="dxa"/>
                    <w:left w:w="15" w:type="dxa"/>
                    <w:right w:w="15" w:type="dxa"/>
                  </w:tcMar>
                  <w:vAlign w:val="center"/>
                </w:tcPr>
                <w:p w14:paraId="6CC75EF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5018903.875</w:t>
                  </w:r>
                </w:p>
              </w:tc>
              <w:tc>
                <w:tcPr>
                  <w:tcW w:w="3402" w:type="dxa"/>
                  <w:tcBorders>
                    <w:tl2br w:val="nil"/>
                    <w:tr2bl w:val="nil"/>
                  </w:tcBorders>
                  <w:noWrap/>
                  <w:tcMar>
                    <w:top w:w="15" w:type="dxa"/>
                    <w:left w:w="15" w:type="dxa"/>
                    <w:right w:w="15" w:type="dxa"/>
                  </w:tcMar>
                  <w:vAlign w:val="center"/>
                </w:tcPr>
                <w:p w14:paraId="2F6ACA2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29441626.770</w:t>
                  </w:r>
                </w:p>
              </w:tc>
            </w:tr>
            <w:tr w14:paraId="52C3B2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1CCBC1B0">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20</w:t>
                  </w:r>
                </w:p>
              </w:tc>
              <w:tc>
                <w:tcPr>
                  <w:tcW w:w="3435" w:type="dxa"/>
                  <w:tcBorders>
                    <w:tl2br w:val="nil"/>
                    <w:tr2bl w:val="nil"/>
                  </w:tcBorders>
                  <w:noWrap/>
                  <w:tcMar>
                    <w:top w:w="15" w:type="dxa"/>
                    <w:left w:w="15" w:type="dxa"/>
                    <w:right w:w="15" w:type="dxa"/>
                  </w:tcMar>
                  <w:vAlign w:val="center"/>
                </w:tcPr>
                <w:p w14:paraId="5540F47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5018517.083</w:t>
                  </w:r>
                </w:p>
              </w:tc>
              <w:tc>
                <w:tcPr>
                  <w:tcW w:w="3402" w:type="dxa"/>
                  <w:tcBorders>
                    <w:tl2br w:val="nil"/>
                    <w:tr2bl w:val="nil"/>
                  </w:tcBorders>
                  <w:noWrap/>
                  <w:tcMar>
                    <w:top w:w="15" w:type="dxa"/>
                    <w:left w:w="15" w:type="dxa"/>
                    <w:right w:w="15" w:type="dxa"/>
                  </w:tcMar>
                  <w:vAlign w:val="center"/>
                </w:tcPr>
                <w:p w14:paraId="1924F9C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29441626.770</w:t>
                  </w:r>
                </w:p>
              </w:tc>
            </w:tr>
            <w:tr w14:paraId="2FEAB9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293CD1A3">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21</w:t>
                  </w:r>
                </w:p>
              </w:tc>
              <w:tc>
                <w:tcPr>
                  <w:tcW w:w="3435" w:type="dxa"/>
                  <w:tcBorders>
                    <w:tl2br w:val="nil"/>
                    <w:tr2bl w:val="nil"/>
                  </w:tcBorders>
                  <w:noWrap/>
                  <w:tcMar>
                    <w:top w:w="15" w:type="dxa"/>
                    <w:left w:w="15" w:type="dxa"/>
                    <w:right w:w="15" w:type="dxa"/>
                  </w:tcMar>
                  <w:vAlign w:val="center"/>
                </w:tcPr>
                <w:p w14:paraId="7D10CAE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5018517.083</w:t>
                  </w:r>
                </w:p>
              </w:tc>
              <w:tc>
                <w:tcPr>
                  <w:tcW w:w="3402" w:type="dxa"/>
                  <w:tcBorders>
                    <w:tl2br w:val="nil"/>
                    <w:tr2bl w:val="nil"/>
                  </w:tcBorders>
                  <w:noWrap/>
                  <w:tcMar>
                    <w:top w:w="15" w:type="dxa"/>
                    <w:left w:w="15" w:type="dxa"/>
                    <w:right w:w="15" w:type="dxa"/>
                  </w:tcMar>
                  <w:vAlign w:val="center"/>
                </w:tcPr>
                <w:p w14:paraId="453F460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29440923.516</w:t>
                  </w:r>
                </w:p>
              </w:tc>
            </w:tr>
            <w:tr w14:paraId="724DC4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1F85DF58">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22</w:t>
                  </w:r>
                </w:p>
              </w:tc>
              <w:tc>
                <w:tcPr>
                  <w:tcW w:w="3435" w:type="dxa"/>
                  <w:tcBorders>
                    <w:tl2br w:val="nil"/>
                    <w:tr2bl w:val="nil"/>
                  </w:tcBorders>
                  <w:noWrap/>
                  <w:tcMar>
                    <w:top w:w="15" w:type="dxa"/>
                    <w:left w:w="15" w:type="dxa"/>
                    <w:right w:w="15" w:type="dxa"/>
                  </w:tcMar>
                  <w:vAlign w:val="center"/>
                </w:tcPr>
                <w:p w14:paraId="0FB087F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5018462.375</w:t>
                  </w:r>
                </w:p>
              </w:tc>
              <w:tc>
                <w:tcPr>
                  <w:tcW w:w="3402" w:type="dxa"/>
                  <w:tcBorders>
                    <w:tl2br w:val="nil"/>
                    <w:tr2bl w:val="nil"/>
                  </w:tcBorders>
                  <w:noWrap/>
                  <w:tcMar>
                    <w:top w:w="15" w:type="dxa"/>
                    <w:left w:w="15" w:type="dxa"/>
                    <w:right w:w="15" w:type="dxa"/>
                  </w:tcMar>
                  <w:vAlign w:val="center"/>
                </w:tcPr>
                <w:p w14:paraId="063F14B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29440906.239</w:t>
                  </w:r>
                </w:p>
              </w:tc>
            </w:tr>
            <w:tr w14:paraId="1DD691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54E43572">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23</w:t>
                  </w:r>
                </w:p>
              </w:tc>
              <w:tc>
                <w:tcPr>
                  <w:tcW w:w="3435" w:type="dxa"/>
                  <w:tcBorders>
                    <w:tl2br w:val="nil"/>
                    <w:tr2bl w:val="nil"/>
                  </w:tcBorders>
                  <w:noWrap/>
                  <w:tcMar>
                    <w:top w:w="15" w:type="dxa"/>
                    <w:left w:w="15" w:type="dxa"/>
                    <w:right w:w="15" w:type="dxa"/>
                  </w:tcMar>
                  <w:vAlign w:val="center"/>
                </w:tcPr>
                <w:p w14:paraId="7E78154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5018462.375</w:t>
                  </w:r>
                </w:p>
              </w:tc>
              <w:tc>
                <w:tcPr>
                  <w:tcW w:w="3402" w:type="dxa"/>
                  <w:tcBorders>
                    <w:tl2br w:val="nil"/>
                    <w:tr2bl w:val="nil"/>
                  </w:tcBorders>
                  <w:noWrap/>
                  <w:tcMar>
                    <w:top w:w="15" w:type="dxa"/>
                    <w:left w:w="15" w:type="dxa"/>
                    <w:right w:w="15" w:type="dxa"/>
                  </w:tcMar>
                  <w:vAlign w:val="center"/>
                </w:tcPr>
                <w:p w14:paraId="4DDDE0A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29440339.609</w:t>
                  </w:r>
                </w:p>
              </w:tc>
            </w:tr>
            <w:tr w14:paraId="2706D6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558AAB95">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24</w:t>
                  </w:r>
                </w:p>
              </w:tc>
              <w:tc>
                <w:tcPr>
                  <w:tcW w:w="3435" w:type="dxa"/>
                  <w:tcBorders>
                    <w:tl2br w:val="nil"/>
                    <w:tr2bl w:val="nil"/>
                  </w:tcBorders>
                  <w:noWrap/>
                  <w:tcMar>
                    <w:top w:w="15" w:type="dxa"/>
                    <w:left w:w="15" w:type="dxa"/>
                    <w:right w:w="15" w:type="dxa"/>
                  </w:tcMar>
                  <w:vAlign w:val="center"/>
                </w:tcPr>
                <w:p w14:paraId="672D19E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5020025.548</w:t>
                  </w:r>
                </w:p>
              </w:tc>
              <w:tc>
                <w:tcPr>
                  <w:tcW w:w="3402" w:type="dxa"/>
                  <w:tcBorders>
                    <w:tl2br w:val="nil"/>
                    <w:tr2bl w:val="nil"/>
                  </w:tcBorders>
                  <w:noWrap/>
                  <w:tcMar>
                    <w:top w:w="15" w:type="dxa"/>
                    <w:left w:w="15" w:type="dxa"/>
                    <w:right w:w="15" w:type="dxa"/>
                  </w:tcMar>
                  <w:vAlign w:val="center"/>
                </w:tcPr>
                <w:p w14:paraId="21BF994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29439373.561</w:t>
                  </w:r>
                </w:p>
              </w:tc>
            </w:tr>
            <w:tr w14:paraId="5128E9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7A617C5B">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25</w:t>
                  </w:r>
                </w:p>
              </w:tc>
              <w:tc>
                <w:tcPr>
                  <w:tcW w:w="3435" w:type="dxa"/>
                  <w:tcBorders>
                    <w:tl2br w:val="nil"/>
                    <w:tr2bl w:val="nil"/>
                  </w:tcBorders>
                  <w:noWrap/>
                  <w:tcMar>
                    <w:top w:w="15" w:type="dxa"/>
                    <w:left w:w="15" w:type="dxa"/>
                    <w:right w:w="15" w:type="dxa"/>
                  </w:tcMar>
                  <w:vAlign w:val="center"/>
                </w:tcPr>
                <w:p w14:paraId="5527CB1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5020206.148</w:t>
                  </w:r>
                </w:p>
              </w:tc>
              <w:tc>
                <w:tcPr>
                  <w:tcW w:w="3402" w:type="dxa"/>
                  <w:tcBorders>
                    <w:tl2br w:val="nil"/>
                    <w:tr2bl w:val="nil"/>
                  </w:tcBorders>
                  <w:noWrap/>
                  <w:tcMar>
                    <w:top w:w="15" w:type="dxa"/>
                    <w:left w:w="15" w:type="dxa"/>
                    <w:right w:w="15" w:type="dxa"/>
                  </w:tcMar>
                  <w:vAlign w:val="center"/>
                </w:tcPr>
                <w:p w14:paraId="7E4F73F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29439091.198</w:t>
                  </w:r>
                </w:p>
              </w:tc>
            </w:tr>
            <w:tr w14:paraId="483BB2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6CACBBFC">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26</w:t>
                  </w:r>
                </w:p>
              </w:tc>
              <w:tc>
                <w:tcPr>
                  <w:tcW w:w="3435" w:type="dxa"/>
                  <w:tcBorders>
                    <w:tl2br w:val="nil"/>
                    <w:tr2bl w:val="nil"/>
                  </w:tcBorders>
                  <w:noWrap/>
                  <w:tcMar>
                    <w:top w:w="15" w:type="dxa"/>
                    <w:left w:w="15" w:type="dxa"/>
                    <w:right w:w="15" w:type="dxa"/>
                  </w:tcMar>
                  <w:vAlign w:val="center"/>
                </w:tcPr>
                <w:p w14:paraId="48E78A3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5020227.793</w:t>
                  </w:r>
                </w:p>
              </w:tc>
              <w:tc>
                <w:tcPr>
                  <w:tcW w:w="3402" w:type="dxa"/>
                  <w:tcBorders>
                    <w:tl2br w:val="nil"/>
                    <w:tr2bl w:val="nil"/>
                  </w:tcBorders>
                  <w:noWrap/>
                  <w:tcMar>
                    <w:top w:w="15" w:type="dxa"/>
                    <w:left w:w="15" w:type="dxa"/>
                    <w:right w:w="15" w:type="dxa"/>
                  </w:tcMar>
                  <w:vAlign w:val="center"/>
                </w:tcPr>
                <w:p w14:paraId="7F3389F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29439067.846</w:t>
                  </w:r>
                </w:p>
              </w:tc>
            </w:tr>
            <w:tr w14:paraId="6F5DD1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4EA11D7C">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27</w:t>
                  </w:r>
                </w:p>
              </w:tc>
              <w:tc>
                <w:tcPr>
                  <w:tcW w:w="3435" w:type="dxa"/>
                  <w:tcBorders>
                    <w:tl2br w:val="nil"/>
                    <w:tr2bl w:val="nil"/>
                  </w:tcBorders>
                  <w:noWrap/>
                  <w:tcMar>
                    <w:top w:w="15" w:type="dxa"/>
                    <w:left w:w="15" w:type="dxa"/>
                    <w:right w:w="15" w:type="dxa"/>
                  </w:tcMar>
                  <w:vAlign w:val="center"/>
                </w:tcPr>
                <w:p w14:paraId="6F242BC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5020231.639</w:t>
                  </w:r>
                </w:p>
              </w:tc>
              <w:tc>
                <w:tcPr>
                  <w:tcW w:w="3402" w:type="dxa"/>
                  <w:tcBorders>
                    <w:tl2br w:val="nil"/>
                    <w:tr2bl w:val="nil"/>
                  </w:tcBorders>
                  <w:noWrap/>
                  <w:tcMar>
                    <w:top w:w="15" w:type="dxa"/>
                    <w:left w:w="15" w:type="dxa"/>
                    <w:right w:w="15" w:type="dxa"/>
                  </w:tcMar>
                  <w:vAlign w:val="center"/>
                </w:tcPr>
                <w:p w14:paraId="49F64E0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29439051.343</w:t>
                  </w:r>
                </w:p>
              </w:tc>
            </w:tr>
            <w:tr w14:paraId="4F79E5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774325BA">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28</w:t>
                  </w:r>
                </w:p>
              </w:tc>
              <w:tc>
                <w:tcPr>
                  <w:tcW w:w="3435" w:type="dxa"/>
                  <w:tcBorders>
                    <w:tl2br w:val="nil"/>
                    <w:tr2bl w:val="nil"/>
                  </w:tcBorders>
                  <w:noWrap/>
                  <w:tcMar>
                    <w:top w:w="15" w:type="dxa"/>
                    <w:left w:w="15" w:type="dxa"/>
                    <w:right w:w="15" w:type="dxa"/>
                  </w:tcMar>
                  <w:vAlign w:val="center"/>
                </w:tcPr>
                <w:p w14:paraId="5821843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5020589.555</w:t>
                  </w:r>
                </w:p>
              </w:tc>
              <w:tc>
                <w:tcPr>
                  <w:tcW w:w="3402" w:type="dxa"/>
                  <w:tcBorders>
                    <w:tl2br w:val="nil"/>
                    <w:tr2bl w:val="nil"/>
                  </w:tcBorders>
                  <w:noWrap/>
                  <w:tcMar>
                    <w:top w:w="15" w:type="dxa"/>
                    <w:left w:w="15" w:type="dxa"/>
                    <w:right w:w="15" w:type="dxa"/>
                  </w:tcMar>
                  <w:vAlign w:val="center"/>
                </w:tcPr>
                <w:p w14:paraId="457F64E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29438491.751</w:t>
                  </w:r>
                </w:p>
              </w:tc>
            </w:tr>
            <w:tr w14:paraId="26E34E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628D9FE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29</w:t>
                  </w:r>
                </w:p>
              </w:tc>
              <w:tc>
                <w:tcPr>
                  <w:tcW w:w="3435" w:type="dxa"/>
                  <w:tcBorders>
                    <w:tl2br w:val="nil"/>
                    <w:tr2bl w:val="nil"/>
                  </w:tcBorders>
                  <w:noWrap/>
                  <w:tcMar>
                    <w:top w:w="15" w:type="dxa"/>
                    <w:left w:w="15" w:type="dxa"/>
                    <w:right w:w="15" w:type="dxa"/>
                  </w:tcMar>
                  <w:vAlign w:val="center"/>
                </w:tcPr>
                <w:p w14:paraId="163A140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5020624.796</w:t>
                  </w:r>
                </w:p>
              </w:tc>
              <w:tc>
                <w:tcPr>
                  <w:tcW w:w="3402" w:type="dxa"/>
                  <w:tcBorders>
                    <w:tl2br w:val="nil"/>
                    <w:tr2bl w:val="nil"/>
                  </w:tcBorders>
                  <w:noWrap/>
                  <w:tcMar>
                    <w:top w:w="15" w:type="dxa"/>
                    <w:left w:w="15" w:type="dxa"/>
                    <w:right w:w="15" w:type="dxa"/>
                  </w:tcMar>
                  <w:vAlign w:val="center"/>
                </w:tcPr>
                <w:p w14:paraId="7B7548F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29438448.717</w:t>
                  </w:r>
                </w:p>
              </w:tc>
            </w:tr>
            <w:tr w14:paraId="59B430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3929CAF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30</w:t>
                  </w:r>
                </w:p>
              </w:tc>
              <w:tc>
                <w:tcPr>
                  <w:tcW w:w="3435" w:type="dxa"/>
                  <w:tcBorders>
                    <w:tl2br w:val="nil"/>
                    <w:tr2bl w:val="nil"/>
                  </w:tcBorders>
                  <w:noWrap/>
                  <w:tcMar>
                    <w:top w:w="15" w:type="dxa"/>
                    <w:left w:w="15" w:type="dxa"/>
                    <w:right w:w="15" w:type="dxa"/>
                  </w:tcMar>
                  <w:vAlign w:val="center"/>
                </w:tcPr>
                <w:p w14:paraId="7132DCC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5020783.297</w:t>
                  </w:r>
                </w:p>
              </w:tc>
              <w:tc>
                <w:tcPr>
                  <w:tcW w:w="3402" w:type="dxa"/>
                  <w:tcBorders>
                    <w:tl2br w:val="nil"/>
                    <w:tr2bl w:val="nil"/>
                  </w:tcBorders>
                  <w:noWrap/>
                  <w:tcMar>
                    <w:top w:w="15" w:type="dxa"/>
                    <w:left w:w="15" w:type="dxa"/>
                    <w:right w:w="15" w:type="dxa"/>
                  </w:tcMar>
                  <w:vAlign w:val="center"/>
                </w:tcPr>
                <w:p w14:paraId="0402B09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29438194.715</w:t>
                  </w:r>
                </w:p>
              </w:tc>
            </w:tr>
            <w:tr w14:paraId="4EBAB0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4C81725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31</w:t>
                  </w:r>
                </w:p>
              </w:tc>
              <w:tc>
                <w:tcPr>
                  <w:tcW w:w="3435" w:type="dxa"/>
                  <w:tcBorders>
                    <w:tl2br w:val="nil"/>
                    <w:tr2bl w:val="nil"/>
                  </w:tcBorders>
                  <w:noWrap/>
                  <w:tcMar>
                    <w:top w:w="15" w:type="dxa"/>
                    <w:left w:w="15" w:type="dxa"/>
                    <w:right w:w="15" w:type="dxa"/>
                  </w:tcMar>
                  <w:vAlign w:val="center"/>
                </w:tcPr>
                <w:p w14:paraId="2D66810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5020786.065</w:t>
                  </w:r>
                </w:p>
              </w:tc>
              <w:tc>
                <w:tcPr>
                  <w:tcW w:w="3402" w:type="dxa"/>
                  <w:tcBorders>
                    <w:tl2br w:val="nil"/>
                    <w:tr2bl w:val="nil"/>
                  </w:tcBorders>
                  <w:noWrap/>
                  <w:tcMar>
                    <w:top w:w="15" w:type="dxa"/>
                    <w:left w:w="15" w:type="dxa"/>
                    <w:right w:w="15" w:type="dxa"/>
                  </w:tcMar>
                  <w:vAlign w:val="center"/>
                </w:tcPr>
                <w:p w14:paraId="1A74DA4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29438184.513</w:t>
                  </w:r>
                </w:p>
              </w:tc>
            </w:tr>
            <w:tr w14:paraId="0975BB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0318EAA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32</w:t>
                  </w:r>
                </w:p>
              </w:tc>
              <w:tc>
                <w:tcPr>
                  <w:tcW w:w="3435" w:type="dxa"/>
                  <w:tcBorders>
                    <w:tl2br w:val="nil"/>
                    <w:tr2bl w:val="nil"/>
                  </w:tcBorders>
                  <w:noWrap/>
                  <w:tcMar>
                    <w:top w:w="15" w:type="dxa"/>
                    <w:left w:w="15" w:type="dxa"/>
                    <w:right w:w="15" w:type="dxa"/>
                  </w:tcMar>
                  <w:vAlign w:val="center"/>
                </w:tcPr>
                <w:p w14:paraId="28DB1C2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5020952.110</w:t>
                  </w:r>
                </w:p>
              </w:tc>
              <w:tc>
                <w:tcPr>
                  <w:tcW w:w="3402" w:type="dxa"/>
                  <w:tcBorders>
                    <w:tl2br w:val="nil"/>
                    <w:tr2bl w:val="nil"/>
                  </w:tcBorders>
                  <w:noWrap/>
                  <w:tcMar>
                    <w:top w:w="15" w:type="dxa"/>
                    <w:left w:w="15" w:type="dxa"/>
                    <w:right w:w="15" w:type="dxa"/>
                  </w:tcMar>
                  <w:vAlign w:val="center"/>
                </w:tcPr>
                <w:p w14:paraId="41C3686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29437924.907</w:t>
                  </w:r>
                </w:p>
              </w:tc>
            </w:tr>
            <w:tr w14:paraId="34E99F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4E481F52">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33</w:t>
                  </w:r>
                </w:p>
              </w:tc>
              <w:tc>
                <w:tcPr>
                  <w:tcW w:w="3435" w:type="dxa"/>
                  <w:tcBorders>
                    <w:tl2br w:val="nil"/>
                    <w:tr2bl w:val="nil"/>
                  </w:tcBorders>
                  <w:noWrap/>
                  <w:tcMar>
                    <w:top w:w="15" w:type="dxa"/>
                    <w:left w:w="15" w:type="dxa"/>
                    <w:right w:w="15" w:type="dxa"/>
                  </w:tcMar>
                  <w:vAlign w:val="center"/>
                </w:tcPr>
                <w:p w14:paraId="00987A4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5020952.110</w:t>
                  </w:r>
                </w:p>
              </w:tc>
              <w:tc>
                <w:tcPr>
                  <w:tcW w:w="3402" w:type="dxa"/>
                  <w:tcBorders>
                    <w:tl2br w:val="nil"/>
                    <w:tr2bl w:val="nil"/>
                  </w:tcBorders>
                  <w:noWrap/>
                  <w:tcMar>
                    <w:top w:w="15" w:type="dxa"/>
                    <w:left w:w="15" w:type="dxa"/>
                    <w:right w:w="15" w:type="dxa"/>
                  </w:tcMar>
                  <w:vAlign w:val="center"/>
                </w:tcPr>
                <w:p w14:paraId="62B8C2A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29436360.979</w:t>
                  </w:r>
                </w:p>
              </w:tc>
            </w:tr>
            <w:tr w14:paraId="727C2C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70" w:type="pct"/>
                  <w:tcBorders>
                    <w:tl2br w:val="nil"/>
                    <w:tr2bl w:val="nil"/>
                  </w:tcBorders>
                  <w:noWrap/>
                  <w:tcMar>
                    <w:top w:w="15" w:type="dxa"/>
                    <w:left w:w="15" w:type="dxa"/>
                    <w:right w:w="15" w:type="dxa"/>
                  </w:tcMar>
                  <w:vAlign w:val="center"/>
                </w:tcPr>
                <w:p w14:paraId="7AE4CFD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color w:val="auto"/>
                      <w:kern w:val="0"/>
                      <w:sz w:val="21"/>
                      <w:szCs w:val="21"/>
                      <w:lang w:val="en-US" w:eastAsia="zh-CN" w:bidi="ar"/>
                    </w:rPr>
                    <w:t>34</w:t>
                  </w:r>
                </w:p>
              </w:tc>
              <w:tc>
                <w:tcPr>
                  <w:tcW w:w="3435" w:type="dxa"/>
                  <w:tcBorders>
                    <w:tl2br w:val="nil"/>
                    <w:tr2bl w:val="nil"/>
                  </w:tcBorders>
                  <w:noWrap/>
                  <w:tcMar>
                    <w:top w:w="15" w:type="dxa"/>
                    <w:left w:w="15" w:type="dxa"/>
                    <w:right w:w="15" w:type="dxa"/>
                  </w:tcMar>
                  <w:vAlign w:val="center"/>
                </w:tcPr>
                <w:p w14:paraId="6388630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5022077.272</w:t>
                  </w:r>
                </w:p>
              </w:tc>
              <w:tc>
                <w:tcPr>
                  <w:tcW w:w="3402" w:type="dxa"/>
                  <w:tcBorders>
                    <w:tl2br w:val="nil"/>
                    <w:tr2bl w:val="nil"/>
                  </w:tcBorders>
                  <w:noWrap/>
                  <w:tcMar>
                    <w:top w:w="15" w:type="dxa"/>
                    <w:left w:w="15" w:type="dxa"/>
                    <w:right w:w="15" w:type="dxa"/>
                  </w:tcMar>
                  <w:vAlign w:val="center"/>
                </w:tcPr>
                <w:p w14:paraId="5379C49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29435541.154</w:t>
                  </w:r>
                </w:p>
              </w:tc>
            </w:tr>
          </w:tbl>
          <w:p w14:paraId="3C24F412">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480" w:lineRule="exact"/>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2</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依托工程</w:t>
            </w:r>
          </w:p>
          <w:p w14:paraId="3B99E7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color w:val="auto"/>
                <w:kern w:val="0"/>
                <w:sz w:val="24"/>
                <w:highlight w:val="none"/>
                <w:lang w:bidi="ar"/>
              </w:rPr>
            </w:pPr>
            <w:r>
              <w:rPr>
                <w:rFonts w:hint="default" w:ascii="Times New Roman" w:hAnsi="Times New Roman" w:cs="Times New Roman"/>
                <w:color w:val="auto"/>
                <w:sz w:val="24"/>
                <w:highlight w:val="none"/>
              </w:rPr>
              <w:t>本项目</w:t>
            </w:r>
            <w:r>
              <w:rPr>
                <w:rFonts w:hint="eastAsia" w:ascii="Times New Roman" w:hAnsi="Times New Roman" w:cs="Times New Roman"/>
                <w:color w:val="auto"/>
                <w:kern w:val="0"/>
                <w:sz w:val="24"/>
                <w:highlight w:val="none"/>
                <w:lang w:val="en-US" w:eastAsia="zh-CN" w:bidi="ar"/>
              </w:rPr>
              <w:t>危废暂存点</w:t>
            </w:r>
            <w:r>
              <w:rPr>
                <w:rFonts w:hint="default" w:ascii="Times New Roman" w:hAnsi="Times New Roman" w:cs="Times New Roman"/>
                <w:color w:val="auto"/>
                <w:kern w:val="0"/>
                <w:sz w:val="24"/>
                <w:highlight w:val="none"/>
                <w:lang w:bidi="ar"/>
              </w:rPr>
              <w:t>依托第八师石玛兵地融合陕建100万千瓦“草光互补”光伏项目配套220kV升压汇集站</w:t>
            </w:r>
            <w:r>
              <w:rPr>
                <w:rFonts w:hint="eastAsia" w:ascii="Times New Roman" w:hAnsi="Times New Roman" w:cs="Times New Roman"/>
                <w:color w:val="auto"/>
                <w:kern w:val="0"/>
                <w:sz w:val="24"/>
                <w:highlight w:val="none"/>
                <w:lang w:val="en-US" w:eastAsia="zh-CN" w:bidi="ar"/>
              </w:rPr>
              <w:t>危废暂存点</w:t>
            </w:r>
            <w:r>
              <w:rPr>
                <w:rFonts w:hint="default" w:ascii="Times New Roman" w:hAnsi="Times New Roman" w:cs="Times New Roman"/>
                <w:color w:val="auto"/>
                <w:kern w:val="0"/>
                <w:sz w:val="24"/>
                <w:highlight w:val="none"/>
                <w:lang w:bidi="ar"/>
              </w:rPr>
              <w:t>，该升压汇集站位于光伏发电场站西</w:t>
            </w:r>
            <w:r>
              <w:rPr>
                <w:rFonts w:hint="eastAsia" w:ascii="Times New Roman" w:hAnsi="Times New Roman" w:cs="Times New Roman"/>
                <w:color w:val="auto"/>
                <w:kern w:val="0"/>
                <w:sz w:val="24"/>
                <w:highlight w:val="none"/>
                <w:lang w:val="en-US" w:eastAsia="zh-CN" w:bidi="ar"/>
              </w:rPr>
              <w:t>侧</w:t>
            </w:r>
            <w:r>
              <w:rPr>
                <w:rFonts w:hint="default" w:ascii="Times New Roman" w:hAnsi="Times New Roman" w:cs="Times New Roman"/>
                <w:color w:val="auto"/>
                <w:kern w:val="0"/>
                <w:sz w:val="24"/>
                <w:highlight w:val="none"/>
                <w:lang w:bidi="ar"/>
              </w:rPr>
              <w:t>，</w:t>
            </w:r>
            <w:r>
              <w:rPr>
                <w:rFonts w:hint="eastAsia" w:ascii="Times New Roman" w:hAnsi="Times New Roman" w:cs="Times New Roman"/>
                <w:color w:val="auto"/>
                <w:kern w:val="0"/>
                <w:sz w:val="24"/>
                <w:highlight w:val="none"/>
                <w:lang w:val="en-US" w:eastAsia="zh-CN" w:bidi="ar"/>
              </w:rPr>
              <w:t>设计危废暂存点采用预制舱，建筑面积为40m</w:t>
            </w:r>
            <w:r>
              <w:rPr>
                <w:rFonts w:hint="eastAsia" w:ascii="Times New Roman" w:hAnsi="Times New Roman" w:cs="Times New Roman"/>
                <w:color w:val="auto"/>
                <w:kern w:val="0"/>
                <w:sz w:val="24"/>
                <w:highlight w:val="none"/>
                <w:vertAlign w:val="superscript"/>
                <w:lang w:val="en-US" w:eastAsia="zh-CN" w:bidi="ar"/>
              </w:rPr>
              <w:t>2</w:t>
            </w:r>
            <w:r>
              <w:rPr>
                <w:rFonts w:hint="eastAsia" w:ascii="Times New Roman" w:hAnsi="Times New Roman" w:cs="Times New Roman"/>
                <w:color w:val="auto"/>
                <w:kern w:val="0"/>
                <w:sz w:val="24"/>
                <w:highlight w:val="none"/>
                <w:lang w:val="en-US" w:eastAsia="zh-CN" w:bidi="ar"/>
              </w:rPr>
              <w:t>，预制舱加工过程要求防渗按照《危险废物贮存污染控制标准》（GB18597-2023）要求进行，达到渗透系数不大于 10</w:t>
            </w:r>
            <w:r>
              <w:rPr>
                <w:rFonts w:hint="eastAsia" w:ascii="Times New Roman" w:hAnsi="Times New Roman" w:cs="Times New Roman"/>
                <w:color w:val="auto"/>
                <w:kern w:val="0"/>
                <w:sz w:val="24"/>
                <w:highlight w:val="none"/>
                <w:vertAlign w:val="superscript"/>
                <w:lang w:val="en-US" w:eastAsia="zh-CN" w:bidi="ar"/>
              </w:rPr>
              <w:t xml:space="preserve">-10 </w:t>
            </w:r>
            <w:r>
              <w:rPr>
                <w:rFonts w:hint="eastAsia" w:ascii="Times New Roman" w:hAnsi="Times New Roman" w:cs="Times New Roman"/>
                <w:color w:val="auto"/>
                <w:kern w:val="0"/>
                <w:sz w:val="24"/>
                <w:highlight w:val="none"/>
                <w:lang w:val="en-US" w:eastAsia="zh-CN" w:bidi="ar"/>
              </w:rPr>
              <w:t>cm/s），</w:t>
            </w:r>
            <w:r>
              <w:rPr>
                <w:rFonts w:hint="default" w:ascii="Times New Roman" w:hAnsi="Times New Roman" w:cs="Times New Roman"/>
                <w:color w:val="auto"/>
                <w:kern w:val="0"/>
                <w:sz w:val="24"/>
                <w:highlight w:val="none"/>
                <w:lang w:bidi="ar"/>
              </w:rPr>
              <w:t>该项目与本项目同时设计、同时施工、同时投产使用，220kV升压汇集站</w:t>
            </w:r>
            <w:r>
              <w:rPr>
                <w:rFonts w:hint="eastAsia" w:ascii="Times New Roman" w:hAnsi="Times New Roman" w:cs="Times New Roman"/>
                <w:color w:val="auto"/>
                <w:kern w:val="0"/>
                <w:sz w:val="24"/>
                <w:highlight w:val="none"/>
                <w:lang w:val="en-US" w:eastAsia="zh-CN" w:bidi="ar"/>
              </w:rPr>
              <w:t>危废暂存点</w:t>
            </w:r>
            <w:r>
              <w:rPr>
                <w:rFonts w:hint="default" w:ascii="Times New Roman" w:hAnsi="Times New Roman" w:cs="Times New Roman"/>
                <w:color w:val="auto"/>
                <w:kern w:val="0"/>
                <w:sz w:val="24"/>
                <w:highlight w:val="none"/>
                <w:lang w:bidi="ar"/>
              </w:rPr>
              <w:t>在设计过程中已充分考虑本项目</w:t>
            </w:r>
            <w:r>
              <w:rPr>
                <w:rFonts w:hint="eastAsia" w:ascii="Times New Roman" w:hAnsi="Times New Roman" w:cs="Times New Roman"/>
                <w:color w:val="auto"/>
                <w:kern w:val="0"/>
                <w:sz w:val="24"/>
                <w:highlight w:val="none"/>
                <w:lang w:val="en-US" w:eastAsia="zh-CN" w:bidi="ar"/>
              </w:rPr>
              <w:t>危废</w:t>
            </w:r>
            <w:r>
              <w:rPr>
                <w:rFonts w:hint="default" w:ascii="Times New Roman" w:hAnsi="Times New Roman" w:cs="Times New Roman"/>
                <w:color w:val="auto"/>
                <w:kern w:val="0"/>
                <w:sz w:val="24"/>
                <w:highlight w:val="none"/>
                <w:lang w:bidi="ar"/>
              </w:rPr>
              <w:t>，目前该项目环评同步审批过程中</w:t>
            </w:r>
            <w:r>
              <w:rPr>
                <w:rFonts w:hint="eastAsia" w:cs="Times New Roman"/>
                <w:color w:val="auto"/>
                <w:kern w:val="0"/>
                <w:sz w:val="24"/>
                <w:highlight w:val="none"/>
                <w:lang w:eastAsia="zh-CN" w:bidi="ar"/>
              </w:rPr>
              <w:t>，</w:t>
            </w:r>
            <w:r>
              <w:rPr>
                <w:rFonts w:hint="eastAsia" w:cs="Times New Roman"/>
                <w:color w:val="auto"/>
                <w:kern w:val="0"/>
                <w:sz w:val="24"/>
                <w:highlight w:val="none"/>
                <w:lang w:val="en-US" w:eastAsia="zh-CN" w:bidi="ar"/>
              </w:rPr>
              <w:t>尚未取得批复</w:t>
            </w:r>
            <w:r>
              <w:rPr>
                <w:rFonts w:hint="default" w:ascii="Times New Roman" w:hAnsi="Times New Roman" w:cs="Times New Roman"/>
                <w:color w:val="auto"/>
                <w:kern w:val="0"/>
                <w:sz w:val="24"/>
                <w:highlight w:val="none"/>
                <w:lang w:bidi="ar"/>
              </w:rPr>
              <w:t>。</w:t>
            </w:r>
          </w:p>
          <w:p w14:paraId="2B2238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3</w:t>
            </w:r>
            <w:r>
              <w:rPr>
                <w:rFonts w:hint="eastAsia" w:ascii="Times New Roman" w:hAnsi="Times New Roman" w:cs="Times New Roman"/>
                <w:color w:val="auto"/>
                <w:kern w:val="0"/>
                <w:sz w:val="24"/>
                <w:lang w:eastAsia="zh-CN" w:bidi="ar"/>
              </w:rPr>
              <w:t>、</w:t>
            </w:r>
            <w:r>
              <w:rPr>
                <w:rFonts w:hint="default" w:ascii="Times New Roman" w:hAnsi="Times New Roman" w:cs="Times New Roman"/>
                <w:color w:val="auto"/>
                <w:sz w:val="24"/>
              </w:rPr>
              <w:t>光伏发电项目运营期工艺流程及产污环节</w:t>
            </w:r>
          </w:p>
          <w:p w14:paraId="3139F8A9">
            <w:pPr>
              <w:pStyle w:val="11"/>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光伏发电项目运营期工艺流程及产污环节示意图如下：</w:t>
            </w:r>
          </w:p>
          <w:p w14:paraId="5C08B38A">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171950" cy="895350"/>
                  <wp:effectExtent l="0" t="0" r="0" b="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5"/>
                          <a:stretch>
                            <a:fillRect/>
                          </a:stretch>
                        </pic:blipFill>
                        <pic:spPr>
                          <a:xfrm>
                            <a:off x="0" y="0"/>
                            <a:ext cx="4171950" cy="895350"/>
                          </a:xfrm>
                          <a:prstGeom prst="rect">
                            <a:avLst/>
                          </a:prstGeom>
                          <a:noFill/>
                          <a:ln>
                            <a:noFill/>
                          </a:ln>
                        </pic:spPr>
                      </pic:pic>
                    </a:graphicData>
                  </a:graphic>
                </wp:inline>
              </w:drawing>
            </w:r>
          </w:p>
          <w:p w14:paraId="4CDB2D85">
            <w:pPr>
              <w:pStyle w:val="1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黑体" w:cs="Times New Roman"/>
                <w:color w:val="auto"/>
                <w:sz w:val="21"/>
                <w:szCs w:val="21"/>
                <w:lang w:val="en-US" w:eastAsia="zh-CN"/>
              </w:rPr>
            </w:pPr>
            <w:r>
              <w:rPr>
                <w:rFonts w:hint="default" w:ascii="Times New Roman" w:hAnsi="Times New Roman" w:eastAsia="黑体" w:cs="Times New Roman"/>
                <w:color w:val="auto"/>
                <w:sz w:val="21"/>
                <w:szCs w:val="21"/>
                <w:lang w:val="en-US" w:eastAsia="zh-CN"/>
              </w:rPr>
              <w:t>图2-1 运营期工艺流程及产污环节</w:t>
            </w:r>
            <w:r>
              <w:rPr>
                <w:rFonts w:hint="eastAsia" w:ascii="Times New Roman" w:hAnsi="Times New Roman" w:eastAsia="黑体" w:cs="Times New Roman"/>
                <w:color w:val="auto"/>
                <w:sz w:val="21"/>
                <w:szCs w:val="21"/>
                <w:lang w:val="en-US" w:eastAsia="zh-CN"/>
              </w:rPr>
              <w:t>示意</w:t>
            </w:r>
            <w:r>
              <w:rPr>
                <w:rFonts w:hint="default" w:ascii="Times New Roman" w:hAnsi="Times New Roman" w:eastAsia="黑体" w:cs="Times New Roman"/>
                <w:color w:val="auto"/>
                <w:sz w:val="21"/>
                <w:szCs w:val="21"/>
                <w:lang w:val="en-US" w:eastAsia="zh-CN"/>
              </w:rPr>
              <w:t>图</w:t>
            </w:r>
          </w:p>
          <w:p w14:paraId="59D96913">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color w:val="auto"/>
              </w:rPr>
            </w:pPr>
          </w:p>
        </w:tc>
      </w:tr>
      <w:tr w14:paraId="417E22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710" w:type="dxa"/>
            <w:noWrap w:val="0"/>
            <w:vAlign w:val="center"/>
          </w:tcPr>
          <w:p w14:paraId="05C18A0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总平面及现场布置</w:t>
            </w:r>
          </w:p>
        </w:tc>
        <w:tc>
          <w:tcPr>
            <w:tcW w:w="8380" w:type="dxa"/>
            <w:noWrap w:val="0"/>
            <w:vAlign w:val="top"/>
          </w:tcPr>
          <w:p w14:paraId="4F9F17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、项目平面布置</w:t>
            </w:r>
          </w:p>
          <w:p w14:paraId="3BB049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根据《第八师石玛兵地融合陕建100 万千瓦“草光互补”光伏项目可行性研究报告》选型结果，本项目太阳能光伏组件暂采用N 型720Wp 高效单晶双面双玻组件，其转换效率为23.18%，该组件为2×66 片电池组件。该组件适合集中式大型并网光伏电站使用的光伏组件类型。</w:t>
            </w:r>
          </w:p>
          <w:p w14:paraId="443785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本项目设置</w:t>
            </w:r>
            <w:r>
              <w:rPr>
                <w:rFonts w:hint="eastAsia" w:ascii="Times New Roman" w:hAnsi="Times New Roman" w:cs="Times New Roman"/>
                <w:color w:val="auto"/>
                <w:sz w:val="24"/>
                <w:lang w:val="en-US" w:eastAsia="zh-CN"/>
              </w:rPr>
              <w:t>209</w:t>
            </w:r>
            <w:r>
              <w:rPr>
                <w:rFonts w:hint="default" w:ascii="Times New Roman" w:hAnsi="Times New Roman" w:cs="Times New Roman"/>
                <w:color w:val="auto"/>
                <w:sz w:val="24"/>
              </w:rPr>
              <w:t>个光伏发电</w:t>
            </w:r>
            <w:r>
              <w:rPr>
                <w:rFonts w:hint="eastAsia" w:ascii="Times New Roman" w:hAnsi="Times New Roman" w:cs="Times New Roman"/>
                <w:color w:val="auto"/>
                <w:sz w:val="24"/>
                <w:lang w:val="en-US" w:eastAsia="zh-CN"/>
              </w:rPr>
              <w:t>子方阵</w:t>
            </w:r>
            <w:r>
              <w:rPr>
                <w:rFonts w:hint="default" w:ascii="Times New Roman" w:hAnsi="Times New Roman" w:cs="Times New Roman"/>
                <w:color w:val="auto"/>
                <w:sz w:val="24"/>
              </w:rPr>
              <w:t>单元，采用固定支架+组串式逆变器+箱式变压器的光伏子阵形式，按固定支架倾角3</w:t>
            </w:r>
            <w:r>
              <w:rPr>
                <w:rFonts w:hint="eastAsia" w:ascii="Times New Roman" w:hAnsi="Times New Roman" w:cs="Times New Roman"/>
                <w:color w:val="auto"/>
                <w:sz w:val="24"/>
                <w:lang w:val="en-US" w:eastAsia="zh-CN"/>
              </w:rPr>
              <w:t>6</w:t>
            </w:r>
            <w:r>
              <w:rPr>
                <w:rFonts w:hint="default" w:ascii="Times New Roman" w:hAnsi="Times New Roman" w:cs="Times New Roman"/>
                <w:color w:val="auto"/>
                <w:sz w:val="24"/>
              </w:rPr>
              <w:t>°进行布置，</w:t>
            </w:r>
            <w:r>
              <w:rPr>
                <w:rFonts w:hint="default" w:ascii="Times New Roman" w:hAnsi="Times New Roman" w:cs="Times New Roman"/>
                <w:color w:val="auto"/>
                <w:sz w:val="24"/>
                <w:highlight w:val="none"/>
              </w:rPr>
              <w:t>间距为</w:t>
            </w:r>
            <w:r>
              <w:rPr>
                <w:rFonts w:hint="eastAsia" w:ascii="Times New Roman" w:hAnsi="Times New Roman" w:cs="Times New Roman"/>
                <w:color w:val="auto"/>
                <w:sz w:val="24"/>
                <w:highlight w:val="none"/>
                <w:lang w:val="en-US" w:eastAsia="zh-CN"/>
              </w:rPr>
              <w:t>13</w:t>
            </w:r>
            <w:r>
              <w:rPr>
                <w:rFonts w:hint="default" w:ascii="Times New Roman" w:hAnsi="Times New Roman" w:cs="Times New Roman"/>
                <w:color w:val="auto"/>
                <w:sz w:val="24"/>
                <w:highlight w:val="none"/>
              </w:rPr>
              <w:t>m，</w:t>
            </w:r>
            <w:r>
              <w:rPr>
                <w:rFonts w:hint="default" w:ascii="Times New Roman" w:hAnsi="Times New Roman" w:cs="Times New Roman"/>
                <w:color w:val="auto"/>
                <w:sz w:val="24"/>
              </w:rPr>
              <w:t>布置时结合场地地形现状，适度调整南北向间距。</w:t>
            </w:r>
          </w:p>
          <w:p w14:paraId="3FB9D4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cs="Times New Roman"/>
                <w:color w:val="auto"/>
                <w:sz w:val="24"/>
                <w:lang w:val="en-US" w:eastAsia="zh-CN"/>
              </w:rPr>
              <w:t>根据可研中计算分析，项目光伏组件采用固定支架倾角36°布置安装时，倾斜光伏版面接受到的太阳能辐射量最大，发电量最大，可充分利用太阳能；项目光伏阵列单元在平面布置过程综合考虑检修道路及箱变布置，将整个光伏区分为子单元布置，采用2行26列排布方案，在检修道路中间纵向布置2排支架、横向每26块组件进行安装，项目在平面布置过程结合检修道路将光伏区整体划分209个子单元进行布置，每个子单元围绕一台箱变布置，箱变紧邻检修道路，综合分析，项目平面布置合理可行。</w:t>
            </w:r>
          </w:p>
          <w:p w14:paraId="6E53C4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平面布置</w:t>
            </w:r>
            <w:r>
              <w:rPr>
                <w:rFonts w:hint="eastAsia" w:ascii="Times New Roman" w:hAnsi="Times New Roman" w:cs="Times New Roman"/>
                <w:color w:val="auto"/>
                <w:sz w:val="24"/>
                <w:lang w:val="en-US" w:eastAsia="zh-CN"/>
              </w:rPr>
              <w:t>图见附</w:t>
            </w:r>
            <w:r>
              <w:rPr>
                <w:rFonts w:hint="default" w:ascii="Times New Roman" w:hAnsi="Times New Roman" w:cs="Times New Roman"/>
                <w:color w:val="auto"/>
                <w:sz w:val="24"/>
              </w:rPr>
              <w:t>图3。</w:t>
            </w:r>
          </w:p>
          <w:p w14:paraId="3F2C99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、施工现场布置</w:t>
            </w:r>
          </w:p>
          <w:p w14:paraId="3955E0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施工总体布置的规划体现布置紧凑、用地集中节约，确保工程施工过程中各道工序能有序展开。包括施工人员的生活设施在内，统筹安排工程所需的仓库、设备堆放场地等施工设施和场地，同时，在施工总体布置规划时要体现工程永临相结合的原则，减少工程的不合理损耗，节约各类资源。</w:t>
            </w:r>
          </w:p>
          <w:p w14:paraId="123A25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根据光伏电站的特点，拟定施工总体布置原则如下</w:t>
            </w:r>
            <w:r>
              <w:rPr>
                <w:rFonts w:hint="default" w:ascii="Times New Roman" w:hAnsi="Times New Roman" w:cs="Times New Roman"/>
                <w:color w:val="auto"/>
                <w:sz w:val="24"/>
                <w:lang w:eastAsia="zh-CN"/>
              </w:rPr>
              <w:t>：</w:t>
            </w:r>
          </w:p>
          <w:p w14:paraId="34AFEC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（1）施工总布置遵循因地制宜、有利生产、方便生活、易于管理、安全可靠、</w:t>
            </w:r>
            <w:r>
              <w:rPr>
                <w:rFonts w:hint="eastAsia" w:ascii="Times New Roman" w:hAnsi="Times New Roman" w:cs="Times New Roman"/>
                <w:color w:val="auto"/>
                <w:sz w:val="24"/>
                <w:lang w:eastAsia="zh-CN"/>
              </w:rPr>
              <w:t>经济实用</w:t>
            </w:r>
            <w:r>
              <w:rPr>
                <w:rFonts w:hint="default" w:ascii="Times New Roman" w:hAnsi="Times New Roman" w:cs="Times New Roman"/>
                <w:color w:val="auto"/>
                <w:sz w:val="24"/>
              </w:rPr>
              <w:t>的原则；</w:t>
            </w:r>
          </w:p>
          <w:p w14:paraId="7FAF9E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（2）充分考虑光伏发电工程布置的特点；</w:t>
            </w:r>
          </w:p>
          <w:p w14:paraId="7CCDA5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（3）工程施工</w:t>
            </w:r>
            <w:r>
              <w:rPr>
                <w:rFonts w:hint="eastAsia" w:ascii="Times New Roman" w:hAnsi="Times New Roman" w:cs="Times New Roman"/>
                <w:color w:val="auto"/>
                <w:sz w:val="24"/>
                <w:lang w:eastAsia="zh-CN"/>
              </w:rPr>
              <w:t>期间</w:t>
            </w:r>
            <w:r>
              <w:rPr>
                <w:rFonts w:hint="default" w:ascii="Times New Roman" w:hAnsi="Times New Roman" w:cs="Times New Roman"/>
                <w:color w:val="auto"/>
                <w:sz w:val="24"/>
              </w:rPr>
              <w:t>应避免环境污染，施工布置必须符合环保要求；</w:t>
            </w:r>
          </w:p>
          <w:p w14:paraId="66F513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（4）根据工程区地形地貌条件，施工布置力求紧凑、节约用地；</w:t>
            </w:r>
          </w:p>
          <w:p w14:paraId="710F3C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（5）统筹规划、合理布置施工设施和临时设施；</w:t>
            </w:r>
          </w:p>
          <w:p w14:paraId="56E0A3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（6）参考部分工程经验，工程施工期间主要施工区实施封闭管理。</w:t>
            </w:r>
          </w:p>
          <w:p w14:paraId="5BF675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根据主体工程布置、地形及施工的特点，考虑按施工集中布置原则，本项目在东区和西区各布设1处施工生产生活区。施工临时设施场地包括施工生活区、综合加工厂</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钢结构加工及机械停放场地</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、综合仓库</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光伏</w:t>
            </w:r>
            <w:r>
              <w:rPr>
                <w:rFonts w:hint="default" w:ascii="Times New Roman" w:hAnsi="Times New Roman" w:cs="Times New Roman"/>
                <w:color w:val="auto"/>
                <w:sz w:val="24"/>
              </w:rPr>
              <w:t>组件、组件支架、机电设备、钢筋等堆放</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，总占地面积</w:t>
            </w:r>
            <w:r>
              <w:rPr>
                <w:rFonts w:hint="eastAsia" w:ascii="Times New Roman" w:hAnsi="Times New Roman" w:cs="Times New Roman"/>
                <w:color w:val="auto"/>
                <w:sz w:val="24"/>
                <w:lang w:val="en-US" w:eastAsia="zh-CN"/>
              </w:rPr>
              <w:t>28</w:t>
            </w:r>
            <w:r>
              <w:rPr>
                <w:rFonts w:hint="default" w:ascii="Times New Roman" w:hAnsi="Times New Roman" w:cs="Times New Roman"/>
                <w:color w:val="auto"/>
                <w:sz w:val="24"/>
              </w:rPr>
              <w:t>000m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。临时设施场地占地面积均在项目永久用地范围内。施工结束后对临时用地进行场地平整。</w:t>
            </w:r>
          </w:p>
          <w:p w14:paraId="1A6D83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施工生产生活区布设一览表见表2-3。</w:t>
            </w:r>
          </w:p>
          <w:p w14:paraId="75986591">
            <w:pPr>
              <w:pStyle w:val="45"/>
              <w:keepNext w:val="0"/>
              <w:keepLines w:val="0"/>
              <w:suppressLineNumbers w:val="0"/>
              <w:spacing w:before="0" w:beforeAutospacing="0" w:after="0" w:afterAutospacing="0" w:line="240" w:lineRule="auto"/>
              <w:ind w:left="0" w:right="0" w:firstLine="420"/>
              <w:rPr>
                <w:rFonts w:hint="default" w:ascii="Times New Roman" w:hAnsi="Times New Roman" w:eastAsia="黑体" w:cs="Times New Roman"/>
                <w:color w:val="auto"/>
                <w:sz w:val="21"/>
                <w:lang w:bidi="en-US"/>
              </w:rPr>
            </w:pPr>
            <w:r>
              <w:rPr>
                <w:rFonts w:hint="default" w:ascii="Times New Roman" w:hAnsi="Times New Roman" w:eastAsia="黑体" w:cs="Times New Roman"/>
                <w:color w:val="auto"/>
                <w:sz w:val="21"/>
                <w:lang w:bidi="en-US"/>
              </w:rPr>
              <w:t xml:space="preserve">表2-3 </w:t>
            </w:r>
            <w:r>
              <w:rPr>
                <w:rFonts w:hint="eastAsia" w:ascii="Times New Roman" w:hAnsi="Times New Roman" w:eastAsia="黑体" w:cs="Times New Roman"/>
                <w:color w:val="auto"/>
                <w:sz w:val="21"/>
                <w:lang w:val="en-US" w:eastAsia="zh-CN" w:bidi="en-US"/>
              </w:rPr>
              <w:t xml:space="preserve">               </w:t>
            </w:r>
            <w:r>
              <w:rPr>
                <w:rFonts w:hint="default" w:ascii="Times New Roman" w:hAnsi="Times New Roman" w:eastAsia="黑体" w:cs="Times New Roman"/>
                <w:color w:val="auto"/>
                <w:sz w:val="21"/>
                <w:lang w:bidi="en-US"/>
              </w:rPr>
              <w:t xml:space="preserve"> 施工生产生活区布设一览表</w:t>
            </w:r>
          </w:p>
          <w:tbl>
            <w:tblPr>
              <w:tblStyle w:val="29"/>
              <w:tblW w:w="49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6"/>
              <w:gridCol w:w="1883"/>
              <w:gridCol w:w="4492"/>
            </w:tblGrid>
            <w:tr w14:paraId="12ABB5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5" w:type="pct"/>
                  <w:tcBorders>
                    <w:tl2br w:val="nil"/>
                    <w:tr2bl w:val="nil"/>
                  </w:tcBorders>
                  <w:noWrap w:val="0"/>
                  <w:vAlign w:val="center"/>
                </w:tcPr>
                <w:p w14:paraId="4A3DF2BD">
                  <w:pPr>
                    <w:pStyle w:val="28"/>
                    <w:keepNext w:val="0"/>
                    <w:keepLines w:val="0"/>
                    <w:suppressLineNumbers w:val="0"/>
                    <w:spacing w:before="0" w:beforeAutospacing="0" w:after="0" w:afterAutospacing="0"/>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1165" w:type="pct"/>
                  <w:tcBorders>
                    <w:tl2br w:val="nil"/>
                    <w:tr2bl w:val="nil"/>
                  </w:tcBorders>
                  <w:noWrap w:val="0"/>
                  <w:vAlign w:val="center"/>
                </w:tcPr>
                <w:p w14:paraId="72AEC3FD">
                  <w:pPr>
                    <w:pStyle w:val="28"/>
                    <w:keepNext w:val="0"/>
                    <w:keepLines w:val="0"/>
                    <w:suppressLineNumbers w:val="0"/>
                    <w:spacing w:before="0" w:beforeAutospacing="0" w:after="0" w:afterAutospacing="0"/>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占地面积（m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p>
              </w:tc>
              <w:tc>
                <w:tcPr>
                  <w:tcW w:w="2779" w:type="pct"/>
                  <w:tcBorders>
                    <w:tl2br w:val="nil"/>
                    <w:tr2bl w:val="nil"/>
                  </w:tcBorders>
                  <w:noWrap w:val="0"/>
                  <w:vAlign w:val="center"/>
                </w:tcPr>
                <w:p w14:paraId="000D85D9">
                  <w:pPr>
                    <w:pStyle w:val="28"/>
                    <w:keepNext w:val="0"/>
                    <w:keepLines w:val="0"/>
                    <w:suppressLineNumbers w:val="0"/>
                    <w:spacing w:before="0" w:beforeAutospacing="0" w:after="0" w:afterAutospacing="0"/>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14:paraId="2934F6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5" w:type="pct"/>
                  <w:tcBorders>
                    <w:tl2br w:val="nil"/>
                    <w:tr2bl w:val="nil"/>
                  </w:tcBorders>
                  <w:noWrap w:val="0"/>
                  <w:vAlign w:val="center"/>
                </w:tcPr>
                <w:p w14:paraId="2F49ACBA">
                  <w:pPr>
                    <w:keepNext w:val="0"/>
                    <w:keepLines w:val="0"/>
                    <w:widowControl/>
                    <w:suppressLineNumbers w:val="0"/>
                    <w:spacing w:before="0" w:beforeAutospacing="0" w:after="0" w:afterAutospacing="0"/>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施工生活区</w:t>
                  </w:r>
                </w:p>
              </w:tc>
              <w:tc>
                <w:tcPr>
                  <w:tcW w:w="1165" w:type="pct"/>
                  <w:tcBorders>
                    <w:tl2br w:val="nil"/>
                    <w:tr2bl w:val="nil"/>
                  </w:tcBorders>
                  <w:noWrap w:val="0"/>
                  <w:vAlign w:val="center"/>
                </w:tcPr>
                <w:p w14:paraId="6F0AE0F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lang w:val="en-US"/>
                    </w:rPr>
                  </w:pPr>
                  <w:r>
                    <w:rPr>
                      <w:rFonts w:hint="eastAsia" w:ascii="Times New Roman" w:hAnsi="Times New Roman" w:cs="Times New Roman"/>
                      <w:color w:val="auto"/>
                      <w:szCs w:val="21"/>
                      <w:lang w:val="en-US" w:eastAsia="zh-CN"/>
                    </w:rPr>
                    <w:t>15000</w:t>
                  </w:r>
                </w:p>
              </w:tc>
              <w:tc>
                <w:tcPr>
                  <w:tcW w:w="2779" w:type="pct"/>
                  <w:tcBorders>
                    <w:tl2br w:val="nil"/>
                    <w:tr2bl w:val="nil"/>
                  </w:tcBorders>
                  <w:noWrap w:val="0"/>
                  <w:vAlign w:val="center"/>
                </w:tcPr>
                <w:p w14:paraId="25A9A24F">
                  <w:pPr>
                    <w:pStyle w:val="28"/>
                    <w:keepNext w:val="0"/>
                    <w:keepLines w:val="0"/>
                    <w:suppressLineNumbers w:val="0"/>
                    <w:spacing w:before="0" w:beforeAutospacing="0" w:after="0" w:afterAutospacing="0"/>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包含施工单位办公区</w:t>
                  </w:r>
                </w:p>
              </w:tc>
            </w:tr>
            <w:tr w14:paraId="3056EA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5" w:type="pct"/>
                  <w:tcBorders>
                    <w:tl2br w:val="nil"/>
                    <w:tr2bl w:val="nil"/>
                  </w:tcBorders>
                  <w:noWrap w:val="0"/>
                  <w:vAlign w:val="center"/>
                </w:tcPr>
                <w:p w14:paraId="37315746">
                  <w:pPr>
                    <w:keepNext w:val="0"/>
                    <w:keepLines w:val="0"/>
                    <w:widowControl/>
                    <w:suppressLineNumbers w:val="0"/>
                    <w:spacing w:before="0" w:beforeAutospacing="0" w:after="0" w:afterAutospacing="0"/>
                    <w:ind w:left="-105" w:leftChars="-50" w:right="-105" w:rightChars="-5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综合加工厂</w:t>
                  </w:r>
                </w:p>
              </w:tc>
              <w:tc>
                <w:tcPr>
                  <w:tcW w:w="1165" w:type="pct"/>
                  <w:tcBorders>
                    <w:tl2br w:val="nil"/>
                    <w:tr2bl w:val="nil"/>
                  </w:tcBorders>
                  <w:noWrap w:val="0"/>
                  <w:vAlign w:val="center"/>
                </w:tcPr>
                <w:p w14:paraId="1B689EF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8000</w:t>
                  </w:r>
                </w:p>
              </w:tc>
              <w:tc>
                <w:tcPr>
                  <w:tcW w:w="2779" w:type="pct"/>
                  <w:tcBorders>
                    <w:tl2br w:val="nil"/>
                    <w:tr2bl w:val="nil"/>
                  </w:tcBorders>
                  <w:noWrap w:val="0"/>
                  <w:vAlign w:val="center"/>
                </w:tcPr>
                <w:p w14:paraId="02B46AB9">
                  <w:pPr>
                    <w:pStyle w:val="28"/>
                    <w:keepNext w:val="0"/>
                    <w:keepLines w:val="0"/>
                    <w:suppressLineNumbers w:val="0"/>
                    <w:spacing w:before="0" w:beforeAutospacing="0" w:after="0" w:afterAutospacing="0"/>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钢结构加工及机械停放场地</w:t>
                  </w:r>
                </w:p>
              </w:tc>
            </w:tr>
            <w:tr w14:paraId="782724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5" w:type="pct"/>
                  <w:tcBorders>
                    <w:tl2br w:val="nil"/>
                    <w:tr2bl w:val="nil"/>
                  </w:tcBorders>
                  <w:noWrap w:val="0"/>
                  <w:vAlign w:val="center"/>
                </w:tcPr>
                <w:p w14:paraId="5C284166">
                  <w:pPr>
                    <w:keepNext w:val="0"/>
                    <w:keepLines w:val="0"/>
                    <w:widowControl/>
                    <w:suppressLineNumbers w:val="0"/>
                    <w:spacing w:before="0" w:beforeAutospacing="0" w:after="0" w:afterAutospacing="0"/>
                    <w:ind w:left="-105" w:leftChars="-50" w:right="-105" w:rightChars="-50"/>
                    <w:jc w:val="center"/>
                    <w:rPr>
                      <w:rFonts w:hint="default" w:ascii="Times New Roman" w:hAnsi="Times New Roman" w:cs="Times New Roman"/>
                      <w:color w:val="auto"/>
                      <w:szCs w:val="21"/>
                    </w:rPr>
                  </w:pPr>
                  <w:r>
                    <w:rPr>
                      <w:rFonts w:hint="default" w:ascii="Times New Roman" w:hAnsi="Times New Roman" w:cs="Times New Roman"/>
                      <w:color w:val="auto"/>
                      <w:szCs w:val="21"/>
                    </w:rPr>
                    <w:t>综合仓库</w:t>
                  </w:r>
                </w:p>
              </w:tc>
              <w:tc>
                <w:tcPr>
                  <w:tcW w:w="1165" w:type="pct"/>
                  <w:tcBorders>
                    <w:tl2br w:val="nil"/>
                    <w:tr2bl w:val="nil"/>
                  </w:tcBorders>
                  <w:noWrap w:val="0"/>
                  <w:vAlign w:val="center"/>
                </w:tcPr>
                <w:p w14:paraId="62D9AD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5000</w:t>
                  </w:r>
                </w:p>
              </w:tc>
              <w:tc>
                <w:tcPr>
                  <w:tcW w:w="2779" w:type="pct"/>
                  <w:tcBorders>
                    <w:tl2br w:val="nil"/>
                    <w:tr2bl w:val="nil"/>
                  </w:tcBorders>
                  <w:noWrap w:val="0"/>
                  <w:vAlign w:val="center"/>
                </w:tcPr>
                <w:p w14:paraId="311C0091">
                  <w:pPr>
                    <w:pStyle w:val="28"/>
                    <w:keepNext w:val="0"/>
                    <w:keepLines w:val="0"/>
                    <w:suppressLineNumbers w:val="0"/>
                    <w:spacing w:before="0" w:beforeAutospacing="0" w:after="0" w:afterAutospacing="0"/>
                    <w:ind w:left="0" w:right="0" w:firstLine="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光伏</w:t>
                  </w:r>
                  <w:r>
                    <w:rPr>
                      <w:rFonts w:hint="default" w:ascii="Times New Roman" w:hAnsi="Times New Roman" w:eastAsia="宋体" w:cs="Times New Roman"/>
                      <w:color w:val="auto"/>
                      <w:sz w:val="21"/>
                      <w:szCs w:val="21"/>
                    </w:rPr>
                    <w:t>组件、组件支架、机电设备、钢筋等堆放</w:t>
                  </w:r>
                </w:p>
              </w:tc>
            </w:tr>
            <w:tr w14:paraId="585F4D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5" w:type="pct"/>
                  <w:tcBorders>
                    <w:tl2br w:val="nil"/>
                    <w:tr2bl w:val="nil"/>
                  </w:tcBorders>
                  <w:noWrap w:val="0"/>
                  <w:vAlign w:val="center"/>
                </w:tcPr>
                <w:p w14:paraId="607AABDE">
                  <w:pPr>
                    <w:pStyle w:val="28"/>
                    <w:keepNext w:val="0"/>
                    <w:keepLines w:val="0"/>
                    <w:suppressLineNumbers w:val="0"/>
                    <w:spacing w:before="0" w:beforeAutospacing="0" w:after="0" w:afterAutospacing="0"/>
                    <w:ind w:left="0" w:right="0"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小计</w:t>
                  </w:r>
                </w:p>
              </w:tc>
              <w:tc>
                <w:tcPr>
                  <w:tcW w:w="1165" w:type="pct"/>
                  <w:tcBorders>
                    <w:tl2br w:val="nil"/>
                    <w:tr2bl w:val="nil"/>
                  </w:tcBorders>
                  <w:noWrap w:val="0"/>
                  <w:vAlign w:val="center"/>
                </w:tcPr>
                <w:p w14:paraId="2EDC4C53">
                  <w:pPr>
                    <w:pStyle w:val="28"/>
                    <w:keepNext w:val="0"/>
                    <w:keepLines w:val="0"/>
                    <w:suppressLineNumbers w:val="0"/>
                    <w:spacing w:before="0" w:beforeAutospacing="0" w:after="0" w:afterAutospacing="0"/>
                    <w:ind w:left="0" w:right="0" w:firstLine="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28</w:t>
                  </w:r>
                  <w:r>
                    <w:rPr>
                      <w:rFonts w:hint="default" w:ascii="Times New Roman" w:hAnsi="Times New Roman" w:eastAsia="宋体" w:cs="Times New Roman"/>
                      <w:color w:val="auto"/>
                      <w:sz w:val="21"/>
                      <w:szCs w:val="21"/>
                    </w:rPr>
                    <w:t>000</w:t>
                  </w:r>
                </w:p>
              </w:tc>
              <w:tc>
                <w:tcPr>
                  <w:tcW w:w="2779" w:type="pct"/>
                  <w:tcBorders>
                    <w:tl2br w:val="nil"/>
                    <w:tr2bl w:val="nil"/>
                  </w:tcBorders>
                  <w:noWrap w:val="0"/>
                  <w:vAlign w:val="center"/>
                </w:tcPr>
                <w:p w14:paraId="758494A1">
                  <w:pPr>
                    <w:pStyle w:val="28"/>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bl>
          <w:p w14:paraId="7DC00031">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3、工程占地</w:t>
            </w:r>
          </w:p>
          <w:p w14:paraId="4778D4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工程占地</w:t>
            </w:r>
          </w:p>
          <w:p w14:paraId="75E4C1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highlight w:val="none"/>
              </w:rPr>
              <w:t>本项目占地包括工程长期租地、临时占地，其中光伏阵列区和检修道路为长期租地，占地面积为13862848.67m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；施工生产和生活占地为临时占地，占地面积为</w:t>
            </w:r>
            <w:r>
              <w:rPr>
                <w:rFonts w:hint="eastAsia" w:ascii="Times New Roman" w:hAnsi="Times New Roman" w:eastAsia="宋体" w:cs="Times New Roman"/>
                <w:color w:val="auto"/>
                <w:sz w:val="24"/>
                <w:highlight w:val="none"/>
                <w:lang w:val="en-US" w:eastAsia="zh-CN"/>
              </w:rPr>
              <w:t>28</w:t>
            </w:r>
            <w:r>
              <w:rPr>
                <w:rFonts w:hint="default" w:ascii="Times New Roman" w:hAnsi="Times New Roman" w:eastAsia="宋体" w:cs="Times New Roman"/>
                <w:color w:val="auto"/>
                <w:sz w:val="24"/>
                <w:highlight w:val="none"/>
              </w:rPr>
              <w:t>000m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。占地类型为其他草地。工程占地面</w:t>
            </w:r>
            <w:r>
              <w:rPr>
                <w:rFonts w:hint="default" w:ascii="Times New Roman" w:hAnsi="Times New Roman" w:eastAsia="宋体" w:cs="Times New Roman"/>
                <w:color w:val="auto"/>
                <w:sz w:val="24"/>
              </w:rPr>
              <w:t>积统计表见表2-</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w:t>
            </w:r>
          </w:p>
          <w:p w14:paraId="6DD7C0C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default" w:ascii="Times New Roman" w:hAnsi="Times New Roman" w:cs="Times New Roman"/>
                <w:color w:val="auto"/>
              </w:rPr>
            </w:pPr>
            <w:r>
              <w:rPr>
                <w:rFonts w:hint="default" w:ascii="Times New Roman" w:hAnsi="Times New Roman" w:eastAsia="黑体" w:cs="Times New Roman"/>
                <w:color w:val="auto"/>
                <w:kern w:val="0"/>
                <w:sz w:val="21"/>
                <w:szCs w:val="24"/>
                <w:lang w:val="en-US" w:eastAsia="zh-CN" w:bidi="en-US"/>
              </w:rPr>
              <w:t>表2-</w:t>
            </w:r>
            <w:r>
              <w:rPr>
                <w:rFonts w:hint="eastAsia" w:ascii="Times New Roman" w:hAnsi="Times New Roman" w:eastAsia="黑体" w:cs="Times New Roman"/>
                <w:color w:val="auto"/>
                <w:kern w:val="0"/>
                <w:sz w:val="21"/>
                <w:szCs w:val="24"/>
                <w:lang w:val="en-US" w:eastAsia="zh-CN" w:bidi="en-US"/>
              </w:rPr>
              <w:t>3</w:t>
            </w:r>
            <w:r>
              <w:rPr>
                <w:rFonts w:hint="default" w:ascii="Times New Roman" w:hAnsi="Times New Roman" w:eastAsia="黑体" w:cs="Times New Roman"/>
                <w:color w:val="auto"/>
                <w:kern w:val="0"/>
                <w:sz w:val="21"/>
                <w:szCs w:val="24"/>
                <w:lang w:val="en-US" w:eastAsia="zh-CN" w:bidi="en-US"/>
              </w:rPr>
              <w:t xml:space="preserve">              工程占地面积统计表   </w:t>
            </w:r>
            <w:r>
              <w:rPr>
                <w:rFonts w:hint="default" w:ascii="Times New Roman" w:hAnsi="Times New Roman" w:cs="Times New Roman"/>
                <w:b/>
                <w:bCs/>
                <w:color w:val="auto"/>
                <w:sz w:val="24"/>
              </w:rPr>
              <w:t xml:space="preserve"> </w:t>
            </w:r>
            <w:r>
              <w:rPr>
                <w:rFonts w:hint="default" w:ascii="Times New Roman" w:hAnsi="Times New Roman" w:cs="Times New Roman"/>
                <w:color w:val="auto"/>
                <w:sz w:val="24"/>
              </w:rPr>
              <w:t xml:space="preserve"> </w:t>
            </w:r>
            <w:r>
              <w:rPr>
                <w:rFonts w:hint="default" w:ascii="Times New Roman" w:hAnsi="Times New Roman" w:cs="Times New Roman"/>
                <w:color w:val="auto"/>
              </w:rPr>
              <w:t xml:space="preserve">           </w:t>
            </w:r>
          </w:p>
          <w:tbl>
            <w:tblPr>
              <w:tblStyle w:val="29"/>
              <w:tblW w:w="49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3778"/>
              <w:gridCol w:w="2000"/>
              <w:gridCol w:w="1241"/>
            </w:tblGrid>
            <w:tr w14:paraId="15E149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7" w:type="pct"/>
                  <w:tcBorders>
                    <w:tl2br w:val="nil"/>
                    <w:tr2bl w:val="nil"/>
                  </w:tcBorders>
                  <w:noWrap w:val="0"/>
                  <w:vAlign w:val="center"/>
                </w:tcPr>
                <w:p w14:paraId="3EAED1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占地性质</w:t>
                  </w:r>
                </w:p>
              </w:tc>
              <w:tc>
                <w:tcPr>
                  <w:tcW w:w="2337" w:type="pct"/>
                  <w:tcBorders>
                    <w:tl2br w:val="nil"/>
                    <w:tr2bl w:val="nil"/>
                  </w:tcBorders>
                  <w:noWrap w:val="0"/>
                  <w:vAlign w:val="center"/>
                </w:tcPr>
                <w:p w14:paraId="5209B1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工程名称</w:t>
                  </w:r>
                </w:p>
              </w:tc>
              <w:tc>
                <w:tcPr>
                  <w:tcW w:w="1237" w:type="pct"/>
                  <w:tcBorders>
                    <w:tl2br w:val="nil"/>
                    <w:tr2bl w:val="nil"/>
                  </w:tcBorders>
                  <w:noWrap w:val="0"/>
                  <w:vAlign w:val="center"/>
                </w:tcPr>
                <w:p w14:paraId="34A53D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面积</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eastAsia" w:ascii="Times New Roman" w:hAnsi="Times New Roman" w:cs="Times New Roman"/>
                      <w:color w:val="auto"/>
                      <w:sz w:val="21"/>
                      <w:szCs w:val="21"/>
                      <w:vertAlign w:val="superscript"/>
                      <w:lang w:eastAsia="zh-CN"/>
                    </w:rPr>
                    <w:t>）</w:t>
                  </w:r>
                </w:p>
              </w:tc>
              <w:tc>
                <w:tcPr>
                  <w:tcW w:w="767" w:type="pct"/>
                  <w:tcBorders>
                    <w:tl2br w:val="nil"/>
                    <w:tr2bl w:val="nil"/>
                  </w:tcBorders>
                  <w:noWrap w:val="0"/>
                  <w:vAlign w:val="center"/>
                </w:tcPr>
                <w:p w14:paraId="7F93CC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占地类型</w:t>
                  </w:r>
                </w:p>
              </w:tc>
            </w:tr>
            <w:tr w14:paraId="4BB41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7" w:type="pct"/>
                  <w:vMerge w:val="restart"/>
                  <w:tcBorders>
                    <w:tl2br w:val="nil"/>
                    <w:tr2bl w:val="nil"/>
                  </w:tcBorders>
                  <w:noWrap w:val="0"/>
                  <w:vAlign w:val="center"/>
                </w:tcPr>
                <w:p w14:paraId="5D3F92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长期租地</w:t>
                  </w:r>
                </w:p>
              </w:tc>
              <w:tc>
                <w:tcPr>
                  <w:tcW w:w="2337" w:type="pct"/>
                  <w:tcBorders>
                    <w:tl2br w:val="nil"/>
                    <w:tr2bl w:val="nil"/>
                  </w:tcBorders>
                  <w:noWrap w:val="0"/>
                  <w:vAlign w:val="center"/>
                </w:tcPr>
                <w:p w14:paraId="4B6163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光伏阵列区、检修道路</w:t>
                  </w:r>
                </w:p>
              </w:tc>
              <w:tc>
                <w:tcPr>
                  <w:tcW w:w="1237" w:type="pct"/>
                  <w:tcBorders>
                    <w:tl2br w:val="nil"/>
                    <w:tr2bl w:val="nil"/>
                  </w:tcBorders>
                  <w:noWrap w:val="0"/>
                  <w:vAlign w:val="center"/>
                </w:tcPr>
                <w:p w14:paraId="58A1D5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13862848.67</w:t>
                  </w:r>
                </w:p>
              </w:tc>
              <w:tc>
                <w:tcPr>
                  <w:tcW w:w="767" w:type="pct"/>
                  <w:vMerge w:val="restart"/>
                  <w:tcBorders>
                    <w:tl2br w:val="nil"/>
                    <w:tr2bl w:val="nil"/>
                  </w:tcBorders>
                  <w:noWrap w:val="0"/>
                  <w:vAlign w:val="center"/>
                </w:tcPr>
                <w:p w14:paraId="432AD9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rPr>
                    <w:t>其他草地</w:t>
                  </w:r>
                </w:p>
              </w:tc>
            </w:tr>
            <w:tr w14:paraId="3EE2F7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7" w:type="pct"/>
                  <w:vMerge w:val="continue"/>
                  <w:tcBorders>
                    <w:tl2br w:val="nil"/>
                    <w:tr2bl w:val="nil"/>
                  </w:tcBorders>
                  <w:noWrap w:val="0"/>
                  <w:vAlign w:val="center"/>
                </w:tcPr>
                <w:p w14:paraId="114283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cs="Times New Roman"/>
                      <w:color w:val="auto"/>
                      <w:sz w:val="21"/>
                      <w:szCs w:val="21"/>
                    </w:rPr>
                  </w:pPr>
                </w:p>
              </w:tc>
              <w:tc>
                <w:tcPr>
                  <w:tcW w:w="2337" w:type="pct"/>
                  <w:tcBorders>
                    <w:tl2br w:val="nil"/>
                    <w:tr2bl w:val="nil"/>
                  </w:tcBorders>
                  <w:noWrap w:val="0"/>
                  <w:vAlign w:val="center"/>
                </w:tcPr>
                <w:p w14:paraId="6E0752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小计</w:t>
                  </w:r>
                </w:p>
              </w:tc>
              <w:tc>
                <w:tcPr>
                  <w:tcW w:w="1237" w:type="pct"/>
                  <w:tcBorders>
                    <w:tl2br w:val="nil"/>
                    <w:tr2bl w:val="nil"/>
                  </w:tcBorders>
                  <w:noWrap w:val="0"/>
                  <w:vAlign w:val="center"/>
                </w:tcPr>
                <w:p w14:paraId="5A1E92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13862848.67</w:t>
                  </w:r>
                </w:p>
              </w:tc>
              <w:tc>
                <w:tcPr>
                  <w:tcW w:w="767" w:type="pct"/>
                  <w:vMerge w:val="continue"/>
                  <w:tcBorders>
                    <w:tl2br w:val="nil"/>
                    <w:tr2bl w:val="nil"/>
                  </w:tcBorders>
                  <w:noWrap w:val="0"/>
                  <w:vAlign w:val="center"/>
                </w:tcPr>
                <w:p w14:paraId="5DCEF4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cs="Times New Roman"/>
                      <w:color w:val="auto"/>
                      <w:sz w:val="21"/>
                      <w:szCs w:val="21"/>
                      <w:highlight w:val="none"/>
                    </w:rPr>
                  </w:pPr>
                </w:p>
              </w:tc>
            </w:tr>
            <w:tr w14:paraId="33614A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7" w:type="pct"/>
                  <w:vMerge w:val="restart"/>
                  <w:tcBorders>
                    <w:tl2br w:val="nil"/>
                    <w:tr2bl w:val="nil"/>
                  </w:tcBorders>
                  <w:noWrap w:val="0"/>
                  <w:vAlign w:val="center"/>
                </w:tcPr>
                <w:p w14:paraId="142053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临时占地</w:t>
                  </w:r>
                </w:p>
              </w:tc>
              <w:tc>
                <w:tcPr>
                  <w:tcW w:w="2337" w:type="pct"/>
                  <w:tcBorders>
                    <w:tl2br w:val="nil"/>
                    <w:tr2bl w:val="nil"/>
                  </w:tcBorders>
                  <w:noWrap w:val="0"/>
                  <w:vAlign w:val="center"/>
                </w:tcPr>
                <w:p w14:paraId="361F2F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施工生活区</w:t>
                  </w:r>
                </w:p>
              </w:tc>
              <w:tc>
                <w:tcPr>
                  <w:tcW w:w="1237" w:type="pct"/>
                  <w:tcBorders>
                    <w:tl2br w:val="nil"/>
                    <w:tr2bl w:val="nil"/>
                  </w:tcBorders>
                  <w:noWrap w:val="0"/>
                  <w:vAlign w:val="center"/>
                </w:tcPr>
                <w:p w14:paraId="0CF78C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15000</w:t>
                  </w:r>
                </w:p>
              </w:tc>
              <w:tc>
                <w:tcPr>
                  <w:tcW w:w="767" w:type="pct"/>
                  <w:vMerge w:val="continue"/>
                  <w:tcBorders>
                    <w:tl2br w:val="nil"/>
                    <w:tr2bl w:val="nil"/>
                  </w:tcBorders>
                  <w:noWrap w:val="0"/>
                  <w:vAlign w:val="center"/>
                </w:tcPr>
                <w:p w14:paraId="65D1B9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cs="Times New Roman"/>
                      <w:color w:val="auto"/>
                      <w:sz w:val="21"/>
                      <w:szCs w:val="21"/>
                    </w:rPr>
                  </w:pPr>
                </w:p>
              </w:tc>
            </w:tr>
            <w:tr w14:paraId="7C1B3E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7" w:type="pct"/>
                  <w:vMerge w:val="continue"/>
                  <w:tcBorders>
                    <w:tl2br w:val="nil"/>
                    <w:tr2bl w:val="nil"/>
                  </w:tcBorders>
                  <w:noWrap w:val="0"/>
                  <w:vAlign w:val="center"/>
                </w:tcPr>
                <w:p w14:paraId="6B3014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cs="Times New Roman"/>
                      <w:color w:val="auto"/>
                      <w:sz w:val="21"/>
                      <w:szCs w:val="21"/>
                    </w:rPr>
                  </w:pPr>
                </w:p>
              </w:tc>
              <w:tc>
                <w:tcPr>
                  <w:tcW w:w="2337" w:type="pct"/>
                  <w:tcBorders>
                    <w:tl2br w:val="nil"/>
                    <w:tr2bl w:val="nil"/>
                  </w:tcBorders>
                  <w:noWrap w:val="0"/>
                  <w:vAlign w:val="center"/>
                </w:tcPr>
                <w:p w14:paraId="34BDB0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综合加工厂</w:t>
                  </w:r>
                </w:p>
              </w:tc>
              <w:tc>
                <w:tcPr>
                  <w:tcW w:w="1237" w:type="pct"/>
                  <w:tcBorders>
                    <w:tl2br w:val="nil"/>
                    <w:tr2bl w:val="nil"/>
                  </w:tcBorders>
                  <w:noWrap w:val="0"/>
                  <w:vAlign w:val="center"/>
                </w:tcPr>
                <w:p w14:paraId="7AF051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000</w:t>
                  </w:r>
                </w:p>
              </w:tc>
              <w:tc>
                <w:tcPr>
                  <w:tcW w:w="767" w:type="pct"/>
                  <w:vMerge w:val="continue"/>
                  <w:tcBorders>
                    <w:tl2br w:val="nil"/>
                    <w:tr2bl w:val="nil"/>
                  </w:tcBorders>
                  <w:noWrap w:val="0"/>
                  <w:vAlign w:val="center"/>
                </w:tcPr>
                <w:p w14:paraId="6A3547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cs="Times New Roman"/>
                      <w:color w:val="auto"/>
                      <w:sz w:val="21"/>
                      <w:szCs w:val="21"/>
                    </w:rPr>
                  </w:pPr>
                </w:p>
              </w:tc>
            </w:tr>
            <w:tr w14:paraId="4FFEB2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7" w:type="pct"/>
                  <w:vMerge w:val="continue"/>
                  <w:tcBorders>
                    <w:tl2br w:val="nil"/>
                    <w:tr2bl w:val="nil"/>
                  </w:tcBorders>
                  <w:noWrap w:val="0"/>
                  <w:vAlign w:val="center"/>
                </w:tcPr>
                <w:p w14:paraId="329FD4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cs="Times New Roman"/>
                      <w:color w:val="auto"/>
                      <w:sz w:val="21"/>
                      <w:szCs w:val="21"/>
                    </w:rPr>
                  </w:pPr>
                </w:p>
              </w:tc>
              <w:tc>
                <w:tcPr>
                  <w:tcW w:w="2337" w:type="pct"/>
                  <w:tcBorders>
                    <w:tl2br w:val="nil"/>
                    <w:tr2bl w:val="nil"/>
                  </w:tcBorders>
                  <w:noWrap w:val="0"/>
                  <w:vAlign w:val="center"/>
                </w:tcPr>
                <w:p w14:paraId="06AC13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综合仓库</w:t>
                  </w:r>
                </w:p>
              </w:tc>
              <w:tc>
                <w:tcPr>
                  <w:tcW w:w="1237" w:type="pct"/>
                  <w:tcBorders>
                    <w:tl2br w:val="nil"/>
                    <w:tr2bl w:val="nil"/>
                  </w:tcBorders>
                  <w:noWrap w:val="0"/>
                  <w:vAlign w:val="center"/>
                </w:tcPr>
                <w:p w14:paraId="08629C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5000</w:t>
                  </w:r>
                </w:p>
              </w:tc>
              <w:tc>
                <w:tcPr>
                  <w:tcW w:w="767" w:type="pct"/>
                  <w:vMerge w:val="continue"/>
                  <w:tcBorders>
                    <w:tl2br w:val="nil"/>
                    <w:tr2bl w:val="nil"/>
                  </w:tcBorders>
                  <w:noWrap w:val="0"/>
                  <w:vAlign w:val="center"/>
                </w:tcPr>
                <w:p w14:paraId="05DF00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cs="Times New Roman"/>
                      <w:color w:val="auto"/>
                      <w:sz w:val="21"/>
                      <w:szCs w:val="21"/>
                    </w:rPr>
                  </w:pPr>
                </w:p>
              </w:tc>
            </w:tr>
            <w:tr w14:paraId="58A888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7" w:type="pct"/>
                  <w:vMerge w:val="continue"/>
                  <w:tcBorders>
                    <w:tl2br w:val="nil"/>
                    <w:tr2bl w:val="nil"/>
                  </w:tcBorders>
                  <w:noWrap w:val="0"/>
                  <w:vAlign w:val="center"/>
                </w:tcPr>
                <w:p w14:paraId="1B5684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cs="Times New Roman"/>
                      <w:color w:val="auto"/>
                      <w:sz w:val="21"/>
                      <w:szCs w:val="21"/>
                    </w:rPr>
                  </w:pPr>
                </w:p>
              </w:tc>
              <w:tc>
                <w:tcPr>
                  <w:tcW w:w="2337" w:type="pct"/>
                  <w:tcBorders>
                    <w:tl2br w:val="nil"/>
                    <w:tr2bl w:val="nil"/>
                  </w:tcBorders>
                  <w:noWrap w:val="0"/>
                  <w:vAlign w:val="center"/>
                </w:tcPr>
                <w:p w14:paraId="0A8D08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小计</w:t>
                  </w:r>
                </w:p>
              </w:tc>
              <w:tc>
                <w:tcPr>
                  <w:tcW w:w="1237" w:type="pct"/>
                  <w:tcBorders>
                    <w:tl2br w:val="nil"/>
                    <w:tr2bl w:val="nil"/>
                  </w:tcBorders>
                  <w:noWrap w:val="0"/>
                  <w:vAlign w:val="center"/>
                </w:tcPr>
                <w:p w14:paraId="45F0B5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28</w:t>
                  </w:r>
                  <w:r>
                    <w:rPr>
                      <w:rFonts w:hint="default" w:ascii="Times New Roman" w:hAnsi="Times New Roman" w:cs="Times New Roman"/>
                      <w:color w:val="auto"/>
                      <w:sz w:val="21"/>
                      <w:szCs w:val="21"/>
                    </w:rPr>
                    <w:t>000</w:t>
                  </w:r>
                </w:p>
              </w:tc>
              <w:tc>
                <w:tcPr>
                  <w:tcW w:w="767" w:type="pct"/>
                  <w:vMerge w:val="continue"/>
                  <w:tcBorders>
                    <w:tl2br w:val="nil"/>
                    <w:tr2bl w:val="nil"/>
                  </w:tcBorders>
                  <w:noWrap w:val="0"/>
                  <w:vAlign w:val="center"/>
                </w:tcPr>
                <w:p w14:paraId="6998AD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cs="Times New Roman"/>
                      <w:color w:val="auto"/>
                      <w:sz w:val="21"/>
                      <w:szCs w:val="21"/>
                    </w:rPr>
                  </w:pPr>
                </w:p>
              </w:tc>
            </w:tr>
          </w:tbl>
          <w:p w14:paraId="61DB2FFA">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土石方</w:t>
            </w:r>
          </w:p>
          <w:p w14:paraId="30C4FD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土石方开挖量主要来自场内光伏阵列区及箱变基础开挖，集电线路开挖，道路及预埋装置的开挖方，而土石方回填主要用于箱变及基础、集电线路的回填、道路填方路段的填筑。根据施工组织设计，工程开挖量为</w:t>
            </w:r>
            <w:r>
              <w:rPr>
                <w:rFonts w:hint="eastAsia" w:ascii="Times New Roman" w:hAnsi="Times New Roman" w:eastAsia="宋体" w:cs="Times New Roman"/>
                <w:color w:val="auto"/>
                <w:sz w:val="24"/>
                <w:lang w:val="en-US" w:eastAsia="zh-CN"/>
              </w:rPr>
              <w:t>30</w:t>
            </w:r>
            <w:r>
              <w:rPr>
                <w:rFonts w:hint="default" w:ascii="Times New Roman" w:hAnsi="Times New Roman" w:eastAsia="宋体" w:cs="Times New Roman"/>
                <w:color w:val="auto"/>
                <w:sz w:val="24"/>
              </w:rPr>
              <w:t>万m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，土石方回填量约</w:t>
            </w:r>
            <w:r>
              <w:rPr>
                <w:rFonts w:hint="eastAsia" w:ascii="Times New Roman" w:hAnsi="Times New Roman" w:eastAsia="宋体" w:cs="Times New Roman"/>
                <w:color w:val="auto"/>
                <w:sz w:val="24"/>
                <w:lang w:val="en-US" w:eastAsia="zh-CN"/>
              </w:rPr>
              <w:t>30</w:t>
            </w:r>
            <w:r>
              <w:rPr>
                <w:rFonts w:hint="default" w:ascii="Times New Roman" w:hAnsi="Times New Roman" w:eastAsia="宋体" w:cs="Times New Roman"/>
                <w:color w:val="auto"/>
                <w:sz w:val="24"/>
              </w:rPr>
              <w:t>万m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，无永久弃方。</w:t>
            </w:r>
          </w:p>
          <w:p w14:paraId="7879194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default" w:ascii="Times New Roman" w:hAnsi="Times New Roman" w:eastAsia="黑体" w:cs="Times New Roman"/>
                <w:color w:val="auto"/>
                <w:kern w:val="0"/>
                <w:sz w:val="21"/>
                <w:szCs w:val="24"/>
                <w:lang w:val="en-US" w:eastAsia="zh-CN" w:bidi="en-US"/>
              </w:rPr>
            </w:pPr>
            <w:r>
              <w:rPr>
                <w:rFonts w:hint="eastAsia" w:ascii="Times New Roman" w:hAnsi="Times New Roman" w:eastAsia="黑体" w:cs="Times New Roman"/>
                <w:color w:val="auto"/>
                <w:kern w:val="0"/>
                <w:sz w:val="21"/>
                <w:szCs w:val="24"/>
                <w:lang w:val="en-US" w:eastAsia="zh-CN" w:bidi="en-US"/>
              </w:rPr>
              <w:t>表2-4                     土石方平衡表</w:t>
            </w:r>
          </w:p>
          <w:tbl>
            <w:tblPr>
              <w:tblStyle w:val="30"/>
              <w:tblW w:w="49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8"/>
              <w:gridCol w:w="2018"/>
              <w:gridCol w:w="2018"/>
              <w:gridCol w:w="2018"/>
            </w:tblGrid>
            <w:tr w14:paraId="297B9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8" w:type="dxa"/>
                  <w:tcBorders>
                    <w:top w:val="single" w:color="auto" w:sz="12" w:space="0"/>
                  </w:tcBorders>
                  <w:noWrap w:val="0"/>
                  <w:vAlign w:val="center"/>
                </w:tcPr>
                <w:p w14:paraId="372B75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w:t>
                  </w:r>
                </w:p>
              </w:tc>
              <w:tc>
                <w:tcPr>
                  <w:tcW w:w="2018" w:type="dxa"/>
                  <w:tcBorders>
                    <w:top w:val="single" w:color="auto" w:sz="12" w:space="0"/>
                  </w:tcBorders>
                  <w:noWrap w:val="0"/>
                  <w:vAlign w:val="center"/>
                </w:tcPr>
                <w:p w14:paraId="0631D6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挖方（m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w:t>
                  </w:r>
                </w:p>
              </w:tc>
              <w:tc>
                <w:tcPr>
                  <w:tcW w:w="2018" w:type="dxa"/>
                  <w:tcBorders>
                    <w:top w:val="single" w:color="auto" w:sz="12" w:space="0"/>
                  </w:tcBorders>
                  <w:noWrap w:val="0"/>
                  <w:vAlign w:val="center"/>
                </w:tcPr>
                <w:p w14:paraId="2D135F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填方（m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w:t>
                  </w:r>
                </w:p>
              </w:tc>
              <w:tc>
                <w:tcPr>
                  <w:tcW w:w="2018" w:type="dxa"/>
                  <w:tcBorders>
                    <w:top w:val="single" w:color="auto" w:sz="12" w:space="0"/>
                    <w:right w:val="nil"/>
                  </w:tcBorders>
                  <w:noWrap w:val="0"/>
                  <w:vAlign w:val="center"/>
                </w:tcPr>
                <w:p w14:paraId="269729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弃方（m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w:t>
                  </w:r>
                </w:p>
              </w:tc>
            </w:tr>
            <w:tr w14:paraId="054E9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8" w:type="dxa"/>
                  <w:tcBorders>
                    <w:left w:val="nil"/>
                  </w:tcBorders>
                  <w:noWrap w:val="0"/>
                  <w:vAlign w:val="center"/>
                </w:tcPr>
                <w:p w14:paraId="26F29A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光伏阵列区</w:t>
                  </w:r>
                </w:p>
              </w:tc>
              <w:tc>
                <w:tcPr>
                  <w:tcW w:w="2018" w:type="dxa"/>
                  <w:noWrap w:val="0"/>
                  <w:vAlign w:val="center"/>
                </w:tcPr>
                <w:p w14:paraId="2501BF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28245</w:t>
                  </w:r>
                </w:p>
              </w:tc>
              <w:tc>
                <w:tcPr>
                  <w:tcW w:w="2018" w:type="dxa"/>
                  <w:noWrap w:val="0"/>
                  <w:vAlign w:val="center"/>
                </w:tcPr>
                <w:p w14:paraId="3CAA7A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28245</w:t>
                  </w:r>
                </w:p>
              </w:tc>
              <w:tc>
                <w:tcPr>
                  <w:tcW w:w="2018" w:type="dxa"/>
                  <w:tcBorders>
                    <w:right w:val="nil"/>
                  </w:tcBorders>
                  <w:noWrap w:val="0"/>
                  <w:vAlign w:val="center"/>
                </w:tcPr>
                <w:p w14:paraId="1058AF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14:paraId="152F3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8" w:type="dxa"/>
                  <w:tcBorders>
                    <w:left w:val="nil"/>
                  </w:tcBorders>
                  <w:noWrap w:val="0"/>
                  <w:vAlign w:val="center"/>
                </w:tcPr>
                <w:p w14:paraId="77116C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箱变</w:t>
                  </w:r>
                </w:p>
              </w:tc>
              <w:tc>
                <w:tcPr>
                  <w:tcW w:w="2018" w:type="dxa"/>
                  <w:noWrap w:val="0"/>
                  <w:vAlign w:val="center"/>
                </w:tcPr>
                <w:p w14:paraId="1E64F1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8280</w:t>
                  </w:r>
                </w:p>
              </w:tc>
              <w:tc>
                <w:tcPr>
                  <w:tcW w:w="2018" w:type="dxa"/>
                  <w:noWrap w:val="0"/>
                  <w:vAlign w:val="center"/>
                </w:tcPr>
                <w:p w14:paraId="02CFA2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8280</w:t>
                  </w:r>
                </w:p>
              </w:tc>
              <w:tc>
                <w:tcPr>
                  <w:tcW w:w="2018" w:type="dxa"/>
                  <w:tcBorders>
                    <w:right w:val="nil"/>
                  </w:tcBorders>
                  <w:noWrap w:val="0"/>
                  <w:vAlign w:val="center"/>
                </w:tcPr>
                <w:p w14:paraId="2FC6B3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14:paraId="4F3C4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8" w:type="dxa"/>
                  <w:tcBorders>
                    <w:left w:val="nil"/>
                  </w:tcBorders>
                  <w:noWrap w:val="0"/>
                  <w:vAlign w:val="center"/>
                </w:tcPr>
                <w:p w14:paraId="227B00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集电线路</w:t>
                  </w:r>
                </w:p>
              </w:tc>
              <w:tc>
                <w:tcPr>
                  <w:tcW w:w="2018" w:type="dxa"/>
                  <w:noWrap w:val="0"/>
                  <w:vAlign w:val="center"/>
                </w:tcPr>
                <w:p w14:paraId="7A5BAC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160000</w:t>
                  </w:r>
                </w:p>
              </w:tc>
              <w:tc>
                <w:tcPr>
                  <w:tcW w:w="2018" w:type="dxa"/>
                  <w:noWrap w:val="0"/>
                  <w:vAlign w:val="center"/>
                </w:tcPr>
                <w:p w14:paraId="79FC4C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160000</w:t>
                  </w:r>
                </w:p>
              </w:tc>
              <w:tc>
                <w:tcPr>
                  <w:tcW w:w="2018" w:type="dxa"/>
                  <w:tcBorders>
                    <w:right w:val="nil"/>
                  </w:tcBorders>
                  <w:noWrap w:val="0"/>
                  <w:vAlign w:val="center"/>
                </w:tcPr>
                <w:p w14:paraId="63E144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14:paraId="4D0A1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8" w:type="dxa"/>
                  <w:tcBorders>
                    <w:left w:val="nil"/>
                  </w:tcBorders>
                  <w:noWrap w:val="0"/>
                  <w:vAlign w:val="center"/>
                </w:tcPr>
                <w:p w14:paraId="3BDA87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道路及预埋装置</w:t>
                  </w:r>
                </w:p>
              </w:tc>
              <w:tc>
                <w:tcPr>
                  <w:tcW w:w="2018" w:type="dxa"/>
                  <w:noWrap w:val="0"/>
                  <w:vAlign w:val="center"/>
                </w:tcPr>
                <w:p w14:paraId="205D9C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103475</w:t>
                  </w:r>
                </w:p>
              </w:tc>
              <w:tc>
                <w:tcPr>
                  <w:tcW w:w="2018" w:type="dxa"/>
                  <w:noWrap w:val="0"/>
                  <w:vAlign w:val="center"/>
                </w:tcPr>
                <w:p w14:paraId="729872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103475</w:t>
                  </w:r>
                </w:p>
              </w:tc>
              <w:tc>
                <w:tcPr>
                  <w:tcW w:w="2018" w:type="dxa"/>
                  <w:tcBorders>
                    <w:right w:val="nil"/>
                  </w:tcBorders>
                  <w:noWrap w:val="0"/>
                  <w:vAlign w:val="center"/>
                </w:tcPr>
                <w:p w14:paraId="490FF0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r w14:paraId="38867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18" w:type="dxa"/>
                  <w:tcBorders>
                    <w:left w:val="nil"/>
                  </w:tcBorders>
                  <w:noWrap w:val="0"/>
                  <w:vAlign w:val="center"/>
                </w:tcPr>
                <w:p w14:paraId="3DC8CA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合计</w:t>
                  </w:r>
                </w:p>
              </w:tc>
              <w:tc>
                <w:tcPr>
                  <w:tcW w:w="2018" w:type="dxa"/>
                  <w:noWrap w:val="0"/>
                  <w:vAlign w:val="center"/>
                </w:tcPr>
                <w:p w14:paraId="44BDF1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300000</w:t>
                  </w:r>
                </w:p>
              </w:tc>
              <w:tc>
                <w:tcPr>
                  <w:tcW w:w="2018" w:type="dxa"/>
                  <w:noWrap w:val="0"/>
                  <w:vAlign w:val="center"/>
                </w:tcPr>
                <w:p w14:paraId="2C2D60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300000</w:t>
                  </w:r>
                </w:p>
              </w:tc>
              <w:tc>
                <w:tcPr>
                  <w:tcW w:w="2018" w:type="dxa"/>
                  <w:tcBorders>
                    <w:right w:val="nil"/>
                  </w:tcBorders>
                  <w:noWrap w:val="0"/>
                  <w:vAlign w:val="center"/>
                </w:tcPr>
                <w:p w14:paraId="198EEB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r>
          </w:tbl>
          <w:p w14:paraId="7619DD83">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14:paraId="7A9DA9D2">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tc>
      </w:tr>
      <w:tr w14:paraId="3341DC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8" w:hRule="atLeast"/>
          <w:jc w:val="center"/>
        </w:trPr>
        <w:tc>
          <w:tcPr>
            <w:tcW w:w="710" w:type="dxa"/>
            <w:noWrap w:val="0"/>
            <w:vAlign w:val="center"/>
          </w:tcPr>
          <w:p w14:paraId="6C72559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施工方案</w:t>
            </w:r>
          </w:p>
        </w:tc>
        <w:tc>
          <w:tcPr>
            <w:tcW w:w="8380" w:type="dxa"/>
            <w:noWrap w:val="0"/>
            <w:vAlign w:val="center"/>
          </w:tcPr>
          <w:p w14:paraId="673C7D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施工工艺</w:t>
            </w:r>
          </w:p>
          <w:p w14:paraId="7273B1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光伏发电项目施工工艺流程图见下图2-</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w:t>
            </w:r>
          </w:p>
          <w:p w14:paraId="7ADB9E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rPr>
            </w:pPr>
            <w:r>
              <w:rPr>
                <w:rFonts w:hint="default" w:ascii="Times New Roman" w:hAnsi="Times New Roman" w:cs="Times New Roman"/>
                <w:color w:val="auto"/>
              </w:rPr>
              <w:drawing>
                <wp:inline distT="0" distB="0" distL="114300" distR="114300">
                  <wp:extent cx="3971925" cy="2905125"/>
                  <wp:effectExtent l="0" t="0" r="9525" b="9525"/>
                  <wp:docPr id="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pic:cNvPicPr>
                            <a:picLocks noChangeAspect="1"/>
                          </pic:cNvPicPr>
                        </pic:nvPicPr>
                        <pic:blipFill>
                          <a:blip r:embed="rId6"/>
                          <a:stretch>
                            <a:fillRect/>
                          </a:stretch>
                        </pic:blipFill>
                        <pic:spPr>
                          <a:xfrm>
                            <a:off x="0" y="0"/>
                            <a:ext cx="3971925" cy="2905125"/>
                          </a:xfrm>
                          <a:prstGeom prst="rect">
                            <a:avLst/>
                          </a:prstGeom>
                          <a:noFill/>
                          <a:ln>
                            <a:noFill/>
                          </a:ln>
                        </pic:spPr>
                      </pic:pic>
                    </a:graphicData>
                  </a:graphic>
                </wp:inline>
              </w:drawing>
            </w:r>
          </w:p>
          <w:p w14:paraId="53D8495E">
            <w:pPr>
              <w:pStyle w:val="1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黑体" w:cs="Times New Roman"/>
                <w:color w:val="auto"/>
                <w:sz w:val="21"/>
                <w:szCs w:val="21"/>
                <w:lang w:val="en-US" w:eastAsia="zh-CN"/>
              </w:rPr>
            </w:pPr>
            <w:r>
              <w:rPr>
                <w:rFonts w:hint="default" w:ascii="Times New Roman" w:hAnsi="Times New Roman" w:eastAsia="黑体" w:cs="Times New Roman"/>
                <w:color w:val="auto"/>
                <w:sz w:val="21"/>
                <w:szCs w:val="21"/>
                <w:lang w:val="en-US" w:eastAsia="zh-CN"/>
              </w:rPr>
              <w:t>图2-</w:t>
            </w:r>
            <w:r>
              <w:rPr>
                <w:rFonts w:hint="eastAsia" w:ascii="Times New Roman" w:hAnsi="Times New Roman" w:eastAsia="黑体" w:cs="Times New Roman"/>
                <w:color w:val="auto"/>
                <w:sz w:val="21"/>
                <w:szCs w:val="21"/>
                <w:lang w:val="en-US" w:eastAsia="zh-CN"/>
              </w:rPr>
              <w:t>2</w:t>
            </w:r>
            <w:r>
              <w:rPr>
                <w:rFonts w:hint="default" w:ascii="Times New Roman" w:hAnsi="Times New Roman" w:eastAsia="黑体" w:cs="Times New Roman"/>
                <w:color w:val="auto"/>
                <w:sz w:val="21"/>
                <w:szCs w:val="21"/>
                <w:lang w:val="en-US" w:eastAsia="zh-CN"/>
              </w:rPr>
              <w:t xml:space="preserve">  施工工艺流程图</w:t>
            </w:r>
          </w:p>
          <w:p w14:paraId="34C1CD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 xml:space="preserve"> 土建工程总体施工方案</w:t>
            </w:r>
          </w:p>
          <w:p w14:paraId="22499D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（1）土建施工本着先地下、后地上的顺序，依次光伏发电组件基础、逆变器室基础以及零米以下设施。</w:t>
            </w:r>
          </w:p>
          <w:p w14:paraId="00E331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（2）接地网、地下管道主线与相应的地下工程设施（给排水、消防管道、电缆沟道）同步施工，电缆管预埋与基础施工应紧密配合，防止遗漏。 </w:t>
            </w:r>
          </w:p>
          <w:p w14:paraId="0D7184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（3）基础施工完毕后即回填，原则上要求影响起重设备行走的部位先回填、起重机械行走时要采取切实可行的措施保护其下部的设备基础及预埋件。</w:t>
            </w:r>
          </w:p>
          <w:p w14:paraId="2E34F3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光伏发电项目施工仅在光伏阵列区支架及箱变基础施工过程中有地表扰动。该工序的主要污染为施工扬尘、噪声及固废。</w:t>
            </w:r>
          </w:p>
          <w:p w14:paraId="4C1858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 xml:space="preserve">电池组件支架基础施工 </w:t>
            </w:r>
          </w:p>
          <w:p w14:paraId="4F1311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电池组件支架基础施工包括施工放线、机械钻孔、钢筋混凝土工程、混凝土养护。</w:t>
            </w:r>
          </w:p>
          <w:p w14:paraId="3FABAC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（1）施工放线 </w:t>
            </w:r>
          </w:p>
          <w:p w14:paraId="405B22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根据施工现场坐标控制点首先建立该区测量控制网，包括基线和水平基准点，定出桩位轴线，利用白灰进行放线。灰线、轴线经复核检查无误后方可进行下一步施工。 </w:t>
            </w:r>
          </w:p>
          <w:p w14:paraId="020458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（2）机械钻孔 </w:t>
            </w:r>
          </w:p>
          <w:p w14:paraId="1429AF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用专用打孔设备对已放好线的桩位点，按设计要求进行打孔。复核检查孔深、孔径无误后方可进行下一步施工。 </w:t>
            </w:r>
          </w:p>
          <w:p w14:paraId="007AD2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（3）钢筋混凝土工程 </w:t>
            </w:r>
          </w:p>
          <w:p w14:paraId="143438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按设计制作钢筋笼及连接板埋件，高出地面部分现场支模板，下钢筋及埋件后浇筑混凝土。施工后需复核检查。 </w:t>
            </w:r>
          </w:p>
          <w:p w14:paraId="4D7812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（4）混凝土养护混凝土达到初凝后可拆模，按施工要求进行养护，当强度达到100%时，可进行上部支架安装。</w:t>
            </w:r>
          </w:p>
          <w:p w14:paraId="346ABB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该工序的主要污染为施工扬尘、施工废水、噪声及固废。</w:t>
            </w:r>
          </w:p>
          <w:p w14:paraId="1812E2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电池组件安装</w:t>
            </w:r>
          </w:p>
          <w:p w14:paraId="1F9AC2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光伏电池组件全部采用固定式安装，待光伏电池组件基础验收合格后，再进行安装，光伏发电组件的安装分为两部分：支架安装、电池组件安装。光伏阵列支架表面应平整，固定电池组件的支架面必须调整在同一平面：各组件应对整齐并成一直线：倾角必须符合设计要求：构件连接螺栓必须加防松垫片并拧紧。</w:t>
            </w:r>
          </w:p>
          <w:p w14:paraId="6EBF4A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该工序的主要污染为噪声</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固废</w:t>
            </w:r>
            <w:r>
              <w:rPr>
                <w:rFonts w:hint="default" w:ascii="Times New Roman" w:hAnsi="Times New Roman" w:eastAsia="宋体" w:cs="Times New Roman"/>
                <w:color w:val="auto"/>
                <w:sz w:val="24"/>
              </w:rPr>
              <w:t>。</w:t>
            </w:r>
          </w:p>
          <w:p w14:paraId="57E408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电池组件支架安装工艺见下图2-</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w:t>
            </w:r>
          </w:p>
          <w:p w14:paraId="36935CFF">
            <w:pPr>
              <w:pStyle w:val="2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375785" cy="1836420"/>
                  <wp:effectExtent l="0" t="0" r="5715"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rcRect l="1839" t="1126" r="2168" b="2283"/>
                          <a:stretch>
                            <a:fillRect/>
                          </a:stretch>
                        </pic:blipFill>
                        <pic:spPr>
                          <a:xfrm>
                            <a:off x="0" y="0"/>
                            <a:ext cx="4375785" cy="1836420"/>
                          </a:xfrm>
                          <a:prstGeom prst="rect">
                            <a:avLst/>
                          </a:prstGeom>
                          <a:noFill/>
                          <a:ln>
                            <a:noFill/>
                          </a:ln>
                        </pic:spPr>
                      </pic:pic>
                    </a:graphicData>
                  </a:graphic>
                </wp:inline>
              </w:drawing>
            </w:r>
          </w:p>
          <w:p w14:paraId="340D6E41">
            <w:pPr>
              <w:pStyle w:val="1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jc w:val="center"/>
              <w:textAlignment w:val="auto"/>
              <w:rPr>
                <w:rFonts w:hint="default" w:ascii="Times New Roman" w:hAnsi="Times New Roman" w:eastAsia="黑体" w:cs="Times New Roman"/>
                <w:color w:val="auto"/>
                <w:sz w:val="21"/>
                <w:szCs w:val="21"/>
                <w:lang w:val="en-US" w:eastAsia="zh-CN"/>
              </w:rPr>
            </w:pPr>
            <w:r>
              <w:rPr>
                <w:rFonts w:hint="default" w:ascii="Times New Roman" w:hAnsi="Times New Roman" w:eastAsia="黑体" w:cs="Times New Roman"/>
                <w:color w:val="auto"/>
                <w:sz w:val="21"/>
                <w:szCs w:val="21"/>
                <w:lang w:val="en-US" w:eastAsia="zh-CN"/>
              </w:rPr>
              <w:t>图2-</w:t>
            </w:r>
            <w:r>
              <w:rPr>
                <w:rFonts w:hint="eastAsia" w:ascii="Times New Roman" w:hAnsi="Times New Roman" w:eastAsia="黑体" w:cs="Times New Roman"/>
                <w:color w:val="auto"/>
                <w:sz w:val="21"/>
                <w:szCs w:val="21"/>
                <w:lang w:val="en-US" w:eastAsia="zh-CN"/>
              </w:rPr>
              <w:t>3</w:t>
            </w:r>
            <w:r>
              <w:rPr>
                <w:rFonts w:hint="default" w:ascii="Times New Roman" w:hAnsi="Times New Roman" w:eastAsia="黑体" w:cs="Times New Roman"/>
                <w:color w:val="auto"/>
                <w:sz w:val="21"/>
                <w:szCs w:val="21"/>
                <w:lang w:val="en-US" w:eastAsia="zh-CN"/>
              </w:rPr>
              <w:t xml:space="preserve"> 电池组件支架安装工艺图</w:t>
            </w:r>
          </w:p>
          <w:p w14:paraId="0EFEF6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逆变器及相应配电装置安装</w:t>
            </w:r>
          </w:p>
          <w:p w14:paraId="49D0DA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逆变器集装箱和配套电气设备通过汽车运抵已做的基础附近，采用吊车将设备吊装至安装位置进行就位。根据设备预留的母线和接地位置，按标准规范的相关要求进行螺栓紧固连接。</w:t>
            </w:r>
          </w:p>
          <w:p w14:paraId="49A169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该工序的主要污染为噪声</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固废</w:t>
            </w:r>
            <w:r>
              <w:rPr>
                <w:rFonts w:hint="default" w:ascii="Times New Roman" w:hAnsi="Times New Roman" w:eastAsia="宋体" w:cs="Times New Roman"/>
                <w:color w:val="auto"/>
                <w:sz w:val="24"/>
              </w:rPr>
              <w:t>。</w:t>
            </w:r>
          </w:p>
          <w:p w14:paraId="35A326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rPr>
              <w:t xml:space="preserve"> 电缆敷设</w:t>
            </w:r>
          </w:p>
          <w:p w14:paraId="426FA3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本项目电缆均为地埋敷设，埋深大于1.5m，敷设于冻土层以下，上覆砂土或软土，并设置电缆保护盖板及黄色警示带后，用回填土夯实恢复至原地面。电缆最小弯曲半径应≥15～20倍的电缆外径。</w:t>
            </w:r>
          </w:p>
          <w:p w14:paraId="75F487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该工序的主要污染为施工扬尘、噪声及固废。</w:t>
            </w:r>
          </w:p>
          <w:p w14:paraId="22F0F8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rPr>
              <w:t>施工组织</w:t>
            </w:r>
          </w:p>
          <w:p w14:paraId="01F9DF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施工用水用电</w:t>
            </w:r>
          </w:p>
          <w:p w14:paraId="33F810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本项目施工用水由建筑施工用水、施工机械用水、生活用水等组成。本项目拟从附近村庄拉水，运距约</w:t>
            </w:r>
            <w:r>
              <w:rPr>
                <w:rFonts w:hint="eastAsia" w:ascii="Times New Roman" w:hAnsi="Times New Roman" w:eastAsia="宋体" w:cs="Times New Roman"/>
                <w:color w:val="auto"/>
                <w:sz w:val="24"/>
                <w:lang w:val="en-US" w:eastAsia="zh-CN"/>
              </w:rPr>
              <w:t>30</w:t>
            </w:r>
            <w:r>
              <w:rPr>
                <w:rFonts w:hint="default" w:ascii="Times New Roman" w:hAnsi="Times New Roman" w:eastAsia="宋体" w:cs="Times New Roman"/>
                <w:color w:val="auto"/>
                <w:sz w:val="24"/>
              </w:rPr>
              <w:t>km。</w:t>
            </w:r>
          </w:p>
          <w:p w14:paraId="5921D5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施工期用电引自附近10kV线路，施工用电接引由当地电力公司实施，输电线路工程不在本次评价范围内。</w:t>
            </w:r>
          </w:p>
          <w:p w14:paraId="646812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主要建筑材料来源</w:t>
            </w:r>
          </w:p>
          <w:p w14:paraId="1F54AE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主体施工组织设计，本项目建设过程所需要钢筋、钢材、水泥、木材、砂砾石等，砂石料可以从附近砂石料场采购；水泥和钢材等建材可从玛纳斯县或石河子市购买，通过G576国道运至施工现场。不设置专用料场。</w:t>
            </w:r>
          </w:p>
          <w:p w14:paraId="3C6510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工程挖填方</w:t>
            </w:r>
          </w:p>
          <w:p w14:paraId="659498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本项目挖方量</w:t>
            </w:r>
            <w:r>
              <w:rPr>
                <w:rFonts w:hint="eastAsia" w:ascii="Times New Roman" w:hAnsi="Times New Roman" w:eastAsia="宋体" w:cs="Times New Roman"/>
                <w:color w:val="auto"/>
                <w:sz w:val="24"/>
                <w:lang w:val="en-US" w:eastAsia="zh-CN"/>
              </w:rPr>
              <w:t>30</w:t>
            </w:r>
            <w:r>
              <w:rPr>
                <w:rFonts w:hint="default" w:ascii="Times New Roman" w:hAnsi="Times New Roman" w:eastAsia="宋体" w:cs="Times New Roman"/>
                <w:color w:val="auto"/>
                <w:sz w:val="24"/>
              </w:rPr>
              <w:t>万m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，填方量</w:t>
            </w:r>
            <w:r>
              <w:rPr>
                <w:rFonts w:hint="eastAsia" w:ascii="Times New Roman" w:hAnsi="Times New Roman" w:eastAsia="宋体" w:cs="Times New Roman"/>
                <w:color w:val="auto"/>
                <w:sz w:val="24"/>
                <w:lang w:val="en-US" w:eastAsia="zh-CN"/>
              </w:rPr>
              <w:t>30</w:t>
            </w:r>
            <w:r>
              <w:rPr>
                <w:rFonts w:hint="default" w:ascii="Times New Roman" w:hAnsi="Times New Roman" w:eastAsia="宋体" w:cs="Times New Roman"/>
                <w:color w:val="auto"/>
                <w:sz w:val="24"/>
              </w:rPr>
              <w:t>万m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，开挖方部分用于回填，剩余的土石方全部用于施工道路及场地的平整，无弃方。</w:t>
            </w:r>
          </w:p>
          <w:p w14:paraId="5AFF4C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弃渣场</w:t>
            </w:r>
          </w:p>
          <w:p w14:paraId="77C09C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主体工程施工组织设计对土石方进行了合理的调配，开挖方部分用于回填，剩余的土石方作为场区附近低洼地段的填土，不产生永久弃渣，本项目不设置永久弃渣场。</w:t>
            </w:r>
          </w:p>
          <w:p w14:paraId="38B3EB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 xml:space="preserve"> 场址条件</w:t>
            </w:r>
          </w:p>
          <w:p w14:paraId="77EBA7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本项目位于玛纳斯县北侧约</w:t>
            </w:r>
            <w:r>
              <w:rPr>
                <w:rFonts w:hint="eastAsia" w:ascii="Times New Roman" w:hAnsi="Times New Roman" w:eastAsia="宋体" w:cs="Times New Roman"/>
                <w:color w:val="auto"/>
                <w:sz w:val="24"/>
                <w:lang w:val="en-US" w:eastAsia="zh-CN"/>
              </w:rPr>
              <w:t>117</w:t>
            </w:r>
            <w:r>
              <w:rPr>
                <w:rFonts w:hint="default" w:ascii="Times New Roman" w:hAnsi="Times New Roman" w:eastAsia="宋体" w:cs="Times New Roman"/>
                <w:color w:val="auto"/>
                <w:sz w:val="24"/>
              </w:rPr>
              <w:t>km处。拟建光伏场区地势平坦开阔，所处地貌单元为冲洪积平原地貌，场地自然坡度约0.1%，</w:t>
            </w:r>
            <w:r>
              <w:rPr>
                <w:rFonts w:hint="eastAsia" w:ascii="Times New Roman" w:hAnsi="Times New Roman" w:eastAsia="宋体" w:cs="Times New Roman"/>
                <w:color w:val="auto"/>
                <w:sz w:val="24"/>
                <w:lang w:eastAsia="zh-CN"/>
              </w:rPr>
              <w:t>无其他</w:t>
            </w:r>
            <w:r>
              <w:rPr>
                <w:rFonts w:hint="default" w:ascii="Times New Roman" w:hAnsi="Times New Roman" w:eastAsia="宋体" w:cs="Times New Roman"/>
                <w:color w:val="auto"/>
                <w:sz w:val="24"/>
              </w:rPr>
              <w:t xml:space="preserve">不良地质作用。 </w:t>
            </w:r>
          </w:p>
          <w:p w14:paraId="41A4FE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对外交通条件</w:t>
            </w:r>
          </w:p>
          <w:p w14:paraId="6CD0EB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场址</w:t>
            </w:r>
            <w:r>
              <w:rPr>
                <w:rFonts w:hint="eastAsia" w:ascii="Times New Roman" w:hAnsi="Times New Roman" w:eastAsia="宋体" w:cs="Times New Roman"/>
                <w:color w:val="auto"/>
                <w:sz w:val="24"/>
                <w:lang w:val="en-US" w:eastAsia="zh-CN"/>
              </w:rPr>
              <w:t>东</w:t>
            </w:r>
            <w:r>
              <w:rPr>
                <w:rFonts w:hint="default" w:ascii="Times New Roman" w:hAnsi="Times New Roman" w:eastAsia="宋体" w:cs="Times New Roman"/>
                <w:color w:val="auto"/>
                <w:sz w:val="24"/>
              </w:rPr>
              <w:t>侧临近G576国道。本项目进场道路由</w:t>
            </w:r>
            <w:r>
              <w:rPr>
                <w:rFonts w:hint="eastAsia" w:ascii="Times New Roman" w:hAnsi="Times New Roman" w:eastAsia="宋体" w:cs="Times New Roman"/>
                <w:color w:val="auto"/>
                <w:sz w:val="24"/>
                <w:lang w:val="en-US" w:eastAsia="zh-CN"/>
              </w:rPr>
              <w:t>南</w:t>
            </w:r>
            <w:r>
              <w:rPr>
                <w:rFonts w:hint="default" w:ascii="Times New Roman" w:hAnsi="Times New Roman" w:eastAsia="宋体" w:cs="Times New Roman"/>
                <w:color w:val="auto"/>
                <w:sz w:val="24"/>
              </w:rPr>
              <w:t>侧简易道路接引，引接长度</w:t>
            </w:r>
            <w:r>
              <w:rPr>
                <w:rFonts w:hint="eastAsia" w:ascii="Times New Roman" w:hAnsi="Times New Roman" w:eastAsia="宋体" w:cs="Times New Roman"/>
                <w:color w:val="auto"/>
                <w:sz w:val="24"/>
                <w:lang w:val="en-US" w:eastAsia="zh-CN"/>
              </w:rPr>
              <w:t>500</w:t>
            </w:r>
            <w:r>
              <w:rPr>
                <w:rFonts w:hint="default" w:ascii="Times New Roman" w:hAnsi="Times New Roman" w:eastAsia="宋体" w:cs="Times New Roman"/>
                <w:color w:val="auto"/>
                <w:sz w:val="24"/>
              </w:rPr>
              <w:t>m，采用路面宽</w:t>
            </w:r>
            <w:r>
              <w:rPr>
                <w:rFonts w:hint="eastAsia" w:ascii="Times New Roman" w:hAnsi="Times New Roman" w:eastAsia="宋体" w:cs="Times New Roman"/>
                <w:color w:val="auto"/>
                <w:sz w:val="24"/>
                <w:lang w:val="en-US" w:eastAsia="zh-CN"/>
              </w:rPr>
              <w:t>4.0</w:t>
            </w:r>
            <w:r>
              <w:rPr>
                <w:rFonts w:hint="default" w:ascii="Times New Roman" w:hAnsi="Times New Roman" w:eastAsia="宋体" w:cs="Times New Roman"/>
                <w:color w:val="auto"/>
                <w:sz w:val="24"/>
              </w:rPr>
              <w:t>m，路基宽</w:t>
            </w:r>
            <w:r>
              <w:rPr>
                <w:rFonts w:hint="eastAsia" w:ascii="Times New Roman" w:hAnsi="Times New Roman" w:eastAsia="宋体" w:cs="Times New Roman"/>
                <w:color w:val="auto"/>
                <w:sz w:val="24"/>
                <w:lang w:val="en-US" w:eastAsia="zh-CN"/>
              </w:rPr>
              <w:t>4.5</w:t>
            </w:r>
            <w:r>
              <w:rPr>
                <w:rFonts w:hint="default" w:ascii="Times New Roman" w:hAnsi="Times New Roman" w:eastAsia="宋体" w:cs="Times New Roman"/>
                <w:color w:val="auto"/>
                <w:sz w:val="24"/>
              </w:rPr>
              <w:t xml:space="preserve">m的砂砾石路。光伏设备及其他建筑材料也可通过就近道路运至场区，交通运输便利。  </w:t>
            </w:r>
          </w:p>
          <w:p w14:paraId="188B3B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（7）施工工期安排</w:t>
            </w:r>
          </w:p>
          <w:p w14:paraId="402FC4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工程建设施工工期共计9个月（不包括冬季非施工期），计划于2026年6月开工建设，2027年5月完工。</w:t>
            </w:r>
          </w:p>
          <w:p w14:paraId="1A7DE6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rPr>
              <w:t>劳动定员</w:t>
            </w:r>
          </w:p>
          <w:p w14:paraId="7C17EF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rPr>
            </w:pPr>
            <w:r>
              <w:rPr>
                <w:rFonts w:hint="eastAsia" w:ascii="Times New Roman" w:hAnsi="Times New Roman" w:eastAsia="宋体" w:cs="Times New Roman"/>
                <w:color w:val="auto"/>
                <w:sz w:val="24"/>
                <w:highlight w:val="none"/>
                <w:lang w:val="en-US" w:eastAsia="zh-CN"/>
              </w:rPr>
              <w:t>项目采用无人值守，定期由本公司抽调人员巡检，不在项目区办公生活</w:t>
            </w:r>
            <w:r>
              <w:rPr>
                <w:rFonts w:hint="default" w:ascii="Times New Roman" w:hAnsi="Times New Roman" w:eastAsia="宋体" w:cs="Times New Roman"/>
                <w:color w:val="auto"/>
                <w:sz w:val="24"/>
                <w:highlight w:val="none"/>
              </w:rPr>
              <w:t>。</w:t>
            </w:r>
          </w:p>
        </w:tc>
      </w:tr>
      <w:tr w14:paraId="622DF3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710" w:type="dxa"/>
            <w:noWrap w:val="0"/>
            <w:vAlign w:val="center"/>
          </w:tcPr>
          <w:p w14:paraId="7B0CB7A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其他</w:t>
            </w:r>
          </w:p>
        </w:tc>
        <w:tc>
          <w:tcPr>
            <w:tcW w:w="8380" w:type="dxa"/>
            <w:noWrap w:val="0"/>
            <w:vAlign w:val="center"/>
          </w:tcPr>
          <w:p w14:paraId="276C1CEC">
            <w:pPr>
              <w:pStyle w:val="6"/>
              <w:keepNext w:val="0"/>
              <w:keepLines w:val="0"/>
              <w:suppressLineNumbers w:val="0"/>
              <w:spacing w:before="0" w:beforeAutospacing="0" w:after="0" w:afterAutospacing="0" w:line="240" w:lineRule="auto"/>
              <w:ind w:left="0" w:right="0"/>
              <w:jc w:val="center"/>
              <w:outlineLvl w:val="2"/>
              <w:rPr>
                <w:rFonts w:hint="default" w:ascii="Times New Roman" w:hAnsi="Times New Roman" w:cs="Times New Roman"/>
                <w:color w:val="auto"/>
              </w:rPr>
            </w:pPr>
            <w:r>
              <w:rPr>
                <w:rFonts w:hint="default" w:ascii="Times New Roman" w:hAnsi="Times New Roman" w:eastAsia="宋体" w:cs="Times New Roman"/>
                <w:color w:val="auto"/>
                <w:sz w:val="24"/>
              </w:rPr>
              <w:t>无</w:t>
            </w:r>
          </w:p>
        </w:tc>
      </w:tr>
    </w:tbl>
    <w:p w14:paraId="1F553E12">
      <w:pPr>
        <w:pStyle w:val="25"/>
        <w:jc w:val="center"/>
        <w:outlineLvl w:val="0"/>
        <w:rPr>
          <w:rFonts w:hint="default" w:ascii="Times New Roman" w:hAnsi="Times New Roman" w:eastAsia="黑体" w:cs="Times New Roman"/>
          <w:snapToGrid w:val="0"/>
          <w:color w:val="000000"/>
          <w:sz w:val="30"/>
          <w:szCs w:val="30"/>
        </w:rPr>
      </w:pPr>
      <w:r>
        <w:rPr>
          <w:rFonts w:hint="default" w:ascii="Times New Roman" w:hAnsi="Times New Roman" w:eastAsia="方正仿宋_GB2312" w:cs="Times New Roman"/>
          <w:b/>
          <w:bCs/>
          <w:color w:val="000000"/>
        </w:rPr>
        <w:br w:type="page"/>
      </w:r>
      <w:bookmarkStart w:id="3" w:name="_Toc1262"/>
      <w:r>
        <w:rPr>
          <w:rFonts w:hint="default" w:ascii="Times New Roman" w:hAnsi="Times New Roman" w:eastAsia="黑体" w:cs="Times New Roman"/>
          <w:snapToGrid w:val="0"/>
          <w:color w:val="000000"/>
          <w:sz w:val="30"/>
          <w:szCs w:val="30"/>
        </w:rPr>
        <w:t>三、生态环境现状、保护目标及评价标准</w:t>
      </w:r>
      <w:bookmarkEnd w:id="3"/>
    </w:p>
    <w:tbl>
      <w:tblPr>
        <w:tblStyle w:val="29"/>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1"/>
        <w:gridCol w:w="8396"/>
      </w:tblGrid>
      <w:tr w14:paraId="05863B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1" w:type="dxa"/>
            <w:noWrap w:val="0"/>
            <w:vAlign w:val="center"/>
          </w:tcPr>
          <w:p w14:paraId="2772D55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szCs w:val="24"/>
              </w:rPr>
              <w:t>生态环境现状</w:t>
            </w:r>
          </w:p>
        </w:tc>
        <w:tc>
          <w:tcPr>
            <w:tcW w:w="8396" w:type="dxa"/>
            <w:noWrap w:val="0"/>
            <w:vAlign w:val="center"/>
          </w:tcPr>
          <w:p w14:paraId="6AB255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生态环境现状</w:t>
            </w:r>
          </w:p>
          <w:p w14:paraId="6CCDDC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 xml:space="preserve"> 主体功能区规划情况</w:t>
            </w:r>
          </w:p>
          <w:p w14:paraId="1E49C9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新疆维吾尔自治区主体功能区规划》，主体功能区按开发方式，分为重点开发、限制开发和禁止开发区域三类；按开发内容，分为城市化地区、农产品主产区和重点生态功能区三类；按层级，分为国家和自治区两个层面。</w:t>
            </w:r>
          </w:p>
          <w:p w14:paraId="47AFFE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本项目位于玛纳斯县，对照《新疆维吾尔自治区主体功能区规划》的划分，属于国家级农产品主产区，为新疆主体功能区划中确定的限制开发区域。本项目与新疆维吾尔自治区主体功能区规划的位置关系见</w:t>
            </w:r>
            <w:r>
              <w:rPr>
                <w:rFonts w:hint="eastAsia" w:ascii="Times New Roman" w:hAnsi="Times New Roman" w:eastAsia="宋体" w:cs="Times New Roman"/>
                <w:color w:val="auto"/>
                <w:sz w:val="24"/>
                <w:lang w:val="en-US" w:eastAsia="zh-CN"/>
              </w:rPr>
              <w:t>附图4</w:t>
            </w:r>
            <w:r>
              <w:rPr>
                <w:rFonts w:hint="default" w:ascii="Times New Roman" w:hAnsi="Times New Roman" w:eastAsia="宋体" w:cs="Times New Roman"/>
                <w:color w:val="auto"/>
                <w:sz w:val="24"/>
              </w:rPr>
              <w:t>。</w:t>
            </w:r>
          </w:p>
          <w:p w14:paraId="5AEEF7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其功能定位是：保障农牧产品供给安全的重要区域，农牧民安居乐业的美好家园，社会主义新农村建设的示范区。</w:t>
            </w:r>
          </w:p>
          <w:p w14:paraId="3096D6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发展方向和开发原则：农村居民点以及农村基础设施和公共服务设施的建设，要统筹考虑人口迁移等因素，适度集中、集约布局。</w:t>
            </w:r>
          </w:p>
          <w:p w14:paraId="5BF7D4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相符性分析：本项目为光伏发电项目，项目所在区域不在生态红线区内，工程所占土地利用类型为其他草地，本环评已提出尽量少占用土地及施工后的生态恢复相关要求，同时要求建设单位需对开发活动严格控制，尽可能减少对生态系统的干扰；在项目实施过程中积极采取生态保护措施，加强对生态系统保护和恢复，保护地貌，维护自然生态环境，施工结束后对临时占地进行平整，积极落实本环评提出的各项生态环境保护措施，因此，本项目建设符合《新疆维吾尔自治区主体功能区规划》</w:t>
            </w:r>
            <w:r>
              <w:rPr>
                <w:rFonts w:hint="eastAsia" w:ascii="Times New Roman" w:hAnsi="Times New Roman" w:eastAsia="宋体" w:cs="Times New Roman"/>
                <w:color w:val="auto"/>
                <w:sz w:val="24"/>
                <w:lang w:eastAsia="zh-CN"/>
              </w:rPr>
              <w:t>对</w:t>
            </w:r>
            <w:r>
              <w:rPr>
                <w:rFonts w:hint="default" w:ascii="Times New Roman" w:hAnsi="Times New Roman" w:eastAsia="宋体" w:cs="Times New Roman"/>
                <w:color w:val="auto"/>
                <w:sz w:val="24"/>
              </w:rPr>
              <w:t>工程区块的开发原则，与区域生态功能的保护是协调的。</w:t>
            </w:r>
          </w:p>
          <w:p w14:paraId="6F8A23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生态功能区划情况</w:t>
            </w:r>
          </w:p>
          <w:p w14:paraId="72C1DB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根据《新疆生态功能区划》，本项目所在区域位于</w:t>
            </w:r>
            <w:r>
              <w:rPr>
                <w:rFonts w:hint="eastAsia" w:ascii="Times New Roman" w:hAnsi="Times New Roman" w:eastAsia="宋体" w:cs="Times New Roman"/>
                <w:color w:val="auto"/>
                <w:sz w:val="24"/>
                <w:lang w:eastAsia="zh-CN"/>
              </w:rPr>
              <w:t>Ⅱ</w:t>
            </w:r>
            <w:r>
              <w:rPr>
                <w:rFonts w:hint="default" w:ascii="Times New Roman" w:hAnsi="Times New Roman" w:eastAsia="宋体" w:cs="Times New Roman"/>
                <w:color w:val="auto"/>
                <w:sz w:val="24"/>
              </w:rPr>
              <w:t>准噶尔盆地温性荒漠与绿洲农业生态区，</w:t>
            </w:r>
            <w:r>
              <w:rPr>
                <w:rFonts w:hint="eastAsia" w:ascii="Times New Roman" w:hAnsi="Times New Roman" w:eastAsia="宋体" w:cs="Times New Roman"/>
                <w:color w:val="auto"/>
                <w:sz w:val="24"/>
              </w:rPr>
              <w:t>Ⅱ</w:t>
            </w:r>
            <w:r>
              <w:rPr>
                <w:rFonts w:hint="eastAsia" w:ascii="Times New Roman" w:hAnsi="Times New Roman" w:eastAsia="宋体" w:cs="Times New Roman"/>
                <w:color w:val="auto"/>
                <w:sz w:val="24"/>
                <w:vertAlign w:val="subscript"/>
              </w:rPr>
              <w:t>3</w:t>
            </w:r>
            <w:r>
              <w:rPr>
                <w:rFonts w:hint="eastAsia" w:ascii="Times New Roman" w:hAnsi="Times New Roman" w:eastAsia="宋体" w:cs="Times New Roman"/>
                <w:color w:val="auto"/>
                <w:sz w:val="24"/>
              </w:rPr>
              <w:t xml:space="preserve"> 准噶尔盆地中部固定、半固定沙漠生态亚区</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rPr>
              <w:t>23．古尔班通古特沙漠化敏感及植被保护生态功能区</w:t>
            </w:r>
            <w:r>
              <w:rPr>
                <w:rFonts w:hint="default" w:ascii="Times New Roman" w:hAnsi="Times New Roman" w:eastAsia="宋体" w:cs="Times New Roman"/>
                <w:color w:val="auto"/>
                <w:sz w:val="24"/>
              </w:rPr>
              <w:t>。本项目在新疆生态功能区划图中的位置详见</w:t>
            </w:r>
            <w:r>
              <w:rPr>
                <w:rFonts w:hint="eastAsia" w:ascii="Times New Roman" w:hAnsi="Times New Roman" w:eastAsia="宋体" w:cs="Times New Roman"/>
                <w:color w:val="auto"/>
                <w:sz w:val="24"/>
                <w:lang w:val="en-US" w:eastAsia="zh-CN"/>
              </w:rPr>
              <w:t>附图5</w:t>
            </w:r>
            <w:r>
              <w:rPr>
                <w:rFonts w:hint="default" w:ascii="Times New Roman" w:hAnsi="Times New Roman" w:eastAsia="宋体" w:cs="Times New Roman"/>
                <w:color w:val="auto"/>
                <w:sz w:val="24"/>
              </w:rPr>
              <w:t>。该功能区</w:t>
            </w:r>
            <w:r>
              <w:rPr>
                <w:rFonts w:hint="eastAsia" w:ascii="Times New Roman" w:hAnsi="Times New Roman" w:eastAsia="宋体" w:cs="Times New Roman"/>
                <w:color w:val="auto"/>
                <w:sz w:val="24"/>
                <w:lang w:eastAsia="zh-CN"/>
              </w:rPr>
              <w:t>主要</w:t>
            </w:r>
            <w:r>
              <w:rPr>
                <w:rFonts w:hint="default" w:ascii="Times New Roman" w:hAnsi="Times New Roman" w:eastAsia="宋体" w:cs="Times New Roman"/>
                <w:color w:val="auto"/>
                <w:sz w:val="24"/>
              </w:rPr>
              <w:t>特征，见表3-1。</w:t>
            </w:r>
          </w:p>
          <w:p w14:paraId="2E1D287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default" w:ascii="Times New Roman" w:hAnsi="Times New Roman" w:eastAsia="黑体" w:cs="Times New Roman"/>
                <w:color w:val="auto"/>
                <w:kern w:val="0"/>
                <w:sz w:val="21"/>
                <w:szCs w:val="24"/>
                <w:lang w:val="en-US" w:eastAsia="zh-CN" w:bidi="en-US"/>
              </w:rPr>
            </w:pPr>
          </w:p>
          <w:p w14:paraId="2D9E5D9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default" w:ascii="Times New Roman" w:hAnsi="Times New Roman" w:eastAsia="黑体" w:cs="Times New Roman"/>
                <w:color w:val="auto"/>
                <w:kern w:val="0"/>
                <w:sz w:val="21"/>
                <w:szCs w:val="24"/>
                <w:lang w:val="en-US" w:eastAsia="zh-CN" w:bidi="en-US"/>
              </w:rPr>
            </w:pPr>
          </w:p>
          <w:p w14:paraId="71C8E00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default" w:ascii="Times New Roman" w:hAnsi="Times New Roman" w:eastAsia="黑体" w:cs="Times New Roman"/>
                <w:color w:val="auto"/>
                <w:kern w:val="0"/>
                <w:sz w:val="21"/>
                <w:szCs w:val="24"/>
                <w:lang w:val="en-US" w:eastAsia="zh-CN" w:bidi="en-US"/>
              </w:rPr>
            </w:pPr>
          </w:p>
          <w:p w14:paraId="779B681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default" w:ascii="Times New Roman" w:hAnsi="Times New Roman" w:eastAsia="黑体" w:cs="Times New Roman"/>
                <w:color w:val="auto"/>
                <w:kern w:val="0"/>
                <w:sz w:val="21"/>
                <w:szCs w:val="24"/>
                <w:lang w:val="en-US" w:eastAsia="zh-CN" w:bidi="en-US"/>
              </w:rPr>
            </w:pPr>
            <w:r>
              <w:rPr>
                <w:rFonts w:hint="default" w:ascii="Times New Roman" w:hAnsi="Times New Roman" w:eastAsia="黑体" w:cs="Times New Roman"/>
                <w:color w:val="auto"/>
                <w:kern w:val="0"/>
                <w:sz w:val="21"/>
                <w:szCs w:val="24"/>
                <w:lang w:val="en-US" w:eastAsia="zh-CN" w:bidi="en-US"/>
              </w:rPr>
              <w:t xml:space="preserve">表3-1             </w:t>
            </w:r>
            <w:r>
              <w:rPr>
                <w:rFonts w:hint="eastAsia" w:ascii="Times New Roman" w:hAnsi="Times New Roman" w:eastAsia="黑体" w:cs="Times New Roman"/>
                <w:color w:val="auto"/>
                <w:kern w:val="0"/>
                <w:sz w:val="21"/>
                <w:szCs w:val="24"/>
                <w:lang w:val="en-US" w:eastAsia="zh-CN" w:bidi="en-US"/>
              </w:rPr>
              <w:t xml:space="preserve">   </w:t>
            </w:r>
            <w:r>
              <w:rPr>
                <w:rFonts w:hint="default" w:ascii="Times New Roman" w:hAnsi="Times New Roman" w:eastAsia="黑体" w:cs="Times New Roman"/>
                <w:color w:val="auto"/>
                <w:kern w:val="0"/>
                <w:sz w:val="21"/>
                <w:szCs w:val="24"/>
                <w:lang w:val="en-US" w:eastAsia="zh-CN" w:bidi="en-US"/>
              </w:rPr>
              <w:t>本项目所属生态功能区主要特征</w:t>
            </w:r>
          </w:p>
          <w:tbl>
            <w:tblPr>
              <w:tblStyle w:val="29"/>
              <w:tblW w:w="49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05"/>
              <w:gridCol w:w="6192"/>
            </w:tblGrid>
            <w:tr w14:paraId="2B7FA8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905" w:type="dxa"/>
                  <w:vMerge w:val="restart"/>
                  <w:tcBorders>
                    <w:tl2br w:val="nil"/>
                    <w:tr2bl w:val="nil"/>
                  </w:tcBorders>
                  <w:noWrap w:val="0"/>
                  <w:vAlign w:val="center"/>
                </w:tcPr>
                <w:p w14:paraId="21CE12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功能区</w:t>
                  </w:r>
                </w:p>
              </w:tc>
              <w:tc>
                <w:tcPr>
                  <w:tcW w:w="6192" w:type="dxa"/>
                  <w:tcBorders>
                    <w:tl2br w:val="nil"/>
                    <w:tr2bl w:val="nil"/>
                  </w:tcBorders>
                  <w:noWrap w:val="0"/>
                  <w:vAlign w:val="center"/>
                </w:tcPr>
                <w:p w14:paraId="64F1D2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snapToGrid w:val="0"/>
                      <w:color w:val="auto"/>
                      <w:sz w:val="21"/>
                      <w:szCs w:val="21"/>
                    </w:rPr>
                  </w:pPr>
                  <w:r>
                    <w:rPr>
                      <w:rFonts w:hint="eastAsia" w:ascii="Times New Roman" w:hAnsi="Times New Roman" w:eastAsia="宋体" w:cs="Times New Roman"/>
                      <w:b w:val="0"/>
                      <w:bCs/>
                      <w:snapToGrid w:val="0"/>
                      <w:color w:val="auto"/>
                      <w:sz w:val="21"/>
                      <w:szCs w:val="21"/>
                      <w:lang w:eastAsia="zh-CN"/>
                    </w:rPr>
                    <w:t>Ⅱ</w:t>
                  </w:r>
                  <w:r>
                    <w:rPr>
                      <w:rFonts w:hint="default" w:ascii="Times New Roman" w:hAnsi="Times New Roman" w:eastAsia="宋体" w:cs="Times New Roman"/>
                      <w:b w:val="0"/>
                      <w:bCs/>
                      <w:snapToGrid w:val="0"/>
                      <w:color w:val="auto"/>
                      <w:sz w:val="21"/>
                      <w:szCs w:val="21"/>
                    </w:rPr>
                    <w:t>准噶尔盆地温性荒漠与绿洲农业生态区</w:t>
                  </w:r>
                </w:p>
              </w:tc>
            </w:tr>
            <w:tr w14:paraId="0C7508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5" w:type="dxa"/>
                  <w:vMerge w:val="continue"/>
                  <w:tcBorders>
                    <w:tl2br w:val="nil"/>
                    <w:tr2bl w:val="nil"/>
                  </w:tcBorders>
                  <w:noWrap w:val="0"/>
                  <w:vAlign w:val="center"/>
                </w:tcPr>
                <w:p w14:paraId="7A5F72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snapToGrid w:val="0"/>
                      <w:color w:val="auto"/>
                      <w:sz w:val="21"/>
                      <w:szCs w:val="21"/>
                    </w:rPr>
                  </w:pPr>
                </w:p>
              </w:tc>
              <w:tc>
                <w:tcPr>
                  <w:tcW w:w="6192" w:type="dxa"/>
                  <w:tcBorders>
                    <w:tl2br w:val="nil"/>
                    <w:tr2bl w:val="nil"/>
                  </w:tcBorders>
                  <w:noWrap w:val="0"/>
                  <w:vAlign w:val="center"/>
                </w:tcPr>
                <w:p w14:paraId="414CF7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Ⅱ</w:t>
                  </w:r>
                  <w:r>
                    <w:rPr>
                      <w:rFonts w:hint="default" w:ascii="Times New Roman" w:hAnsi="Times New Roman" w:eastAsia="宋体" w:cs="Times New Roman"/>
                      <w:b w:val="0"/>
                      <w:bCs/>
                      <w:color w:val="auto"/>
                      <w:sz w:val="21"/>
                      <w:szCs w:val="21"/>
                      <w:vertAlign w:val="subscript"/>
                    </w:rPr>
                    <w:t>3</w:t>
                  </w:r>
                  <w:r>
                    <w:rPr>
                      <w:rFonts w:hint="default" w:ascii="Times New Roman" w:hAnsi="Times New Roman" w:eastAsia="宋体" w:cs="Times New Roman"/>
                      <w:b w:val="0"/>
                      <w:bCs/>
                      <w:color w:val="auto"/>
                      <w:sz w:val="21"/>
                      <w:szCs w:val="21"/>
                    </w:rPr>
                    <w:t xml:space="preserve"> 准噶尔盆地中部固定、半固定沙漠生态亚区</w:t>
                  </w:r>
                </w:p>
              </w:tc>
            </w:tr>
            <w:tr w14:paraId="5A846F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5" w:type="dxa"/>
                  <w:vMerge w:val="continue"/>
                  <w:tcBorders>
                    <w:tl2br w:val="nil"/>
                    <w:tr2bl w:val="nil"/>
                  </w:tcBorders>
                  <w:noWrap w:val="0"/>
                  <w:vAlign w:val="center"/>
                </w:tcPr>
                <w:p w14:paraId="305AB7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snapToGrid w:val="0"/>
                      <w:color w:val="auto"/>
                      <w:sz w:val="21"/>
                      <w:szCs w:val="21"/>
                    </w:rPr>
                  </w:pPr>
                </w:p>
              </w:tc>
              <w:tc>
                <w:tcPr>
                  <w:tcW w:w="6192" w:type="dxa"/>
                  <w:tcBorders>
                    <w:tl2br w:val="nil"/>
                    <w:tr2bl w:val="nil"/>
                  </w:tcBorders>
                  <w:noWrap w:val="0"/>
                  <w:vAlign w:val="center"/>
                </w:tcPr>
                <w:p w14:paraId="362666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23．古尔班通古特沙漠化敏感及植被保护生态功能区</w:t>
                  </w:r>
                </w:p>
              </w:tc>
            </w:tr>
            <w:tr w14:paraId="272C9B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5" w:type="dxa"/>
                  <w:tcBorders>
                    <w:tl2br w:val="nil"/>
                    <w:tr2bl w:val="nil"/>
                  </w:tcBorders>
                  <w:noWrap w:val="0"/>
                  <w:vAlign w:val="center"/>
                </w:tcPr>
                <w:p w14:paraId="2057A9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主要生态服务功能</w:t>
                  </w:r>
                </w:p>
              </w:tc>
              <w:tc>
                <w:tcPr>
                  <w:tcW w:w="6192" w:type="dxa"/>
                  <w:tcBorders>
                    <w:tl2br w:val="nil"/>
                    <w:tr2bl w:val="nil"/>
                  </w:tcBorders>
                  <w:noWrap w:val="0"/>
                  <w:vAlign w:val="center"/>
                </w:tcPr>
                <w:p w14:paraId="04CF03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沙漠化控制、生物多样性维护</w:t>
                  </w:r>
                </w:p>
              </w:tc>
            </w:tr>
            <w:tr w14:paraId="4C62FD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5" w:type="dxa"/>
                  <w:tcBorders>
                    <w:tl2br w:val="nil"/>
                    <w:tr2bl w:val="nil"/>
                  </w:tcBorders>
                  <w:noWrap w:val="0"/>
                  <w:vAlign w:val="center"/>
                </w:tcPr>
                <w:p w14:paraId="6AA4C7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主要生态环境问题</w:t>
                  </w:r>
                </w:p>
              </w:tc>
              <w:tc>
                <w:tcPr>
                  <w:tcW w:w="6192" w:type="dxa"/>
                  <w:tcBorders>
                    <w:tl2br w:val="nil"/>
                    <w:tr2bl w:val="nil"/>
                  </w:tcBorders>
                  <w:noWrap w:val="0"/>
                  <w:vAlign w:val="center"/>
                </w:tcPr>
                <w:p w14:paraId="0C1AC4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人为干扰范围扩大、工程建设引起沙漠植被破坏、鼠害严重、植被退化、沙漠化构成对南缘绿洲的威胁</w:t>
                  </w:r>
                </w:p>
              </w:tc>
            </w:tr>
            <w:tr w14:paraId="7F69D8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5" w:type="dxa"/>
                  <w:tcBorders>
                    <w:tl2br w:val="nil"/>
                    <w:tr2bl w:val="nil"/>
                  </w:tcBorders>
                  <w:noWrap w:val="0"/>
                  <w:vAlign w:val="center"/>
                </w:tcPr>
                <w:p w14:paraId="752958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主要生态敏感因子、敏感程度</w:t>
                  </w:r>
                </w:p>
              </w:tc>
              <w:tc>
                <w:tcPr>
                  <w:tcW w:w="6192" w:type="dxa"/>
                  <w:tcBorders>
                    <w:tl2br w:val="nil"/>
                    <w:tr2bl w:val="nil"/>
                  </w:tcBorders>
                  <w:noWrap w:val="0"/>
                  <w:vAlign w:val="center"/>
                </w:tcPr>
                <w:p w14:paraId="0C1FB22F">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jc w:val="center"/>
                    <w:textAlignment w:val="auto"/>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生物多样性及其生境高度敏感，土地沙漠化极度敏感，土壤侵蚀高度敏感、土壤盐渍化轻度敏感</w:t>
                  </w:r>
                </w:p>
              </w:tc>
            </w:tr>
            <w:tr w14:paraId="05E79A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5" w:type="dxa"/>
                  <w:tcBorders>
                    <w:tl2br w:val="nil"/>
                    <w:tr2bl w:val="nil"/>
                  </w:tcBorders>
                  <w:noWrap w:val="0"/>
                  <w:vAlign w:val="center"/>
                </w:tcPr>
                <w:p w14:paraId="5D62E3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主要保护目标</w:t>
                  </w:r>
                </w:p>
              </w:tc>
              <w:tc>
                <w:tcPr>
                  <w:tcW w:w="6192" w:type="dxa"/>
                  <w:tcBorders>
                    <w:tl2br w:val="nil"/>
                    <w:tr2bl w:val="nil"/>
                  </w:tcBorders>
                  <w:noWrap w:val="0"/>
                  <w:vAlign w:val="center"/>
                </w:tcPr>
                <w:p w14:paraId="154723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保护沙漠植被、防止沙丘活化</w:t>
                  </w:r>
                </w:p>
              </w:tc>
            </w:tr>
            <w:tr w14:paraId="51AF75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5" w:type="dxa"/>
                  <w:tcBorders>
                    <w:tl2br w:val="nil"/>
                    <w:tr2bl w:val="nil"/>
                  </w:tcBorders>
                  <w:noWrap w:val="0"/>
                  <w:vAlign w:val="center"/>
                </w:tcPr>
                <w:p w14:paraId="7F8E30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主要保护措施</w:t>
                  </w:r>
                </w:p>
              </w:tc>
              <w:tc>
                <w:tcPr>
                  <w:tcW w:w="6192" w:type="dxa"/>
                  <w:tcBorders>
                    <w:tl2br w:val="nil"/>
                    <w:tr2bl w:val="nil"/>
                  </w:tcBorders>
                  <w:noWrap w:val="0"/>
                  <w:vAlign w:val="center"/>
                </w:tcPr>
                <w:p w14:paraId="47DF2D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对沙漠边缘流动沙丘、活化沙地进行封沙育林、退耕还林（草），禁止憔采和放牧，禁止开荒</w:t>
                  </w:r>
                </w:p>
              </w:tc>
            </w:tr>
            <w:tr w14:paraId="1092F1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5" w:type="dxa"/>
                  <w:tcBorders>
                    <w:tl2br w:val="nil"/>
                    <w:tr2bl w:val="nil"/>
                  </w:tcBorders>
                  <w:noWrap w:val="0"/>
                  <w:vAlign w:val="center"/>
                </w:tcPr>
                <w:p w14:paraId="180314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适宜发展方向</w:t>
                  </w:r>
                </w:p>
              </w:tc>
              <w:tc>
                <w:tcPr>
                  <w:tcW w:w="6192" w:type="dxa"/>
                  <w:tcBorders>
                    <w:tl2br w:val="nil"/>
                    <w:tr2bl w:val="nil"/>
                  </w:tcBorders>
                  <w:noWrap w:val="0"/>
                  <w:vAlign w:val="center"/>
                </w:tcPr>
                <w:p w14:paraId="7AEA8D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snapToGrid w:val="0"/>
                      <w:color w:val="auto"/>
                      <w:sz w:val="21"/>
                      <w:szCs w:val="21"/>
                    </w:rPr>
                  </w:pPr>
                  <w:r>
                    <w:rPr>
                      <w:rFonts w:hint="default" w:ascii="Times New Roman" w:hAnsi="Times New Roman" w:eastAsia="宋体" w:cs="Times New Roman"/>
                      <w:b w:val="0"/>
                      <w:bCs/>
                      <w:snapToGrid w:val="0"/>
                      <w:color w:val="auto"/>
                      <w:sz w:val="21"/>
                      <w:szCs w:val="21"/>
                    </w:rPr>
                    <w:t>维护固定、半固定沙漠景观与植被，治理活化沙丘，遏制蔓延</w:t>
                  </w:r>
                </w:p>
              </w:tc>
            </w:tr>
          </w:tbl>
          <w:p w14:paraId="771FF612">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）生态环境现状</w:t>
            </w:r>
          </w:p>
          <w:p w14:paraId="2EBE29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rPr>
              <w:t>本项目扰动范围主要为占地范围，项目占地不涉及生态保护红线，未占用农业用地。本项目所在区域土地利用类型主要为其他草地</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highlight w:val="none"/>
              </w:rPr>
              <w:t>植被类型为</w:t>
            </w:r>
            <w:r>
              <w:rPr>
                <w:rFonts w:hint="eastAsia" w:ascii="Times New Roman" w:hAnsi="Times New Roman" w:eastAsia="宋体" w:cs="Times New Roman"/>
                <w:color w:val="auto"/>
                <w:sz w:val="24"/>
                <w:highlight w:val="none"/>
                <w:lang w:val="en-US" w:eastAsia="zh-CN"/>
              </w:rPr>
              <w:t>梭梭</w:t>
            </w:r>
            <w:r>
              <w:rPr>
                <w:rFonts w:hint="eastAsia" w:cs="Times New Roman"/>
                <w:color w:val="auto"/>
                <w:sz w:val="24"/>
                <w:highlight w:val="none"/>
                <w:lang w:val="en-US" w:eastAsia="zh-CN"/>
              </w:rPr>
              <w:t>沙</w:t>
            </w:r>
            <w:r>
              <w:rPr>
                <w:rFonts w:hint="eastAsia" w:ascii="Times New Roman" w:hAnsi="Times New Roman" w:eastAsia="宋体" w:cs="Times New Roman"/>
                <w:color w:val="auto"/>
                <w:sz w:val="24"/>
                <w:highlight w:val="none"/>
                <w:lang w:val="en-US" w:eastAsia="zh-CN"/>
              </w:rPr>
              <w:t>漠，项目占地区域内均为裸露盐碱地，无植被存在，项目周围区域分布有大量梭梭林</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土壤类型主要为硫酸盐典型盐土，</w:t>
            </w:r>
            <w:r>
              <w:rPr>
                <w:rFonts w:hint="eastAsia" w:ascii="Times New Roman" w:hAnsi="Times New Roman" w:eastAsia="宋体" w:cs="Times New Roman"/>
                <w:color w:val="auto"/>
                <w:sz w:val="24"/>
                <w:highlight w:val="none"/>
                <w:lang w:val="en-US" w:eastAsia="zh-CN"/>
              </w:rPr>
              <w:t>占用部分半固定风沙土，</w:t>
            </w:r>
            <w:r>
              <w:rPr>
                <w:rFonts w:hint="default" w:ascii="Times New Roman" w:hAnsi="Times New Roman" w:eastAsia="宋体" w:cs="Times New Roman"/>
                <w:color w:val="auto"/>
                <w:sz w:val="24"/>
                <w:highlight w:val="none"/>
              </w:rPr>
              <w:t>属于国有未利用沙地。</w:t>
            </w:r>
          </w:p>
          <w:p w14:paraId="5D19B2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项目区土地现状图片如下：</w:t>
            </w:r>
          </w:p>
          <w:tbl>
            <w:tblPr>
              <w:tblStyle w:val="30"/>
              <w:tblW w:w="81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90"/>
              <w:gridCol w:w="4090"/>
            </w:tblGrid>
            <w:tr w14:paraId="23601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090" w:type="dxa"/>
                  <w:noWrap w:val="0"/>
                  <w:vAlign w:val="center"/>
                </w:tcPr>
                <w:p w14:paraId="24E26B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vertAlign w:val="baseline"/>
                    </w:rPr>
                  </w:pPr>
                  <w:r>
                    <w:rPr>
                      <w:rFonts w:hint="default" w:ascii="Times New Roman" w:hAnsi="Times New Roman" w:cs="Times New Roman"/>
                      <w:color w:val="auto"/>
                    </w:rPr>
                    <w:drawing>
                      <wp:inline distT="0" distB="0" distL="114300" distR="114300">
                        <wp:extent cx="2458720" cy="1538605"/>
                        <wp:effectExtent l="0" t="0" r="17780" b="444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8"/>
                                <a:stretch>
                                  <a:fillRect/>
                                </a:stretch>
                              </pic:blipFill>
                              <pic:spPr>
                                <a:xfrm>
                                  <a:off x="0" y="0"/>
                                  <a:ext cx="2458720" cy="1538605"/>
                                </a:xfrm>
                                <a:prstGeom prst="rect">
                                  <a:avLst/>
                                </a:prstGeom>
                                <a:noFill/>
                                <a:ln>
                                  <a:noFill/>
                                </a:ln>
                              </pic:spPr>
                            </pic:pic>
                          </a:graphicData>
                        </a:graphic>
                      </wp:inline>
                    </w:drawing>
                  </w:r>
                </w:p>
              </w:tc>
              <w:tc>
                <w:tcPr>
                  <w:tcW w:w="4090" w:type="dxa"/>
                  <w:noWrap w:val="0"/>
                  <w:vAlign w:val="center"/>
                </w:tcPr>
                <w:p w14:paraId="5B7C59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4"/>
                      <w:vertAlign w:val="baseline"/>
                    </w:rPr>
                  </w:pPr>
                  <w:r>
                    <w:rPr>
                      <w:rFonts w:hint="default" w:ascii="Times New Roman" w:hAnsi="Times New Roman" w:cs="Times New Roman"/>
                      <w:color w:val="auto"/>
                    </w:rPr>
                    <w:drawing>
                      <wp:inline distT="0" distB="0" distL="114300" distR="114300">
                        <wp:extent cx="2458720" cy="1518285"/>
                        <wp:effectExtent l="0" t="0" r="17780" b="571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
                                <a:stretch>
                                  <a:fillRect/>
                                </a:stretch>
                              </pic:blipFill>
                              <pic:spPr>
                                <a:xfrm>
                                  <a:off x="0" y="0"/>
                                  <a:ext cx="2458720" cy="1518285"/>
                                </a:xfrm>
                                <a:prstGeom prst="rect">
                                  <a:avLst/>
                                </a:prstGeom>
                                <a:noFill/>
                                <a:ln>
                                  <a:noFill/>
                                </a:ln>
                              </pic:spPr>
                            </pic:pic>
                          </a:graphicData>
                        </a:graphic>
                      </wp:inline>
                    </w:drawing>
                  </w:r>
                </w:p>
              </w:tc>
            </w:tr>
            <w:tr w14:paraId="60654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090" w:type="dxa"/>
                  <w:noWrap w:val="0"/>
                  <w:vAlign w:val="center"/>
                </w:tcPr>
                <w:p w14:paraId="34D2B6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453005" cy="1607185"/>
                        <wp:effectExtent l="0" t="0" r="4445" b="1206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0"/>
                                <a:stretch>
                                  <a:fillRect/>
                                </a:stretch>
                              </pic:blipFill>
                              <pic:spPr>
                                <a:xfrm>
                                  <a:off x="0" y="0"/>
                                  <a:ext cx="2453005" cy="1607185"/>
                                </a:xfrm>
                                <a:prstGeom prst="rect">
                                  <a:avLst/>
                                </a:prstGeom>
                                <a:noFill/>
                                <a:ln>
                                  <a:noFill/>
                                </a:ln>
                              </pic:spPr>
                            </pic:pic>
                          </a:graphicData>
                        </a:graphic>
                      </wp:inline>
                    </w:drawing>
                  </w:r>
                </w:p>
              </w:tc>
              <w:tc>
                <w:tcPr>
                  <w:tcW w:w="4090" w:type="dxa"/>
                  <w:noWrap w:val="0"/>
                  <w:vAlign w:val="center"/>
                </w:tcPr>
                <w:p w14:paraId="711707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457450" cy="1597025"/>
                        <wp:effectExtent l="0" t="0" r="0" b="3175"/>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pic:cNvPicPr>
                              </pic:nvPicPr>
                              <pic:blipFill>
                                <a:blip r:embed="rId11"/>
                                <a:stretch>
                                  <a:fillRect/>
                                </a:stretch>
                              </pic:blipFill>
                              <pic:spPr>
                                <a:xfrm>
                                  <a:off x="0" y="0"/>
                                  <a:ext cx="2457450" cy="1597025"/>
                                </a:xfrm>
                                <a:prstGeom prst="rect">
                                  <a:avLst/>
                                </a:prstGeom>
                                <a:noFill/>
                                <a:ln>
                                  <a:noFill/>
                                </a:ln>
                              </pic:spPr>
                            </pic:pic>
                          </a:graphicData>
                        </a:graphic>
                      </wp:inline>
                    </w:drawing>
                  </w:r>
                </w:p>
              </w:tc>
            </w:tr>
            <w:tr w14:paraId="31806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180" w:type="dxa"/>
                  <w:gridSpan w:val="2"/>
                  <w:noWrap w:val="0"/>
                  <w:vAlign w:val="center"/>
                </w:tcPr>
                <w:p w14:paraId="70E271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占地区域现状</w:t>
                  </w:r>
                </w:p>
              </w:tc>
            </w:tr>
            <w:tr w14:paraId="1EFE4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090" w:type="dxa"/>
                  <w:noWrap w:val="0"/>
                  <w:vAlign w:val="center"/>
                </w:tcPr>
                <w:p w14:paraId="3B44F3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458085" cy="1692910"/>
                        <wp:effectExtent l="0" t="0" r="18415" b="254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2"/>
                                <a:stretch>
                                  <a:fillRect/>
                                </a:stretch>
                              </pic:blipFill>
                              <pic:spPr>
                                <a:xfrm>
                                  <a:off x="0" y="0"/>
                                  <a:ext cx="2458085" cy="1692910"/>
                                </a:xfrm>
                                <a:prstGeom prst="rect">
                                  <a:avLst/>
                                </a:prstGeom>
                                <a:noFill/>
                                <a:ln>
                                  <a:noFill/>
                                </a:ln>
                              </pic:spPr>
                            </pic:pic>
                          </a:graphicData>
                        </a:graphic>
                      </wp:inline>
                    </w:drawing>
                  </w:r>
                </w:p>
              </w:tc>
              <w:tc>
                <w:tcPr>
                  <w:tcW w:w="4090" w:type="dxa"/>
                  <w:noWrap w:val="0"/>
                  <w:vAlign w:val="center"/>
                </w:tcPr>
                <w:p w14:paraId="79D0CD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453005" cy="1701165"/>
                        <wp:effectExtent l="0" t="0" r="4445" b="1333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3"/>
                                <a:stretch>
                                  <a:fillRect/>
                                </a:stretch>
                              </pic:blipFill>
                              <pic:spPr>
                                <a:xfrm>
                                  <a:off x="0" y="0"/>
                                  <a:ext cx="2453005" cy="1701165"/>
                                </a:xfrm>
                                <a:prstGeom prst="rect">
                                  <a:avLst/>
                                </a:prstGeom>
                                <a:noFill/>
                                <a:ln>
                                  <a:noFill/>
                                </a:ln>
                              </pic:spPr>
                            </pic:pic>
                          </a:graphicData>
                        </a:graphic>
                      </wp:inline>
                    </w:drawing>
                  </w:r>
                </w:p>
              </w:tc>
            </w:tr>
            <w:tr w14:paraId="0EBA2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090" w:type="dxa"/>
                  <w:noWrap w:val="0"/>
                  <w:vAlign w:val="center"/>
                </w:tcPr>
                <w:p w14:paraId="4D4A6E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454275" cy="2066925"/>
                        <wp:effectExtent l="0" t="0" r="3175" b="9525"/>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4"/>
                                <a:stretch>
                                  <a:fillRect/>
                                </a:stretch>
                              </pic:blipFill>
                              <pic:spPr>
                                <a:xfrm>
                                  <a:off x="0" y="0"/>
                                  <a:ext cx="2454275" cy="2066925"/>
                                </a:xfrm>
                                <a:prstGeom prst="rect">
                                  <a:avLst/>
                                </a:prstGeom>
                                <a:noFill/>
                                <a:ln>
                                  <a:noFill/>
                                </a:ln>
                              </pic:spPr>
                            </pic:pic>
                          </a:graphicData>
                        </a:graphic>
                      </wp:inline>
                    </w:drawing>
                  </w:r>
                </w:p>
              </w:tc>
              <w:tc>
                <w:tcPr>
                  <w:tcW w:w="4090" w:type="dxa"/>
                  <w:noWrap w:val="0"/>
                  <w:vAlign w:val="center"/>
                </w:tcPr>
                <w:p w14:paraId="22B969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453005" cy="1972945"/>
                        <wp:effectExtent l="0" t="0" r="4445" b="8255"/>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pic:cNvPicPr>
                                  <a:picLocks noChangeAspect="1"/>
                                </pic:cNvPicPr>
                              </pic:nvPicPr>
                              <pic:blipFill>
                                <a:blip r:embed="rId15"/>
                                <a:stretch>
                                  <a:fillRect/>
                                </a:stretch>
                              </pic:blipFill>
                              <pic:spPr>
                                <a:xfrm>
                                  <a:off x="0" y="0"/>
                                  <a:ext cx="2453005" cy="1972945"/>
                                </a:xfrm>
                                <a:prstGeom prst="rect">
                                  <a:avLst/>
                                </a:prstGeom>
                                <a:noFill/>
                                <a:ln>
                                  <a:noFill/>
                                </a:ln>
                              </pic:spPr>
                            </pic:pic>
                          </a:graphicData>
                        </a:graphic>
                      </wp:inline>
                    </w:drawing>
                  </w:r>
                </w:p>
              </w:tc>
            </w:tr>
            <w:tr w14:paraId="2AD26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8180" w:type="dxa"/>
                  <w:gridSpan w:val="2"/>
                  <w:noWrap w:val="0"/>
                  <w:vAlign w:val="center"/>
                </w:tcPr>
                <w:p w14:paraId="3B6BE8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占地区外现状</w:t>
                  </w:r>
                </w:p>
              </w:tc>
            </w:tr>
          </w:tbl>
          <w:p w14:paraId="6A35DA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由于本项目场址区域处在荒漠地带，无大型野生动物，只偶见一些小的动物和飞禽，如鼠、蜥蜴等。</w:t>
            </w:r>
          </w:p>
          <w:p w14:paraId="5FBBDF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rPr>
              <w:t>对照《国家重点保护野生动物名录》（国家林业和草原局 农业农村部公告2021年第3号）、</w:t>
            </w:r>
            <w:r>
              <w:rPr>
                <w:rFonts w:hint="eastAsia" w:ascii="Times New Roman" w:hAnsi="Times New Roman" w:eastAsia="宋体" w:cs="Times New Roman"/>
                <w:color w:val="auto"/>
                <w:sz w:val="24"/>
                <w:lang w:eastAsia="zh-CN"/>
              </w:rPr>
              <w:t>《国家重点保护野生植物名录》（国家林业和草原局 农业农村部公告2021年第15号）、</w:t>
            </w:r>
            <w:r>
              <w:rPr>
                <w:rFonts w:hint="default" w:ascii="Times New Roman" w:hAnsi="Times New Roman" w:eastAsia="宋体" w:cs="Times New Roman"/>
                <w:color w:val="auto"/>
                <w:sz w:val="24"/>
              </w:rPr>
              <w:t>《新疆国家重点保护野生动物名录》（自治区林业和草原局 自治区农业农村厅，2021年7月28日）</w:t>
            </w:r>
            <w:r>
              <w:rPr>
                <w:rFonts w:hint="eastAsia" w:ascii="Times New Roman" w:hAnsi="Times New Roman" w:eastAsia="宋体" w:cs="Times New Roman"/>
                <w:color w:val="auto"/>
                <w:sz w:val="24"/>
                <w:lang w:eastAsia="zh-CN"/>
              </w:rPr>
              <w:t>、《新疆国家重点保护野生植物名录》（新林护字〔2022〕8号）、</w:t>
            </w:r>
            <w:r>
              <w:rPr>
                <w:rFonts w:hint="default" w:ascii="Times New Roman" w:hAnsi="Times New Roman" w:eastAsia="宋体" w:cs="Times New Roman"/>
                <w:color w:val="auto"/>
                <w:sz w:val="24"/>
              </w:rPr>
              <w:t>《新疆维吾尔自治区重点保护野生动物名录（修订）》（新政发〔2022〕75号）</w:t>
            </w:r>
            <w:r>
              <w:rPr>
                <w:rFonts w:hint="eastAsia" w:ascii="Times New Roman" w:hAnsi="Times New Roman" w:eastAsia="宋体" w:cs="Times New Roman"/>
                <w:color w:val="auto"/>
                <w:sz w:val="24"/>
                <w:lang w:eastAsia="zh-CN"/>
              </w:rPr>
              <w:t>、《新疆维吾尔自治区重点保护野生植物名录》（新政发〔2023〕63号）</w:t>
            </w:r>
            <w:r>
              <w:rPr>
                <w:rFonts w:hint="default" w:ascii="Times New Roman" w:hAnsi="Times New Roman" w:eastAsia="宋体" w:cs="Times New Roman"/>
                <w:color w:val="auto"/>
                <w:sz w:val="24"/>
              </w:rPr>
              <w:t>，本工程评价区内未发现国家及自治区重点保护野生动物</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植物</w:t>
            </w:r>
            <w:r>
              <w:rPr>
                <w:rFonts w:hint="default" w:ascii="Times New Roman" w:hAnsi="Times New Roman" w:eastAsia="宋体" w:cs="Times New Roman"/>
                <w:color w:val="auto"/>
                <w:sz w:val="24"/>
              </w:rPr>
              <w:t>分布。</w:t>
            </w:r>
          </w:p>
          <w:p w14:paraId="1DD148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本项目所在区域土地利用类型、植被类型、土壤类型见</w:t>
            </w:r>
            <w:r>
              <w:rPr>
                <w:rFonts w:hint="eastAsia" w:ascii="Times New Roman" w:hAnsi="Times New Roman" w:eastAsia="宋体" w:cs="Times New Roman"/>
                <w:color w:val="auto"/>
                <w:sz w:val="24"/>
                <w:lang w:val="en-US" w:eastAsia="zh-CN"/>
              </w:rPr>
              <w:t>附图6、附图7、附图8</w:t>
            </w:r>
            <w:r>
              <w:rPr>
                <w:rFonts w:hint="default" w:ascii="Times New Roman" w:hAnsi="Times New Roman" w:eastAsia="宋体" w:cs="Times New Roman"/>
                <w:color w:val="auto"/>
                <w:sz w:val="24"/>
              </w:rPr>
              <w:t>。</w:t>
            </w:r>
          </w:p>
          <w:p w14:paraId="736A38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环境空气质量现状</w:t>
            </w:r>
          </w:p>
          <w:p w14:paraId="2726EC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本次评价基本污染物SO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、NO</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color w:val="auto"/>
                <w:sz w:val="24"/>
              </w:rPr>
              <w:t>、PM</w:t>
            </w:r>
            <w:r>
              <w:rPr>
                <w:rFonts w:hint="default" w:ascii="Times New Roman" w:hAnsi="Times New Roman" w:eastAsia="宋体" w:cs="Times New Roman"/>
                <w:color w:val="auto"/>
                <w:sz w:val="24"/>
                <w:vertAlign w:val="subscript"/>
              </w:rPr>
              <w:t>10</w:t>
            </w:r>
            <w:r>
              <w:rPr>
                <w:rFonts w:hint="default" w:ascii="Times New Roman" w:hAnsi="Times New Roman" w:eastAsia="宋体" w:cs="Times New Roman"/>
                <w:color w:val="auto"/>
                <w:sz w:val="24"/>
              </w:rPr>
              <w:t>、PM</w:t>
            </w:r>
            <w:r>
              <w:rPr>
                <w:rFonts w:hint="default" w:ascii="Times New Roman" w:hAnsi="Times New Roman" w:eastAsia="宋体" w:cs="Times New Roman"/>
                <w:color w:val="auto"/>
                <w:sz w:val="24"/>
                <w:vertAlign w:val="subscript"/>
              </w:rPr>
              <w:t>2.5</w:t>
            </w:r>
            <w:r>
              <w:rPr>
                <w:rFonts w:hint="default" w:ascii="Times New Roman" w:hAnsi="Times New Roman" w:eastAsia="宋体" w:cs="Times New Roman"/>
                <w:color w:val="auto"/>
                <w:sz w:val="24"/>
              </w:rPr>
              <w:t>、CO和O</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的数据引用</w:t>
            </w:r>
            <w:r>
              <w:rPr>
                <w:rFonts w:hint="default" w:ascii="Times New Roman" w:hAnsi="Times New Roman" w:eastAsia="宋体" w:cs="Times New Roman"/>
                <w:color w:val="auto"/>
                <w:sz w:val="24"/>
                <w:lang w:val="en-US" w:eastAsia="zh-CN"/>
              </w:rPr>
              <w:t>新疆维吾尔自治区生态环境厅发布的《2025年12月和1-12月重点区域空气质量状况及排名》中</w:t>
            </w:r>
            <w:r>
              <w:rPr>
                <w:rFonts w:hint="eastAsia" w:ascii="Times New Roman" w:hAnsi="Times New Roman" w:eastAsia="宋体" w:cs="Times New Roman"/>
                <w:color w:val="auto"/>
                <w:sz w:val="24"/>
                <w:lang w:val="en-US" w:eastAsia="zh-CN"/>
              </w:rPr>
              <w:t>玛纳斯县</w:t>
            </w:r>
            <w:r>
              <w:rPr>
                <w:rFonts w:hint="default" w:ascii="Times New Roman" w:hAnsi="Times New Roman" w:eastAsia="宋体" w:cs="Times New Roman"/>
                <w:color w:val="auto"/>
                <w:sz w:val="24"/>
                <w:lang w:val="en-US" w:eastAsia="zh-CN"/>
              </w:rPr>
              <w:t>2025年全年数据</w:t>
            </w:r>
            <w:r>
              <w:rPr>
                <w:rFonts w:hint="default" w:ascii="Times New Roman" w:hAnsi="Times New Roman" w:eastAsia="宋体" w:cs="Times New Roman"/>
                <w:color w:val="auto"/>
                <w:sz w:val="24"/>
              </w:rPr>
              <w:t>。</w:t>
            </w:r>
          </w:p>
          <w:p w14:paraId="78FC817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default" w:ascii="Times New Roman" w:hAnsi="Times New Roman" w:eastAsia="黑体" w:cs="Times New Roman"/>
                <w:color w:val="auto"/>
                <w:kern w:val="0"/>
                <w:sz w:val="21"/>
                <w:szCs w:val="24"/>
                <w:lang w:val="en-US" w:eastAsia="zh-CN" w:bidi="en-US"/>
              </w:rPr>
            </w:pPr>
            <w:r>
              <w:rPr>
                <w:rFonts w:hint="default" w:ascii="Times New Roman" w:hAnsi="Times New Roman" w:eastAsia="黑体" w:cs="Times New Roman"/>
                <w:color w:val="auto"/>
                <w:kern w:val="0"/>
                <w:sz w:val="21"/>
                <w:szCs w:val="24"/>
                <w:lang w:val="en-US" w:eastAsia="zh-CN" w:bidi="en-US"/>
              </w:rPr>
              <w:t>表3-</w:t>
            </w:r>
            <w:r>
              <w:rPr>
                <w:rFonts w:hint="eastAsia" w:ascii="Times New Roman" w:hAnsi="Times New Roman" w:eastAsia="黑体" w:cs="Times New Roman"/>
                <w:color w:val="auto"/>
                <w:kern w:val="0"/>
                <w:sz w:val="21"/>
                <w:szCs w:val="24"/>
                <w:lang w:val="en-US" w:eastAsia="zh-CN" w:bidi="en-US"/>
              </w:rPr>
              <w:t xml:space="preserve">2                </w:t>
            </w:r>
            <w:r>
              <w:rPr>
                <w:rFonts w:hint="default" w:ascii="Times New Roman" w:hAnsi="Times New Roman" w:eastAsia="黑体" w:cs="Times New Roman"/>
                <w:color w:val="auto"/>
                <w:kern w:val="0"/>
                <w:sz w:val="21"/>
                <w:szCs w:val="24"/>
                <w:lang w:val="en-US" w:eastAsia="zh-CN" w:bidi="en-US"/>
              </w:rPr>
              <w:t>区域空气质量现状评价结果一览表</w:t>
            </w:r>
          </w:p>
          <w:tbl>
            <w:tblPr>
              <w:tblStyle w:val="29"/>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3"/>
              <w:gridCol w:w="3020"/>
              <w:gridCol w:w="1112"/>
              <w:gridCol w:w="1114"/>
              <w:gridCol w:w="998"/>
              <w:gridCol w:w="980"/>
            </w:tblGrid>
            <w:tr w14:paraId="33B00F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dxa"/>
                  <w:vMerge w:val="restart"/>
                  <w:tcBorders>
                    <w:tl2br w:val="nil"/>
                    <w:tr2bl w:val="nil"/>
                  </w:tcBorders>
                  <w:noWrap w:val="0"/>
                  <w:vAlign w:val="center"/>
                </w:tcPr>
                <w:p w14:paraId="0AA5ACC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w:t>
                  </w:r>
                </w:p>
                <w:p w14:paraId="28476B2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因子</w:t>
                  </w:r>
                </w:p>
              </w:tc>
              <w:tc>
                <w:tcPr>
                  <w:tcW w:w="3119" w:type="dxa"/>
                  <w:vMerge w:val="restart"/>
                  <w:tcBorders>
                    <w:tl2br w:val="nil"/>
                    <w:tr2bl w:val="nil"/>
                  </w:tcBorders>
                  <w:noWrap w:val="0"/>
                  <w:vAlign w:val="center"/>
                </w:tcPr>
                <w:p w14:paraId="4307D8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平均时间</w:t>
                  </w:r>
                </w:p>
              </w:tc>
              <w:tc>
                <w:tcPr>
                  <w:tcW w:w="1144" w:type="dxa"/>
                  <w:tcBorders>
                    <w:tl2br w:val="nil"/>
                    <w:tr2bl w:val="nil"/>
                  </w:tcBorders>
                  <w:noWrap w:val="0"/>
                  <w:vAlign w:val="center"/>
                </w:tcPr>
                <w:p w14:paraId="1702F47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现状浓度</w:t>
                  </w:r>
                </w:p>
              </w:tc>
              <w:tc>
                <w:tcPr>
                  <w:tcW w:w="1146" w:type="dxa"/>
                  <w:tcBorders>
                    <w:tl2br w:val="nil"/>
                    <w:tr2bl w:val="nil"/>
                  </w:tcBorders>
                  <w:noWrap w:val="0"/>
                  <w:vAlign w:val="center"/>
                </w:tcPr>
                <w:p w14:paraId="78A9BC1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标准限值</w:t>
                  </w:r>
                </w:p>
              </w:tc>
              <w:tc>
                <w:tcPr>
                  <w:tcW w:w="1026" w:type="dxa"/>
                  <w:vMerge w:val="restart"/>
                  <w:tcBorders>
                    <w:tl2br w:val="nil"/>
                    <w:tr2bl w:val="nil"/>
                  </w:tcBorders>
                  <w:noWrap w:val="0"/>
                  <w:vAlign w:val="center"/>
                </w:tcPr>
                <w:p w14:paraId="20D14EFE">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占标率%</w:t>
                  </w:r>
                </w:p>
              </w:tc>
              <w:tc>
                <w:tcPr>
                  <w:tcW w:w="1006" w:type="dxa"/>
                  <w:vMerge w:val="restart"/>
                  <w:tcBorders>
                    <w:tl2br w:val="nil"/>
                    <w:tr2bl w:val="nil"/>
                  </w:tcBorders>
                  <w:noWrap w:val="0"/>
                  <w:vAlign w:val="center"/>
                </w:tcPr>
                <w:p w14:paraId="0CB33435">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达标情况</w:t>
                  </w:r>
                </w:p>
              </w:tc>
            </w:tr>
            <w:tr w14:paraId="0C1D99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dxa"/>
                  <w:vMerge w:val="continue"/>
                  <w:tcBorders>
                    <w:tl2br w:val="nil"/>
                    <w:tr2bl w:val="nil"/>
                  </w:tcBorders>
                  <w:noWrap w:val="0"/>
                  <w:vAlign w:val="center"/>
                </w:tcPr>
                <w:p w14:paraId="1AB1BD4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3119" w:type="dxa"/>
                  <w:vMerge w:val="continue"/>
                  <w:tcBorders>
                    <w:tl2br w:val="nil"/>
                    <w:tr2bl w:val="nil"/>
                  </w:tcBorders>
                  <w:noWrap w:val="0"/>
                  <w:vAlign w:val="center"/>
                </w:tcPr>
                <w:p w14:paraId="53FEBB2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1144" w:type="dxa"/>
                  <w:tcBorders>
                    <w:tl2br w:val="nil"/>
                    <w:tr2bl w:val="nil"/>
                  </w:tcBorders>
                  <w:noWrap w:val="0"/>
                  <w:vAlign w:val="center"/>
                </w:tcPr>
                <w:p w14:paraId="235F394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146" w:type="dxa"/>
                  <w:tcBorders>
                    <w:tl2br w:val="nil"/>
                    <w:tr2bl w:val="nil"/>
                  </w:tcBorders>
                  <w:noWrap w:val="0"/>
                  <w:vAlign w:val="center"/>
                </w:tcPr>
                <w:p w14:paraId="75E9DE8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1026" w:type="dxa"/>
                  <w:vMerge w:val="continue"/>
                  <w:tcBorders>
                    <w:tl2br w:val="nil"/>
                    <w:tr2bl w:val="nil"/>
                  </w:tcBorders>
                  <w:noWrap w:val="0"/>
                  <w:vAlign w:val="center"/>
                </w:tcPr>
                <w:p w14:paraId="2B16CD14">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highlight w:val="yellow"/>
                    </w:rPr>
                  </w:pPr>
                </w:p>
              </w:tc>
              <w:tc>
                <w:tcPr>
                  <w:tcW w:w="1006" w:type="dxa"/>
                  <w:vMerge w:val="continue"/>
                  <w:tcBorders>
                    <w:tl2br w:val="nil"/>
                    <w:tr2bl w:val="nil"/>
                  </w:tcBorders>
                  <w:noWrap w:val="0"/>
                  <w:vAlign w:val="center"/>
                </w:tcPr>
                <w:p w14:paraId="66E0D659">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highlight w:val="yellow"/>
                    </w:rPr>
                  </w:pPr>
                </w:p>
              </w:tc>
            </w:tr>
            <w:tr w14:paraId="6F8AC8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896" w:type="dxa"/>
                  <w:tcBorders>
                    <w:tl2br w:val="nil"/>
                    <w:tr2bl w:val="nil"/>
                  </w:tcBorders>
                  <w:noWrap w:val="0"/>
                  <w:vAlign w:val="center"/>
                </w:tcPr>
                <w:p w14:paraId="49410727">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3119" w:type="dxa"/>
                  <w:tcBorders>
                    <w:tl2br w:val="nil"/>
                    <w:tr2bl w:val="nil"/>
                  </w:tcBorders>
                  <w:noWrap w:val="0"/>
                  <w:vAlign w:val="center"/>
                </w:tcPr>
                <w:p w14:paraId="67BC9FB6">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w:t>
                  </w:r>
                </w:p>
              </w:tc>
              <w:tc>
                <w:tcPr>
                  <w:tcW w:w="1144" w:type="dxa"/>
                  <w:tcBorders>
                    <w:tl2br w:val="nil"/>
                    <w:tr2bl w:val="nil"/>
                  </w:tcBorders>
                  <w:noWrap w:val="0"/>
                  <w:vAlign w:val="center"/>
                </w:tcPr>
                <w:p w14:paraId="598F508E">
                  <w:pPr>
                    <w:keepNext w:val="0"/>
                    <w:keepLines w:val="0"/>
                    <w:suppressLineNumbers w:val="0"/>
                    <w:autoSpaceDE w:val="0"/>
                    <w:autoSpaceDN w:val="0"/>
                    <w:adjustRightInd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1146" w:type="dxa"/>
                  <w:tcBorders>
                    <w:tl2br w:val="nil"/>
                    <w:tr2bl w:val="nil"/>
                  </w:tcBorders>
                  <w:noWrap w:val="0"/>
                  <w:vAlign w:val="center"/>
                </w:tcPr>
                <w:p w14:paraId="31EA94B8">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1026" w:type="dxa"/>
                  <w:tcBorders>
                    <w:tl2br w:val="nil"/>
                    <w:tr2bl w:val="nil"/>
                  </w:tcBorders>
                  <w:noWrap w:val="0"/>
                  <w:vAlign w:val="center"/>
                </w:tcPr>
                <w:p w14:paraId="3EF59045">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11.67</w:t>
                  </w:r>
                </w:p>
              </w:tc>
              <w:tc>
                <w:tcPr>
                  <w:tcW w:w="1006" w:type="dxa"/>
                  <w:tcBorders>
                    <w:tl2br w:val="nil"/>
                    <w:tr2bl w:val="nil"/>
                  </w:tcBorders>
                  <w:noWrap w:val="0"/>
                  <w:vAlign w:val="center"/>
                </w:tcPr>
                <w:p w14:paraId="4216D4B5">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5FCA3A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dxa"/>
                  <w:tcBorders>
                    <w:tl2br w:val="nil"/>
                    <w:tr2bl w:val="nil"/>
                  </w:tcBorders>
                  <w:noWrap w:val="0"/>
                  <w:vAlign w:val="center"/>
                </w:tcPr>
                <w:p w14:paraId="49C0050D">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NO</w:t>
                  </w:r>
                  <w:r>
                    <w:rPr>
                      <w:rFonts w:hint="default" w:ascii="Times New Roman" w:hAnsi="Times New Roman" w:cs="Times New Roman"/>
                      <w:color w:val="auto"/>
                      <w:sz w:val="21"/>
                      <w:szCs w:val="21"/>
                      <w:vertAlign w:val="subscript"/>
                    </w:rPr>
                    <w:t>2</w:t>
                  </w:r>
                </w:p>
              </w:tc>
              <w:tc>
                <w:tcPr>
                  <w:tcW w:w="3119" w:type="dxa"/>
                  <w:tcBorders>
                    <w:tl2br w:val="nil"/>
                    <w:tr2bl w:val="nil"/>
                  </w:tcBorders>
                  <w:noWrap w:val="0"/>
                  <w:vAlign w:val="center"/>
                </w:tcPr>
                <w:p w14:paraId="779C6157">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w:t>
                  </w:r>
                </w:p>
              </w:tc>
              <w:tc>
                <w:tcPr>
                  <w:tcW w:w="1144" w:type="dxa"/>
                  <w:tcBorders>
                    <w:tl2br w:val="nil"/>
                    <w:tr2bl w:val="nil"/>
                  </w:tcBorders>
                  <w:noWrap w:val="0"/>
                  <w:vAlign w:val="center"/>
                </w:tcPr>
                <w:p w14:paraId="784702CD">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18</w:t>
                  </w:r>
                </w:p>
              </w:tc>
              <w:tc>
                <w:tcPr>
                  <w:tcW w:w="1146" w:type="dxa"/>
                  <w:tcBorders>
                    <w:tl2br w:val="nil"/>
                    <w:tr2bl w:val="nil"/>
                  </w:tcBorders>
                  <w:noWrap w:val="0"/>
                  <w:vAlign w:val="center"/>
                </w:tcPr>
                <w:p w14:paraId="73C15564">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1026" w:type="dxa"/>
                  <w:tcBorders>
                    <w:tl2br w:val="nil"/>
                    <w:tr2bl w:val="nil"/>
                  </w:tcBorders>
                  <w:noWrap w:val="0"/>
                  <w:vAlign w:val="center"/>
                </w:tcPr>
                <w:p w14:paraId="225B0876">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45.00</w:t>
                  </w:r>
                </w:p>
              </w:tc>
              <w:tc>
                <w:tcPr>
                  <w:tcW w:w="1006" w:type="dxa"/>
                  <w:tcBorders>
                    <w:tl2br w:val="nil"/>
                    <w:tr2bl w:val="nil"/>
                  </w:tcBorders>
                  <w:noWrap w:val="0"/>
                  <w:vAlign w:val="center"/>
                </w:tcPr>
                <w:p w14:paraId="67651FE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0C91C4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dxa"/>
                  <w:tcBorders>
                    <w:tl2br w:val="nil"/>
                    <w:tr2bl w:val="nil"/>
                  </w:tcBorders>
                  <w:noWrap w:val="0"/>
                  <w:vAlign w:val="center"/>
                </w:tcPr>
                <w:p w14:paraId="4B86225E">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w:t>
                  </w:r>
                </w:p>
              </w:tc>
              <w:tc>
                <w:tcPr>
                  <w:tcW w:w="3119" w:type="dxa"/>
                  <w:tcBorders>
                    <w:tl2br w:val="nil"/>
                    <w:tr2bl w:val="nil"/>
                  </w:tcBorders>
                  <w:noWrap w:val="0"/>
                  <w:vAlign w:val="center"/>
                </w:tcPr>
                <w:p w14:paraId="52F6044B">
                  <w:pPr>
                    <w:keepNext w:val="0"/>
                    <w:keepLines w:val="0"/>
                    <w:suppressLineNumbers w:val="0"/>
                    <w:autoSpaceDE w:val="0"/>
                    <w:autoSpaceDN w:val="0"/>
                    <w:adjustRightInd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日平均</w:t>
                  </w:r>
                </w:p>
              </w:tc>
              <w:tc>
                <w:tcPr>
                  <w:tcW w:w="1144" w:type="dxa"/>
                  <w:tcBorders>
                    <w:tl2br w:val="nil"/>
                    <w:tr2bl w:val="nil"/>
                  </w:tcBorders>
                  <w:noWrap w:val="0"/>
                  <w:vAlign w:val="center"/>
                </w:tcPr>
                <w:p w14:paraId="244E32CE">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700</w:t>
                  </w:r>
                </w:p>
              </w:tc>
              <w:tc>
                <w:tcPr>
                  <w:tcW w:w="1146" w:type="dxa"/>
                  <w:tcBorders>
                    <w:tl2br w:val="nil"/>
                    <w:tr2bl w:val="nil"/>
                  </w:tcBorders>
                  <w:noWrap w:val="0"/>
                  <w:vAlign w:val="center"/>
                </w:tcPr>
                <w:p w14:paraId="1A416FE1">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4000</w:t>
                  </w:r>
                </w:p>
              </w:tc>
              <w:tc>
                <w:tcPr>
                  <w:tcW w:w="1026" w:type="dxa"/>
                  <w:tcBorders>
                    <w:tl2br w:val="nil"/>
                    <w:tr2bl w:val="nil"/>
                  </w:tcBorders>
                  <w:noWrap w:val="0"/>
                  <w:vAlign w:val="center"/>
                </w:tcPr>
                <w:p w14:paraId="5C459DB7">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17.50</w:t>
                  </w:r>
                </w:p>
              </w:tc>
              <w:tc>
                <w:tcPr>
                  <w:tcW w:w="1006" w:type="dxa"/>
                  <w:tcBorders>
                    <w:tl2br w:val="nil"/>
                    <w:tr2bl w:val="nil"/>
                  </w:tcBorders>
                  <w:noWrap w:val="0"/>
                  <w:vAlign w:val="center"/>
                </w:tcPr>
                <w:p w14:paraId="35730F6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3EB5DE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dxa"/>
                  <w:tcBorders>
                    <w:tl2br w:val="nil"/>
                    <w:tr2bl w:val="nil"/>
                  </w:tcBorders>
                  <w:noWrap w:val="0"/>
                  <w:vAlign w:val="center"/>
                </w:tcPr>
                <w:p w14:paraId="30A344FE">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3</w:t>
                  </w:r>
                </w:p>
              </w:tc>
              <w:tc>
                <w:tcPr>
                  <w:tcW w:w="3119" w:type="dxa"/>
                  <w:tcBorders>
                    <w:tl2br w:val="nil"/>
                    <w:tr2bl w:val="nil"/>
                  </w:tcBorders>
                  <w:noWrap w:val="0"/>
                  <w:vAlign w:val="center"/>
                </w:tcPr>
                <w:p w14:paraId="68E2E999">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日</w:t>
                  </w:r>
                  <w:r>
                    <w:rPr>
                      <w:rFonts w:hint="default" w:ascii="Times New Roman" w:hAnsi="Times New Roman" w:cs="Times New Roman"/>
                      <w:color w:val="auto"/>
                      <w:sz w:val="21"/>
                      <w:szCs w:val="21"/>
                    </w:rPr>
                    <w:t>最大8</w:t>
                  </w:r>
                  <w:r>
                    <w:rPr>
                      <w:rFonts w:hint="eastAsia" w:ascii="Times New Roman" w:hAnsi="Times New Roman" w:cs="Times New Roman"/>
                      <w:color w:val="auto"/>
                      <w:sz w:val="21"/>
                      <w:szCs w:val="21"/>
                      <w:lang w:val="en-US" w:eastAsia="zh-CN"/>
                    </w:rPr>
                    <w:t>小时</w:t>
                  </w:r>
                  <w:r>
                    <w:rPr>
                      <w:rFonts w:hint="default" w:ascii="Times New Roman" w:hAnsi="Times New Roman" w:cs="Times New Roman"/>
                      <w:color w:val="auto"/>
                      <w:sz w:val="21"/>
                      <w:szCs w:val="21"/>
                    </w:rPr>
                    <w:t>平均</w:t>
                  </w:r>
                </w:p>
              </w:tc>
              <w:tc>
                <w:tcPr>
                  <w:tcW w:w="1144" w:type="dxa"/>
                  <w:tcBorders>
                    <w:tl2br w:val="nil"/>
                    <w:tr2bl w:val="nil"/>
                  </w:tcBorders>
                  <w:noWrap w:val="0"/>
                  <w:vAlign w:val="center"/>
                </w:tcPr>
                <w:p w14:paraId="174CB9BD">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cs="Times New Roman"/>
                      <w:color w:val="auto"/>
                      <w:sz w:val="21"/>
                      <w:szCs w:val="21"/>
                      <w:highlight w:val="none"/>
                      <w:lang w:val="en-US" w:eastAsia="zh-CN"/>
                    </w:rPr>
                    <w:t>93</w:t>
                  </w:r>
                </w:p>
              </w:tc>
              <w:tc>
                <w:tcPr>
                  <w:tcW w:w="1146" w:type="dxa"/>
                  <w:tcBorders>
                    <w:tl2br w:val="nil"/>
                    <w:tr2bl w:val="nil"/>
                  </w:tcBorders>
                  <w:noWrap w:val="0"/>
                  <w:vAlign w:val="center"/>
                </w:tcPr>
                <w:p w14:paraId="3B0A3FC6">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w:t>
                  </w:r>
                </w:p>
              </w:tc>
              <w:tc>
                <w:tcPr>
                  <w:tcW w:w="1026" w:type="dxa"/>
                  <w:tcBorders>
                    <w:tl2br w:val="nil"/>
                    <w:tr2bl w:val="nil"/>
                  </w:tcBorders>
                  <w:noWrap w:val="0"/>
                  <w:vAlign w:val="center"/>
                </w:tcPr>
                <w:p w14:paraId="7283A4EB">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58.13</w:t>
                  </w:r>
                </w:p>
              </w:tc>
              <w:tc>
                <w:tcPr>
                  <w:tcW w:w="1006" w:type="dxa"/>
                  <w:tcBorders>
                    <w:tl2br w:val="nil"/>
                    <w:tr2bl w:val="nil"/>
                  </w:tcBorders>
                  <w:noWrap w:val="0"/>
                  <w:vAlign w:val="center"/>
                </w:tcPr>
                <w:p w14:paraId="42C49C7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00087C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dxa"/>
                  <w:tcBorders>
                    <w:tl2br w:val="nil"/>
                    <w:tr2bl w:val="nil"/>
                  </w:tcBorders>
                  <w:noWrap w:val="0"/>
                  <w:vAlign w:val="center"/>
                </w:tcPr>
                <w:p w14:paraId="75011E21">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2.5</w:t>
                  </w:r>
                </w:p>
              </w:tc>
              <w:tc>
                <w:tcPr>
                  <w:tcW w:w="3119" w:type="dxa"/>
                  <w:tcBorders>
                    <w:tl2br w:val="nil"/>
                    <w:tr2bl w:val="nil"/>
                  </w:tcBorders>
                  <w:noWrap w:val="0"/>
                  <w:vAlign w:val="center"/>
                </w:tcPr>
                <w:p w14:paraId="7B7D42BE">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w:t>
                  </w:r>
                </w:p>
              </w:tc>
              <w:tc>
                <w:tcPr>
                  <w:tcW w:w="1144" w:type="dxa"/>
                  <w:tcBorders>
                    <w:tl2br w:val="nil"/>
                    <w:tr2bl w:val="nil"/>
                  </w:tcBorders>
                  <w:noWrap w:val="0"/>
                  <w:vAlign w:val="center"/>
                </w:tcPr>
                <w:p w14:paraId="0816FBCD">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26</w:t>
                  </w:r>
                </w:p>
              </w:tc>
              <w:tc>
                <w:tcPr>
                  <w:tcW w:w="1146" w:type="dxa"/>
                  <w:tcBorders>
                    <w:tl2br w:val="nil"/>
                    <w:tr2bl w:val="nil"/>
                  </w:tcBorders>
                  <w:noWrap w:val="0"/>
                  <w:vAlign w:val="center"/>
                </w:tcPr>
                <w:p w14:paraId="7ADA6535">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1026" w:type="dxa"/>
                  <w:tcBorders>
                    <w:tl2br w:val="nil"/>
                    <w:tr2bl w:val="nil"/>
                  </w:tcBorders>
                  <w:noWrap w:val="0"/>
                  <w:vAlign w:val="center"/>
                </w:tcPr>
                <w:p w14:paraId="2EBDFB08">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86.67</w:t>
                  </w:r>
                </w:p>
              </w:tc>
              <w:tc>
                <w:tcPr>
                  <w:tcW w:w="1006" w:type="dxa"/>
                  <w:tcBorders>
                    <w:tl2br w:val="nil"/>
                    <w:tr2bl w:val="nil"/>
                  </w:tcBorders>
                  <w:noWrap w:val="0"/>
                  <w:vAlign w:val="center"/>
                </w:tcPr>
                <w:p w14:paraId="57BDCA3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2368F0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6" w:type="dxa"/>
                  <w:tcBorders>
                    <w:tl2br w:val="nil"/>
                    <w:tr2bl w:val="nil"/>
                  </w:tcBorders>
                  <w:noWrap w:val="0"/>
                  <w:vAlign w:val="center"/>
                </w:tcPr>
                <w:p w14:paraId="797B8D2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10</w:t>
                  </w:r>
                </w:p>
              </w:tc>
              <w:tc>
                <w:tcPr>
                  <w:tcW w:w="3119" w:type="dxa"/>
                  <w:tcBorders>
                    <w:tl2br w:val="nil"/>
                    <w:tr2bl w:val="nil"/>
                  </w:tcBorders>
                  <w:noWrap w:val="0"/>
                  <w:vAlign w:val="center"/>
                </w:tcPr>
                <w:p w14:paraId="3010CF1B">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w:t>
                  </w:r>
                </w:p>
              </w:tc>
              <w:tc>
                <w:tcPr>
                  <w:tcW w:w="1144" w:type="dxa"/>
                  <w:tcBorders>
                    <w:tl2br w:val="nil"/>
                    <w:tr2bl w:val="nil"/>
                  </w:tcBorders>
                  <w:noWrap w:val="0"/>
                  <w:vAlign w:val="center"/>
                </w:tcPr>
                <w:p w14:paraId="569BCAD8">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53</w:t>
                  </w:r>
                </w:p>
              </w:tc>
              <w:tc>
                <w:tcPr>
                  <w:tcW w:w="1146" w:type="dxa"/>
                  <w:tcBorders>
                    <w:tl2br w:val="nil"/>
                    <w:tr2bl w:val="nil"/>
                  </w:tcBorders>
                  <w:noWrap w:val="0"/>
                  <w:vAlign w:val="center"/>
                </w:tcPr>
                <w:p w14:paraId="4A5F9003">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60</w:t>
                  </w:r>
                </w:p>
              </w:tc>
              <w:tc>
                <w:tcPr>
                  <w:tcW w:w="1026" w:type="dxa"/>
                  <w:tcBorders>
                    <w:tl2br w:val="nil"/>
                    <w:tr2bl w:val="nil"/>
                  </w:tcBorders>
                  <w:noWrap w:val="0"/>
                  <w:vAlign w:val="center"/>
                </w:tcPr>
                <w:p w14:paraId="61F44BE1">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88.33</w:t>
                  </w:r>
                </w:p>
              </w:tc>
              <w:tc>
                <w:tcPr>
                  <w:tcW w:w="1006" w:type="dxa"/>
                  <w:tcBorders>
                    <w:tl2br w:val="nil"/>
                    <w:tr2bl w:val="nil"/>
                  </w:tcBorders>
                  <w:noWrap w:val="0"/>
                  <w:vAlign w:val="center"/>
                </w:tcPr>
                <w:p w14:paraId="69AA190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yellow"/>
                    </w:rPr>
                  </w:pPr>
                  <w:r>
                    <w:rPr>
                      <w:rFonts w:hint="default" w:ascii="Times New Roman" w:hAnsi="Times New Roman" w:cs="Times New Roman"/>
                      <w:color w:val="auto"/>
                      <w:sz w:val="21"/>
                      <w:szCs w:val="21"/>
                    </w:rPr>
                    <w:t>达标</w:t>
                  </w:r>
                </w:p>
              </w:tc>
            </w:tr>
          </w:tbl>
          <w:p w14:paraId="5155A9EA">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项目所在区域NO</w:t>
            </w:r>
            <w:r>
              <w:rPr>
                <w:rFonts w:hint="default" w:ascii="Times New Roman" w:hAnsi="Times New Roman" w:eastAsia="宋体" w:cs="Times New Roman"/>
                <w:color w:val="auto"/>
                <w:sz w:val="24"/>
                <w:vertAlign w:val="subscript"/>
                <w:lang w:val="zh-CN"/>
              </w:rPr>
              <w:t>2</w:t>
            </w:r>
            <w:r>
              <w:rPr>
                <w:rFonts w:hint="default" w:ascii="Times New Roman" w:hAnsi="Times New Roman" w:eastAsia="宋体" w:cs="Times New Roman"/>
                <w:color w:val="auto"/>
                <w:sz w:val="24"/>
                <w:lang w:val="zh-CN"/>
              </w:rPr>
              <w:t>、SO</w:t>
            </w:r>
            <w:r>
              <w:rPr>
                <w:rFonts w:hint="default" w:ascii="Times New Roman" w:hAnsi="Times New Roman" w:eastAsia="宋体" w:cs="Times New Roman"/>
                <w:color w:val="auto"/>
                <w:sz w:val="24"/>
                <w:vertAlign w:val="subscript"/>
                <w:lang w:val="zh-CN"/>
              </w:rPr>
              <w:t>2</w:t>
            </w:r>
            <w:r>
              <w:rPr>
                <w:rFonts w:hint="default" w:ascii="Times New Roman" w:hAnsi="Times New Roman" w:eastAsia="宋体" w:cs="Times New Roman"/>
                <w:color w:val="auto"/>
                <w:sz w:val="24"/>
                <w:lang w:val="zh-CN"/>
              </w:rPr>
              <w:t>、PM</w:t>
            </w:r>
            <w:r>
              <w:rPr>
                <w:rFonts w:hint="default" w:ascii="Times New Roman" w:hAnsi="Times New Roman" w:eastAsia="宋体" w:cs="Times New Roman"/>
                <w:color w:val="auto"/>
                <w:sz w:val="24"/>
                <w:vertAlign w:val="subscript"/>
                <w:lang w:val="zh-CN"/>
              </w:rPr>
              <w:t>10</w:t>
            </w:r>
            <w:r>
              <w:rPr>
                <w:rFonts w:hint="default" w:ascii="Times New Roman" w:hAnsi="Times New Roman" w:eastAsia="宋体" w:cs="Times New Roman"/>
                <w:color w:val="auto"/>
                <w:sz w:val="24"/>
                <w:lang w:val="zh-CN"/>
              </w:rPr>
              <w:t>、</w:t>
            </w:r>
            <w:r>
              <w:rPr>
                <w:rFonts w:hint="eastAsia" w:ascii="Times New Roman" w:hAnsi="Times New Roman" w:eastAsia="宋体" w:cs="Times New Roman"/>
                <w:color w:val="auto"/>
                <w:sz w:val="24"/>
                <w:lang w:val="en-US" w:eastAsia="zh-CN"/>
              </w:rPr>
              <w:t>PM</w:t>
            </w:r>
            <w:r>
              <w:rPr>
                <w:rFonts w:hint="eastAsia" w:ascii="Times New Roman" w:hAnsi="Times New Roman" w:eastAsia="宋体" w:cs="Times New Roman"/>
                <w:color w:val="auto"/>
                <w:sz w:val="24"/>
                <w:vertAlign w:val="subscript"/>
                <w:lang w:val="en-US" w:eastAsia="zh-CN"/>
              </w:rPr>
              <w:t>2.5</w:t>
            </w:r>
            <w:r>
              <w:rPr>
                <w:rFonts w:hint="eastAsia" w:ascii="Times New Roman" w:hAnsi="Times New Roman" w:eastAsia="宋体" w:cs="Times New Roman"/>
                <w:color w:val="auto"/>
                <w:sz w:val="24"/>
                <w:lang w:val="en-US" w:eastAsia="zh-CN"/>
              </w:rPr>
              <w:t>年平均浓度、</w:t>
            </w:r>
            <w:r>
              <w:rPr>
                <w:rFonts w:hint="default" w:ascii="Times New Roman" w:hAnsi="Times New Roman" w:eastAsia="宋体" w:cs="Times New Roman"/>
                <w:color w:val="auto"/>
                <w:sz w:val="24"/>
                <w:lang w:val="zh-CN"/>
              </w:rPr>
              <w:t>CO</w:t>
            </w:r>
            <w:r>
              <w:rPr>
                <w:rFonts w:hint="eastAsia" w:ascii="Times New Roman" w:hAnsi="Times New Roman" w:eastAsia="宋体" w:cs="Times New Roman"/>
                <w:color w:val="auto"/>
                <w:sz w:val="24"/>
                <w:lang w:val="en-US" w:eastAsia="zh-CN"/>
              </w:rPr>
              <w:t>日平均浓度</w:t>
            </w:r>
            <w:r>
              <w:rPr>
                <w:rFonts w:hint="default" w:ascii="Times New Roman" w:hAnsi="Times New Roman" w:eastAsia="宋体" w:cs="Times New Roman"/>
                <w:color w:val="auto"/>
                <w:sz w:val="24"/>
                <w:lang w:val="zh-CN"/>
              </w:rPr>
              <w:t>及O</w:t>
            </w:r>
            <w:r>
              <w:rPr>
                <w:rFonts w:hint="default" w:ascii="Times New Roman" w:hAnsi="Times New Roman" w:eastAsia="宋体" w:cs="Times New Roman"/>
                <w:color w:val="auto"/>
                <w:sz w:val="24"/>
                <w:vertAlign w:val="subscript"/>
                <w:lang w:val="zh-CN"/>
              </w:rPr>
              <w:t>3</w:t>
            </w:r>
            <w:r>
              <w:rPr>
                <w:rFonts w:hint="eastAsia" w:ascii="Times New Roman" w:hAnsi="Times New Roman" w:eastAsia="宋体" w:cs="Times New Roman"/>
                <w:color w:val="auto"/>
                <w:sz w:val="24"/>
                <w:lang w:val="en-US" w:eastAsia="zh-CN"/>
              </w:rPr>
              <w:t>日最大8小时</w:t>
            </w:r>
            <w:r>
              <w:rPr>
                <w:rFonts w:hint="default" w:ascii="Times New Roman" w:hAnsi="Times New Roman" w:eastAsia="宋体" w:cs="Times New Roman"/>
                <w:color w:val="auto"/>
                <w:sz w:val="24"/>
                <w:lang w:val="zh-CN"/>
              </w:rPr>
              <w:t>平均浓度均满足《环境空气质量标准》（GB3095-20</w:t>
            </w:r>
            <w:r>
              <w:rPr>
                <w:rFonts w:hint="eastAsia" w:ascii="Times New Roman" w:hAnsi="Times New Roman" w:eastAsia="宋体" w:cs="Times New Roman"/>
                <w:color w:val="auto"/>
                <w:sz w:val="24"/>
                <w:lang w:val="en-US" w:eastAsia="zh-CN"/>
              </w:rPr>
              <w:t>26</w:t>
            </w:r>
            <w:r>
              <w:rPr>
                <w:rFonts w:hint="default" w:ascii="Times New Roman" w:hAnsi="Times New Roman" w:eastAsia="宋体" w:cs="Times New Roman"/>
                <w:color w:val="auto"/>
                <w:sz w:val="24"/>
                <w:lang w:val="zh-CN"/>
              </w:rPr>
              <w:t>）</w:t>
            </w:r>
            <w:r>
              <w:rPr>
                <w:rFonts w:hint="eastAsia" w:ascii="Times New Roman" w:hAnsi="Times New Roman" w:eastAsia="宋体" w:cs="Times New Roman"/>
                <w:color w:val="auto"/>
                <w:sz w:val="24"/>
                <w:lang w:val="en-US" w:eastAsia="zh-CN"/>
              </w:rPr>
              <w:t>表1中过渡阶段浓度限值二级标准</w:t>
            </w:r>
            <w:r>
              <w:rPr>
                <w:rFonts w:hint="default" w:ascii="Times New Roman" w:hAnsi="Times New Roman" w:eastAsia="宋体" w:cs="Times New Roman"/>
                <w:color w:val="auto"/>
                <w:sz w:val="24"/>
                <w:lang w:val="zh-CN"/>
              </w:rPr>
              <w:t>，因此区域为大气环境质量达标区。</w:t>
            </w:r>
          </w:p>
          <w:p w14:paraId="46FF6C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3</w:t>
            </w:r>
            <w:r>
              <w:rPr>
                <w:rFonts w:hint="eastAsia" w:ascii="Times New Roman" w:hAnsi="Times New Roman" w:eastAsia="宋体" w:cs="Times New Roman"/>
                <w:color w:val="auto"/>
                <w:sz w:val="24"/>
                <w:lang w:val="zh-CN"/>
              </w:rPr>
              <w:t>、</w:t>
            </w:r>
            <w:r>
              <w:rPr>
                <w:rFonts w:hint="default" w:ascii="Times New Roman" w:hAnsi="Times New Roman" w:eastAsia="宋体" w:cs="Times New Roman"/>
                <w:color w:val="auto"/>
                <w:sz w:val="24"/>
                <w:lang w:val="zh-CN"/>
              </w:rPr>
              <w:t>地下水环境质量现状调查及评价</w:t>
            </w:r>
          </w:p>
          <w:p w14:paraId="303AAC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根据《环境影响评价技术导则 地下水环境》（HJ610-2016），本项目地下水环境影响评价项目类别为</w:t>
            </w:r>
            <w:r>
              <w:rPr>
                <w:rFonts w:hint="default" w:ascii="Times New Roman" w:hAnsi="Times New Roman" w:eastAsia="宋体" w:cs="Times New Roman"/>
                <w:color w:val="auto"/>
                <w:sz w:val="24"/>
                <w:lang w:val="zh-CN"/>
              </w:rPr>
              <w:fldChar w:fldCharType="begin"/>
            </w:r>
            <w:r>
              <w:rPr>
                <w:rFonts w:hint="default" w:ascii="Times New Roman" w:hAnsi="Times New Roman" w:eastAsia="宋体" w:cs="Times New Roman"/>
                <w:color w:val="auto"/>
                <w:sz w:val="24"/>
                <w:lang w:val="zh-CN"/>
              </w:rPr>
              <w:instrText xml:space="preserve"> = 4 \* ROMAN \* MERGEFORMAT </w:instrText>
            </w:r>
            <w:r>
              <w:rPr>
                <w:rFonts w:hint="default" w:ascii="Times New Roman" w:hAnsi="Times New Roman" w:eastAsia="宋体" w:cs="Times New Roman"/>
                <w:color w:val="auto"/>
                <w:sz w:val="24"/>
                <w:lang w:val="zh-CN"/>
              </w:rPr>
              <w:fldChar w:fldCharType="separate"/>
            </w:r>
            <w:r>
              <w:rPr>
                <w:rFonts w:hint="default" w:ascii="Times New Roman" w:hAnsi="Times New Roman" w:eastAsia="宋体" w:cs="Times New Roman"/>
                <w:color w:val="auto"/>
                <w:sz w:val="24"/>
                <w:lang w:val="zh-CN"/>
              </w:rPr>
              <w:t>IV</w:t>
            </w:r>
            <w:r>
              <w:rPr>
                <w:rFonts w:hint="default" w:ascii="Times New Roman" w:hAnsi="Times New Roman" w:eastAsia="宋体" w:cs="Times New Roman"/>
                <w:color w:val="auto"/>
                <w:sz w:val="24"/>
                <w:lang w:val="zh-CN"/>
              </w:rPr>
              <w:fldChar w:fldCharType="end"/>
            </w:r>
            <w:r>
              <w:rPr>
                <w:rFonts w:hint="default" w:ascii="Times New Roman" w:hAnsi="Times New Roman" w:eastAsia="宋体" w:cs="Times New Roman"/>
                <w:color w:val="auto"/>
                <w:sz w:val="24"/>
                <w:lang w:val="zh-CN"/>
              </w:rPr>
              <w:t>类，无需进行地下水评价。</w:t>
            </w:r>
          </w:p>
          <w:p w14:paraId="50F48F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4</w:t>
            </w:r>
            <w:r>
              <w:rPr>
                <w:rFonts w:hint="eastAsia" w:ascii="Times New Roman" w:hAnsi="Times New Roman" w:eastAsia="宋体" w:cs="Times New Roman"/>
                <w:color w:val="auto"/>
                <w:sz w:val="24"/>
                <w:lang w:val="zh-CN"/>
              </w:rPr>
              <w:t>、</w:t>
            </w:r>
            <w:r>
              <w:rPr>
                <w:rFonts w:hint="default" w:ascii="Times New Roman" w:hAnsi="Times New Roman" w:eastAsia="宋体" w:cs="Times New Roman"/>
                <w:color w:val="auto"/>
                <w:sz w:val="24"/>
                <w:lang w:val="zh-CN"/>
              </w:rPr>
              <w:t>地表水环境现状调查与评价</w:t>
            </w:r>
          </w:p>
          <w:p w14:paraId="5A3ED9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根据项目特点以及《环境影响评价技术导则 地表水环境》</w:t>
            </w:r>
            <w:r>
              <w:rPr>
                <w:rFonts w:hint="eastAsia" w:ascii="Times New Roman" w:hAnsi="Times New Roman" w:eastAsia="宋体" w:cs="Times New Roman"/>
                <w:color w:val="auto"/>
                <w:sz w:val="24"/>
                <w:lang w:val="zh-CN"/>
              </w:rPr>
              <w:t>（</w:t>
            </w:r>
            <w:r>
              <w:rPr>
                <w:rFonts w:hint="default" w:ascii="Times New Roman" w:hAnsi="Times New Roman" w:eastAsia="宋体" w:cs="Times New Roman"/>
                <w:color w:val="auto"/>
                <w:sz w:val="24"/>
                <w:lang w:val="zh-CN"/>
              </w:rPr>
              <w:t>HJ2.3-2018</w:t>
            </w:r>
            <w:r>
              <w:rPr>
                <w:rFonts w:hint="eastAsia" w:ascii="Times New Roman" w:hAnsi="Times New Roman" w:eastAsia="宋体" w:cs="Times New Roman"/>
                <w:color w:val="auto"/>
                <w:sz w:val="24"/>
                <w:lang w:val="zh-CN"/>
              </w:rPr>
              <w:t>）</w:t>
            </w:r>
            <w:r>
              <w:rPr>
                <w:rFonts w:hint="default" w:ascii="Times New Roman" w:hAnsi="Times New Roman" w:eastAsia="宋体" w:cs="Times New Roman"/>
                <w:color w:val="auto"/>
                <w:sz w:val="24"/>
                <w:lang w:val="zh-CN"/>
              </w:rPr>
              <w:t>项目评价范围内无地表水体，本工程与地表水体无水力联系，因此本项目不作地表水环境质量现状评价。</w:t>
            </w:r>
          </w:p>
          <w:p w14:paraId="500018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5</w:t>
            </w:r>
            <w:r>
              <w:rPr>
                <w:rFonts w:hint="eastAsia" w:ascii="Times New Roman" w:hAnsi="Times New Roman" w:eastAsia="宋体" w:cs="Times New Roman"/>
                <w:color w:val="auto"/>
                <w:sz w:val="24"/>
                <w:lang w:val="zh-CN"/>
              </w:rPr>
              <w:t>、</w:t>
            </w:r>
            <w:r>
              <w:rPr>
                <w:rFonts w:hint="default" w:ascii="Times New Roman" w:hAnsi="Times New Roman" w:eastAsia="宋体" w:cs="Times New Roman"/>
                <w:color w:val="auto"/>
                <w:sz w:val="24"/>
                <w:lang w:val="zh-CN"/>
              </w:rPr>
              <w:t>声环境现状调查与评价</w:t>
            </w:r>
          </w:p>
          <w:p w14:paraId="634CEB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根据《建设项目环境影响报告表编制技术指南</w:t>
            </w:r>
            <w:r>
              <w:rPr>
                <w:rFonts w:hint="eastAsia" w:ascii="Times New Roman" w:hAnsi="Times New Roman" w:eastAsia="宋体" w:cs="Times New Roman"/>
                <w:color w:val="auto"/>
                <w:sz w:val="24"/>
                <w:lang w:val="zh-CN"/>
              </w:rPr>
              <w:t>（</w:t>
            </w:r>
            <w:r>
              <w:rPr>
                <w:rFonts w:hint="default" w:ascii="Times New Roman" w:hAnsi="Times New Roman" w:eastAsia="宋体" w:cs="Times New Roman"/>
                <w:color w:val="auto"/>
                <w:sz w:val="24"/>
                <w:lang w:val="zh-CN"/>
              </w:rPr>
              <w:t>生态影响类</w:t>
            </w:r>
            <w:r>
              <w:rPr>
                <w:rFonts w:hint="eastAsia" w:ascii="Times New Roman" w:hAnsi="Times New Roman" w:eastAsia="宋体" w:cs="Times New Roman"/>
                <w:color w:val="auto"/>
                <w:sz w:val="24"/>
                <w:lang w:val="zh-CN"/>
              </w:rPr>
              <w:t>）</w:t>
            </w:r>
            <w:r>
              <w:rPr>
                <w:rFonts w:hint="default" w:ascii="Times New Roman" w:hAnsi="Times New Roman" w:eastAsia="宋体" w:cs="Times New Roman"/>
                <w:color w:val="auto"/>
                <w:sz w:val="24"/>
                <w:lang w:val="zh-CN"/>
              </w:rPr>
              <w:t>》，项目固定声源环境质量现状监测参照《建设项目环境影响报告表编制技术指南</w:t>
            </w:r>
            <w:r>
              <w:rPr>
                <w:rFonts w:hint="eastAsia" w:ascii="Times New Roman" w:hAnsi="Times New Roman" w:eastAsia="宋体" w:cs="Times New Roman"/>
                <w:color w:val="auto"/>
                <w:sz w:val="24"/>
                <w:lang w:val="zh-CN"/>
              </w:rPr>
              <w:t>（</w:t>
            </w:r>
            <w:r>
              <w:rPr>
                <w:rFonts w:hint="default" w:ascii="Times New Roman" w:hAnsi="Times New Roman" w:eastAsia="宋体" w:cs="Times New Roman"/>
                <w:color w:val="auto"/>
                <w:sz w:val="24"/>
                <w:lang w:val="zh-CN"/>
              </w:rPr>
              <w:t>污染影响类</w:t>
            </w:r>
            <w:r>
              <w:rPr>
                <w:rFonts w:hint="eastAsia" w:ascii="Times New Roman" w:hAnsi="Times New Roman" w:eastAsia="宋体" w:cs="Times New Roman"/>
                <w:color w:val="auto"/>
                <w:sz w:val="24"/>
                <w:lang w:val="zh-CN"/>
              </w:rPr>
              <w:t>）</w:t>
            </w:r>
            <w:r>
              <w:rPr>
                <w:rFonts w:hint="default" w:ascii="Times New Roman" w:hAnsi="Times New Roman" w:eastAsia="宋体" w:cs="Times New Roman"/>
                <w:color w:val="auto"/>
                <w:sz w:val="24"/>
                <w:lang w:val="zh-CN"/>
              </w:rPr>
              <w:t>》，项目周围50</w:t>
            </w:r>
            <w:r>
              <w:rPr>
                <w:rFonts w:hint="eastAsia"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lang w:val="zh-CN"/>
              </w:rPr>
              <w:t>范围内无声环境保护目标，因此项目不进行声环境现状调查。</w:t>
            </w:r>
          </w:p>
          <w:p w14:paraId="4163F7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6、土壤环境质量现状</w:t>
            </w:r>
          </w:p>
          <w:p w14:paraId="4DB88E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根据《环境影响评价技术导则 土壤环境（试行）》（HJ964-218）附录，本项目属于“电力热力燃气及水生产和供应业”中的“其他”，土壤环境影响评价项目类别为Ⅳ类，可不开展土壤环境影响评价。</w:t>
            </w:r>
          </w:p>
          <w:p w14:paraId="289B72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lang w:val="zh-CN"/>
              </w:rPr>
            </w:pPr>
            <w:r>
              <w:rPr>
                <w:rFonts w:hint="eastAsia" w:ascii="Times New Roman" w:hAnsi="Times New Roman" w:eastAsia="宋体" w:cs="Times New Roman"/>
                <w:color w:val="auto"/>
                <w:sz w:val="24"/>
                <w:lang w:val="en-US" w:eastAsia="zh-CN"/>
              </w:rPr>
              <w:t>7</w:t>
            </w:r>
            <w:r>
              <w:rPr>
                <w:rFonts w:hint="eastAsia" w:ascii="Times New Roman" w:hAnsi="Times New Roman" w:eastAsia="宋体" w:cs="Times New Roman"/>
                <w:color w:val="auto"/>
                <w:sz w:val="24"/>
                <w:lang w:val="zh-CN"/>
              </w:rPr>
              <w:t>、</w:t>
            </w:r>
            <w:r>
              <w:rPr>
                <w:rFonts w:hint="default" w:ascii="Times New Roman" w:hAnsi="Times New Roman" w:eastAsia="宋体" w:cs="Times New Roman"/>
                <w:color w:val="auto"/>
                <w:sz w:val="24"/>
                <w:lang w:val="zh-CN"/>
              </w:rPr>
              <w:t>电磁环境现状调查及评价</w:t>
            </w:r>
          </w:p>
          <w:p w14:paraId="0D9142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本项目集电线路电压等级为35kV，</w:t>
            </w:r>
            <w:r>
              <w:rPr>
                <w:rFonts w:hint="eastAsia" w:ascii="Times New Roman" w:hAnsi="Times New Roman" w:eastAsia="宋体" w:cs="Times New Roman"/>
                <w:color w:val="auto"/>
                <w:sz w:val="24"/>
                <w:lang w:val="zh-CN"/>
              </w:rPr>
              <w:t>属于</w:t>
            </w:r>
            <w:r>
              <w:rPr>
                <w:rFonts w:hint="default" w:ascii="Times New Roman" w:hAnsi="Times New Roman" w:eastAsia="宋体" w:cs="Times New Roman"/>
                <w:color w:val="auto"/>
                <w:sz w:val="24"/>
                <w:lang w:val="zh-CN"/>
              </w:rPr>
              <w:t>豁免管理范围，本次环评不对其进行评价。</w:t>
            </w:r>
          </w:p>
          <w:p w14:paraId="74146C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8、土地沙化现状调查及分析</w:t>
            </w:r>
          </w:p>
          <w:p w14:paraId="5CD7F9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根据《新疆第六次沙化土地监测报告》，项目区属于古尔班通古特主体沙漠区，该区域沙化土地主要包括流动沙地、半固定沙地、固定沙地、沙化耕地，其中流动沙地面积为3.57万hm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、半固定沙地96.92万hm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、固定沙地344.54万hm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、沙化耕地4.41万hm</w:t>
            </w:r>
            <w:r>
              <w:rPr>
                <w:rFonts w:hint="eastAsia" w:ascii="Times New Roman" w:hAnsi="Times New Roman" w:eastAsia="宋体" w:cs="Times New Roman"/>
                <w:color w:val="auto"/>
                <w:sz w:val="24"/>
                <w:highlight w:val="none"/>
                <w:vertAlign w:val="superscript"/>
                <w:lang w:val="en-US" w:eastAsia="zh-CN"/>
              </w:rPr>
              <w:t>2</w:t>
            </w:r>
            <w:r>
              <w:rPr>
                <w:rFonts w:hint="eastAsia" w:ascii="Times New Roman" w:hAnsi="Times New Roman" w:eastAsia="宋体" w:cs="Times New Roman"/>
                <w:color w:val="auto"/>
                <w:sz w:val="24"/>
                <w:highlight w:val="none"/>
                <w:lang w:val="en-US" w:eastAsia="zh-CN"/>
              </w:rPr>
              <w:t>。本项目所在地带为古尔班通古特主体沙漠区中的固定沙地，本项目在沙化土地分布图中的位置见附图9。</w:t>
            </w:r>
          </w:p>
          <w:p w14:paraId="45F867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highlight w:val="none"/>
                <w:lang w:val="en-US" w:eastAsia="zh-CN"/>
              </w:rPr>
            </w:pPr>
          </w:p>
          <w:p w14:paraId="47C0DD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highlight w:val="none"/>
                <w:lang w:val="en-US" w:eastAsia="zh-CN"/>
              </w:rPr>
            </w:pPr>
          </w:p>
        </w:tc>
      </w:tr>
      <w:tr w14:paraId="151E86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761" w:type="dxa"/>
            <w:noWrap w:val="0"/>
            <w:vAlign w:val="center"/>
          </w:tcPr>
          <w:p w14:paraId="7A43545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bCs/>
                <w:color w:val="auto"/>
                <w:sz w:val="24"/>
                <w:szCs w:val="24"/>
              </w:rPr>
              <w:t>与项目有关的原有环境污染和生态破坏问题</w:t>
            </w:r>
          </w:p>
        </w:tc>
        <w:tc>
          <w:tcPr>
            <w:tcW w:w="8396" w:type="dxa"/>
            <w:noWrap w:val="0"/>
            <w:vAlign w:val="center"/>
          </w:tcPr>
          <w:p w14:paraId="5B9B9058">
            <w:pPr>
              <w:pStyle w:val="46"/>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rPr>
            </w:pPr>
            <w:r>
              <w:rPr>
                <w:rFonts w:hint="default" w:ascii="Times New Roman" w:hAnsi="Times New Roman" w:cs="Times New Roman"/>
                <w:color w:val="auto"/>
              </w:rPr>
              <w:t>本项目为新建项目，无与项目有关的原有环境污染和生态破坏问题。</w:t>
            </w:r>
          </w:p>
        </w:tc>
      </w:tr>
      <w:tr w14:paraId="592E8F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79" w:hRule="atLeast"/>
          <w:jc w:val="center"/>
        </w:trPr>
        <w:tc>
          <w:tcPr>
            <w:tcW w:w="761" w:type="dxa"/>
            <w:noWrap w:val="0"/>
            <w:vAlign w:val="center"/>
          </w:tcPr>
          <w:p w14:paraId="128507E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生态环境保护目标</w:t>
            </w:r>
          </w:p>
        </w:tc>
        <w:tc>
          <w:tcPr>
            <w:tcW w:w="8396" w:type="dxa"/>
            <w:noWrap w:val="0"/>
            <w:vAlign w:val="center"/>
          </w:tcPr>
          <w:p w14:paraId="55A929C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大气环境：本项目区场</w:t>
            </w:r>
            <w:r>
              <w:rPr>
                <w:rFonts w:hint="default" w:ascii="Times New Roman" w:hAnsi="Times New Roman" w:cs="Times New Roman"/>
                <w:color w:val="auto"/>
                <w:kern w:val="21"/>
                <w:sz w:val="24"/>
              </w:rPr>
              <w:t>界外500m范围内无自然保护区、风景名胜区、居住区、文化区等人群较集中的区域。</w:t>
            </w:r>
          </w:p>
          <w:p w14:paraId="26FE2B55">
            <w:pPr>
              <w:pStyle w:val="65"/>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cs="Times New Roman"/>
                <w:color w:val="auto"/>
                <w:kern w:val="2"/>
                <w:sz w:val="24"/>
              </w:rPr>
            </w:pPr>
            <w:r>
              <w:rPr>
                <w:rFonts w:hint="eastAsia" w:ascii="Times New Roman" w:hAnsi="Times New Roman" w:cs="Times New Roman"/>
                <w:color w:val="auto"/>
                <w:kern w:val="2"/>
                <w:sz w:val="24"/>
                <w:lang w:val="en-US" w:eastAsia="zh-CN"/>
              </w:rPr>
              <w:t>2、</w:t>
            </w:r>
            <w:r>
              <w:rPr>
                <w:rFonts w:hint="default" w:ascii="Times New Roman" w:hAnsi="Times New Roman" w:cs="Times New Roman"/>
                <w:color w:val="auto"/>
                <w:kern w:val="2"/>
                <w:sz w:val="24"/>
              </w:rPr>
              <w:t>声环境：</w:t>
            </w:r>
            <w:r>
              <w:rPr>
                <w:rFonts w:hint="default" w:ascii="Times New Roman" w:hAnsi="Times New Roman" w:cs="Times New Roman"/>
                <w:color w:val="auto"/>
                <w:kern w:val="21"/>
                <w:sz w:val="24"/>
              </w:rPr>
              <w:t>本项目厂界外50m范围内无声环境保护目标</w:t>
            </w:r>
            <w:r>
              <w:rPr>
                <w:rFonts w:hint="default" w:ascii="Times New Roman" w:hAnsi="Times New Roman" w:cs="Times New Roman"/>
                <w:color w:val="auto"/>
                <w:kern w:val="2"/>
                <w:sz w:val="24"/>
              </w:rPr>
              <w:t>。</w:t>
            </w:r>
          </w:p>
          <w:p w14:paraId="5894CCE6">
            <w:pPr>
              <w:pStyle w:val="65"/>
              <w:keepNext w:val="0"/>
              <w:keepLines w:val="0"/>
              <w:pageBreakBefore w:val="0"/>
              <w:suppressLineNumbers w:val="0"/>
              <w:kinsoku/>
              <w:wordWrap/>
              <w:overflowPunct/>
              <w:topLinePunct w:val="0"/>
              <w:autoSpaceDE/>
              <w:autoSpaceDN/>
              <w:bidi w:val="0"/>
              <w:spacing w:before="0" w:beforeAutospacing="0" w:after="0" w:afterAutospacing="0" w:line="480" w:lineRule="exact"/>
              <w:ind w:left="0" w:right="0" w:firstLine="480" w:firstLineChars="200"/>
              <w:textAlignment w:val="auto"/>
              <w:rPr>
                <w:rFonts w:hint="default" w:ascii="Times New Roman" w:hAnsi="Times New Roman" w:cs="Times New Roman"/>
                <w:color w:val="auto"/>
                <w:kern w:val="2"/>
                <w:sz w:val="24"/>
              </w:rPr>
            </w:pPr>
            <w:r>
              <w:rPr>
                <w:rFonts w:hint="eastAsia" w:ascii="Times New Roman" w:hAnsi="Times New Roman" w:cs="Times New Roman"/>
                <w:color w:val="auto"/>
                <w:kern w:val="2"/>
                <w:sz w:val="24"/>
                <w:lang w:val="en-US" w:eastAsia="zh-CN"/>
              </w:rPr>
              <w:t>3、</w:t>
            </w:r>
            <w:r>
              <w:rPr>
                <w:rFonts w:hint="default" w:ascii="Times New Roman" w:hAnsi="Times New Roman" w:cs="Times New Roman"/>
                <w:color w:val="auto"/>
                <w:kern w:val="2"/>
                <w:sz w:val="24"/>
              </w:rPr>
              <w:t>地下水环境：</w:t>
            </w:r>
            <w:r>
              <w:rPr>
                <w:rFonts w:hint="default" w:ascii="Times New Roman" w:hAnsi="Times New Roman" w:cs="Times New Roman"/>
                <w:color w:val="auto"/>
                <w:kern w:val="21"/>
                <w:sz w:val="24"/>
              </w:rPr>
              <w:t>本项目厂界外500m范围内无地下水集中式饮用水水源和热水、矿泉水、温泉等特殊地下水资源</w:t>
            </w:r>
            <w:r>
              <w:rPr>
                <w:rFonts w:hint="default" w:ascii="Times New Roman" w:hAnsi="Times New Roman" w:cs="Times New Roman"/>
                <w:color w:val="auto"/>
                <w:kern w:val="2"/>
                <w:sz w:val="24"/>
              </w:rPr>
              <w:t>。</w:t>
            </w:r>
          </w:p>
          <w:p w14:paraId="6E1CDB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color w:val="auto"/>
                <w:kern w:val="21"/>
                <w:sz w:val="24"/>
              </w:rPr>
            </w:pP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生态环境：根据对项目的现场踏勘，本项目占地类型为其他草地</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场地</w:t>
            </w:r>
            <w:r>
              <w:rPr>
                <w:rFonts w:hint="default" w:ascii="Times New Roman" w:hAnsi="Times New Roman" w:cs="Times New Roman"/>
                <w:color w:val="auto"/>
                <w:kern w:val="21"/>
                <w:sz w:val="24"/>
              </w:rPr>
              <w:t>外500m范围内无重要及特殊生态敏感区</w:t>
            </w:r>
            <w:r>
              <w:rPr>
                <w:rFonts w:hint="default" w:ascii="Times New Roman" w:hAnsi="Times New Roman" w:cs="Times New Roman"/>
                <w:color w:val="auto"/>
                <w:kern w:val="21"/>
                <w:sz w:val="24"/>
                <w:highlight w:val="none"/>
              </w:rPr>
              <w:t>，无国家</w:t>
            </w:r>
            <w:r>
              <w:rPr>
                <w:rFonts w:hint="eastAsia" w:ascii="Times New Roman" w:hAnsi="Times New Roman" w:cs="Times New Roman"/>
                <w:color w:val="auto"/>
                <w:kern w:val="21"/>
                <w:sz w:val="24"/>
                <w:highlight w:val="none"/>
                <w:lang w:eastAsia="zh-CN"/>
              </w:rPr>
              <w:t>、</w:t>
            </w:r>
            <w:r>
              <w:rPr>
                <w:rFonts w:hint="default" w:ascii="Times New Roman" w:hAnsi="Times New Roman" w:cs="Times New Roman"/>
                <w:color w:val="auto"/>
                <w:kern w:val="21"/>
                <w:sz w:val="24"/>
                <w:highlight w:val="none"/>
              </w:rPr>
              <w:t>自治区级保护野生动植物</w:t>
            </w:r>
            <w:r>
              <w:rPr>
                <w:rFonts w:hint="default" w:ascii="Times New Roman" w:hAnsi="Times New Roman" w:cs="Times New Roman"/>
                <w:color w:val="auto"/>
                <w:kern w:val="21"/>
                <w:sz w:val="24"/>
              </w:rPr>
              <w:t>。</w:t>
            </w:r>
          </w:p>
          <w:p w14:paraId="2AB005B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color w:val="auto"/>
                <w:kern w:val="21"/>
                <w:sz w:val="24"/>
              </w:rPr>
            </w:pPr>
          </w:p>
          <w:p w14:paraId="3B70424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color w:val="auto"/>
                <w:kern w:val="21"/>
                <w:sz w:val="24"/>
              </w:rPr>
            </w:pPr>
          </w:p>
        </w:tc>
      </w:tr>
      <w:tr w14:paraId="1F12BB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85" w:hRule="atLeast"/>
          <w:jc w:val="center"/>
        </w:trPr>
        <w:tc>
          <w:tcPr>
            <w:tcW w:w="761" w:type="dxa"/>
            <w:noWrap w:val="0"/>
            <w:vAlign w:val="center"/>
          </w:tcPr>
          <w:p w14:paraId="6EE5210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评价</w:t>
            </w:r>
          </w:p>
          <w:p w14:paraId="1FF1067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标准</w:t>
            </w:r>
          </w:p>
        </w:tc>
        <w:tc>
          <w:tcPr>
            <w:tcW w:w="8396" w:type="dxa"/>
            <w:noWrap w:val="0"/>
            <w:vAlign w:val="center"/>
          </w:tcPr>
          <w:p w14:paraId="3A12BD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环境质量标准</w:t>
            </w:r>
          </w:p>
          <w:p w14:paraId="79A54F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环境空气质量执行《环境空气质量标准》</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GB3095-20</w:t>
            </w:r>
            <w:r>
              <w:rPr>
                <w:rFonts w:hint="eastAsia" w:ascii="Times New Roman" w:hAnsi="Times New Roman" w:eastAsia="宋体" w:cs="Times New Roman"/>
                <w:color w:val="auto"/>
                <w:sz w:val="24"/>
                <w:lang w:val="en-US" w:eastAsia="zh-CN"/>
              </w:rPr>
              <w:t>26）表1过渡阶段二级标准及表2二级</w:t>
            </w:r>
            <w:r>
              <w:rPr>
                <w:rFonts w:hint="default" w:ascii="Times New Roman" w:hAnsi="Times New Roman" w:eastAsia="宋体" w:cs="Times New Roman"/>
                <w:color w:val="auto"/>
                <w:sz w:val="24"/>
              </w:rPr>
              <w:t>标准；</w:t>
            </w:r>
          </w:p>
          <w:p w14:paraId="17BC691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default" w:ascii="Times New Roman" w:hAnsi="Times New Roman" w:eastAsia="黑体" w:cs="Times New Roman"/>
                <w:color w:val="auto"/>
                <w:kern w:val="0"/>
                <w:sz w:val="21"/>
                <w:szCs w:val="24"/>
                <w:lang w:val="en-US" w:eastAsia="zh-CN" w:bidi="en-US"/>
              </w:rPr>
            </w:pPr>
            <w:r>
              <w:rPr>
                <w:rFonts w:hint="default" w:ascii="Times New Roman" w:hAnsi="Times New Roman" w:eastAsia="黑体" w:cs="Times New Roman"/>
                <w:color w:val="auto"/>
                <w:kern w:val="0"/>
                <w:sz w:val="21"/>
                <w:szCs w:val="24"/>
                <w:lang w:val="en-US" w:eastAsia="zh-CN" w:bidi="en-US"/>
              </w:rPr>
              <w:t>表3-</w:t>
            </w:r>
            <w:r>
              <w:rPr>
                <w:rFonts w:hint="eastAsia" w:ascii="Times New Roman" w:hAnsi="Times New Roman" w:eastAsia="黑体" w:cs="Times New Roman"/>
                <w:color w:val="auto"/>
                <w:kern w:val="0"/>
                <w:sz w:val="21"/>
                <w:szCs w:val="24"/>
                <w:lang w:val="en-US" w:eastAsia="zh-CN" w:bidi="en-US"/>
              </w:rPr>
              <w:t>3</w:t>
            </w:r>
            <w:r>
              <w:rPr>
                <w:rFonts w:hint="default" w:ascii="Times New Roman" w:hAnsi="Times New Roman" w:eastAsia="黑体" w:cs="Times New Roman"/>
                <w:color w:val="auto"/>
                <w:kern w:val="0"/>
                <w:sz w:val="21"/>
                <w:szCs w:val="24"/>
                <w:lang w:val="en-US" w:eastAsia="zh-CN" w:bidi="en-US"/>
              </w:rPr>
              <w:t xml:space="preserve">               </w:t>
            </w:r>
            <w:r>
              <w:rPr>
                <w:rFonts w:hint="eastAsia" w:ascii="Times New Roman" w:hAnsi="Times New Roman" w:eastAsia="黑体" w:cs="Times New Roman"/>
                <w:color w:val="auto"/>
                <w:kern w:val="0"/>
                <w:sz w:val="21"/>
                <w:szCs w:val="24"/>
                <w:lang w:val="en-US" w:eastAsia="zh-CN" w:bidi="en-US"/>
              </w:rPr>
              <w:t xml:space="preserve"> </w:t>
            </w:r>
            <w:r>
              <w:rPr>
                <w:rFonts w:hint="default" w:ascii="Times New Roman" w:hAnsi="Times New Roman" w:eastAsia="黑体" w:cs="Times New Roman"/>
                <w:color w:val="auto"/>
                <w:kern w:val="0"/>
                <w:sz w:val="21"/>
                <w:szCs w:val="24"/>
                <w:lang w:val="en-US" w:eastAsia="zh-CN" w:bidi="en-US"/>
              </w:rPr>
              <w:t xml:space="preserve"> 环境空气质量标准限值</w:t>
            </w:r>
          </w:p>
          <w:tbl>
            <w:tblPr>
              <w:tblStyle w:val="29"/>
              <w:tblW w:w="49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3071"/>
              <w:gridCol w:w="1763"/>
              <w:gridCol w:w="1763"/>
            </w:tblGrid>
            <w:tr w14:paraId="340579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926" w:type="pct"/>
                  <w:tcBorders>
                    <w:tl2br w:val="nil"/>
                    <w:tr2bl w:val="nil"/>
                  </w:tcBorders>
                  <w:noWrap w:val="0"/>
                  <w:vAlign w:val="center"/>
                </w:tcPr>
                <w:p w14:paraId="0BCC1268">
                  <w:pPr>
                    <w:pStyle w:val="90"/>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污染物名称</w:t>
                  </w:r>
                </w:p>
              </w:tc>
              <w:tc>
                <w:tcPr>
                  <w:tcW w:w="1896" w:type="pct"/>
                  <w:tcBorders>
                    <w:tl2br w:val="nil"/>
                    <w:tr2bl w:val="nil"/>
                  </w:tcBorders>
                  <w:noWrap w:val="0"/>
                  <w:vAlign w:val="center"/>
                </w:tcPr>
                <w:p w14:paraId="0029EC2E">
                  <w:pPr>
                    <w:pStyle w:val="90"/>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平均时间</w:t>
                  </w:r>
                </w:p>
              </w:tc>
              <w:tc>
                <w:tcPr>
                  <w:tcW w:w="1088" w:type="pct"/>
                  <w:tcBorders>
                    <w:tl2br w:val="nil"/>
                    <w:tr2bl w:val="nil"/>
                  </w:tcBorders>
                  <w:noWrap w:val="0"/>
                  <w:vAlign w:val="center"/>
                </w:tcPr>
                <w:p w14:paraId="5030B3D5">
                  <w:pPr>
                    <w:pStyle w:val="90"/>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w:t>
                  </w:r>
                </w:p>
              </w:tc>
              <w:tc>
                <w:tcPr>
                  <w:tcW w:w="1088" w:type="pct"/>
                  <w:tcBorders>
                    <w:tl2br w:val="nil"/>
                    <w:tr2bl w:val="nil"/>
                  </w:tcBorders>
                  <w:noWrap w:val="0"/>
                  <w:vAlign w:val="center"/>
                </w:tcPr>
                <w:p w14:paraId="401A1451">
                  <w:pPr>
                    <w:pStyle w:val="90"/>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标准限值</w:t>
                  </w:r>
                </w:p>
              </w:tc>
            </w:tr>
            <w:tr w14:paraId="551356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6" w:type="pct"/>
                  <w:tcBorders>
                    <w:tl2br w:val="nil"/>
                    <w:tr2bl w:val="nil"/>
                  </w:tcBorders>
                  <w:noWrap w:val="0"/>
                  <w:vAlign w:val="center"/>
                </w:tcPr>
                <w:p w14:paraId="2622374F">
                  <w:pPr>
                    <w:pStyle w:val="90"/>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1896" w:type="pct"/>
                  <w:tcBorders>
                    <w:tl2br w:val="nil"/>
                    <w:tr2bl w:val="nil"/>
                  </w:tcBorders>
                  <w:noWrap w:val="0"/>
                  <w:vAlign w:val="center"/>
                </w:tcPr>
                <w:p w14:paraId="5DDC3424">
                  <w:pPr>
                    <w:pStyle w:val="90"/>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w:t>
                  </w:r>
                </w:p>
              </w:tc>
              <w:tc>
                <w:tcPr>
                  <w:tcW w:w="1088" w:type="pct"/>
                  <w:vMerge w:val="restart"/>
                  <w:tcBorders>
                    <w:tl2br w:val="nil"/>
                    <w:tr2bl w:val="nil"/>
                  </w:tcBorders>
                  <w:noWrap w:val="0"/>
                  <w:vAlign w:val="center"/>
                </w:tcPr>
                <w:p w14:paraId="2200ECCC">
                  <w:pPr>
                    <w:pStyle w:val="90"/>
                    <w:keepNext w:val="0"/>
                    <w:keepLines w:val="0"/>
                    <w:suppressLineNumbers w:val="0"/>
                    <w:spacing w:before="0" w:beforeAutospacing="0" w:after="0" w:afterAutospacing="0"/>
                    <w:ind w:left="0" w:right="0"/>
                    <w:rPr>
                      <w:rFonts w:hint="eastAsia" w:ascii="Times New Roman" w:hAnsi="Times New Roman" w:cs="Times New Roman"/>
                      <w:color w:val="auto"/>
                      <w:sz w:val="21"/>
                      <w:szCs w:val="21"/>
                    </w:rPr>
                  </w:pP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p>
              </w:tc>
              <w:tc>
                <w:tcPr>
                  <w:tcW w:w="1088" w:type="pct"/>
                  <w:tcBorders>
                    <w:tl2br w:val="nil"/>
                    <w:tr2bl w:val="nil"/>
                  </w:tcBorders>
                  <w:noWrap w:val="0"/>
                  <w:vAlign w:val="center"/>
                </w:tcPr>
                <w:p w14:paraId="01E63504">
                  <w:pPr>
                    <w:pStyle w:val="90"/>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r>
            <w:tr w14:paraId="63107A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6" w:type="pct"/>
                  <w:tcBorders>
                    <w:tl2br w:val="nil"/>
                    <w:tr2bl w:val="nil"/>
                  </w:tcBorders>
                  <w:noWrap w:val="0"/>
                  <w:vAlign w:val="center"/>
                </w:tcPr>
                <w:p w14:paraId="0866CF64">
                  <w:pPr>
                    <w:pStyle w:val="90"/>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NO</w:t>
                  </w:r>
                  <w:r>
                    <w:rPr>
                      <w:rFonts w:hint="default" w:ascii="Times New Roman" w:hAnsi="Times New Roman" w:cs="Times New Roman"/>
                      <w:color w:val="auto"/>
                      <w:sz w:val="21"/>
                      <w:szCs w:val="21"/>
                      <w:vertAlign w:val="subscript"/>
                    </w:rPr>
                    <w:t>2</w:t>
                  </w:r>
                </w:p>
              </w:tc>
              <w:tc>
                <w:tcPr>
                  <w:tcW w:w="1896" w:type="pct"/>
                  <w:tcBorders>
                    <w:tl2br w:val="nil"/>
                    <w:tr2bl w:val="nil"/>
                  </w:tcBorders>
                  <w:noWrap w:val="0"/>
                  <w:vAlign w:val="center"/>
                </w:tcPr>
                <w:p w14:paraId="5A4800B4">
                  <w:pPr>
                    <w:pStyle w:val="90"/>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w:t>
                  </w:r>
                </w:p>
              </w:tc>
              <w:tc>
                <w:tcPr>
                  <w:tcW w:w="1088" w:type="pct"/>
                  <w:vMerge w:val="continue"/>
                  <w:tcBorders>
                    <w:tl2br w:val="nil"/>
                    <w:tr2bl w:val="nil"/>
                  </w:tcBorders>
                  <w:noWrap w:val="0"/>
                  <w:vAlign w:val="center"/>
                </w:tcPr>
                <w:p w14:paraId="075BC333">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rPr>
                  </w:pPr>
                </w:p>
              </w:tc>
              <w:tc>
                <w:tcPr>
                  <w:tcW w:w="1088" w:type="pct"/>
                  <w:tcBorders>
                    <w:tl2br w:val="nil"/>
                    <w:tr2bl w:val="nil"/>
                  </w:tcBorders>
                  <w:noWrap w:val="0"/>
                  <w:vAlign w:val="center"/>
                </w:tcPr>
                <w:p w14:paraId="423723A1">
                  <w:pPr>
                    <w:pStyle w:val="90"/>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r>
            <w:tr w14:paraId="1A1892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6" w:type="pct"/>
                  <w:tcBorders>
                    <w:tl2br w:val="nil"/>
                    <w:tr2bl w:val="nil"/>
                  </w:tcBorders>
                  <w:noWrap w:val="0"/>
                  <w:vAlign w:val="center"/>
                </w:tcPr>
                <w:p w14:paraId="59CEAA3F">
                  <w:pPr>
                    <w:pStyle w:val="90"/>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w:t>
                  </w:r>
                </w:p>
              </w:tc>
              <w:tc>
                <w:tcPr>
                  <w:tcW w:w="1896" w:type="pct"/>
                  <w:tcBorders>
                    <w:tl2br w:val="nil"/>
                    <w:tr2bl w:val="nil"/>
                  </w:tcBorders>
                  <w:noWrap w:val="0"/>
                  <w:vAlign w:val="center"/>
                </w:tcPr>
                <w:p w14:paraId="11D01D16">
                  <w:pPr>
                    <w:pStyle w:val="90"/>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24小时平均</w:t>
                  </w:r>
                </w:p>
              </w:tc>
              <w:tc>
                <w:tcPr>
                  <w:tcW w:w="1088" w:type="pct"/>
                  <w:tcBorders>
                    <w:tl2br w:val="nil"/>
                    <w:tr2bl w:val="nil"/>
                  </w:tcBorders>
                  <w:noWrap w:val="0"/>
                  <w:vAlign w:val="center"/>
                </w:tcPr>
                <w:p w14:paraId="416BB34C">
                  <w:pPr>
                    <w:pStyle w:val="90"/>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rPr>
                    <w:t>g/m</w:t>
                  </w:r>
                  <w:r>
                    <w:rPr>
                      <w:rFonts w:hint="default" w:ascii="Times New Roman" w:hAnsi="Times New Roman" w:cs="Times New Roman"/>
                      <w:color w:val="auto"/>
                      <w:sz w:val="21"/>
                      <w:szCs w:val="21"/>
                      <w:vertAlign w:val="superscript"/>
                    </w:rPr>
                    <w:t>3</w:t>
                  </w:r>
                </w:p>
              </w:tc>
              <w:tc>
                <w:tcPr>
                  <w:tcW w:w="1088" w:type="pct"/>
                  <w:tcBorders>
                    <w:tl2br w:val="nil"/>
                    <w:tr2bl w:val="nil"/>
                  </w:tcBorders>
                  <w:noWrap w:val="0"/>
                  <w:vAlign w:val="center"/>
                </w:tcPr>
                <w:p w14:paraId="3E3ECCE4">
                  <w:pPr>
                    <w:pStyle w:val="90"/>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r>
            <w:tr w14:paraId="0E6DBC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6" w:type="pct"/>
                  <w:tcBorders>
                    <w:tl2br w:val="nil"/>
                    <w:tr2bl w:val="nil"/>
                  </w:tcBorders>
                  <w:noWrap w:val="0"/>
                  <w:vAlign w:val="center"/>
                </w:tcPr>
                <w:p w14:paraId="1691C610">
                  <w:pPr>
                    <w:pStyle w:val="90"/>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3</w:t>
                  </w:r>
                </w:p>
              </w:tc>
              <w:tc>
                <w:tcPr>
                  <w:tcW w:w="1896" w:type="pct"/>
                  <w:tcBorders>
                    <w:tl2br w:val="nil"/>
                    <w:tr2bl w:val="nil"/>
                  </w:tcBorders>
                  <w:noWrap w:val="0"/>
                  <w:vAlign w:val="center"/>
                </w:tcPr>
                <w:p w14:paraId="606875C7">
                  <w:pPr>
                    <w:pStyle w:val="90"/>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日均最大8小时平均</w:t>
                  </w:r>
                </w:p>
              </w:tc>
              <w:tc>
                <w:tcPr>
                  <w:tcW w:w="1088" w:type="pct"/>
                  <w:vMerge w:val="restart"/>
                  <w:tcBorders>
                    <w:tl2br w:val="nil"/>
                    <w:tr2bl w:val="nil"/>
                  </w:tcBorders>
                  <w:noWrap w:val="0"/>
                  <w:vAlign w:val="center"/>
                </w:tcPr>
                <w:p w14:paraId="1E9E8DFF">
                  <w:pPr>
                    <w:pStyle w:val="90"/>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μg/m</w:t>
                  </w:r>
                  <w:r>
                    <w:rPr>
                      <w:rFonts w:hint="default" w:ascii="Times New Roman" w:hAnsi="Times New Roman" w:cs="Times New Roman"/>
                      <w:color w:val="auto"/>
                      <w:sz w:val="21"/>
                      <w:szCs w:val="21"/>
                      <w:vertAlign w:val="superscript"/>
                    </w:rPr>
                    <w:t>3</w:t>
                  </w:r>
                </w:p>
              </w:tc>
              <w:tc>
                <w:tcPr>
                  <w:tcW w:w="1088" w:type="pct"/>
                  <w:tcBorders>
                    <w:tl2br w:val="nil"/>
                    <w:tr2bl w:val="nil"/>
                  </w:tcBorders>
                  <w:noWrap w:val="0"/>
                  <w:vAlign w:val="center"/>
                </w:tcPr>
                <w:p w14:paraId="549114BA">
                  <w:pPr>
                    <w:pStyle w:val="90"/>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w:t>
                  </w:r>
                </w:p>
              </w:tc>
            </w:tr>
            <w:tr w14:paraId="1809DD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6" w:type="pct"/>
                  <w:tcBorders>
                    <w:tl2br w:val="nil"/>
                    <w:tr2bl w:val="nil"/>
                  </w:tcBorders>
                  <w:noWrap w:val="0"/>
                  <w:vAlign w:val="center"/>
                </w:tcPr>
                <w:p w14:paraId="652D31FF">
                  <w:pPr>
                    <w:pStyle w:val="90"/>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w:t>
                  </w:r>
                  <w:r>
                    <w:rPr>
                      <w:rFonts w:hint="eastAsia" w:ascii="Times New Roman" w:hAnsi="Times New Roman" w:cs="Times New Roman"/>
                      <w:color w:val="auto"/>
                      <w:sz w:val="21"/>
                      <w:szCs w:val="21"/>
                    </w:rPr>
                    <w:t>M</w:t>
                  </w:r>
                  <w:r>
                    <w:rPr>
                      <w:rFonts w:hint="default" w:ascii="Times New Roman" w:hAnsi="Times New Roman" w:cs="Times New Roman"/>
                      <w:color w:val="auto"/>
                      <w:sz w:val="21"/>
                      <w:szCs w:val="21"/>
                      <w:vertAlign w:val="subscript"/>
                    </w:rPr>
                    <w:t>10</w:t>
                  </w:r>
                </w:p>
              </w:tc>
              <w:tc>
                <w:tcPr>
                  <w:tcW w:w="1896" w:type="pct"/>
                  <w:tcBorders>
                    <w:tl2br w:val="nil"/>
                    <w:tr2bl w:val="nil"/>
                  </w:tcBorders>
                  <w:noWrap w:val="0"/>
                  <w:vAlign w:val="center"/>
                </w:tcPr>
                <w:p w14:paraId="39705E16">
                  <w:pPr>
                    <w:pStyle w:val="90"/>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w:t>
                  </w:r>
                </w:p>
              </w:tc>
              <w:tc>
                <w:tcPr>
                  <w:tcW w:w="1088" w:type="pct"/>
                  <w:vMerge w:val="continue"/>
                  <w:tcBorders>
                    <w:tl2br w:val="nil"/>
                    <w:tr2bl w:val="nil"/>
                  </w:tcBorders>
                  <w:noWrap w:val="0"/>
                  <w:vAlign w:val="center"/>
                </w:tcPr>
                <w:p w14:paraId="52E5DB79">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rPr>
                  </w:pPr>
                </w:p>
              </w:tc>
              <w:tc>
                <w:tcPr>
                  <w:tcW w:w="1088" w:type="pct"/>
                  <w:tcBorders>
                    <w:tl2br w:val="nil"/>
                    <w:tr2bl w:val="nil"/>
                  </w:tcBorders>
                  <w:noWrap w:val="0"/>
                  <w:vAlign w:val="center"/>
                </w:tcPr>
                <w:p w14:paraId="34DA8F3F">
                  <w:pPr>
                    <w:pStyle w:val="90"/>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6</w:t>
                  </w:r>
                  <w:r>
                    <w:rPr>
                      <w:rFonts w:hint="default" w:ascii="Times New Roman" w:hAnsi="Times New Roman" w:cs="Times New Roman"/>
                      <w:color w:val="auto"/>
                      <w:sz w:val="21"/>
                      <w:szCs w:val="21"/>
                    </w:rPr>
                    <w:t>0</w:t>
                  </w:r>
                </w:p>
              </w:tc>
            </w:tr>
            <w:tr w14:paraId="225EE4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6" w:type="pct"/>
                  <w:tcBorders>
                    <w:tl2br w:val="nil"/>
                    <w:tr2bl w:val="nil"/>
                  </w:tcBorders>
                  <w:noWrap w:val="0"/>
                  <w:vAlign w:val="center"/>
                </w:tcPr>
                <w:p w14:paraId="77BD2A43">
                  <w:pPr>
                    <w:pStyle w:val="90"/>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w:t>
                  </w:r>
                  <w:r>
                    <w:rPr>
                      <w:rFonts w:hint="eastAsia" w:ascii="Times New Roman" w:hAnsi="Times New Roman" w:cs="Times New Roman"/>
                      <w:color w:val="auto"/>
                      <w:sz w:val="21"/>
                      <w:szCs w:val="21"/>
                    </w:rPr>
                    <w:t>M</w:t>
                  </w:r>
                  <w:r>
                    <w:rPr>
                      <w:rFonts w:hint="default" w:ascii="Times New Roman" w:hAnsi="Times New Roman" w:cs="Times New Roman"/>
                      <w:color w:val="auto"/>
                      <w:sz w:val="21"/>
                      <w:szCs w:val="21"/>
                      <w:vertAlign w:val="subscript"/>
                    </w:rPr>
                    <w:t>2.5</w:t>
                  </w:r>
                </w:p>
              </w:tc>
              <w:tc>
                <w:tcPr>
                  <w:tcW w:w="1896" w:type="pct"/>
                  <w:tcBorders>
                    <w:tl2br w:val="nil"/>
                    <w:tr2bl w:val="nil"/>
                  </w:tcBorders>
                  <w:noWrap w:val="0"/>
                  <w:vAlign w:val="center"/>
                </w:tcPr>
                <w:p w14:paraId="3ADE9808">
                  <w:pPr>
                    <w:pStyle w:val="90"/>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w:t>
                  </w:r>
                </w:p>
              </w:tc>
              <w:tc>
                <w:tcPr>
                  <w:tcW w:w="1088" w:type="pct"/>
                  <w:vMerge w:val="continue"/>
                  <w:tcBorders>
                    <w:tl2br w:val="nil"/>
                    <w:tr2bl w:val="nil"/>
                  </w:tcBorders>
                  <w:noWrap w:val="0"/>
                  <w:vAlign w:val="center"/>
                </w:tcPr>
                <w:p w14:paraId="63129168">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rPr>
                  </w:pPr>
                </w:p>
              </w:tc>
              <w:tc>
                <w:tcPr>
                  <w:tcW w:w="1088" w:type="pct"/>
                  <w:tcBorders>
                    <w:tl2br w:val="nil"/>
                    <w:tr2bl w:val="nil"/>
                  </w:tcBorders>
                  <w:noWrap w:val="0"/>
                  <w:vAlign w:val="center"/>
                </w:tcPr>
                <w:p w14:paraId="5C584C41">
                  <w:pPr>
                    <w:pStyle w:val="90"/>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r>
            <w:tr w14:paraId="165993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6" w:type="pct"/>
                  <w:tcBorders>
                    <w:tl2br w:val="nil"/>
                    <w:tr2bl w:val="nil"/>
                  </w:tcBorders>
                  <w:noWrap w:val="0"/>
                  <w:vAlign w:val="center"/>
                </w:tcPr>
                <w:p w14:paraId="3AF45472">
                  <w:pPr>
                    <w:pStyle w:val="90"/>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TSP</w:t>
                  </w:r>
                </w:p>
              </w:tc>
              <w:tc>
                <w:tcPr>
                  <w:tcW w:w="1896" w:type="pct"/>
                  <w:tcBorders>
                    <w:tl2br w:val="nil"/>
                    <w:tr2bl w:val="nil"/>
                  </w:tcBorders>
                  <w:noWrap w:val="0"/>
                  <w:vAlign w:val="center"/>
                </w:tcPr>
                <w:p w14:paraId="13286E5D">
                  <w:pPr>
                    <w:pStyle w:val="90"/>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日</w:t>
                  </w:r>
                  <w:r>
                    <w:rPr>
                      <w:rFonts w:hint="default" w:ascii="Times New Roman" w:hAnsi="Times New Roman" w:cs="Times New Roman"/>
                      <w:color w:val="auto"/>
                      <w:sz w:val="21"/>
                      <w:szCs w:val="21"/>
                    </w:rPr>
                    <w:t>平均</w:t>
                  </w:r>
                </w:p>
              </w:tc>
              <w:tc>
                <w:tcPr>
                  <w:tcW w:w="1088" w:type="pct"/>
                  <w:vMerge w:val="continue"/>
                  <w:tcBorders>
                    <w:tl2br w:val="nil"/>
                    <w:tr2bl w:val="nil"/>
                  </w:tcBorders>
                  <w:noWrap w:val="0"/>
                  <w:vAlign w:val="center"/>
                </w:tcPr>
                <w:p w14:paraId="2C80D7CE">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sz w:val="21"/>
                      <w:szCs w:val="21"/>
                    </w:rPr>
                  </w:pPr>
                </w:p>
              </w:tc>
              <w:tc>
                <w:tcPr>
                  <w:tcW w:w="1088" w:type="pct"/>
                  <w:tcBorders>
                    <w:tl2br w:val="nil"/>
                    <w:tr2bl w:val="nil"/>
                  </w:tcBorders>
                  <w:noWrap w:val="0"/>
                  <w:vAlign w:val="center"/>
                </w:tcPr>
                <w:p w14:paraId="06CEA8B8">
                  <w:pPr>
                    <w:pStyle w:val="90"/>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300</w:t>
                  </w:r>
                </w:p>
              </w:tc>
            </w:tr>
          </w:tbl>
          <w:p w14:paraId="1187CE23">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声环境执行《声环境质量标准》</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GB3096-2008</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中的2类标准；</w:t>
            </w:r>
          </w:p>
          <w:p w14:paraId="0FC2C38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eastAsia" w:ascii="Times New Roman" w:hAnsi="Times New Roman" w:eastAsia="黑体" w:cs="Times New Roman"/>
                <w:color w:val="auto"/>
                <w:kern w:val="0"/>
                <w:sz w:val="21"/>
                <w:szCs w:val="24"/>
                <w:lang w:val="en-US" w:eastAsia="zh-CN" w:bidi="en-US"/>
              </w:rPr>
            </w:pPr>
            <w:r>
              <w:rPr>
                <w:rFonts w:hint="default" w:ascii="Times New Roman" w:hAnsi="Times New Roman" w:eastAsia="黑体" w:cs="Times New Roman"/>
                <w:color w:val="auto"/>
                <w:kern w:val="0"/>
                <w:sz w:val="21"/>
                <w:szCs w:val="24"/>
                <w:lang w:val="en-US" w:eastAsia="zh-CN" w:bidi="en-US"/>
              </w:rPr>
              <w:t>表3-</w:t>
            </w:r>
            <w:r>
              <w:rPr>
                <w:rFonts w:hint="eastAsia" w:ascii="Times New Roman" w:hAnsi="Times New Roman" w:eastAsia="黑体" w:cs="Times New Roman"/>
                <w:color w:val="auto"/>
                <w:kern w:val="0"/>
                <w:sz w:val="21"/>
                <w:szCs w:val="24"/>
                <w:lang w:val="en-US" w:eastAsia="zh-CN" w:bidi="en-US"/>
              </w:rPr>
              <w:t>4</w:t>
            </w:r>
            <w:r>
              <w:rPr>
                <w:rFonts w:hint="default" w:ascii="Times New Roman" w:hAnsi="Times New Roman" w:eastAsia="黑体" w:cs="Times New Roman"/>
                <w:color w:val="auto"/>
                <w:kern w:val="0"/>
                <w:sz w:val="21"/>
                <w:szCs w:val="24"/>
                <w:lang w:val="en-US" w:eastAsia="zh-CN" w:bidi="en-US"/>
              </w:rPr>
              <w:t xml:space="preserve">            </w:t>
            </w:r>
            <w:r>
              <w:rPr>
                <w:rFonts w:hint="eastAsia" w:ascii="Times New Roman" w:hAnsi="Times New Roman" w:eastAsia="黑体" w:cs="Times New Roman"/>
                <w:color w:val="auto"/>
                <w:kern w:val="0"/>
                <w:sz w:val="21"/>
                <w:szCs w:val="24"/>
                <w:lang w:val="en-US" w:eastAsia="zh-CN" w:bidi="en-US"/>
              </w:rPr>
              <w:t xml:space="preserve">        </w:t>
            </w:r>
            <w:r>
              <w:rPr>
                <w:rFonts w:hint="default" w:ascii="Times New Roman" w:hAnsi="Times New Roman" w:eastAsia="黑体" w:cs="Times New Roman"/>
                <w:color w:val="auto"/>
                <w:kern w:val="0"/>
                <w:sz w:val="21"/>
                <w:szCs w:val="24"/>
                <w:lang w:val="en-US" w:eastAsia="zh-CN" w:bidi="en-US"/>
              </w:rPr>
              <w:t>声环境质量标准</w:t>
            </w:r>
          </w:p>
          <w:tbl>
            <w:tblPr>
              <w:tblStyle w:val="29"/>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99"/>
              <w:gridCol w:w="2699"/>
              <w:gridCol w:w="2700"/>
            </w:tblGrid>
            <w:tr w14:paraId="284C6F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4" w:type="dxa"/>
                  <w:tcBorders>
                    <w:top w:val="single" w:color="auto" w:sz="12" w:space="0"/>
                    <w:left w:val="nil"/>
                    <w:bottom w:val="single" w:color="auto" w:sz="4" w:space="0"/>
                    <w:right w:val="single" w:color="auto" w:sz="4" w:space="0"/>
                  </w:tcBorders>
                  <w:noWrap w:val="0"/>
                  <w:vAlign w:val="center"/>
                </w:tcPr>
                <w:p w14:paraId="613739A9">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类别</w:t>
                  </w:r>
                </w:p>
              </w:tc>
              <w:tc>
                <w:tcPr>
                  <w:tcW w:w="2674" w:type="dxa"/>
                  <w:tcBorders>
                    <w:top w:val="single" w:color="auto" w:sz="12" w:space="0"/>
                    <w:left w:val="single" w:color="auto" w:sz="4" w:space="0"/>
                    <w:bottom w:val="single" w:color="auto" w:sz="4" w:space="0"/>
                    <w:right w:val="single" w:color="auto" w:sz="4" w:space="0"/>
                  </w:tcBorders>
                  <w:noWrap w:val="0"/>
                  <w:vAlign w:val="center"/>
                </w:tcPr>
                <w:p w14:paraId="4F0842BE">
                  <w:pPr>
                    <w:pStyle w:val="90"/>
                    <w:keepNext w:val="0"/>
                    <w:keepLines w:val="0"/>
                    <w:suppressLineNumbers w:val="0"/>
                    <w:spacing w:before="0" w:beforeAutospacing="0" w:after="0" w:afterAutospacing="0"/>
                    <w:ind w:left="0" w:right="0"/>
                    <w:rPr>
                      <w:rFonts w:hint="eastAsia" w:ascii="Times New Roman" w:hAnsi="Times New Roman" w:eastAsia="宋体" w:cs="Times New Roman"/>
                      <w:color w:val="auto"/>
                      <w:lang w:eastAsia="zh-CN"/>
                    </w:rPr>
                  </w:pPr>
                  <w:r>
                    <w:rPr>
                      <w:rFonts w:hint="default" w:ascii="Times New Roman" w:hAnsi="Times New Roman" w:cs="Times New Roman"/>
                      <w:color w:val="auto"/>
                    </w:rPr>
                    <w:t>昼间</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dB（A）</w:t>
                  </w:r>
                  <w:r>
                    <w:rPr>
                      <w:rFonts w:hint="eastAsia" w:ascii="Times New Roman" w:hAnsi="Times New Roman" w:cs="Times New Roman"/>
                      <w:color w:val="auto"/>
                      <w:lang w:eastAsia="zh-CN"/>
                    </w:rPr>
                    <w:t>）</w:t>
                  </w:r>
                </w:p>
              </w:tc>
              <w:tc>
                <w:tcPr>
                  <w:tcW w:w="2674" w:type="dxa"/>
                  <w:tcBorders>
                    <w:top w:val="single" w:color="auto" w:sz="12" w:space="0"/>
                    <w:left w:val="single" w:color="auto" w:sz="4" w:space="0"/>
                    <w:bottom w:val="single" w:color="auto" w:sz="4" w:space="0"/>
                    <w:right w:val="nil"/>
                  </w:tcBorders>
                  <w:noWrap w:val="0"/>
                  <w:vAlign w:val="center"/>
                </w:tcPr>
                <w:p w14:paraId="78EEC1FB">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夜间</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dB（A）</w:t>
                  </w:r>
                  <w:r>
                    <w:rPr>
                      <w:rFonts w:hint="eastAsia" w:ascii="Times New Roman" w:hAnsi="Times New Roman" w:cs="Times New Roman"/>
                      <w:color w:val="auto"/>
                      <w:lang w:eastAsia="zh-CN"/>
                    </w:rPr>
                    <w:t>）</w:t>
                  </w:r>
                </w:p>
              </w:tc>
            </w:tr>
            <w:tr w14:paraId="6496B6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4" w:type="dxa"/>
                  <w:tcBorders>
                    <w:top w:val="single" w:color="auto" w:sz="4" w:space="0"/>
                    <w:left w:val="nil"/>
                    <w:bottom w:val="single" w:color="auto" w:sz="12" w:space="0"/>
                    <w:right w:val="single" w:color="auto" w:sz="4" w:space="0"/>
                  </w:tcBorders>
                  <w:noWrap w:val="0"/>
                  <w:vAlign w:val="center"/>
                </w:tcPr>
                <w:p w14:paraId="5E4A3063">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w:t>
                  </w:r>
                </w:p>
              </w:tc>
              <w:tc>
                <w:tcPr>
                  <w:tcW w:w="2674" w:type="dxa"/>
                  <w:tcBorders>
                    <w:top w:val="single" w:color="auto" w:sz="4" w:space="0"/>
                    <w:left w:val="single" w:color="auto" w:sz="4" w:space="0"/>
                    <w:bottom w:val="single" w:color="auto" w:sz="12" w:space="0"/>
                    <w:right w:val="single" w:color="auto" w:sz="4" w:space="0"/>
                  </w:tcBorders>
                  <w:noWrap w:val="0"/>
                  <w:vAlign w:val="center"/>
                </w:tcPr>
                <w:p w14:paraId="27CDBB4C">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60</w:t>
                  </w:r>
                </w:p>
              </w:tc>
              <w:tc>
                <w:tcPr>
                  <w:tcW w:w="2674" w:type="dxa"/>
                  <w:tcBorders>
                    <w:top w:val="single" w:color="auto" w:sz="4" w:space="0"/>
                    <w:left w:val="single" w:color="auto" w:sz="4" w:space="0"/>
                    <w:bottom w:val="single" w:color="auto" w:sz="12" w:space="0"/>
                    <w:right w:val="nil"/>
                  </w:tcBorders>
                  <w:noWrap w:val="0"/>
                  <w:vAlign w:val="center"/>
                </w:tcPr>
                <w:p w14:paraId="21558CDD">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50</w:t>
                  </w:r>
                </w:p>
              </w:tc>
            </w:tr>
          </w:tbl>
          <w:p w14:paraId="7BAA142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污染物排放标准</w:t>
            </w:r>
          </w:p>
          <w:p w14:paraId="48FC93C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施工期施工场界噪声执行</w:t>
            </w:r>
            <w:r>
              <w:rPr>
                <w:rFonts w:hint="default" w:ascii="Times New Roman" w:hAnsi="Times New Roman" w:eastAsia="宋体" w:cs="Times New Roman"/>
                <w:color w:val="auto"/>
                <w:sz w:val="24"/>
                <w:lang w:val="en-US" w:eastAsia="zh-CN"/>
              </w:rPr>
              <w:t>《建筑施工噪声排放标准》（GB12523-2025）</w:t>
            </w:r>
            <w:r>
              <w:rPr>
                <w:rFonts w:hint="default" w:ascii="Times New Roman" w:hAnsi="Times New Roman" w:eastAsia="宋体" w:cs="Times New Roman"/>
                <w:color w:val="auto"/>
                <w:sz w:val="24"/>
              </w:rPr>
              <w:t>标准；</w:t>
            </w:r>
          </w:p>
          <w:p w14:paraId="03CBBEF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default" w:ascii="Times New Roman" w:hAnsi="Times New Roman" w:eastAsia="黑体" w:cs="Times New Roman"/>
                <w:color w:val="auto"/>
                <w:kern w:val="0"/>
                <w:sz w:val="21"/>
                <w:szCs w:val="24"/>
                <w:lang w:val="en-US" w:eastAsia="zh-CN" w:bidi="en-US"/>
              </w:rPr>
            </w:pPr>
            <w:r>
              <w:rPr>
                <w:rFonts w:hint="default" w:ascii="Times New Roman" w:hAnsi="Times New Roman" w:eastAsia="黑体" w:cs="Times New Roman"/>
                <w:color w:val="auto"/>
                <w:kern w:val="0"/>
                <w:sz w:val="21"/>
                <w:szCs w:val="24"/>
                <w:lang w:val="en-US" w:eastAsia="zh-CN" w:bidi="en-US"/>
              </w:rPr>
              <w:t>表3-</w:t>
            </w:r>
            <w:r>
              <w:rPr>
                <w:rFonts w:hint="eastAsia" w:ascii="Times New Roman" w:hAnsi="Times New Roman" w:eastAsia="黑体" w:cs="Times New Roman"/>
                <w:color w:val="auto"/>
                <w:kern w:val="0"/>
                <w:sz w:val="21"/>
                <w:szCs w:val="24"/>
                <w:lang w:val="en-US" w:eastAsia="zh-CN" w:bidi="en-US"/>
              </w:rPr>
              <w:t>5</w:t>
            </w:r>
            <w:r>
              <w:rPr>
                <w:rFonts w:hint="default" w:ascii="Times New Roman" w:hAnsi="Times New Roman" w:eastAsia="黑体" w:cs="Times New Roman"/>
                <w:color w:val="auto"/>
                <w:kern w:val="0"/>
                <w:sz w:val="21"/>
                <w:szCs w:val="24"/>
                <w:lang w:val="en-US" w:eastAsia="zh-CN" w:bidi="en-US"/>
              </w:rPr>
              <w:t xml:space="preserve">             </w:t>
            </w:r>
            <w:r>
              <w:rPr>
                <w:rFonts w:hint="eastAsia" w:ascii="Times New Roman" w:hAnsi="Times New Roman" w:eastAsia="黑体" w:cs="Times New Roman"/>
                <w:color w:val="auto"/>
                <w:kern w:val="0"/>
                <w:sz w:val="21"/>
                <w:szCs w:val="24"/>
                <w:lang w:val="en-US" w:eastAsia="zh-CN" w:bidi="en-US"/>
              </w:rPr>
              <w:t xml:space="preserve"> </w:t>
            </w:r>
            <w:r>
              <w:rPr>
                <w:rFonts w:hint="default" w:ascii="Times New Roman" w:hAnsi="Times New Roman" w:eastAsia="黑体" w:cs="Times New Roman"/>
                <w:color w:val="auto"/>
                <w:kern w:val="0"/>
                <w:sz w:val="21"/>
                <w:szCs w:val="24"/>
                <w:lang w:val="en-US" w:eastAsia="zh-CN" w:bidi="en-US"/>
              </w:rPr>
              <w:t xml:space="preserve"> 建筑施工场界噪声排放限值</w:t>
            </w:r>
          </w:p>
          <w:tbl>
            <w:tblPr>
              <w:tblStyle w:val="29"/>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49"/>
              <w:gridCol w:w="4049"/>
            </w:tblGrid>
            <w:tr w14:paraId="2AC98C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11" w:type="dxa"/>
                  <w:tcBorders>
                    <w:top w:val="single" w:color="auto" w:sz="12" w:space="0"/>
                    <w:left w:val="nil"/>
                    <w:bottom w:val="single" w:color="auto" w:sz="4" w:space="0"/>
                    <w:right w:val="single" w:color="auto" w:sz="4" w:space="0"/>
                  </w:tcBorders>
                  <w:noWrap w:val="0"/>
                  <w:vAlign w:val="center"/>
                </w:tcPr>
                <w:p w14:paraId="07D5C626">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昼间</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dB（A）</w:t>
                  </w:r>
                  <w:r>
                    <w:rPr>
                      <w:rFonts w:hint="eastAsia" w:ascii="Times New Roman" w:hAnsi="Times New Roman" w:cs="Times New Roman"/>
                      <w:color w:val="auto"/>
                      <w:lang w:eastAsia="zh-CN"/>
                    </w:rPr>
                    <w:t>）</w:t>
                  </w:r>
                </w:p>
              </w:tc>
              <w:tc>
                <w:tcPr>
                  <w:tcW w:w="4011" w:type="dxa"/>
                  <w:tcBorders>
                    <w:top w:val="single" w:color="auto" w:sz="12" w:space="0"/>
                    <w:left w:val="single" w:color="auto" w:sz="4" w:space="0"/>
                    <w:bottom w:val="single" w:color="auto" w:sz="4" w:space="0"/>
                    <w:right w:val="nil"/>
                  </w:tcBorders>
                  <w:noWrap w:val="0"/>
                  <w:vAlign w:val="center"/>
                </w:tcPr>
                <w:p w14:paraId="55603ADC">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夜间</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dB（A）</w:t>
                  </w:r>
                  <w:r>
                    <w:rPr>
                      <w:rFonts w:hint="eastAsia" w:ascii="Times New Roman" w:hAnsi="Times New Roman" w:cs="Times New Roman"/>
                      <w:color w:val="auto"/>
                      <w:lang w:eastAsia="zh-CN"/>
                    </w:rPr>
                    <w:t>）</w:t>
                  </w:r>
                </w:p>
              </w:tc>
            </w:tr>
            <w:tr w14:paraId="75F22B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11" w:type="dxa"/>
                  <w:tcBorders>
                    <w:top w:val="single" w:color="auto" w:sz="4" w:space="0"/>
                    <w:left w:val="nil"/>
                    <w:bottom w:val="single" w:color="auto" w:sz="12" w:space="0"/>
                    <w:right w:val="single" w:color="auto" w:sz="4" w:space="0"/>
                  </w:tcBorders>
                  <w:noWrap w:val="0"/>
                  <w:vAlign w:val="center"/>
                </w:tcPr>
                <w:p w14:paraId="61644231">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70</w:t>
                  </w:r>
                </w:p>
              </w:tc>
              <w:tc>
                <w:tcPr>
                  <w:tcW w:w="4011" w:type="dxa"/>
                  <w:tcBorders>
                    <w:top w:val="single" w:color="auto" w:sz="4" w:space="0"/>
                    <w:left w:val="single" w:color="auto" w:sz="4" w:space="0"/>
                    <w:bottom w:val="single" w:color="auto" w:sz="12" w:space="0"/>
                    <w:right w:val="nil"/>
                  </w:tcBorders>
                  <w:noWrap w:val="0"/>
                  <w:vAlign w:val="center"/>
                </w:tcPr>
                <w:p w14:paraId="78AE1E75">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55</w:t>
                  </w:r>
                </w:p>
              </w:tc>
            </w:tr>
          </w:tbl>
          <w:p w14:paraId="3B529ECF">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施工期粉尘执行《大气污染物综合排放标准》</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GB16297-1996</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无组织排放监控浓度限值；</w:t>
            </w:r>
          </w:p>
          <w:p w14:paraId="13C9E6D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default" w:ascii="Times New Roman" w:hAnsi="Times New Roman" w:eastAsia="黑体" w:cs="Times New Roman"/>
                <w:color w:val="auto"/>
                <w:kern w:val="0"/>
                <w:sz w:val="21"/>
                <w:szCs w:val="24"/>
                <w:lang w:val="en-US" w:eastAsia="zh-CN" w:bidi="en-US"/>
              </w:rPr>
            </w:pPr>
            <w:r>
              <w:rPr>
                <w:rFonts w:hint="eastAsia" w:ascii="Times New Roman" w:hAnsi="Times New Roman" w:eastAsia="黑体" w:cs="Times New Roman"/>
                <w:color w:val="auto"/>
                <w:kern w:val="0"/>
                <w:sz w:val="21"/>
                <w:szCs w:val="24"/>
                <w:lang w:val="en-US" w:eastAsia="zh-CN" w:bidi="en-US"/>
              </w:rPr>
              <w:t>表3-6               废气污染物排放浓度限值</w:t>
            </w:r>
          </w:p>
          <w:tbl>
            <w:tblPr>
              <w:tblStyle w:val="93"/>
              <w:tblW w:w="49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136"/>
              <w:gridCol w:w="1693"/>
              <w:gridCol w:w="857"/>
              <w:gridCol w:w="1617"/>
              <w:gridCol w:w="2795"/>
            </w:tblGrid>
            <w:tr w14:paraId="0C87EE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746" w:type="pct"/>
                  <w:gridSpan w:val="2"/>
                  <w:tcBorders>
                    <w:tl2br w:val="nil"/>
                    <w:tr2bl w:val="nil"/>
                  </w:tcBorders>
                  <w:noWrap w:val="0"/>
                  <w:vAlign w:val="center"/>
                </w:tcPr>
                <w:p w14:paraId="61D16F11">
                  <w:pPr>
                    <w:pStyle w:val="9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olor w:val="auto"/>
                      <w:lang w:val="en-US"/>
                    </w:rPr>
                  </w:pPr>
                  <w:r>
                    <w:rPr>
                      <w:rFonts w:hint="eastAsia"/>
                      <w:color w:val="auto"/>
                      <w:lang w:val="en-US" w:eastAsia="zh-CN"/>
                    </w:rPr>
                    <w:t>污染源</w:t>
                  </w:r>
                </w:p>
              </w:tc>
              <w:tc>
                <w:tcPr>
                  <w:tcW w:w="529" w:type="pct"/>
                  <w:tcBorders>
                    <w:tl2br w:val="nil"/>
                    <w:tr2bl w:val="nil"/>
                  </w:tcBorders>
                  <w:noWrap w:val="0"/>
                  <w:vAlign w:val="center"/>
                </w:tcPr>
                <w:p w14:paraId="4DE78D53">
                  <w:pPr>
                    <w:pStyle w:val="9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olor w:val="auto"/>
                      <w:lang w:val="en-US"/>
                    </w:rPr>
                  </w:pPr>
                  <w:r>
                    <w:rPr>
                      <w:rFonts w:hint="eastAsia"/>
                      <w:color w:val="auto"/>
                      <w:lang w:val="en-US" w:eastAsia="zh-CN"/>
                    </w:rPr>
                    <w:t>污染物</w:t>
                  </w:r>
                </w:p>
              </w:tc>
              <w:tc>
                <w:tcPr>
                  <w:tcW w:w="998" w:type="pct"/>
                  <w:tcBorders>
                    <w:tl2br w:val="nil"/>
                    <w:tr2bl w:val="nil"/>
                  </w:tcBorders>
                  <w:noWrap w:val="0"/>
                  <w:vAlign w:val="center"/>
                </w:tcPr>
                <w:p w14:paraId="3734BC32">
                  <w:pPr>
                    <w:pStyle w:val="9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olor w:val="auto"/>
                      <w:lang w:val="en-US"/>
                    </w:rPr>
                  </w:pPr>
                  <w:r>
                    <w:rPr>
                      <w:rFonts w:hint="eastAsia"/>
                      <w:color w:val="auto"/>
                      <w:lang w:val="en-US" w:eastAsia="zh-CN"/>
                    </w:rPr>
                    <w:t>排放限值（</w:t>
                  </w:r>
                  <w:r>
                    <w:rPr>
                      <w:rFonts w:hint="default"/>
                      <w:color w:val="auto"/>
                      <w:lang w:val="en-US" w:eastAsia="zh-CN"/>
                    </w:rPr>
                    <w:t>mg/m</w:t>
                  </w:r>
                  <w:r>
                    <w:rPr>
                      <w:rFonts w:hint="default"/>
                      <w:color w:val="auto"/>
                      <w:vertAlign w:val="superscript"/>
                      <w:lang w:val="en-US" w:eastAsia="zh-CN"/>
                    </w:rPr>
                    <w:t>3</w:t>
                  </w:r>
                  <w:r>
                    <w:rPr>
                      <w:rFonts w:hint="eastAsia"/>
                      <w:color w:val="auto"/>
                      <w:lang w:val="en-US" w:eastAsia="zh-CN"/>
                    </w:rPr>
                    <w:t>）</w:t>
                  </w:r>
                </w:p>
              </w:tc>
              <w:tc>
                <w:tcPr>
                  <w:tcW w:w="1725" w:type="pct"/>
                  <w:tcBorders>
                    <w:tl2br w:val="nil"/>
                    <w:tr2bl w:val="nil"/>
                  </w:tcBorders>
                  <w:noWrap w:val="0"/>
                  <w:vAlign w:val="center"/>
                </w:tcPr>
                <w:p w14:paraId="231F77A2">
                  <w:pPr>
                    <w:pStyle w:val="9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olor w:val="auto"/>
                      <w:lang w:val="en-US"/>
                    </w:rPr>
                  </w:pPr>
                  <w:r>
                    <w:rPr>
                      <w:rFonts w:hint="eastAsia"/>
                      <w:color w:val="auto"/>
                      <w:lang w:val="en-US" w:eastAsia="zh-CN"/>
                    </w:rPr>
                    <w:t>标准</w:t>
                  </w:r>
                </w:p>
              </w:tc>
            </w:tr>
            <w:tr w14:paraId="37725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1" w:type="pct"/>
                  <w:tcBorders>
                    <w:tl2br w:val="nil"/>
                    <w:tr2bl w:val="nil"/>
                  </w:tcBorders>
                  <w:noWrap w:val="0"/>
                  <w:vAlign w:val="center"/>
                </w:tcPr>
                <w:p w14:paraId="0122A028">
                  <w:pPr>
                    <w:pStyle w:val="9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olor w:val="auto"/>
                      <w:lang w:val="en-US"/>
                    </w:rPr>
                  </w:pPr>
                  <w:r>
                    <w:rPr>
                      <w:rFonts w:hint="eastAsia"/>
                      <w:color w:val="auto"/>
                      <w:lang w:val="en-US" w:eastAsia="zh-CN"/>
                    </w:rPr>
                    <w:t>施工期</w:t>
                  </w:r>
                </w:p>
              </w:tc>
              <w:tc>
                <w:tcPr>
                  <w:tcW w:w="1045" w:type="pct"/>
                  <w:tcBorders>
                    <w:tl2br w:val="nil"/>
                    <w:tr2bl w:val="nil"/>
                  </w:tcBorders>
                  <w:noWrap w:val="0"/>
                  <w:vAlign w:val="center"/>
                </w:tcPr>
                <w:p w14:paraId="7E58E972">
                  <w:pPr>
                    <w:pStyle w:val="9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olor w:val="auto"/>
                      <w:lang w:val="en-US"/>
                    </w:rPr>
                  </w:pPr>
                  <w:r>
                    <w:rPr>
                      <w:rFonts w:hint="eastAsia"/>
                      <w:color w:val="auto"/>
                      <w:lang w:val="en-US" w:eastAsia="zh-CN"/>
                    </w:rPr>
                    <w:t>场地扬尘</w:t>
                  </w:r>
                </w:p>
              </w:tc>
              <w:tc>
                <w:tcPr>
                  <w:tcW w:w="529" w:type="pct"/>
                  <w:tcBorders>
                    <w:tl2br w:val="nil"/>
                    <w:tr2bl w:val="nil"/>
                  </w:tcBorders>
                  <w:noWrap w:val="0"/>
                  <w:vAlign w:val="center"/>
                </w:tcPr>
                <w:p w14:paraId="06237299">
                  <w:pPr>
                    <w:pStyle w:val="9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lang w:val="en-US"/>
                    </w:rPr>
                  </w:pPr>
                  <w:r>
                    <w:rPr>
                      <w:rFonts w:hint="eastAsia"/>
                      <w:color w:val="auto"/>
                    </w:rPr>
                    <w:t>颗粒物</w:t>
                  </w:r>
                </w:p>
              </w:tc>
              <w:tc>
                <w:tcPr>
                  <w:tcW w:w="998" w:type="pct"/>
                  <w:tcBorders>
                    <w:tl2br w:val="nil"/>
                    <w:tr2bl w:val="nil"/>
                  </w:tcBorders>
                  <w:noWrap w:val="0"/>
                  <w:vAlign w:val="center"/>
                </w:tcPr>
                <w:p w14:paraId="6E4B3892">
                  <w:pPr>
                    <w:pStyle w:val="9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color w:val="auto"/>
                      <w:lang w:val="en-US"/>
                    </w:rPr>
                  </w:pPr>
                  <w:r>
                    <w:rPr>
                      <w:rFonts w:hint="default"/>
                      <w:color w:val="auto"/>
                      <w:lang w:val="en-US"/>
                    </w:rPr>
                    <w:t>1.0</w:t>
                  </w:r>
                </w:p>
              </w:tc>
              <w:tc>
                <w:tcPr>
                  <w:tcW w:w="1725" w:type="pct"/>
                  <w:tcBorders>
                    <w:tl2br w:val="nil"/>
                    <w:tr2bl w:val="nil"/>
                  </w:tcBorders>
                  <w:noWrap w:val="0"/>
                  <w:vAlign w:val="center"/>
                </w:tcPr>
                <w:p w14:paraId="0E83A1B4">
                  <w:pPr>
                    <w:pStyle w:val="9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color w:val="auto"/>
                      <w:lang w:val="en-US"/>
                    </w:rPr>
                  </w:pPr>
                  <w:r>
                    <w:rPr>
                      <w:rFonts w:hint="eastAsia"/>
                      <w:color w:val="auto"/>
                      <w:lang w:val="en-US" w:eastAsia="zh-CN"/>
                    </w:rPr>
                    <w:t>《大气污染物综合排放标准》（</w:t>
                  </w:r>
                  <w:r>
                    <w:rPr>
                      <w:rFonts w:hint="default"/>
                      <w:color w:val="auto"/>
                      <w:lang w:val="en-US" w:eastAsia="zh-CN"/>
                    </w:rPr>
                    <w:t>GB16297-1996</w:t>
                  </w:r>
                  <w:r>
                    <w:rPr>
                      <w:rFonts w:hint="eastAsia"/>
                      <w:color w:val="auto"/>
                      <w:lang w:val="en-US" w:eastAsia="zh-CN"/>
                    </w:rPr>
                    <w:t>）</w:t>
                  </w:r>
                </w:p>
              </w:tc>
            </w:tr>
          </w:tbl>
          <w:p w14:paraId="337A188B">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运营期噪声执行《工业企业厂界环境噪声排放标准》</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GB12348-2008</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中2类标准；</w:t>
            </w:r>
          </w:p>
          <w:p w14:paraId="71CCD67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eastAsia" w:ascii="Times New Roman" w:hAnsi="Times New Roman" w:eastAsia="黑体" w:cs="Times New Roman"/>
                <w:color w:val="auto"/>
                <w:kern w:val="0"/>
                <w:sz w:val="21"/>
                <w:szCs w:val="24"/>
                <w:lang w:val="en-US" w:eastAsia="zh-CN" w:bidi="en-US"/>
              </w:rPr>
            </w:pPr>
            <w:r>
              <w:rPr>
                <w:rFonts w:hint="eastAsia" w:ascii="Times New Roman" w:hAnsi="Times New Roman" w:eastAsia="黑体" w:cs="Times New Roman"/>
                <w:color w:val="auto"/>
                <w:kern w:val="0"/>
                <w:sz w:val="21"/>
                <w:szCs w:val="24"/>
                <w:lang w:val="en-US" w:eastAsia="zh-CN" w:bidi="en-US"/>
              </w:rPr>
              <w:t>表3-7              工业企业厂界环境噪声排放标准限值</w:t>
            </w:r>
          </w:p>
          <w:tbl>
            <w:tblPr>
              <w:tblStyle w:val="29"/>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99"/>
              <w:gridCol w:w="2699"/>
              <w:gridCol w:w="2700"/>
            </w:tblGrid>
            <w:tr w14:paraId="330D51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4" w:type="dxa"/>
                  <w:tcBorders>
                    <w:top w:val="single" w:color="auto" w:sz="12" w:space="0"/>
                    <w:left w:val="nil"/>
                    <w:bottom w:val="single" w:color="auto" w:sz="4" w:space="0"/>
                    <w:right w:val="single" w:color="auto" w:sz="4" w:space="0"/>
                  </w:tcBorders>
                  <w:noWrap w:val="0"/>
                  <w:vAlign w:val="center"/>
                </w:tcPr>
                <w:p w14:paraId="604D18D5">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类别</w:t>
                  </w:r>
                </w:p>
              </w:tc>
              <w:tc>
                <w:tcPr>
                  <w:tcW w:w="2674" w:type="dxa"/>
                  <w:tcBorders>
                    <w:top w:val="single" w:color="auto" w:sz="12" w:space="0"/>
                    <w:left w:val="single" w:color="auto" w:sz="4" w:space="0"/>
                    <w:bottom w:val="single" w:color="auto" w:sz="4" w:space="0"/>
                    <w:right w:val="single" w:color="auto" w:sz="4" w:space="0"/>
                  </w:tcBorders>
                  <w:noWrap w:val="0"/>
                  <w:vAlign w:val="center"/>
                </w:tcPr>
                <w:p w14:paraId="14C3FFF7">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bCs/>
                      <w:color w:val="auto"/>
                      <w:kern w:val="0"/>
                    </w:rPr>
                    <w:t>昼间</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dB（A）</w:t>
                  </w:r>
                  <w:r>
                    <w:rPr>
                      <w:rFonts w:hint="eastAsia" w:ascii="Times New Roman" w:hAnsi="Times New Roman" w:cs="Times New Roman"/>
                      <w:color w:val="auto"/>
                      <w:lang w:eastAsia="zh-CN"/>
                    </w:rPr>
                    <w:t>）</w:t>
                  </w:r>
                </w:p>
              </w:tc>
              <w:tc>
                <w:tcPr>
                  <w:tcW w:w="2674" w:type="dxa"/>
                  <w:tcBorders>
                    <w:top w:val="single" w:color="auto" w:sz="12" w:space="0"/>
                    <w:left w:val="single" w:color="auto" w:sz="4" w:space="0"/>
                    <w:bottom w:val="single" w:color="auto" w:sz="4" w:space="0"/>
                    <w:right w:val="nil"/>
                  </w:tcBorders>
                  <w:noWrap w:val="0"/>
                  <w:vAlign w:val="center"/>
                </w:tcPr>
                <w:p w14:paraId="2587E68A">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bCs/>
                      <w:color w:val="auto"/>
                      <w:kern w:val="0"/>
                    </w:rPr>
                    <w:t>夜间</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dB（A）</w:t>
                  </w:r>
                  <w:r>
                    <w:rPr>
                      <w:rFonts w:hint="eastAsia" w:ascii="Times New Roman" w:hAnsi="Times New Roman" w:cs="Times New Roman"/>
                      <w:color w:val="auto"/>
                      <w:lang w:eastAsia="zh-CN"/>
                    </w:rPr>
                    <w:t>）</w:t>
                  </w:r>
                </w:p>
              </w:tc>
            </w:tr>
            <w:tr w14:paraId="73253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4" w:type="dxa"/>
                  <w:tcBorders>
                    <w:top w:val="single" w:color="auto" w:sz="4" w:space="0"/>
                    <w:left w:val="nil"/>
                    <w:bottom w:val="single" w:color="auto" w:sz="12" w:space="0"/>
                    <w:right w:val="single" w:color="auto" w:sz="4" w:space="0"/>
                  </w:tcBorders>
                  <w:noWrap w:val="0"/>
                  <w:vAlign w:val="center"/>
                </w:tcPr>
                <w:p w14:paraId="27F7FC97">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w:t>
                  </w:r>
                </w:p>
              </w:tc>
              <w:tc>
                <w:tcPr>
                  <w:tcW w:w="2674" w:type="dxa"/>
                  <w:tcBorders>
                    <w:top w:val="single" w:color="auto" w:sz="4" w:space="0"/>
                    <w:left w:val="single" w:color="auto" w:sz="4" w:space="0"/>
                    <w:bottom w:val="single" w:color="auto" w:sz="12" w:space="0"/>
                    <w:right w:val="single" w:color="auto" w:sz="4" w:space="0"/>
                  </w:tcBorders>
                  <w:noWrap w:val="0"/>
                  <w:vAlign w:val="center"/>
                </w:tcPr>
                <w:p w14:paraId="6097DB93">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60</w:t>
                  </w:r>
                </w:p>
              </w:tc>
              <w:tc>
                <w:tcPr>
                  <w:tcW w:w="2674" w:type="dxa"/>
                  <w:tcBorders>
                    <w:top w:val="single" w:color="auto" w:sz="4" w:space="0"/>
                    <w:left w:val="single" w:color="auto" w:sz="4" w:space="0"/>
                    <w:bottom w:val="single" w:color="auto" w:sz="12" w:space="0"/>
                    <w:right w:val="nil"/>
                  </w:tcBorders>
                  <w:noWrap w:val="0"/>
                  <w:vAlign w:val="center"/>
                </w:tcPr>
                <w:p w14:paraId="7DBC2A12">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50</w:t>
                  </w:r>
                </w:p>
              </w:tc>
            </w:tr>
          </w:tbl>
          <w:p w14:paraId="77D0DFB1">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lang w:eastAsia="zh-CN"/>
              </w:rPr>
            </w:pPr>
          </w:p>
          <w:p w14:paraId="6F16C163">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一般固体废物执行</w:t>
            </w:r>
            <w:r>
              <w:rPr>
                <w:rFonts w:hint="default" w:ascii="Times New Roman" w:hAnsi="Times New Roman" w:eastAsia="宋体" w:cs="Times New Roman"/>
                <w:color w:val="auto"/>
                <w:sz w:val="24"/>
              </w:rPr>
              <w:t>《一般工业固体废物贮存和填埋污染控制标准》</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GB18599-2020</w:t>
            </w:r>
            <w:r>
              <w:rPr>
                <w:rFonts w:hint="eastAsia" w:ascii="Times New Roman" w:hAnsi="Times New Roman" w:eastAsia="宋体" w:cs="Times New Roman"/>
                <w:color w:val="auto"/>
                <w:sz w:val="24"/>
                <w:lang w:eastAsia="zh-CN"/>
              </w:rPr>
              <w:t>）；</w:t>
            </w:r>
          </w:p>
          <w:p w14:paraId="5BE76E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危险废物执行《危险废物贮存污染控制标准》（GB18597-2023）</w:t>
            </w:r>
            <w:r>
              <w:rPr>
                <w:rFonts w:hint="default" w:ascii="Times New Roman" w:hAnsi="Times New Roman" w:eastAsia="宋体" w:cs="Times New Roman"/>
                <w:color w:val="auto"/>
                <w:sz w:val="24"/>
              </w:rPr>
              <w:t>。</w:t>
            </w:r>
          </w:p>
          <w:p w14:paraId="6400CA7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p>
          <w:p w14:paraId="1C14D11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p>
        </w:tc>
      </w:tr>
      <w:tr w14:paraId="41A6F6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8" w:hRule="atLeast"/>
          <w:jc w:val="center"/>
        </w:trPr>
        <w:tc>
          <w:tcPr>
            <w:tcW w:w="761" w:type="dxa"/>
            <w:noWrap w:val="0"/>
            <w:vAlign w:val="center"/>
          </w:tcPr>
          <w:p w14:paraId="2136A1B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szCs w:val="24"/>
              </w:rPr>
              <w:t>其他</w:t>
            </w:r>
          </w:p>
        </w:tc>
        <w:tc>
          <w:tcPr>
            <w:tcW w:w="8396" w:type="dxa"/>
            <w:noWrap w:val="0"/>
            <w:vAlign w:val="center"/>
          </w:tcPr>
          <w:p w14:paraId="2692FF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color w:val="auto"/>
              </w:rPr>
            </w:pPr>
            <w:r>
              <w:rPr>
                <w:rFonts w:hint="default" w:ascii="Times New Roman" w:hAnsi="Times New Roman" w:eastAsia="宋体" w:cs="Times New Roman"/>
                <w:color w:val="auto"/>
                <w:sz w:val="24"/>
              </w:rPr>
              <w:t>无</w:t>
            </w:r>
          </w:p>
        </w:tc>
      </w:tr>
    </w:tbl>
    <w:p w14:paraId="254AD853">
      <w:pPr>
        <w:pStyle w:val="25"/>
        <w:adjustRightInd w:val="0"/>
        <w:snapToGrid w:val="0"/>
        <w:spacing w:before="0" w:beforeAutospacing="0" w:after="0" w:afterAutospacing="0" w:line="15" w:lineRule="auto"/>
        <w:jc w:val="center"/>
        <w:rPr>
          <w:rFonts w:hint="default" w:ascii="Times New Roman" w:hAnsi="Times New Roman" w:eastAsia="黑体" w:cs="Times New Roman"/>
          <w:snapToGrid w:val="0"/>
          <w:color w:val="000000"/>
          <w:kern w:val="2"/>
          <w:sz w:val="36"/>
          <w:szCs w:val="36"/>
        </w:rPr>
      </w:pPr>
    </w:p>
    <w:p w14:paraId="0FED2539">
      <w:pPr>
        <w:pStyle w:val="25"/>
        <w:jc w:val="center"/>
        <w:outlineLvl w:val="0"/>
        <w:rPr>
          <w:rFonts w:hint="default" w:ascii="Times New Roman" w:hAnsi="Times New Roman" w:eastAsia="黑体" w:cs="Times New Roman"/>
          <w:snapToGrid w:val="0"/>
          <w:color w:val="000000"/>
          <w:sz w:val="30"/>
          <w:szCs w:val="30"/>
        </w:rPr>
      </w:pPr>
      <w:r>
        <w:rPr>
          <w:rFonts w:hint="default" w:ascii="Times New Roman" w:hAnsi="Times New Roman" w:eastAsia="黑体" w:cs="Times New Roman"/>
          <w:snapToGrid w:val="0"/>
          <w:color w:val="000000"/>
          <w:kern w:val="2"/>
          <w:sz w:val="36"/>
          <w:szCs w:val="36"/>
        </w:rPr>
        <w:br w:type="page"/>
      </w:r>
      <w:bookmarkStart w:id="4" w:name="_Toc24385"/>
      <w:r>
        <w:rPr>
          <w:rFonts w:hint="default" w:ascii="Times New Roman" w:hAnsi="Times New Roman" w:eastAsia="黑体" w:cs="Times New Roman"/>
          <w:snapToGrid w:val="0"/>
          <w:color w:val="000000"/>
          <w:sz w:val="30"/>
          <w:szCs w:val="30"/>
        </w:rPr>
        <w:t>四、生态环境影响分析</w:t>
      </w:r>
      <w:bookmarkEnd w:id="4"/>
    </w:p>
    <w:tbl>
      <w:tblPr>
        <w:tblStyle w:val="29"/>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7"/>
        <w:gridCol w:w="8555"/>
      </w:tblGrid>
      <w:tr w14:paraId="56B8E2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2" w:hRule="atLeast"/>
          <w:jc w:val="center"/>
        </w:trPr>
        <w:tc>
          <w:tcPr>
            <w:tcW w:w="687" w:type="dxa"/>
            <w:noWrap w:val="0"/>
            <w:tcMar>
              <w:left w:w="28" w:type="dxa"/>
              <w:right w:w="28" w:type="dxa"/>
            </w:tcMar>
            <w:vAlign w:val="center"/>
          </w:tcPr>
          <w:p w14:paraId="64507458">
            <w:pPr>
              <w:pStyle w:val="25"/>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rPr>
            </w:pPr>
            <w:bookmarkStart w:id="5" w:name="_Hlk49796138"/>
            <w:r>
              <w:rPr>
                <w:rFonts w:hint="default" w:ascii="Times New Roman" w:hAnsi="Times New Roman" w:cs="Times New Roman"/>
                <w:bCs/>
                <w:color w:val="auto"/>
                <w:spacing w:val="10"/>
                <w:kern w:val="2"/>
                <w:sz w:val="24"/>
                <w:szCs w:val="24"/>
              </w:rPr>
              <w:t>施工期生态环境影响分析</w:t>
            </w:r>
            <w:bookmarkEnd w:id="5"/>
          </w:p>
        </w:tc>
        <w:tc>
          <w:tcPr>
            <w:tcW w:w="8555" w:type="dxa"/>
            <w:noWrap w:val="0"/>
            <w:vAlign w:val="top"/>
          </w:tcPr>
          <w:p w14:paraId="5E5155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的生态环境影响主要集中在施工期间，施工过程中将进行土石方的填挖，包括基础施工、箱式变基础施工及场内道路的修建等工程，不仅需要动用土石方，而且有大量的施工机械及人员活动。施工期对区域生态环境的影响主要表现在土壤扰动后，随着地表植被的破坏，可能造成土壤的侵蚀及水土流失；施工噪声对当地野生动物环境的影响；项目施工作业带范围包括光伏区、箱式变及光伏电场内道路等工程占地及周边5</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rPr>
              <w:t>范围区内。</w:t>
            </w:r>
          </w:p>
          <w:p w14:paraId="15CEDA16">
            <w:pPr>
              <w:keepNext w:val="0"/>
              <w:keepLines w:val="0"/>
              <w:suppressLineNumbers w:val="0"/>
              <w:spacing w:before="120" w:beforeLines="5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施工期主要环境影响因素识别，见表4-1。</w:t>
            </w:r>
          </w:p>
          <w:p w14:paraId="218210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44" w:firstLineChars="200"/>
              <w:textAlignment w:val="auto"/>
              <w:rPr>
                <w:rFonts w:hint="default" w:ascii="Times New Roman" w:hAnsi="Times New Roman" w:eastAsia="黑体" w:cs="Times New Roman"/>
                <w:b w:val="0"/>
                <w:bCs/>
                <w:color w:val="auto"/>
                <w:sz w:val="21"/>
                <w:szCs w:val="21"/>
              </w:rPr>
            </w:pPr>
            <w:r>
              <w:rPr>
                <w:rFonts w:hint="default" w:ascii="Times New Roman" w:hAnsi="Times New Roman" w:eastAsia="黑体" w:cs="Times New Roman"/>
                <w:b w:val="0"/>
                <w:bCs/>
                <w:color w:val="auto"/>
                <w:spacing w:val="6"/>
                <w:sz w:val="21"/>
                <w:szCs w:val="21"/>
              </w:rPr>
              <w:t xml:space="preserve">表4-1        </w:t>
            </w:r>
            <w:r>
              <w:rPr>
                <w:rFonts w:hint="eastAsia" w:ascii="Times New Roman" w:hAnsi="Times New Roman" w:eastAsia="黑体" w:cs="Times New Roman"/>
                <w:b w:val="0"/>
                <w:bCs/>
                <w:color w:val="auto"/>
                <w:spacing w:val="6"/>
                <w:sz w:val="21"/>
                <w:szCs w:val="21"/>
                <w:lang w:val="en-US" w:eastAsia="zh-CN"/>
              </w:rPr>
              <w:t xml:space="preserve">      </w:t>
            </w:r>
            <w:r>
              <w:rPr>
                <w:rFonts w:hint="default" w:ascii="Times New Roman" w:hAnsi="Times New Roman" w:eastAsia="黑体" w:cs="Times New Roman"/>
                <w:b w:val="0"/>
                <w:bCs/>
                <w:color w:val="auto"/>
                <w:spacing w:val="6"/>
                <w:sz w:val="21"/>
                <w:szCs w:val="21"/>
              </w:rPr>
              <w:t>施工期主要环境影响因素识别</w:t>
            </w:r>
          </w:p>
          <w:tbl>
            <w:tblPr>
              <w:tblStyle w:val="29"/>
              <w:tblW w:w="49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56"/>
              <w:gridCol w:w="4079"/>
              <w:gridCol w:w="2821"/>
            </w:tblGrid>
            <w:tr w14:paraId="24DFF0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1" w:type="pct"/>
                  <w:tcBorders>
                    <w:tl2br w:val="nil"/>
                    <w:tr2bl w:val="nil"/>
                  </w:tcBorders>
                  <w:noWrap w:val="0"/>
                  <w:vAlign w:val="center"/>
                </w:tcPr>
                <w:p w14:paraId="64654256">
                  <w:pPr>
                    <w:keepNext w:val="0"/>
                    <w:keepLines w:val="0"/>
                    <w:suppressLineNumbers w:val="0"/>
                    <w:adjustRightInd w:val="0"/>
                    <w:snapToGrid w:val="0"/>
                    <w:spacing w:before="0" w:beforeAutospacing="0" w:after="0" w:afterAutospacing="0" w:line="300" w:lineRule="exact"/>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环境要素</w:t>
                  </w:r>
                </w:p>
              </w:tc>
              <w:tc>
                <w:tcPr>
                  <w:tcW w:w="2470" w:type="pct"/>
                  <w:tcBorders>
                    <w:tl2br w:val="nil"/>
                    <w:tr2bl w:val="nil"/>
                  </w:tcBorders>
                  <w:noWrap w:val="0"/>
                  <w:vAlign w:val="center"/>
                </w:tcPr>
                <w:p w14:paraId="2BD97BB4">
                  <w:pPr>
                    <w:keepNext w:val="0"/>
                    <w:keepLines w:val="0"/>
                    <w:suppressLineNumbers w:val="0"/>
                    <w:adjustRightInd w:val="0"/>
                    <w:snapToGrid w:val="0"/>
                    <w:spacing w:before="0" w:beforeAutospacing="0" w:after="0" w:afterAutospacing="0" w:line="300" w:lineRule="exact"/>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产生影响的主要内容</w:t>
                  </w:r>
                </w:p>
              </w:tc>
              <w:tc>
                <w:tcPr>
                  <w:tcW w:w="1708" w:type="pct"/>
                  <w:tcBorders>
                    <w:tl2br w:val="nil"/>
                    <w:tr2bl w:val="nil"/>
                  </w:tcBorders>
                  <w:noWrap w:val="0"/>
                  <w:vAlign w:val="center"/>
                </w:tcPr>
                <w:p w14:paraId="41F32FA7">
                  <w:pPr>
                    <w:keepNext w:val="0"/>
                    <w:keepLines w:val="0"/>
                    <w:suppressLineNumbers w:val="0"/>
                    <w:adjustRightInd w:val="0"/>
                    <w:snapToGrid w:val="0"/>
                    <w:spacing w:before="0" w:beforeAutospacing="0" w:after="0" w:afterAutospacing="0" w:line="300" w:lineRule="exact"/>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主要影响因素</w:t>
                  </w:r>
                </w:p>
              </w:tc>
            </w:tr>
            <w:tr w14:paraId="427E25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1" w:type="pct"/>
                  <w:tcBorders>
                    <w:tl2br w:val="nil"/>
                    <w:tr2bl w:val="nil"/>
                  </w:tcBorders>
                  <w:noWrap w:val="0"/>
                  <w:vAlign w:val="center"/>
                </w:tcPr>
                <w:p w14:paraId="12714916">
                  <w:pPr>
                    <w:keepNext w:val="0"/>
                    <w:keepLines w:val="0"/>
                    <w:suppressLineNumbers w:val="0"/>
                    <w:adjustRightInd w:val="0"/>
                    <w:snapToGrid w:val="0"/>
                    <w:spacing w:before="0" w:beforeAutospacing="0" w:after="0" w:afterAutospacing="0" w:line="300" w:lineRule="exact"/>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环境空气</w:t>
                  </w:r>
                </w:p>
              </w:tc>
              <w:tc>
                <w:tcPr>
                  <w:tcW w:w="2470" w:type="pct"/>
                  <w:tcBorders>
                    <w:tl2br w:val="nil"/>
                    <w:tr2bl w:val="nil"/>
                  </w:tcBorders>
                  <w:noWrap w:val="0"/>
                  <w:vAlign w:val="center"/>
                </w:tcPr>
                <w:p w14:paraId="6DE8673D">
                  <w:pPr>
                    <w:keepNext w:val="0"/>
                    <w:keepLines w:val="0"/>
                    <w:suppressLineNumbers w:val="0"/>
                    <w:adjustRightInd w:val="0"/>
                    <w:snapToGrid w:val="0"/>
                    <w:spacing w:before="0" w:beforeAutospacing="0" w:after="0" w:afterAutospacing="0" w:line="300" w:lineRule="exact"/>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lang w:val="en-US" w:eastAsia="zh-CN"/>
                    </w:rPr>
                    <w:t>基地</w:t>
                  </w:r>
                  <w:r>
                    <w:rPr>
                      <w:rFonts w:hint="default" w:ascii="Times New Roman" w:hAnsi="Times New Roman" w:eastAsia="宋体" w:cs="Times New Roman"/>
                      <w:b w:val="0"/>
                      <w:bCs/>
                      <w:color w:val="auto"/>
                      <w:sz w:val="21"/>
                      <w:szCs w:val="21"/>
                    </w:rPr>
                    <w:t>开挖、平整、土石方存放及使用、建材运输、机械和车辆尾气</w:t>
                  </w:r>
                </w:p>
              </w:tc>
              <w:tc>
                <w:tcPr>
                  <w:tcW w:w="1708" w:type="pct"/>
                  <w:tcBorders>
                    <w:tl2br w:val="nil"/>
                    <w:tr2bl w:val="nil"/>
                  </w:tcBorders>
                  <w:noWrap w:val="0"/>
                  <w:vAlign w:val="center"/>
                </w:tcPr>
                <w:p w14:paraId="0347A250">
                  <w:pPr>
                    <w:keepNext w:val="0"/>
                    <w:keepLines w:val="0"/>
                    <w:suppressLineNumbers w:val="0"/>
                    <w:adjustRightInd w:val="0"/>
                    <w:snapToGrid w:val="0"/>
                    <w:spacing w:before="0" w:beforeAutospacing="0" w:after="0" w:afterAutospacing="0" w:line="300" w:lineRule="exact"/>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颗粒物、CO、THC、NO</w:t>
                  </w:r>
                  <w:r>
                    <w:rPr>
                      <w:rFonts w:hint="default" w:ascii="Times New Roman" w:hAnsi="Times New Roman" w:eastAsia="宋体" w:cs="Times New Roman"/>
                      <w:b w:val="0"/>
                      <w:bCs/>
                      <w:color w:val="auto"/>
                      <w:sz w:val="21"/>
                      <w:szCs w:val="21"/>
                      <w:vertAlign w:val="subscript"/>
                    </w:rPr>
                    <w:t>x</w:t>
                  </w:r>
                </w:p>
              </w:tc>
            </w:tr>
            <w:tr w14:paraId="28F51D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1" w:type="pct"/>
                  <w:tcBorders>
                    <w:tl2br w:val="nil"/>
                    <w:tr2bl w:val="nil"/>
                  </w:tcBorders>
                  <w:noWrap w:val="0"/>
                  <w:vAlign w:val="center"/>
                </w:tcPr>
                <w:p w14:paraId="4CEBFE21">
                  <w:pPr>
                    <w:keepNext w:val="0"/>
                    <w:keepLines w:val="0"/>
                    <w:suppressLineNumbers w:val="0"/>
                    <w:adjustRightInd w:val="0"/>
                    <w:snapToGrid w:val="0"/>
                    <w:spacing w:before="0" w:beforeAutospacing="0" w:after="0" w:afterAutospacing="0" w:line="300" w:lineRule="exact"/>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水环境</w:t>
                  </w:r>
                </w:p>
              </w:tc>
              <w:tc>
                <w:tcPr>
                  <w:tcW w:w="2470" w:type="pct"/>
                  <w:tcBorders>
                    <w:tl2br w:val="nil"/>
                    <w:tr2bl w:val="nil"/>
                  </w:tcBorders>
                  <w:noWrap w:val="0"/>
                  <w:vAlign w:val="center"/>
                </w:tcPr>
                <w:p w14:paraId="477B39A9">
                  <w:pPr>
                    <w:keepNext w:val="0"/>
                    <w:keepLines w:val="0"/>
                    <w:suppressLineNumbers w:val="0"/>
                    <w:adjustRightInd w:val="0"/>
                    <w:snapToGrid w:val="0"/>
                    <w:spacing w:before="0" w:beforeAutospacing="0" w:after="0" w:afterAutospacing="0" w:line="300" w:lineRule="exact"/>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施工人员生活、混凝土运输车、施工机械的冲洗及混凝土养护等废水</w:t>
                  </w:r>
                </w:p>
              </w:tc>
              <w:tc>
                <w:tcPr>
                  <w:tcW w:w="1708" w:type="pct"/>
                  <w:tcBorders>
                    <w:tl2br w:val="nil"/>
                    <w:tr2bl w:val="nil"/>
                  </w:tcBorders>
                  <w:noWrap w:val="0"/>
                  <w:vAlign w:val="center"/>
                </w:tcPr>
                <w:p w14:paraId="3947DA83">
                  <w:pPr>
                    <w:keepNext w:val="0"/>
                    <w:keepLines w:val="0"/>
                    <w:suppressLineNumbers w:val="0"/>
                    <w:adjustRightInd w:val="0"/>
                    <w:snapToGrid w:val="0"/>
                    <w:spacing w:before="0" w:beforeAutospacing="0" w:after="0" w:afterAutospacing="0" w:line="300" w:lineRule="exact"/>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SS、COD、氨氮、石油类</w:t>
                  </w:r>
                </w:p>
              </w:tc>
            </w:tr>
            <w:tr w14:paraId="3C48BC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1" w:type="pct"/>
                  <w:tcBorders>
                    <w:tl2br w:val="nil"/>
                    <w:tr2bl w:val="nil"/>
                  </w:tcBorders>
                  <w:noWrap w:val="0"/>
                  <w:vAlign w:val="center"/>
                </w:tcPr>
                <w:p w14:paraId="4FEE09F1">
                  <w:pPr>
                    <w:keepNext w:val="0"/>
                    <w:keepLines w:val="0"/>
                    <w:suppressLineNumbers w:val="0"/>
                    <w:adjustRightInd w:val="0"/>
                    <w:snapToGrid w:val="0"/>
                    <w:spacing w:before="0" w:beforeAutospacing="0" w:after="0" w:afterAutospacing="0" w:line="300" w:lineRule="exact"/>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声环境</w:t>
                  </w:r>
                </w:p>
              </w:tc>
              <w:tc>
                <w:tcPr>
                  <w:tcW w:w="2470" w:type="pct"/>
                  <w:tcBorders>
                    <w:tl2br w:val="nil"/>
                    <w:tr2bl w:val="nil"/>
                  </w:tcBorders>
                  <w:noWrap w:val="0"/>
                  <w:vAlign w:val="center"/>
                </w:tcPr>
                <w:p w14:paraId="674B7CC3">
                  <w:pPr>
                    <w:keepNext w:val="0"/>
                    <w:keepLines w:val="0"/>
                    <w:suppressLineNumbers w:val="0"/>
                    <w:adjustRightInd w:val="0"/>
                    <w:snapToGrid w:val="0"/>
                    <w:spacing w:before="0" w:beforeAutospacing="0" w:after="0" w:afterAutospacing="0" w:line="300" w:lineRule="exact"/>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施工机械作业、车辆运输噪声</w:t>
                  </w:r>
                </w:p>
              </w:tc>
              <w:tc>
                <w:tcPr>
                  <w:tcW w:w="1708" w:type="pct"/>
                  <w:tcBorders>
                    <w:tl2br w:val="nil"/>
                    <w:tr2bl w:val="nil"/>
                  </w:tcBorders>
                  <w:noWrap w:val="0"/>
                  <w:vAlign w:val="center"/>
                </w:tcPr>
                <w:p w14:paraId="50657EF1">
                  <w:pPr>
                    <w:keepNext w:val="0"/>
                    <w:keepLines w:val="0"/>
                    <w:suppressLineNumbers w:val="0"/>
                    <w:adjustRightInd w:val="0"/>
                    <w:snapToGrid w:val="0"/>
                    <w:spacing w:before="0" w:beforeAutospacing="0" w:after="0" w:afterAutospacing="0" w:line="300" w:lineRule="exact"/>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噪声</w:t>
                  </w:r>
                </w:p>
              </w:tc>
            </w:tr>
            <w:tr w14:paraId="0A487A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1" w:type="pct"/>
                  <w:tcBorders>
                    <w:tl2br w:val="nil"/>
                    <w:tr2bl w:val="nil"/>
                  </w:tcBorders>
                  <w:noWrap w:val="0"/>
                  <w:vAlign w:val="center"/>
                </w:tcPr>
                <w:p w14:paraId="176E4546">
                  <w:pPr>
                    <w:keepNext w:val="0"/>
                    <w:keepLines w:val="0"/>
                    <w:suppressLineNumbers w:val="0"/>
                    <w:adjustRightInd w:val="0"/>
                    <w:snapToGrid w:val="0"/>
                    <w:spacing w:before="0" w:beforeAutospacing="0" w:after="0" w:afterAutospacing="0" w:line="300" w:lineRule="exact"/>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生态环境</w:t>
                  </w:r>
                </w:p>
              </w:tc>
              <w:tc>
                <w:tcPr>
                  <w:tcW w:w="2470" w:type="pct"/>
                  <w:tcBorders>
                    <w:tl2br w:val="nil"/>
                    <w:tr2bl w:val="nil"/>
                  </w:tcBorders>
                  <w:noWrap w:val="0"/>
                  <w:vAlign w:val="center"/>
                </w:tcPr>
                <w:p w14:paraId="16511D60">
                  <w:pPr>
                    <w:keepNext w:val="0"/>
                    <w:keepLines w:val="0"/>
                    <w:suppressLineNumbers w:val="0"/>
                    <w:adjustRightInd w:val="0"/>
                    <w:snapToGrid w:val="0"/>
                    <w:spacing w:before="0" w:beforeAutospacing="0" w:after="0" w:afterAutospacing="0" w:line="300" w:lineRule="exact"/>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土地开挖、弃土弃渣处置、工程占地</w:t>
                  </w:r>
                </w:p>
              </w:tc>
              <w:tc>
                <w:tcPr>
                  <w:tcW w:w="1708" w:type="pct"/>
                  <w:tcBorders>
                    <w:tl2br w:val="nil"/>
                    <w:tr2bl w:val="nil"/>
                  </w:tcBorders>
                  <w:noWrap w:val="0"/>
                  <w:vAlign w:val="center"/>
                </w:tcPr>
                <w:p w14:paraId="5765B92F">
                  <w:pPr>
                    <w:keepNext w:val="0"/>
                    <w:keepLines w:val="0"/>
                    <w:suppressLineNumbers w:val="0"/>
                    <w:adjustRightInd w:val="0"/>
                    <w:snapToGrid w:val="0"/>
                    <w:spacing w:before="0" w:beforeAutospacing="0" w:after="0" w:afterAutospacing="0" w:line="300" w:lineRule="exact"/>
                    <w:ind w:left="0" w:right="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水土流失、植被破坏</w:t>
                  </w:r>
                </w:p>
              </w:tc>
            </w:tr>
          </w:tbl>
          <w:p w14:paraId="698F23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施工期生态环境影响分析</w:t>
            </w:r>
          </w:p>
          <w:p w14:paraId="07E286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对土地利用的影响分析</w:t>
            </w:r>
            <w:bookmarkStart w:id="6" w:name="OLE_LINK3"/>
          </w:p>
          <w:p w14:paraId="7B97D5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施工过程中的基础开挖对土地造成扰动影响，永久占地将使地表植被全部破坏，原地表土壤生态系统发生不可逆转变。本项目工程区域为其他草地，地表植被覆盖稀少，</w:t>
            </w:r>
            <w:r>
              <w:rPr>
                <w:rFonts w:hint="eastAsia" w:ascii="Times New Roman" w:hAnsi="Times New Roman" w:eastAsia="宋体" w:cs="Times New Roman"/>
                <w:color w:val="auto"/>
                <w:sz w:val="24"/>
                <w:lang w:val="en-US" w:eastAsia="zh-CN"/>
              </w:rPr>
              <w:t>根据现场查勘，本项目占地区域为盐碱地，不涉及植被破坏，</w:t>
            </w:r>
            <w:r>
              <w:rPr>
                <w:rFonts w:hint="default" w:ascii="Times New Roman" w:hAnsi="Times New Roman" w:eastAsia="宋体" w:cs="Times New Roman"/>
                <w:color w:val="auto"/>
                <w:sz w:val="24"/>
              </w:rPr>
              <w:t>施工后及时清理平整，恢复地貌，对周边的生态环境影响在可接受范围内。</w:t>
            </w:r>
          </w:p>
          <w:bookmarkEnd w:id="6"/>
          <w:p w14:paraId="003670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bookmarkStart w:id="7" w:name="_Toc6688"/>
            <w:bookmarkStart w:id="8" w:name="_Toc25580"/>
            <w:bookmarkStart w:id="9" w:name="_Toc6843"/>
            <w:bookmarkStart w:id="10" w:name="_Toc13059"/>
            <w:bookmarkStart w:id="11" w:name="_Toc75713140"/>
            <w:bookmarkStart w:id="12" w:name="_Toc67826161"/>
            <w:bookmarkStart w:id="13" w:name="_Toc15694"/>
            <w:bookmarkStart w:id="14" w:name="_Toc67825867"/>
            <w:r>
              <w:rPr>
                <w:rFonts w:hint="default" w:ascii="Times New Roman" w:hAnsi="Times New Roman" w:eastAsia="宋体" w:cs="Times New Roman"/>
                <w:color w:val="auto"/>
                <w:sz w:val="24"/>
              </w:rPr>
              <w:t>本项目设置施工临时占地，占地面积</w:t>
            </w:r>
            <w:r>
              <w:rPr>
                <w:rFonts w:hint="eastAsia" w:ascii="Times New Roman" w:hAnsi="Times New Roman" w:eastAsia="宋体" w:cs="Times New Roman"/>
                <w:color w:val="auto"/>
                <w:sz w:val="24"/>
                <w:lang w:val="en-US" w:eastAsia="zh-CN"/>
              </w:rPr>
              <w:t>28</w:t>
            </w:r>
            <w:r>
              <w:rPr>
                <w:rFonts w:hint="default" w:ascii="Times New Roman" w:hAnsi="Times New Roman" w:eastAsia="宋体" w:cs="Times New Roman"/>
                <w:color w:val="auto"/>
                <w:sz w:val="24"/>
              </w:rPr>
              <w:t>000m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全部位于光伏占地区域内，</w:t>
            </w:r>
            <w:r>
              <w:rPr>
                <w:rFonts w:hint="default" w:ascii="Times New Roman" w:hAnsi="Times New Roman" w:eastAsia="宋体" w:cs="Times New Roman"/>
                <w:color w:val="auto"/>
                <w:sz w:val="24"/>
              </w:rPr>
              <w:t>施工结束后施工临时建筑及施工期环保设施全部拆除，经采取恢复保护措施使其恢复至原有土地利用功能。因此，本项目施工期对土地利用功能影响不大。</w:t>
            </w:r>
          </w:p>
          <w:p w14:paraId="70ABF0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活动严格控制在征地范围内，尽可能减少对周围土地的破坏，考虑对进场道路与施工道路进行一次性规划，施工道路不再单独临时征用土地；施工道路应有固定路线，不要随意向两边拓展或单另开道，减少对土地的破坏、占用；光伏组件及电气设备必须严格按设计规划指定位置来</w:t>
            </w:r>
            <w:r>
              <w:rPr>
                <w:rFonts w:hint="eastAsia" w:ascii="Times New Roman" w:hAnsi="Times New Roman" w:eastAsia="宋体" w:cs="Times New Roman"/>
                <w:color w:val="auto"/>
                <w:sz w:val="24"/>
                <w:lang w:val="en-US" w:eastAsia="zh-CN"/>
              </w:rPr>
              <w:t>安置</w:t>
            </w:r>
            <w:r>
              <w:rPr>
                <w:rFonts w:hint="default" w:ascii="Times New Roman" w:hAnsi="Times New Roman" w:eastAsia="宋体" w:cs="Times New Roman"/>
                <w:color w:val="auto"/>
                <w:sz w:val="24"/>
              </w:rPr>
              <w:t>，各施工机械和设备不得随意堆放，以便能</w:t>
            </w:r>
            <w:r>
              <w:rPr>
                <w:rFonts w:hint="eastAsia" w:ascii="Times New Roman" w:hAnsi="Times New Roman" w:eastAsia="宋体" w:cs="Times New Roman"/>
                <w:color w:val="auto"/>
                <w:sz w:val="24"/>
                <w:lang w:eastAsia="zh-CN"/>
              </w:rPr>
              <w:t>有效地控制</w:t>
            </w:r>
            <w:r>
              <w:rPr>
                <w:rFonts w:hint="default" w:ascii="Times New Roman" w:hAnsi="Times New Roman" w:eastAsia="宋体" w:cs="Times New Roman"/>
                <w:color w:val="auto"/>
                <w:sz w:val="24"/>
              </w:rPr>
              <w:t>占地面积，更好</w:t>
            </w:r>
            <w:r>
              <w:rPr>
                <w:rFonts w:hint="eastAsia" w:ascii="Times New Roman" w:hAnsi="Times New Roman" w:eastAsia="宋体" w:cs="Times New Roman"/>
                <w:color w:val="auto"/>
                <w:sz w:val="24"/>
                <w:lang w:eastAsia="zh-CN"/>
              </w:rPr>
              <w:t>地</w:t>
            </w:r>
            <w:r>
              <w:rPr>
                <w:rFonts w:hint="default" w:ascii="Times New Roman" w:hAnsi="Times New Roman" w:eastAsia="宋体" w:cs="Times New Roman"/>
                <w:color w:val="auto"/>
                <w:sz w:val="24"/>
              </w:rPr>
              <w:t>保护原地貌。</w:t>
            </w:r>
          </w:p>
          <w:p w14:paraId="2BE383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植被影响分析</w:t>
            </w:r>
            <w:bookmarkEnd w:id="7"/>
            <w:bookmarkEnd w:id="8"/>
            <w:bookmarkEnd w:id="9"/>
            <w:bookmarkEnd w:id="10"/>
            <w:bookmarkEnd w:id="11"/>
            <w:bookmarkEnd w:id="12"/>
            <w:bookmarkEnd w:id="13"/>
            <w:bookmarkEnd w:id="14"/>
          </w:p>
          <w:p w14:paraId="2A098A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工程建设主要包括光伏区域施工、埋设通信电缆、集电线路、电池组件支架、箱变基础以及材料运输等人为活动。</w:t>
            </w:r>
            <w:r>
              <w:rPr>
                <w:rFonts w:hint="eastAsia" w:ascii="Times New Roman" w:hAnsi="Times New Roman" w:eastAsia="宋体" w:cs="Times New Roman"/>
                <w:color w:val="auto"/>
                <w:sz w:val="24"/>
                <w:lang w:val="en-US" w:eastAsia="zh-CN"/>
              </w:rPr>
              <w:t>项目区为盐碱地、地表裸露，无植被生长，因此施工过程对植被影响较小</w:t>
            </w:r>
            <w:r>
              <w:rPr>
                <w:rFonts w:hint="default" w:ascii="Times New Roman" w:hAnsi="Times New Roman" w:eastAsia="宋体" w:cs="Times New Roman"/>
                <w:color w:val="auto"/>
                <w:sz w:val="24"/>
              </w:rPr>
              <w:t>；本着因地制宜、节约用水和合理用水相结合原则，不开展植物绿化工作，采用自然恢复措施。</w:t>
            </w:r>
          </w:p>
          <w:p w14:paraId="59F3D8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项目所在区域土地利用类型为沙地，地表以砾石、碎石及细砂为主，地表裸露，植被覆盖极低，对植物影响很小。</w:t>
            </w:r>
          </w:p>
          <w:p w14:paraId="33366E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野生动物影响分析</w:t>
            </w:r>
          </w:p>
          <w:p w14:paraId="43B40A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机械噪声和人类活动噪声是影响野生动物的主要因素，各种施工机械如运输车辆、推土机等均可能产生较强的噪声。虽然这些施工机械属非连续性间歇排放，但由于噪声源相对集中，且多为裸露声源，故其有一定辐射范围。预计在施工期，本区的野生动物都将产生规避反应，迁往附近同类环境，动物迁徙能力强，且同类生境易于在附近找寻，故物种种群与数量不会受到明显影响。根据</w:t>
            </w:r>
            <w:r>
              <w:rPr>
                <w:rFonts w:hint="eastAsia" w:ascii="Times New Roman" w:hAnsi="Times New Roman" w:eastAsia="宋体" w:cs="Times New Roman"/>
                <w:color w:val="auto"/>
                <w:sz w:val="24"/>
                <w:lang w:val="en-US" w:eastAsia="zh-CN"/>
              </w:rPr>
              <w:t>调查</w:t>
            </w:r>
            <w:r>
              <w:rPr>
                <w:rFonts w:hint="default" w:ascii="Times New Roman" w:hAnsi="Times New Roman" w:eastAsia="宋体" w:cs="Times New Roman"/>
                <w:color w:val="auto"/>
                <w:sz w:val="24"/>
              </w:rPr>
              <w:t>，本区无大型野生动物，哺乳动物主要是鼠、兔等小型动物；同时根据调查，该区没有珍贵动物，也不是候鸟的栖息地和迁徙通道。因此，施工期对野生动物的影响很小。</w:t>
            </w:r>
          </w:p>
          <w:p w14:paraId="190FE8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施工期景观影响</w:t>
            </w:r>
          </w:p>
          <w:p w14:paraId="7521C7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由于基础开挖、土方临时堆存、施工道路、物料运输造成的扬尘、施工人员生活垃圾存放等问题，如果管理不当将会对局部景观造成一定的不良影响。通过采取围挡作业、分段施工、及时清运弃方、采取防尘抑尘措施、集中收集施工人员生活垃圾并及时清运处理等措施，可以使施工区域及时恢复原有自然面貌，将施工期造成的景观影响降至最小。</w:t>
            </w:r>
          </w:p>
          <w:p w14:paraId="3B7AF1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（5）土地沙化影响</w:t>
            </w:r>
          </w:p>
          <w:p w14:paraId="252771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本项目所在区域占地类型为沙地，项目建设过程中对原地貌的扰动将降低项目占地范围内的土壤抗侵蚀能力；此外，由于项目所在地，风沙较大，空气干燥，基本无地表植被覆盖，若未采取防尘网苫盖、洒水抑尘等措施，地表沙化的土壤及废土、废渣遇大风天气易产生严重的扬尘，形成沙尘天气。项目施工在采取相应防治措施后，对周围环境影响较小，同时施工期较短，施工结束后，影响即随之消除。</w:t>
            </w:r>
          </w:p>
          <w:p w14:paraId="691F60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对水土流失的影响分析</w:t>
            </w:r>
          </w:p>
          <w:p w14:paraId="71BC20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的水土流失产生时段主要集中在施工期，水土流失产生区域为光伏场区。在建设过程中由于扰动原地貌、破坏土壤结构、破坏地表植被等情况的发生，可能造成水土流失，破坏周边生态环境，引发一系列的环境问题。</w:t>
            </w:r>
          </w:p>
          <w:p w14:paraId="18B860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为保护项目区水土资源，减少和治理工程建设中的水土流失，本项目的水土保持工程措施主要有：地基开挖堆存采取临时</w:t>
            </w:r>
            <w:r>
              <w:rPr>
                <w:rFonts w:hint="eastAsia" w:ascii="Times New Roman" w:hAnsi="Times New Roman" w:eastAsia="宋体" w:cs="Times New Roman"/>
                <w:color w:val="auto"/>
                <w:sz w:val="24"/>
                <w:lang w:val="en-US" w:eastAsia="zh-CN"/>
              </w:rPr>
              <w:t>苫盖</w:t>
            </w:r>
            <w:r>
              <w:rPr>
                <w:rFonts w:hint="default" w:ascii="Times New Roman" w:hAnsi="Times New Roman" w:eastAsia="宋体" w:cs="Times New Roman"/>
                <w:color w:val="auto"/>
                <w:sz w:val="24"/>
              </w:rPr>
              <w:t>措施，防止遇风扬尘产生；光伏场区内对光伏方阵基座扰动地表区域，施工完毕后进行土地整治，返还表土，应尽量做到挖方、填方基本平衡等，有效治理因工程建设引起的水土流失，不会引起较大的水土流失影响。</w:t>
            </w:r>
          </w:p>
          <w:p w14:paraId="138B94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项目工程水土流失治理措施体系主要由工程措施、临时措施等构成。工程措施包括砾石压盖；临时措施为防尘网苫盖、洒水、彩钢板围栏。具体措施如下：</w:t>
            </w:r>
          </w:p>
          <w:p w14:paraId="75AA45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工程措施：基础回填后，采用砾石压盖防治地表水土流失；临时堆土采取自然稳定边坡堆放，并用防尘网苫盖，可根据施工时序重复使用防尘网。</w:t>
            </w:r>
          </w:p>
          <w:p w14:paraId="670245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临时措施：</w:t>
            </w:r>
            <w:r>
              <w:rPr>
                <w:rFonts w:hint="eastAsia" w:ascii="Times New Roman" w:hAnsi="Times New Roman" w:eastAsia="宋体" w:cs="Times New Roman"/>
                <w:color w:val="auto"/>
                <w:sz w:val="24"/>
                <w:lang w:val="en-US" w:eastAsia="zh-CN"/>
              </w:rPr>
              <w:t>采</w:t>
            </w:r>
            <w:r>
              <w:rPr>
                <w:rFonts w:hint="default" w:ascii="Times New Roman" w:hAnsi="Times New Roman" w:eastAsia="宋体" w:cs="Times New Roman"/>
                <w:color w:val="auto"/>
                <w:sz w:val="24"/>
              </w:rPr>
              <w:t>取临时堆土的自然稳定边坡堆放，在堆土场表面外围采取防尘网苫盖，表面压盖砾石块的临时防护措施。施工道路在使用过程中应及时洒水防护。</w:t>
            </w:r>
          </w:p>
          <w:p w14:paraId="4900B2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管理措施：①基础开挖形成的临时堆土按稳定边坡堆放，堆放高度控制在0.5m以下；②堆渣形成后必须及时采取平整，并将临时堆放的弃土表面拍实；③施工组织设计严密，安排好开挖与基础回填的连接施工工序，尽量减少从开挖到回填的堆放时间：④按照规定的路面宽度进行砾石压盖，同时及时洒水；⑤严格管理和控制车辆及重型机械的运行范围，所有车辆采用“—”</w:t>
            </w:r>
            <w:r>
              <w:rPr>
                <w:rFonts w:hint="eastAsia" w:ascii="Times New Roman" w:hAnsi="Times New Roman" w:eastAsia="宋体" w:cs="Times New Roman"/>
                <w:color w:val="auto"/>
                <w:sz w:val="24"/>
                <w:lang w:eastAsia="zh-CN"/>
              </w:rPr>
              <w:t>字形</w:t>
            </w:r>
            <w:r>
              <w:rPr>
                <w:rFonts w:hint="default" w:ascii="Times New Roman" w:hAnsi="Times New Roman" w:eastAsia="宋体" w:cs="Times New Roman"/>
                <w:color w:val="auto"/>
                <w:sz w:val="24"/>
              </w:rPr>
              <w:t>作业法，尽量缩小扰动范围，保护原始地表，使新增水土流失得到有效控制，保护和恢复本区域的生态环境。</w:t>
            </w:r>
          </w:p>
          <w:p w14:paraId="61090A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项目完工后，由施工单位对固体</w:t>
            </w:r>
            <w:r>
              <w:rPr>
                <w:rFonts w:hint="eastAsia" w:ascii="Times New Roman" w:hAnsi="Times New Roman" w:eastAsia="宋体" w:cs="Times New Roman"/>
                <w:color w:val="auto"/>
                <w:sz w:val="24"/>
                <w:lang w:val="en-US" w:eastAsia="zh-CN"/>
              </w:rPr>
              <w:t>废物</w:t>
            </w:r>
            <w:r>
              <w:rPr>
                <w:rFonts w:hint="default" w:ascii="Times New Roman" w:hAnsi="Times New Roman" w:eastAsia="宋体" w:cs="Times New Roman"/>
                <w:color w:val="auto"/>
                <w:sz w:val="24"/>
              </w:rPr>
              <w:t>进行清扫、集中，拉至指定垃圾场进行处理，待场地全部清理</w:t>
            </w:r>
            <w:r>
              <w:rPr>
                <w:rFonts w:hint="eastAsia" w:ascii="Times New Roman" w:hAnsi="Times New Roman" w:eastAsia="宋体" w:cs="Times New Roman"/>
                <w:color w:val="auto"/>
                <w:sz w:val="24"/>
                <w:lang w:eastAsia="zh-CN"/>
              </w:rPr>
              <w:t>完成</w:t>
            </w:r>
            <w:r>
              <w:rPr>
                <w:rFonts w:hint="default" w:ascii="Times New Roman" w:hAnsi="Times New Roman" w:eastAsia="宋体" w:cs="Times New Roman"/>
                <w:color w:val="auto"/>
                <w:sz w:val="24"/>
              </w:rPr>
              <w:t>后，经过1年的自然恢复期，地表可恢复到原始状态。</w:t>
            </w:r>
          </w:p>
          <w:p w14:paraId="54A223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综上分析，本项目建设不会改变区域内地表植被类型，不影响区域内野生动物的生存环境，不会影响区域生态系统的完整性。</w:t>
            </w:r>
          </w:p>
          <w:p w14:paraId="5E04FC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（7）生态系统完整性影响分析</w:t>
            </w:r>
          </w:p>
          <w:p w14:paraId="624EB3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项目施工期破坏地表植被，改变土地利用性质，加剧区域水土流失，打破了工程区已建立的相对稳定的生态系统平衡。从以下两方面分析对区域生态系统完整性的影响。</w:t>
            </w:r>
          </w:p>
          <w:p w14:paraId="519B92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1）恢复稳定性分析</w:t>
            </w:r>
          </w:p>
          <w:p w14:paraId="421D80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对区内生物生产力的影响主要来自碾压、扰动地貌、土地利用性质的改变破坏植被，从而使项目区内的生物生产力降低。项目实施后光伏板下可以种植植被，在施工结束后及时恢复植被后，项目区内因工程实施造成的生物生产力变化较小，总体上生物生产力基本仍处于原有水平，对项目区生态体系恢复稳定性影响较小。</w:t>
            </w:r>
          </w:p>
          <w:p w14:paraId="08FE29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2）阻抗稳定性分析</w:t>
            </w:r>
          </w:p>
          <w:p w14:paraId="0CFFD1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从生物多样性来讲，工程区无需保护的珍稀动植物资源，动植物类型均为区域常见物种，本项目的建设基本不会对生物多样性产生影响。</w:t>
            </w:r>
          </w:p>
          <w:p w14:paraId="4BED92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工程建设将改变原有的土地利用方式，将部分土地转为建设用地，但评价区物种多样性不高，且实际建设占地仅占总用地面积较小比例，工程建设基本不会改变原有陆生生物生境，物种数目不会有减少的可能，总体上生物多样性水平仍将维持原状，对生态系统的阻抗稳定性影响小。</w:t>
            </w:r>
          </w:p>
          <w:p w14:paraId="6CBDC9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综上所述，本工程建设不会导致物种的丧失，对天然植被、物种影响小，对整个生态体系的稳定性不构成明显影响。项目区生态体系阻抗稳定性仍将维持现状，对区域自然系统生态完整性和稳定性的影响较小。</w:t>
            </w:r>
          </w:p>
          <w:p w14:paraId="4CFA2C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施工期环境空气影响分析</w:t>
            </w:r>
          </w:p>
          <w:p w14:paraId="002513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大气污染物主要来自场地平整、基础挖填、箱式变电器基础挖填以及场内道路基础挖填等，物料堆放、装卸扬尘，车辆行驶的动力起尘及施工机械、车辆排放的废气以及施工临建食堂的油烟等，施工临时住房供暖采用电采暖，不会产生废气。</w:t>
            </w:r>
          </w:p>
          <w:p w14:paraId="6CC7DB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（1）施工扬尘影响</w:t>
            </w:r>
          </w:p>
          <w:p w14:paraId="5C8AD7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施工扬尘主要来自基础开挖及材料装卸等环节。据有关资料介绍，能产生扬尘的颗粒物粒径分布为：＜5</w:t>
            </w:r>
            <w:r>
              <w:rPr>
                <w:rFonts w:hint="default" w:ascii="Times New Roman" w:hAnsi="Times New Roman" w:eastAsia="宋体" w:cs="Times New Roman"/>
                <w:color w:val="auto"/>
                <w:sz w:val="24"/>
                <w:lang w:val="en-US" w:eastAsia="zh-CN"/>
              </w:rPr>
              <w:t>μm</w:t>
            </w:r>
            <w:r>
              <w:rPr>
                <w:rFonts w:hint="default" w:ascii="Times New Roman" w:hAnsi="Times New Roman" w:eastAsia="宋体" w:cs="Times New Roman"/>
                <w:color w:val="auto"/>
                <w:sz w:val="24"/>
              </w:rPr>
              <w:t>的占8%，5~20</w:t>
            </w:r>
            <w:r>
              <w:rPr>
                <w:rFonts w:hint="default" w:ascii="Times New Roman" w:hAnsi="Times New Roman" w:eastAsia="宋体" w:cs="Times New Roman"/>
                <w:color w:val="auto"/>
                <w:sz w:val="24"/>
                <w:lang w:val="en-US" w:eastAsia="zh-CN"/>
              </w:rPr>
              <w:t>μm</w:t>
            </w:r>
            <w:r>
              <w:rPr>
                <w:rFonts w:hint="default" w:ascii="Times New Roman" w:hAnsi="Times New Roman" w:eastAsia="宋体" w:cs="Times New Roman"/>
                <w:color w:val="auto"/>
                <w:sz w:val="24"/>
              </w:rPr>
              <w:t>的占24%。＞20</w:t>
            </w:r>
            <w:r>
              <w:rPr>
                <w:rFonts w:hint="default" w:ascii="Times New Roman" w:hAnsi="Times New Roman" w:eastAsia="宋体" w:cs="Times New Roman"/>
                <w:color w:val="auto"/>
                <w:sz w:val="24"/>
                <w:lang w:val="en-US" w:eastAsia="zh-CN"/>
              </w:rPr>
              <w:t>μm</w:t>
            </w:r>
            <w:r>
              <w:rPr>
                <w:rFonts w:hint="default" w:ascii="Times New Roman" w:hAnsi="Times New Roman" w:eastAsia="宋体" w:cs="Times New Roman"/>
                <w:color w:val="auto"/>
                <w:sz w:val="24"/>
              </w:rPr>
              <w:t>的占68%，施工区域有大量的颗粒物粒径在可产生扬尘的粒径范围内，极易造成粉尘污染。施工现场洒水后TSP浓度变化见表4-1。</w:t>
            </w:r>
          </w:p>
          <w:p w14:paraId="2D1D818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eastAsia" w:ascii="Times New Roman" w:hAnsi="Times New Roman" w:eastAsia="黑体" w:cs="Times New Roman"/>
                <w:color w:val="auto"/>
                <w:kern w:val="0"/>
                <w:sz w:val="21"/>
                <w:szCs w:val="24"/>
                <w:lang w:val="en-US" w:eastAsia="zh-CN" w:bidi="en-US"/>
              </w:rPr>
            </w:pPr>
            <w:r>
              <w:rPr>
                <w:rFonts w:hint="eastAsia" w:ascii="Times New Roman" w:hAnsi="Times New Roman" w:eastAsia="黑体" w:cs="Times New Roman"/>
                <w:color w:val="auto"/>
                <w:kern w:val="0"/>
                <w:sz w:val="21"/>
                <w:szCs w:val="24"/>
                <w:lang w:val="en-US" w:eastAsia="zh-CN" w:bidi="en-US"/>
              </w:rPr>
              <w:t>表4-1            施工现场洒水后TSP浓度变化一览表</w:t>
            </w:r>
          </w:p>
          <w:tbl>
            <w:tblPr>
              <w:tblStyle w:val="29"/>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03"/>
              <w:gridCol w:w="894"/>
              <w:gridCol w:w="895"/>
              <w:gridCol w:w="894"/>
              <w:gridCol w:w="895"/>
              <w:gridCol w:w="748"/>
              <w:gridCol w:w="1327"/>
            </w:tblGrid>
            <w:tr w14:paraId="5743E9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noWrap w:val="0"/>
                  <w:vAlign w:val="center"/>
                </w:tcPr>
                <w:p w14:paraId="44842633">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下风向距离（</w:t>
                  </w:r>
                  <w:r>
                    <w:rPr>
                      <w:rFonts w:hint="eastAsia"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rPr>
                    <w:t>）</w:t>
                  </w:r>
                </w:p>
              </w:tc>
              <w:tc>
                <w:tcPr>
                  <w:tcW w:w="764" w:type="dxa"/>
                  <w:noWrap w:val="0"/>
                  <w:vAlign w:val="center"/>
                </w:tcPr>
                <w:p w14:paraId="52E34E5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765" w:type="dxa"/>
                  <w:noWrap w:val="0"/>
                  <w:vAlign w:val="center"/>
                </w:tcPr>
                <w:p w14:paraId="5F01CAAB">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764" w:type="dxa"/>
                  <w:noWrap w:val="0"/>
                  <w:vAlign w:val="center"/>
                </w:tcPr>
                <w:p w14:paraId="562C691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765" w:type="dxa"/>
                  <w:noWrap w:val="0"/>
                  <w:vAlign w:val="center"/>
                </w:tcPr>
                <w:p w14:paraId="0EB8B61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639" w:type="dxa"/>
                  <w:noWrap w:val="0"/>
                  <w:vAlign w:val="center"/>
                </w:tcPr>
                <w:p w14:paraId="74040820">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c>
                <w:tcPr>
                  <w:tcW w:w="1134" w:type="dxa"/>
                  <w:vMerge w:val="restart"/>
                  <w:noWrap w:val="0"/>
                  <w:vAlign w:val="center"/>
                </w:tcPr>
                <w:p w14:paraId="7ABE015D">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rPr>
                    <w:t>T</w:t>
                  </w:r>
                  <w:r>
                    <w:rPr>
                      <w:rFonts w:hint="default" w:ascii="Times New Roman" w:hAnsi="Times New Roman" w:cs="Times New Roman"/>
                      <w:color w:val="auto"/>
                      <w:sz w:val="21"/>
                      <w:szCs w:val="21"/>
                    </w:rPr>
                    <w:t>SP日均值标准为0.3</w:t>
                  </w:r>
                  <w:r>
                    <w:rPr>
                      <w:rFonts w:hint="eastAsia" w:ascii="Times New Roman" w:hAnsi="Times New Roman" w:cs="Times New Roman"/>
                      <w:color w:val="auto"/>
                      <w:sz w:val="21"/>
                      <w:szCs w:val="21"/>
                      <w:lang w:val="en-US" w:eastAsia="zh-CN"/>
                    </w:rPr>
                    <w:t>mg/m</w:t>
                  </w:r>
                  <w:r>
                    <w:rPr>
                      <w:rFonts w:hint="eastAsia" w:ascii="Times New Roman" w:hAnsi="Times New Roman" w:cs="Times New Roman"/>
                      <w:color w:val="auto"/>
                      <w:sz w:val="21"/>
                      <w:szCs w:val="21"/>
                      <w:vertAlign w:val="superscript"/>
                      <w:lang w:val="en-US" w:eastAsia="zh-CN"/>
                    </w:rPr>
                    <w:t>3</w:t>
                  </w:r>
                </w:p>
              </w:tc>
            </w:tr>
            <w:tr w14:paraId="47625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noWrap w:val="0"/>
                  <w:vAlign w:val="center"/>
                </w:tcPr>
                <w:p w14:paraId="418242E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不洒水</w:t>
                  </w:r>
                  <w:r>
                    <w:rPr>
                      <w:rFonts w:hint="eastAsia" w:ascii="Times New Roman" w:hAnsi="Times New Roman" w:cs="Times New Roman"/>
                      <w:color w:val="auto"/>
                      <w:sz w:val="21"/>
                      <w:szCs w:val="21"/>
                    </w:rPr>
                    <w:t>T</w:t>
                  </w:r>
                  <w:r>
                    <w:rPr>
                      <w:rFonts w:hint="default" w:ascii="Times New Roman" w:hAnsi="Times New Roman" w:cs="Times New Roman"/>
                      <w:color w:val="auto"/>
                      <w:sz w:val="21"/>
                      <w:szCs w:val="21"/>
                    </w:rPr>
                    <w:t>SP浓度（</w:t>
                  </w:r>
                  <w:r>
                    <w:rPr>
                      <w:rFonts w:hint="eastAsia" w:ascii="Times New Roman" w:hAnsi="Times New Roman" w:cs="Times New Roman"/>
                      <w:color w:val="auto"/>
                      <w:sz w:val="21"/>
                      <w:szCs w:val="21"/>
                      <w:lang w:val="en-US" w:eastAsia="zh-CN"/>
                    </w:rPr>
                    <w:t>mg/m</w:t>
                  </w:r>
                  <w:r>
                    <w:rPr>
                      <w:rFonts w:hint="eastAsia"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rPr>
                    <w:t>）</w:t>
                  </w:r>
                </w:p>
              </w:tc>
              <w:tc>
                <w:tcPr>
                  <w:tcW w:w="764" w:type="dxa"/>
                  <w:noWrap w:val="0"/>
                  <w:vAlign w:val="center"/>
                </w:tcPr>
                <w:p w14:paraId="7A81143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1.75</w:t>
                  </w:r>
                </w:p>
              </w:tc>
              <w:tc>
                <w:tcPr>
                  <w:tcW w:w="765" w:type="dxa"/>
                  <w:noWrap w:val="0"/>
                  <w:vAlign w:val="center"/>
                </w:tcPr>
                <w:p w14:paraId="371FF35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1.30</w:t>
                  </w:r>
                </w:p>
              </w:tc>
              <w:tc>
                <w:tcPr>
                  <w:tcW w:w="764" w:type="dxa"/>
                  <w:noWrap w:val="0"/>
                  <w:vAlign w:val="center"/>
                </w:tcPr>
                <w:p w14:paraId="3E77802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0.780</w:t>
                  </w:r>
                </w:p>
              </w:tc>
              <w:tc>
                <w:tcPr>
                  <w:tcW w:w="765" w:type="dxa"/>
                  <w:noWrap w:val="0"/>
                  <w:vAlign w:val="center"/>
                </w:tcPr>
                <w:p w14:paraId="03A7D921">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0.365</w:t>
                  </w:r>
                </w:p>
              </w:tc>
              <w:tc>
                <w:tcPr>
                  <w:tcW w:w="639" w:type="dxa"/>
                  <w:noWrap w:val="0"/>
                  <w:vAlign w:val="center"/>
                </w:tcPr>
                <w:p w14:paraId="34FEE38E">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0.345</w:t>
                  </w:r>
                </w:p>
              </w:tc>
              <w:tc>
                <w:tcPr>
                  <w:tcW w:w="1134" w:type="dxa"/>
                  <w:vMerge w:val="continue"/>
                  <w:noWrap w:val="0"/>
                  <w:vAlign w:val="center"/>
                </w:tcPr>
                <w:p w14:paraId="07C16B8F">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r>
            <w:tr w14:paraId="35A6ED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noWrap w:val="0"/>
                  <w:vAlign w:val="center"/>
                </w:tcPr>
                <w:p w14:paraId="132819DC">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洒水后</w:t>
                  </w:r>
                  <w:r>
                    <w:rPr>
                      <w:rFonts w:hint="eastAsia" w:ascii="Times New Roman" w:hAnsi="Times New Roman" w:cs="Times New Roman"/>
                      <w:color w:val="auto"/>
                      <w:sz w:val="21"/>
                      <w:szCs w:val="21"/>
                    </w:rPr>
                    <w:t>T</w:t>
                  </w:r>
                  <w:r>
                    <w:rPr>
                      <w:rFonts w:hint="default" w:ascii="Times New Roman" w:hAnsi="Times New Roman" w:cs="Times New Roman"/>
                      <w:color w:val="auto"/>
                      <w:sz w:val="21"/>
                      <w:szCs w:val="21"/>
                    </w:rPr>
                    <w:t>SP浓度（</w:t>
                  </w:r>
                  <w:r>
                    <w:rPr>
                      <w:rFonts w:hint="eastAsia" w:ascii="Times New Roman" w:hAnsi="Times New Roman" w:cs="Times New Roman"/>
                      <w:color w:val="auto"/>
                      <w:sz w:val="21"/>
                      <w:szCs w:val="21"/>
                      <w:lang w:val="en-US" w:eastAsia="zh-CN"/>
                    </w:rPr>
                    <w:t>mg/m</w:t>
                  </w:r>
                  <w:r>
                    <w:rPr>
                      <w:rFonts w:hint="eastAsia"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rPr>
                    <w:t>）</w:t>
                  </w:r>
                </w:p>
              </w:tc>
              <w:tc>
                <w:tcPr>
                  <w:tcW w:w="764" w:type="dxa"/>
                  <w:noWrap w:val="0"/>
                  <w:vAlign w:val="center"/>
                </w:tcPr>
                <w:p w14:paraId="2D5BC469">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0.437</w:t>
                  </w:r>
                </w:p>
              </w:tc>
              <w:tc>
                <w:tcPr>
                  <w:tcW w:w="765" w:type="dxa"/>
                  <w:noWrap w:val="0"/>
                  <w:vAlign w:val="center"/>
                </w:tcPr>
                <w:p w14:paraId="7C58A587">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0.350</w:t>
                  </w:r>
                </w:p>
              </w:tc>
              <w:tc>
                <w:tcPr>
                  <w:tcW w:w="764" w:type="dxa"/>
                  <w:noWrap w:val="0"/>
                  <w:vAlign w:val="center"/>
                </w:tcPr>
                <w:p w14:paraId="2D29DC76">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0.310</w:t>
                  </w:r>
                </w:p>
              </w:tc>
              <w:tc>
                <w:tcPr>
                  <w:tcW w:w="765" w:type="dxa"/>
                  <w:noWrap w:val="0"/>
                  <w:vAlign w:val="center"/>
                </w:tcPr>
                <w:p w14:paraId="0D118D24">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0.265</w:t>
                  </w:r>
                </w:p>
              </w:tc>
              <w:tc>
                <w:tcPr>
                  <w:tcW w:w="639" w:type="dxa"/>
                  <w:noWrap w:val="0"/>
                  <w:vAlign w:val="center"/>
                </w:tcPr>
                <w:p w14:paraId="612768F8">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0.250</w:t>
                  </w:r>
                </w:p>
              </w:tc>
              <w:tc>
                <w:tcPr>
                  <w:tcW w:w="1134" w:type="dxa"/>
                  <w:vMerge w:val="continue"/>
                  <w:noWrap w:val="0"/>
                  <w:vAlign w:val="center"/>
                </w:tcPr>
                <w:p w14:paraId="21984B7A">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r>
          </w:tbl>
          <w:p w14:paraId="255C42A9">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由上表可看出，在不采取任何防护措施的情况下，施工现场下风向TSP浓度随距离增加迅速降低，约40</w:t>
            </w:r>
            <w:r>
              <w:rPr>
                <w:rFonts w:hint="eastAsia"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rPr>
              <w:t>后其浓度基本稳定；但不能满足《环境空气质量标准》（GB3095-20</w:t>
            </w:r>
            <w:r>
              <w:rPr>
                <w:rFonts w:hint="eastAsia" w:ascii="Times New Roman" w:hAnsi="Times New Roman" w:eastAsia="宋体" w:cs="Times New Roman"/>
                <w:color w:val="auto"/>
                <w:sz w:val="24"/>
                <w:lang w:val="en-US" w:eastAsia="zh-CN"/>
              </w:rPr>
              <w:t>26</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中</w:t>
            </w:r>
            <w:r>
              <w:rPr>
                <w:rFonts w:hint="default" w:ascii="Times New Roman" w:hAnsi="Times New Roman" w:eastAsia="宋体" w:cs="Times New Roman"/>
                <w:color w:val="auto"/>
                <w:sz w:val="24"/>
              </w:rPr>
              <w:t>二级标准</w:t>
            </w:r>
            <w:r>
              <w:rPr>
                <w:rFonts w:hint="eastAsia" w:ascii="Times New Roman" w:hAnsi="Times New Roman" w:eastAsia="宋体" w:cs="Times New Roman"/>
                <w:color w:val="auto"/>
                <w:sz w:val="24"/>
                <w:lang w:val="en-US" w:eastAsia="zh-CN"/>
              </w:rPr>
              <w:t>限值</w:t>
            </w:r>
            <w:r>
              <w:rPr>
                <w:rFonts w:hint="default" w:ascii="Times New Roman" w:hAnsi="Times New Roman" w:eastAsia="宋体" w:cs="Times New Roman"/>
                <w:color w:val="auto"/>
                <w:sz w:val="24"/>
              </w:rPr>
              <w:t>（TSP日均值标准为0.3</w:t>
            </w:r>
            <w:r>
              <w:rPr>
                <w:rFonts w:hint="eastAsia" w:ascii="Times New Roman" w:hAnsi="Times New Roman" w:eastAsia="宋体" w:cs="Times New Roman"/>
                <w:color w:val="auto"/>
                <w:sz w:val="24"/>
                <w:lang w:val="en-US" w:eastAsia="zh-CN"/>
              </w:rPr>
              <w:t>mg/m</w:t>
            </w:r>
            <w:r>
              <w:rPr>
                <w:rFonts w:hint="eastAsia"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rPr>
              <w:t>）。采取洒水抑尘措施后，TSP浓度显著降低，下风向30</w:t>
            </w:r>
            <w:r>
              <w:rPr>
                <w:rFonts w:hint="eastAsia"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rPr>
              <w:t>外可满足《环境空气质量标准》（GB3095-20</w:t>
            </w:r>
            <w:r>
              <w:rPr>
                <w:rFonts w:hint="eastAsia" w:ascii="Times New Roman" w:hAnsi="Times New Roman" w:eastAsia="宋体" w:cs="Times New Roman"/>
                <w:color w:val="auto"/>
                <w:sz w:val="24"/>
                <w:lang w:val="en-US" w:eastAsia="zh-CN"/>
              </w:rPr>
              <w:t>26</w:t>
            </w:r>
            <w:r>
              <w:rPr>
                <w:rFonts w:hint="default" w:ascii="Times New Roman" w:hAnsi="Times New Roman" w:eastAsia="宋体" w:cs="Times New Roman"/>
                <w:color w:val="auto"/>
                <w:sz w:val="24"/>
              </w:rPr>
              <w:t>）二级标准</w:t>
            </w:r>
            <w:r>
              <w:rPr>
                <w:rFonts w:hint="eastAsia" w:ascii="Times New Roman" w:hAnsi="Times New Roman" w:eastAsia="宋体" w:cs="Times New Roman"/>
                <w:color w:val="auto"/>
                <w:sz w:val="24"/>
                <w:lang w:val="en-US" w:eastAsia="zh-CN"/>
              </w:rPr>
              <w:t>限值</w:t>
            </w:r>
            <w:r>
              <w:rPr>
                <w:rFonts w:hint="default" w:ascii="Times New Roman" w:hAnsi="Times New Roman" w:eastAsia="宋体" w:cs="Times New Roman"/>
                <w:color w:val="auto"/>
                <w:sz w:val="24"/>
              </w:rPr>
              <w:t>。</w:t>
            </w:r>
          </w:p>
          <w:p w14:paraId="45D3C4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（2）运输扬尘影响</w:t>
            </w:r>
          </w:p>
          <w:p w14:paraId="43289A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物料运输扬尘会对沿线的空气环境造成影响。汽车在运输过程中带起的路面扬尘和发生原料散落而引起的扬尘，其产生量的大小与车速、路面状况及季节干湿等因素有关。在天气干燥季节，由于运输引起的扬尘污染较重，而在湿润天气扬尘污染较轻。在同样路面清洁情况下，车速越快，扬尘量越大；而在同样车速情况下，路面清洁度越差，扬尘量越大。根据类比调查，一般情况下，施工场地、施工道路在自然风作用下产生的扬尘所影响的范围在100</w:t>
            </w:r>
            <w:r>
              <w:rPr>
                <w:rFonts w:hint="eastAsia"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rPr>
              <w:t>以内。因此</w:t>
            </w:r>
            <w:r>
              <w:rPr>
                <w:rFonts w:hint="eastAsia" w:ascii="Times New Roman" w:hAnsi="Times New Roman" w:eastAsia="宋体" w:cs="Times New Roman"/>
                <w:color w:val="auto"/>
                <w:sz w:val="24"/>
                <w:lang w:eastAsia="zh-CN"/>
              </w:rPr>
              <w:t>限制</w:t>
            </w:r>
            <w:r>
              <w:rPr>
                <w:rFonts w:hint="default" w:ascii="Times New Roman" w:hAnsi="Times New Roman" w:eastAsia="宋体" w:cs="Times New Roman"/>
                <w:color w:val="auto"/>
                <w:sz w:val="24"/>
              </w:rPr>
              <w:t>车辆行驶速度以及保持路面清洁是减少汽车扬尘的最有效手段。</w:t>
            </w:r>
          </w:p>
          <w:p w14:paraId="4B1EBB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（3）作业机械废气影响</w:t>
            </w:r>
          </w:p>
          <w:p w14:paraId="33EB98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施工机械（主要包括挖掘机、压路机、推土机、吊车等）及运输车辆产生的尾气对局部</w:t>
            </w:r>
            <w:r>
              <w:rPr>
                <w:rFonts w:hint="eastAsia" w:ascii="Times New Roman" w:hAnsi="Times New Roman" w:eastAsia="宋体" w:cs="Times New Roman"/>
                <w:color w:val="auto"/>
                <w:sz w:val="24"/>
                <w:lang w:eastAsia="zh-CN"/>
              </w:rPr>
              <w:t>大气环境</w:t>
            </w:r>
            <w:r>
              <w:rPr>
                <w:rFonts w:hint="default" w:ascii="Times New Roman" w:hAnsi="Times New Roman" w:eastAsia="宋体" w:cs="Times New Roman"/>
                <w:color w:val="auto"/>
                <w:sz w:val="24"/>
              </w:rPr>
              <w:t>会造成影响，其主要污染物为NOx、CO和HC。施工期应加强施工机械和车辆管理，经常对施工机械和车辆进行保养和维护，减少废气的排放。施工机械及车辆产生的污染物排放量较小，排放高度较低，排放方式为间断，主要局限于施工作业场区，且为暂时性的，故作业机械废气对周围环境的影响较小。</w:t>
            </w:r>
          </w:p>
          <w:p w14:paraId="2A6079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（4）施工临建食堂油烟的影响</w:t>
            </w:r>
          </w:p>
          <w:p w14:paraId="06A25D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本项目施工高峰期人员为</w:t>
            </w:r>
            <w:r>
              <w:rPr>
                <w:rFonts w:hint="eastAsia" w:ascii="Times New Roman" w:hAnsi="Times New Roman" w:eastAsia="宋体" w:cs="Times New Roman"/>
                <w:color w:val="auto"/>
                <w:sz w:val="24"/>
                <w:lang w:val="en-US" w:eastAsia="zh-CN"/>
              </w:rPr>
              <w:t>1300</w:t>
            </w:r>
            <w:r>
              <w:rPr>
                <w:rFonts w:hint="default" w:ascii="Times New Roman" w:hAnsi="Times New Roman" w:eastAsia="宋体" w:cs="Times New Roman"/>
                <w:color w:val="auto"/>
                <w:sz w:val="24"/>
              </w:rPr>
              <w:t>人，项目设置食堂，食堂将产生烹饪油烟。研究表明，烹调油烟气具致突变性，在烹调油烟气中检测到的成分有300多种，具体成分因烹饪条件不同而各异，主要有脂肪酸、烷烃、烯烃、醛、酮、醇、酯、芳香化合物和杂环化合物等，其中至少有数十种危害人体健康。</w:t>
            </w:r>
          </w:p>
          <w:p w14:paraId="4CF829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根据中国营养学会制定的《中国居民平衡膳食宝塔》，专家建议成年人每人每天摄取的油脂别超过25</w:t>
            </w:r>
            <w:r>
              <w:rPr>
                <w:rFonts w:hint="eastAsia" w:ascii="Times New Roman" w:hAnsi="Times New Roman" w:eastAsia="宋体" w:cs="Times New Roman"/>
                <w:color w:val="auto"/>
                <w:sz w:val="24"/>
                <w:lang w:val="en-US" w:eastAsia="zh-CN"/>
              </w:rPr>
              <w:t>g</w:t>
            </w:r>
            <w:r>
              <w:rPr>
                <w:rFonts w:hint="default" w:ascii="Times New Roman" w:hAnsi="Times New Roman" w:eastAsia="宋体" w:cs="Times New Roman"/>
                <w:color w:val="auto"/>
                <w:sz w:val="24"/>
              </w:rPr>
              <w:t>。但全国人均值基本在44</w:t>
            </w:r>
            <w:r>
              <w:rPr>
                <w:rFonts w:hint="eastAsia" w:ascii="Times New Roman" w:hAnsi="Times New Roman" w:eastAsia="宋体" w:cs="Times New Roman"/>
                <w:color w:val="auto"/>
                <w:sz w:val="24"/>
                <w:lang w:val="en-US" w:eastAsia="zh-CN"/>
              </w:rPr>
              <w:t>g</w:t>
            </w:r>
            <w:r>
              <w:rPr>
                <w:rFonts w:hint="default" w:ascii="Times New Roman" w:hAnsi="Times New Roman" w:eastAsia="宋体" w:cs="Times New Roman"/>
                <w:color w:val="auto"/>
                <w:sz w:val="24"/>
              </w:rPr>
              <w:t>以上。类比同类报告本次环评人均用油量按50</w:t>
            </w:r>
            <w:r>
              <w:rPr>
                <w:rFonts w:hint="eastAsia" w:ascii="Times New Roman" w:hAnsi="Times New Roman" w:eastAsia="宋体" w:cs="Times New Roman"/>
                <w:color w:val="auto"/>
                <w:sz w:val="24"/>
                <w:lang w:val="en-US" w:eastAsia="zh-CN"/>
              </w:rPr>
              <w:t>g/d</w:t>
            </w:r>
            <w:r>
              <w:rPr>
                <w:rFonts w:hint="default" w:ascii="Times New Roman" w:hAnsi="Times New Roman" w:eastAsia="宋体" w:cs="Times New Roman"/>
                <w:color w:val="auto"/>
                <w:sz w:val="24"/>
              </w:rPr>
              <w:t>计，项目施工期人员最大为</w:t>
            </w:r>
            <w:r>
              <w:rPr>
                <w:rFonts w:hint="eastAsia" w:ascii="Times New Roman" w:hAnsi="Times New Roman" w:eastAsia="宋体" w:cs="Times New Roman"/>
                <w:color w:val="auto"/>
                <w:sz w:val="24"/>
                <w:lang w:val="en-US" w:eastAsia="zh-CN"/>
              </w:rPr>
              <w:t>1300</w:t>
            </w:r>
            <w:r>
              <w:rPr>
                <w:rFonts w:hint="default" w:ascii="Times New Roman" w:hAnsi="Times New Roman" w:eastAsia="宋体" w:cs="Times New Roman"/>
                <w:color w:val="auto"/>
                <w:sz w:val="24"/>
              </w:rPr>
              <w:t>人，则食用油用量约为</w:t>
            </w:r>
            <w:r>
              <w:rPr>
                <w:rFonts w:hint="eastAsia" w:ascii="Times New Roman" w:hAnsi="Times New Roman" w:eastAsia="宋体" w:cs="Times New Roman"/>
                <w:color w:val="auto"/>
                <w:sz w:val="24"/>
                <w:lang w:val="en-US" w:eastAsia="zh-CN"/>
              </w:rPr>
              <w:t>65kg/d</w:t>
            </w:r>
            <w:r>
              <w:rPr>
                <w:rFonts w:hint="default" w:ascii="Times New Roman" w:hAnsi="Times New Roman" w:eastAsia="宋体" w:cs="Times New Roman"/>
                <w:color w:val="auto"/>
                <w:sz w:val="24"/>
              </w:rPr>
              <w:t>，一般油烟和油的挥发量占总耗油量的2%～4%之间，取其均值3%，则油烟的产生量约为</w:t>
            </w:r>
            <w:r>
              <w:rPr>
                <w:rFonts w:hint="eastAsia" w:ascii="Times New Roman" w:hAnsi="Times New Roman" w:eastAsia="宋体" w:cs="Times New Roman"/>
                <w:color w:val="auto"/>
                <w:sz w:val="24"/>
                <w:lang w:val="en-US" w:eastAsia="zh-CN"/>
              </w:rPr>
              <w:t>1.95kg/d</w:t>
            </w:r>
            <w:r>
              <w:rPr>
                <w:rFonts w:hint="default" w:ascii="Times New Roman" w:hAnsi="Times New Roman" w:eastAsia="宋体" w:cs="Times New Roman"/>
                <w:color w:val="auto"/>
                <w:sz w:val="24"/>
              </w:rPr>
              <w:t>，要求食堂设置油烟净化器，对产生的油烟处置后外排，需满足《饮食业油烟排放标准（试行）》（GB18483-2001）中最高允许排放浓度2.0</w:t>
            </w:r>
            <w:r>
              <w:rPr>
                <w:rFonts w:hint="eastAsia" w:ascii="Times New Roman" w:hAnsi="Times New Roman" w:eastAsia="宋体" w:cs="Times New Roman"/>
                <w:color w:val="auto"/>
                <w:sz w:val="24"/>
                <w:lang w:val="en-US" w:eastAsia="zh-CN"/>
              </w:rPr>
              <w:t>mg/m</w:t>
            </w:r>
            <w:r>
              <w:rPr>
                <w:rFonts w:hint="eastAsia"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rPr>
              <w:t>要求。</w:t>
            </w:r>
          </w:p>
          <w:p w14:paraId="46B1CE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焊接烟尘</w:t>
            </w:r>
          </w:p>
          <w:p w14:paraId="1717EE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支架焊接过程有焊接烟尘产生，施工期焊接烟尘无法进行集中收集，焊接烟尘呈无组织形式排放，由于焊接部位较少，因此焊接烟尘产生量较少；且焊接为间断性过程、项目周边地形开阔，具有良好的空气扩散条件，烟气扩散较快，对周边环境空气影响较小。</w:t>
            </w:r>
          </w:p>
          <w:p w14:paraId="0D0DC1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施工废气大部分以无组织的形式扩散，在做好上述防护措施的前提下，施工废气对区域空气环境的影响较小，且施工期造成的污染是短期的、局部的，随着施工的结束，这些影响也随之消失，不会对周边敏感点和环境空气质量产生较大影响。</w:t>
            </w:r>
          </w:p>
          <w:p w14:paraId="2F124D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施工期废水影响分析</w:t>
            </w:r>
          </w:p>
          <w:p w14:paraId="58E21E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本项目施工期间产生的废污水主要</w:t>
            </w:r>
            <w:r>
              <w:rPr>
                <w:rFonts w:hint="eastAsia" w:ascii="Times New Roman" w:hAnsi="Times New Roman" w:eastAsia="宋体" w:cs="Times New Roman"/>
                <w:color w:val="auto"/>
                <w:sz w:val="24"/>
                <w:lang w:eastAsia="zh-CN"/>
              </w:rPr>
              <w:t>来自</w:t>
            </w:r>
            <w:r>
              <w:rPr>
                <w:rFonts w:hint="default" w:ascii="Times New Roman" w:hAnsi="Times New Roman" w:eastAsia="宋体" w:cs="Times New Roman"/>
                <w:color w:val="auto"/>
                <w:sz w:val="24"/>
              </w:rPr>
              <w:t>施工废水及施工人员生活污水。</w:t>
            </w:r>
          </w:p>
          <w:p w14:paraId="43D58A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施工废水</w:t>
            </w:r>
          </w:p>
          <w:p w14:paraId="66DAC2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工程所需砂石料拟从附近乡镇采石场、采砂场直接购买，施工区内不设置砂石料加工系统，因此没有机修废水、砂石冲洗废水产生。商品混凝土从附近商混站购买，现场不设置混凝土</w:t>
            </w:r>
            <w:r>
              <w:rPr>
                <w:rFonts w:hint="eastAsia" w:ascii="Times New Roman" w:hAnsi="Times New Roman" w:eastAsia="宋体" w:cs="Times New Roman"/>
                <w:color w:val="auto"/>
                <w:sz w:val="24"/>
                <w:lang w:eastAsia="zh-CN"/>
              </w:rPr>
              <w:t>拌和站</w:t>
            </w:r>
            <w:r>
              <w:rPr>
                <w:rFonts w:hint="default" w:ascii="Times New Roman" w:hAnsi="Times New Roman" w:eastAsia="宋体" w:cs="Times New Roman"/>
                <w:color w:val="auto"/>
                <w:sz w:val="24"/>
              </w:rPr>
              <w:t>；运输车辆清洗均在各原料供应商厂进出口完成，项目区内不产生运输车辆清洗废水。</w:t>
            </w:r>
          </w:p>
          <w:p w14:paraId="2D599D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用水主要包括生产用水和生活用水，生产用水包括混凝土养护用水及路面洒水，项目光伏板、箱变等基础采用混凝土直接浇筑的方式施工，浇筑后表面洒水润湿进行养护，养护方法为先吸水材料覆盖混凝土再在吸水材料上洒，根据</w:t>
            </w:r>
            <w:r>
              <w:rPr>
                <w:rFonts w:hint="eastAsia" w:ascii="Times New Roman" w:hAnsi="Times New Roman" w:eastAsia="宋体" w:cs="Times New Roman"/>
                <w:color w:val="auto"/>
                <w:sz w:val="24"/>
                <w:lang w:val="en-US" w:eastAsia="zh-CN"/>
              </w:rPr>
              <w:t>吸</w:t>
            </w:r>
            <w:r>
              <w:rPr>
                <w:rFonts w:hint="default" w:ascii="Times New Roman" w:hAnsi="Times New Roman" w:eastAsia="宋体" w:cs="Times New Roman"/>
                <w:color w:val="auto"/>
                <w:sz w:val="24"/>
              </w:rPr>
              <w:t>收和蒸发情况适时补充。养护过程中大部分养护水被混凝土吸收或蒸发，不会因漫流而对区域地下</w:t>
            </w:r>
            <w:r>
              <w:rPr>
                <w:rFonts w:hint="eastAsia" w:ascii="Times New Roman" w:hAnsi="Times New Roman" w:eastAsia="宋体" w:cs="Times New Roman"/>
                <w:color w:val="auto"/>
                <w:sz w:val="24"/>
                <w:lang w:val="en-US" w:eastAsia="zh-CN"/>
              </w:rPr>
              <w:t>水</w:t>
            </w:r>
            <w:r>
              <w:rPr>
                <w:rFonts w:hint="default" w:ascii="Times New Roman" w:hAnsi="Times New Roman" w:eastAsia="宋体" w:cs="Times New Roman"/>
                <w:color w:val="auto"/>
                <w:sz w:val="24"/>
              </w:rPr>
              <w:t>造成影响。大风天停止施工，材料合理堆放并用防水苫布对场地、开挖边坡堆存表土进行遮盖。采取以上措施后，对周围地表水环境影响很小。</w:t>
            </w:r>
          </w:p>
          <w:p w14:paraId="7DF3D1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生活</w:t>
            </w:r>
            <w:r>
              <w:rPr>
                <w:rFonts w:hint="eastAsia" w:ascii="Times New Roman" w:hAnsi="Times New Roman" w:eastAsia="宋体" w:cs="Times New Roman"/>
                <w:color w:val="auto"/>
                <w:sz w:val="24"/>
                <w:lang w:val="en-US" w:eastAsia="zh-CN"/>
              </w:rPr>
              <w:t>污水</w:t>
            </w:r>
          </w:p>
          <w:p w14:paraId="35F75A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本项目施工人员约</w:t>
            </w:r>
            <w:r>
              <w:rPr>
                <w:rFonts w:hint="eastAsia" w:ascii="Times New Roman" w:hAnsi="Times New Roman" w:eastAsia="宋体" w:cs="Times New Roman"/>
                <w:color w:val="auto"/>
                <w:sz w:val="24"/>
                <w:lang w:val="en-US" w:eastAsia="zh-CN"/>
              </w:rPr>
              <w:t>1300</w:t>
            </w:r>
            <w:r>
              <w:rPr>
                <w:rFonts w:hint="default" w:ascii="Times New Roman" w:hAnsi="Times New Roman" w:eastAsia="宋体" w:cs="Times New Roman"/>
                <w:color w:val="auto"/>
                <w:sz w:val="24"/>
              </w:rPr>
              <w:t>人，施工期为</w:t>
            </w:r>
            <w:r>
              <w:rPr>
                <w:rFonts w:hint="eastAsia" w:ascii="Times New Roman" w:hAnsi="Times New Roman" w:eastAsia="宋体" w:cs="Times New Roman"/>
                <w:color w:val="auto"/>
                <w:sz w:val="24"/>
                <w:lang w:val="en-US" w:eastAsia="zh-CN"/>
              </w:rPr>
              <w:t>9</w:t>
            </w:r>
            <w:r>
              <w:rPr>
                <w:rFonts w:hint="default" w:ascii="Times New Roman" w:hAnsi="Times New Roman" w:eastAsia="宋体" w:cs="Times New Roman"/>
                <w:color w:val="auto"/>
                <w:sz w:val="24"/>
              </w:rPr>
              <w:t>个月，</w:t>
            </w:r>
            <w:r>
              <w:rPr>
                <w:rFonts w:hint="eastAsia" w:ascii="Times New Roman" w:hAnsi="Times New Roman" w:eastAsia="宋体" w:cs="Times New Roman"/>
                <w:color w:val="auto"/>
                <w:sz w:val="24"/>
                <w:lang w:val="en-US" w:eastAsia="zh-CN"/>
              </w:rPr>
              <w:t>施工期用水量按照50L/人▪d计，</w:t>
            </w:r>
            <w:r>
              <w:rPr>
                <w:rFonts w:hint="default" w:ascii="Times New Roman" w:hAnsi="Times New Roman" w:eastAsia="宋体" w:cs="Times New Roman"/>
                <w:color w:val="auto"/>
                <w:sz w:val="24"/>
              </w:rPr>
              <w:t>污水量按用水量的80%计算，则施工期生活用水总量为</w:t>
            </w:r>
            <w:r>
              <w:rPr>
                <w:rFonts w:hint="eastAsia" w:ascii="Times New Roman" w:hAnsi="Times New Roman" w:eastAsia="宋体" w:cs="Times New Roman"/>
                <w:color w:val="auto"/>
                <w:sz w:val="24"/>
                <w:lang w:val="en-US" w:eastAsia="zh-CN"/>
              </w:rPr>
              <w:t>17550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，污水排放量为</w:t>
            </w:r>
            <w:r>
              <w:rPr>
                <w:rFonts w:hint="eastAsia" w:ascii="Times New Roman" w:hAnsi="Times New Roman" w:eastAsia="宋体" w:cs="Times New Roman"/>
                <w:color w:val="auto"/>
                <w:sz w:val="24"/>
                <w:lang w:val="en-US" w:eastAsia="zh-CN"/>
              </w:rPr>
              <w:t>14040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vertAlign w:val="baseline"/>
                <w:lang w:eastAsia="zh-CN"/>
              </w:rPr>
              <w:t>（</w:t>
            </w:r>
            <w:r>
              <w:rPr>
                <w:rFonts w:hint="eastAsia" w:ascii="Times New Roman" w:hAnsi="Times New Roman" w:eastAsia="宋体" w:cs="Times New Roman"/>
                <w:color w:val="auto"/>
                <w:sz w:val="24"/>
                <w:vertAlign w:val="baseline"/>
                <w:lang w:val="en-US" w:eastAsia="zh-CN"/>
              </w:rPr>
              <w:t>52m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vertAlign w:val="baseline"/>
                <w:lang w:val="en-US" w:eastAsia="zh-CN"/>
              </w:rPr>
              <w:t>/d</w:t>
            </w:r>
            <w:r>
              <w:rPr>
                <w:rFonts w:hint="eastAsia" w:ascii="Times New Roman" w:hAnsi="Times New Roman" w:eastAsia="宋体" w:cs="Times New Roman"/>
                <w:color w:val="auto"/>
                <w:sz w:val="24"/>
                <w:vertAlign w:val="baseline"/>
                <w:lang w:eastAsia="zh-CN"/>
              </w:rPr>
              <w:t>）</w:t>
            </w:r>
            <w:r>
              <w:rPr>
                <w:rFonts w:hint="default" w:ascii="Times New Roman" w:hAnsi="Times New Roman" w:eastAsia="宋体" w:cs="Times New Roman"/>
                <w:color w:val="auto"/>
                <w:sz w:val="24"/>
              </w:rPr>
              <w:t>，污水中主要污染物是SS、COD及BOD</w:t>
            </w:r>
            <w:r>
              <w:rPr>
                <w:rFonts w:hint="default" w:ascii="Times New Roman" w:hAnsi="Times New Roman" w:eastAsia="宋体" w:cs="Times New Roman"/>
                <w:color w:val="auto"/>
                <w:sz w:val="24"/>
                <w:vertAlign w:val="subscript"/>
              </w:rPr>
              <w:t>5</w:t>
            </w:r>
            <w:r>
              <w:rPr>
                <w:rFonts w:hint="default" w:ascii="Times New Roman" w:hAnsi="Times New Roman" w:eastAsia="宋体" w:cs="Times New Roman"/>
                <w:color w:val="auto"/>
                <w:sz w:val="24"/>
              </w:rPr>
              <w:t>。施工营地设置移动卫生厕所和防渗污水收集池，营地食堂及洗漱废水经隔油隔渣池后排入防渗污水收集池，移动卫生厕所用于解决施工人员的生活排污，及时委托环卫部门拉运，不会对施工场地附近水环境产生影响。</w:t>
            </w:r>
          </w:p>
          <w:p w14:paraId="6DE346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综上，本项目施工场地周围不涉及天然地表水体，工程的施工对地表水体无影响。施工</w:t>
            </w:r>
            <w:r>
              <w:rPr>
                <w:rFonts w:hint="eastAsia" w:ascii="Times New Roman" w:hAnsi="Times New Roman" w:eastAsia="宋体" w:cs="Times New Roman"/>
                <w:color w:val="auto"/>
                <w:sz w:val="24"/>
                <w:lang w:eastAsia="zh-CN"/>
              </w:rPr>
              <w:t>期间</w:t>
            </w:r>
            <w:r>
              <w:rPr>
                <w:rFonts w:hint="default" w:ascii="Times New Roman" w:hAnsi="Times New Roman" w:eastAsia="宋体" w:cs="Times New Roman"/>
                <w:color w:val="auto"/>
                <w:sz w:val="24"/>
              </w:rPr>
              <w:t>无废污水外排，通过严格实施各项污染防治措施后，本项目施工对当地水环境影响较小。</w:t>
            </w:r>
          </w:p>
          <w:p w14:paraId="08C03B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施工期噪声影响分析</w:t>
            </w:r>
          </w:p>
          <w:p w14:paraId="2FED69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噪声具有临时性、阶段性和不固定性等特点，随着施工的结束，项目对周边环境的影响也会停止。施工期噪声主要为施工机械设备所产生的作业噪声，施工机械如挖掘机、推土机、起重机、运输车辆等。根据类比调查和有关资料：这些建筑施工机械的声源噪声强度大多在80~100</w:t>
            </w:r>
            <w:r>
              <w:rPr>
                <w:rFonts w:hint="eastAsia" w:ascii="Times New Roman" w:hAnsi="Times New Roman" w:eastAsia="宋体" w:cs="Times New Roman"/>
                <w:color w:val="auto"/>
                <w:sz w:val="24"/>
                <w:lang w:val="en-US" w:eastAsia="zh-CN"/>
              </w:rPr>
              <w:t>dB（A）</w:t>
            </w:r>
            <w:r>
              <w:rPr>
                <w:rFonts w:hint="default" w:ascii="Times New Roman" w:hAnsi="Times New Roman" w:eastAsia="宋体" w:cs="Times New Roman"/>
                <w:color w:val="auto"/>
                <w:sz w:val="24"/>
              </w:rPr>
              <w:t>左右。</w:t>
            </w:r>
          </w:p>
          <w:p w14:paraId="4C3B86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（1）施工机械及源强</w:t>
            </w:r>
          </w:p>
          <w:p w14:paraId="3C78D0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工程施工期间，噪声主要来源于设备产生的机械噪声和空气动力性噪声，主要产生噪声的设备有推土机、挖掘机、升降机、运输车辆等。</w:t>
            </w:r>
          </w:p>
          <w:p w14:paraId="26441C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施工阶段使用的主要施工机械及其声源强度见下表。</w:t>
            </w:r>
          </w:p>
          <w:p w14:paraId="5E880F3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eastAsia" w:ascii="Times New Roman" w:hAnsi="Times New Roman" w:eastAsia="黑体" w:cs="Times New Roman"/>
                <w:color w:val="auto"/>
                <w:kern w:val="0"/>
                <w:sz w:val="21"/>
                <w:szCs w:val="24"/>
                <w:lang w:val="en-US" w:eastAsia="zh-CN" w:bidi="en-US"/>
              </w:rPr>
            </w:pPr>
            <w:r>
              <w:rPr>
                <w:rFonts w:hint="eastAsia" w:ascii="Times New Roman" w:hAnsi="Times New Roman" w:eastAsia="黑体" w:cs="Times New Roman"/>
                <w:color w:val="auto"/>
                <w:kern w:val="0"/>
                <w:sz w:val="21"/>
                <w:szCs w:val="24"/>
                <w:lang w:val="en-US" w:eastAsia="zh-CN" w:bidi="en-US"/>
              </w:rPr>
              <w:t>表4-2                    施工机械设备噪声源强</w:t>
            </w:r>
          </w:p>
          <w:tbl>
            <w:tblPr>
              <w:tblStyle w:val="29"/>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2924"/>
              <w:gridCol w:w="2064"/>
              <w:gridCol w:w="2064"/>
            </w:tblGrid>
            <w:tr w14:paraId="4569E5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dxa"/>
                  <w:tcBorders>
                    <w:top w:val="single" w:color="auto" w:sz="12" w:space="0"/>
                    <w:left w:val="nil"/>
                    <w:bottom w:val="single" w:color="auto" w:sz="4" w:space="0"/>
                    <w:right w:val="single" w:color="auto" w:sz="4" w:space="0"/>
                  </w:tcBorders>
                  <w:noWrap w:val="0"/>
                  <w:vAlign w:val="center"/>
                </w:tcPr>
                <w:p w14:paraId="5F84F19A">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序号</w:t>
                  </w:r>
                </w:p>
              </w:tc>
              <w:tc>
                <w:tcPr>
                  <w:tcW w:w="2924" w:type="dxa"/>
                  <w:tcBorders>
                    <w:top w:val="single" w:color="auto" w:sz="12" w:space="0"/>
                    <w:left w:val="single" w:color="auto" w:sz="4" w:space="0"/>
                    <w:bottom w:val="single" w:color="auto" w:sz="4" w:space="0"/>
                    <w:right w:val="single" w:color="auto" w:sz="4" w:space="0"/>
                  </w:tcBorders>
                  <w:noWrap w:val="0"/>
                  <w:vAlign w:val="center"/>
                </w:tcPr>
                <w:p w14:paraId="221F911A">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机械类型</w:t>
                  </w:r>
                </w:p>
              </w:tc>
              <w:tc>
                <w:tcPr>
                  <w:tcW w:w="2064" w:type="dxa"/>
                  <w:tcBorders>
                    <w:top w:val="single" w:color="auto" w:sz="12" w:space="0"/>
                    <w:left w:val="single" w:color="auto" w:sz="4" w:space="0"/>
                    <w:bottom w:val="single" w:color="auto" w:sz="4" w:space="0"/>
                    <w:right w:val="single" w:color="auto" w:sz="4" w:space="0"/>
                  </w:tcBorders>
                  <w:noWrap w:val="0"/>
                  <w:vAlign w:val="center"/>
                </w:tcPr>
                <w:p w14:paraId="531CBB9F">
                  <w:pPr>
                    <w:pStyle w:val="90"/>
                    <w:keepNext w:val="0"/>
                    <w:keepLines w:val="0"/>
                    <w:suppressLineNumbers w:val="0"/>
                    <w:spacing w:before="0" w:beforeAutospacing="0" w:after="0" w:afterAutospacing="0"/>
                    <w:ind w:left="0" w:right="0"/>
                    <w:rPr>
                      <w:rFonts w:hint="eastAsia" w:ascii="Times New Roman" w:hAnsi="Times New Roman" w:eastAsia="宋体" w:cs="Times New Roman"/>
                      <w:color w:val="auto"/>
                      <w:lang w:eastAsia="zh-CN"/>
                    </w:rPr>
                  </w:pPr>
                  <w:r>
                    <w:rPr>
                      <w:rFonts w:hint="default" w:ascii="Times New Roman" w:hAnsi="Times New Roman" w:cs="Times New Roman"/>
                      <w:color w:val="auto"/>
                    </w:rPr>
                    <w:t>噪声</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dB（A）</w:t>
                  </w:r>
                  <w:r>
                    <w:rPr>
                      <w:rFonts w:hint="eastAsia" w:ascii="Times New Roman" w:hAnsi="Times New Roman" w:cs="Times New Roman"/>
                      <w:color w:val="auto"/>
                      <w:lang w:eastAsia="zh-CN"/>
                    </w:rPr>
                    <w:t>）</w:t>
                  </w:r>
                </w:p>
              </w:tc>
              <w:tc>
                <w:tcPr>
                  <w:tcW w:w="2064" w:type="dxa"/>
                  <w:tcBorders>
                    <w:top w:val="single" w:color="auto" w:sz="12" w:space="0"/>
                    <w:left w:val="single" w:color="auto" w:sz="4" w:space="0"/>
                    <w:bottom w:val="single" w:color="auto" w:sz="4" w:space="0"/>
                    <w:right w:val="nil"/>
                  </w:tcBorders>
                  <w:noWrap w:val="0"/>
                  <w:vAlign w:val="center"/>
                </w:tcPr>
                <w:p w14:paraId="135C9BDE">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声源性质</w:t>
                  </w:r>
                </w:p>
              </w:tc>
            </w:tr>
            <w:tr w14:paraId="54B0F6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dxa"/>
                  <w:tcBorders>
                    <w:top w:val="single" w:color="auto" w:sz="4" w:space="0"/>
                    <w:left w:val="nil"/>
                    <w:bottom w:val="single" w:color="auto" w:sz="4" w:space="0"/>
                    <w:right w:val="single" w:color="auto" w:sz="4" w:space="0"/>
                  </w:tcBorders>
                  <w:noWrap w:val="0"/>
                  <w:vAlign w:val="center"/>
                </w:tcPr>
                <w:p w14:paraId="4B1BEFCF">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1</w:t>
                  </w:r>
                </w:p>
              </w:tc>
              <w:tc>
                <w:tcPr>
                  <w:tcW w:w="2924" w:type="dxa"/>
                  <w:tcBorders>
                    <w:top w:val="single" w:color="auto" w:sz="4" w:space="0"/>
                    <w:left w:val="single" w:color="auto" w:sz="4" w:space="0"/>
                    <w:bottom w:val="single" w:color="auto" w:sz="4" w:space="0"/>
                    <w:right w:val="single" w:color="auto" w:sz="4" w:space="0"/>
                  </w:tcBorders>
                  <w:noWrap w:val="0"/>
                  <w:vAlign w:val="center"/>
                </w:tcPr>
                <w:p w14:paraId="4DA31EF5">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挖掘机</w:t>
                  </w:r>
                </w:p>
              </w:tc>
              <w:tc>
                <w:tcPr>
                  <w:tcW w:w="2064" w:type="dxa"/>
                  <w:tcBorders>
                    <w:top w:val="single" w:color="auto" w:sz="4" w:space="0"/>
                    <w:left w:val="single" w:color="auto" w:sz="4" w:space="0"/>
                    <w:bottom w:val="single" w:color="auto" w:sz="4" w:space="0"/>
                    <w:right w:val="single" w:color="auto" w:sz="4" w:space="0"/>
                  </w:tcBorders>
                  <w:noWrap w:val="0"/>
                  <w:vAlign w:val="center"/>
                </w:tcPr>
                <w:p w14:paraId="6F4D3E9D">
                  <w:pPr>
                    <w:pStyle w:val="90"/>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105</w:t>
                  </w:r>
                </w:p>
              </w:tc>
              <w:tc>
                <w:tcPr>
                  <w:tcW w:w="2064" w:type="dxa"/>
                  <w:tcBorders>
                    <w:top w:val="single" w:color="auto" w:sz="4" w:space="0"/>
                    <w:left w:val="single" w:color="auto" w:sz="4" w:space="0"/>
                    <w:bottom w:val="single" w:color="auto" w:sz="4" w:space="0"/>
                    <w:right w:val="nil"/>
                  </w:tcBorders>
                  <w:noWrap w:val="0"/>
                  <w:vAlign w:val="center"/>
                </w:tcPr>
                <w:p w14:paraId="6AB4CC1F">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间歇性</w:t>
                  </w:r>
                </w:p>
              </w:tc>
            </w:tr>
            <w:tr w14:paraId="13A04C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dxa"/>
                  <w:tcBorders>
                    <w:top w:val="single" w:color="auto" w:sz="4" w:space="0"/>
                    <w:left w:val="nil"/>
                    <w:bottom w:val="single" w:color="auto" w:sz="4" w:space="0"/>
                    <w:right w:val="single" w:color="auto" w:sz="4" w:space="0"/>
                  </w:tcBorders>
                  <w:noWrap w:val="0"/>
                  <w:vAlign w:val="center"/>
                </w:tcPr>
                <w:p w14:paraId="6560F79C">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2</w:t>
                  </w:r>
                </w:p>
              </w:tc>
              <w:tc>
                <w:tcPr>
                  <w:tcW w:w="2924" w:type="dxa"/>
                  <w:tcBorders>
                    <w:top w:val="single" w:color="auto" w:sz="4" w:space="0"/>
                    <w:left w:val="single" w:color="auto" w:sz="4" w:space="0"/>
                    <w:bottom w:val="single" w:color="auto" w:sz="4" w:space="0"/>
                    <w:right w:val="single" w:color="auto" w:sz="4" w:space="0"/>
                  </w:tcBorders>
                  <w:noWrap w:val="0"/>
                  <w:vAlign w:val="center"/>
                </w:tcPr>
                <w:p w14:paraId="3AFC9708">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推土机</w:t>
                  </w:r>
                </w:p>
              </w:tc>
              <w:tc>
                <w:tcPr>
                  <w:tcW w:w="2064" w:type="dxa"/>
                  <w:tcBorders>
                    <w:top w:val="single" w:color="auto" w:sz="4" w:space="0"/>
                    <w:left w:val="single" w:color="auto" w:sz="4" w:space="0"/>
                    <w:bottom w:val="single" w:color="auto" w:sz="4" w:space="0"/>
                    <w:right w:val="single" w:color="auto" w:sz="4" w:space="0"/>
                  </w:tcBorders>
                  <w:noWrap w:val="0"/>
                  <w:vAlign w:val="center"/>
                </w:tcPr>
                <w:p w14:paraId="3C516C1C">
                  <w:pPr>
                    <w:pStyle w:val="90"/>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105</w:t>
                  </w:r>
                </w:p>
              </w:tc>
              <w:tc>
                <w:tcPr>
                  <w:tcW w:w="2064" w:type="dxa"/>
                  <w:tcBorders>
                    <w:top w:val="single" w:color="auto" w:sz="4" w:space="0"/>
                    <w:left w:val="single" w:color="auto" w:sz="4" w:space="0"/>
                    <w:bottom w:val="single" w:color="auto" w:sz="4" w:space="0"/>
                    <w:right w:val="nil"/>
                  </w:tcBorders>
                  <w:noWrap w:val="0"/>
                  <w:vAlign w:val="center"/>
                </w:tcPr>
                <w:p w14:paraId="29586FA1">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间歇性</w:t>
                  </w:r>
                </w:p>
              </w:tc>
            </w:tr>
            <w:tr w14:paraId="26E1A4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dxa"/>
                  <w:tcBorders>
                    <w:top w:val="single" w:color="auto" w:sz="4" w:space="0"/>
                    <w:left w:val="nil"/>
                    <w:bottom w:val="single" w:color="auto" w:sz="4" w:space="0"/>
                    <w:right w:val="single" w:color="auto" w:sz="4" w:space="0"/>
                  </w:tcBorders>
                  <w:noWrap w:val="0"/>
                  <w:vAlign w:val="center"/>
                </w:tcPr>
                <w:p w14:paraId="2641AFAE">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3</w:t>
                  </w:r>
                </w:p>
              </w:tc>
              <w:tc>
                <w:tcPr>
                  <w:tcW w:w="2924" w:type="dxa"/>
                  <w:tcBorders>
                    <w:top w:val="single" w:color="auto" w:sz="4" w:space="0"/>
                    <w:left w:val="single" w:color="auto" w:sz="4" w:space="0"/>
                    <w:bottom w:val="single" w:color="auto" w:sz="4" w:space="0"/>
                    <w:right w:val="single" w:color="auto" w:sz="4" w:space="0"/>
                  </w:tcBorders>
                  <w:noWrap w:val="0"/>
                  <w:vAlign w:val="center"/>
                </w:tcPr>
                <w:p w14:paraId="4BB4CD8C">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起重机</w:t>
                  </w:r>
                </w:p>
              </w:tc>
              <w:tc>
                <w:tcPr>
                  <w:tcW w:w="2064" w:type="dxa"/>
                  <w:tcBorders>
                    <w:top w:val="single" w:color="auto" w:sz="4" w:space="0"/>
                    <w:left w:val="single" w:color="auto" w:sz="4" w:space="0"/>
                    <w:bottom w:val="single" w:color="auto" w:sz="4" w:space="0"/>
                    <w:right w:val="single" w:color="auto" w:sz="4" w:space="0"/>
                  </w:tcBorders>
                  <w:noWrap w:val="0"/>
                  <w:vAlign w:val="center"/>
                </w:tcPr>
                <w:p w14:paraId="33A94467">
                  <w:pPr>
                    <w:pStyle w:val="90"/>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105</w:t>
                  </w:r>
                </w:p>
              </w:tc>
              <w:tc>
                <w:tcPr>
                  <w:tcW w:w="2064" w:type="dxa"/>
                  <w:tcBorders>
                    <w:top w:val="single" w:color="auto" w:sz="4" w:space="0"/>
                    <w:left w:val="single" w:color="auto" w:sz="4" w:space="0"/>
                    <w:bottom w:val="single" w:color="auto" w:sz="4" w:space="0"/>
                    <w:right w:val="nil"/>
                  </w:tcBorders>
                  <w:noWrap w:val="0"/>
                  <w:vAlign w:val="center"/>
                </w:tcPr>
                <w:p w14:paraId="3ECBF29D">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间歇性</w:t>
                  </w:r>
                </w:p>
              </w:tc>
            </w:tr>
            <w:tr w14:paraId="6EBC3B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dxa"/>
                  <w:tcBorders>
                    <w:top w:val="single" w:color="auto" w:sz="4" w:space="0"/>
                    <w:left w:val="nil"/>
                    <w:bottom w:val="single" w:color="auto" w:sz="4" w:space="0"/>
                    <w:right w:val="single" w:color="auto" w:sz="4" w:space="0"/>
                  </w:tcBorders>
                  <w:noWrap w:val="0"/>
                  <w:vAlign w:val="center"/>
                </w:tcPr>
                <w:p w14:paraId="020D91BB">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4</w:t>
                  </w:r>
                </w:p>
              </w:tc>
              <w:tc>
                <w:tcPr>
                  <w:tcW w:w="2924" w:type="dxa"/>
                  <w:tcBorders>
                    <w:top w:val="single" w:color="auto" w:sz="4" w:space="0"/>
                    <w:left w:val="single" w:color="auto" w:sz="4" w:space="0"/>
                    <w:bottom w:val="single" w:color="auto" w:sz="4" w:space="0"/>
                    <w:right w:val="single" w:color="auto" w:sz="4" w:space="0"/>
                  </w:tcBorders>
                  <w:noWrap w:val="0"/>
                  <w:vAlign w:val="center"/>
                </w:tcPr>
                <w:p w14:paraId="04027E33">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运输车辆</w:t>
                  </w:r>
                </w:p>
              </w:tc>
              <w:tc>
                <w:tcPr>
                  <w:tcW w:w="2064" w:type="dxa"/>
                  <w:tcBorders>
                    <w:top w:val="single" w:color="auto" w:sz="4" w:space="0"/>
                    <w:left w:val="single" w:color="auto" w:sz="4" w:space="0"/>
                    <w:bottom w:val="single" w:color="auto" w:sz="4" w:space="0"/>
                    <w:right w:val="single" w:color="auto" w:sz="4" w:space="0"/>
                  </w:tcBorders>
                  <w:noWrap w:val="0"/>
                  <w:vAlign w:val="center"/>
                </w:tcPr>
                <w:p w14:paraId="5E1BA9EF">
                  <w:pPr>
                    <w:pStyle w:val="90"/>
                    <w:keepNext w:val="0"/>
                    <w:keepLines w:val="0"/>
                    <w:suppressLineNumbers w:val="0"/>
                    <w:spacing w:before="0" w:beforeAutospacing="0" w:after="0" w:afterAutospacing="0"/>
                    <w:ind w:left="0" w:right="0"/>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85</w:t>
                  </w:r>
                </w:p>
              </w:tc>
              <w:tc>
                <w:tcPr>
                  <w:tcW w:w="2064" w:type="dxa"/>
                  <w:tcBorders>
                    <w:top w:val="single" w:color="auto" w:sz="4" w:space="0"/>
                    <w:left w:val="single" w:color="auto" w:sz="4" w:space="0"/>
                    <w:bottom w:val="single" w:color="auto" w:sz="4" w:space="0"/>
                    <w:right w:val="nil"/>
                  </w:tcBorders>
                  <w:noWrap w:val="0"/>
                  <w:vAlign w:val="center"/>
                </w:tcPr>
                <w:p w14:paraId="004B05CA">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间歇性</w:t>
                  </w:r>
                </w:p>
              </w:tc>
            </w:tr>
            <w:tr w14:paraId="24B767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204" w:type="dxa"/>
                  <w:tcBorders>
                    <w:top w:val="single" w:color="auto" w:sz="4" w:space="0"/>
                    <w:left w:val="nil"/>
                    <w:bottom w:val="single" w:color="auto" w:sz="4" w:space="0"/>
                    <w:right w:val="single" w:color="auto" w:sz="4" w:space="0"/>
                  </w:tcBorders>
                  <w:noWrap w:val="0"/>
                  <w:vAlign w:val="center"/>
                </w:tcPr>
                <w:p w14:paraId="20E98C1C">
                  <w:pPr>
                    <w:pStyle w:val="90"/>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5</w:t>
                  </w:r>
                </w:p>
              </w:tc>
              <w:tc>
                <w:tcPr>
                  <w:tcW w:w="2924" w:type="dxa"/>
                  <w:tcBorders>
                    <w:top w:val="single" w:color="auto" w:sz="4" w:space="0"/>
                    <w:left w:val="single" w:color="auto" w:sz="4" w:space="0"/>
                    <w:bottom w:val="single" w:color="auto" w:sz="4" w:space="0"/>
                    <w:right w:val="single" w:color="auto" w:sz="4" w:space="0"/>
                  </w:tcBorders>
                  <w:noWrap w:val="0"/>
                  <w:vAlign w:val="center"/>
                </w:tcPr>
                <w:p w14:paraId="549181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混凝土搅拌车</w:t>
                  </w:r>
                </w:p>
              </w:tc>
              <w:tc>
                <w:tcPr>
                  <w:tcW w:w="2064" w:type="dxa"/>
                  <w:tcBorders>
                    <w:top w:val="single" w:color="auto" w:sz="4" w:space="0"/>
                    <w:left w:val="single" w:color="auto" w:sz="4" w:space="0"/>
                    <w:bottom w:val="single" w:color="auto" w:sz="4" w:space="0"/>
                    <w:right w:val="single" w:color="auto" w:sz="4" w:space="0"/>
                  </w:tcBorders>
                  <w:noWrap w:val="0"/>
                  <w:vAlign w:val="center"/>
                </w:tcPr>
                <w:p w14:paraId="32E94B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90</w:t>
                  </w:r>
                </w:p>
              </w:tc>
              <w:tc>
                <w:tcPr>
                  <w:tcW w:w="2064" w:type="dxa"/>
                  <w:tcBorders>
                    <w:top w:val="single" w:color="auto" w:sz="4" w:space="0"/>
                    <w:left w:val="single" w:color="auto" w:sz="4" w:space="0"/>
                    <w:bottom w:val="single" w:color="auto" w:sz="4" w:space="0"/>
                    <w:right w:val="nil"/>
                  </w:tcBorders>
                  <w:noWrap w:val="0"/>
                  <w:vAlign w:val="center"/>
                </w:tcPr>
                <w:p w14:paraId="04E7873F">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间歇性</w:t>
                  </w:r>
                </w:p>
              </w:tc>
            </w:tr>
            <w:tr w14:paraId="12DC43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dxa"/>
                  <w:tcBorders>
                    <w:top w:val="single" w:color="auto" w:sz="4" w:space="0"/>
                    <w:left w:val="nil"/>
                    <w:bottom w:val="single" w:color="auto" w:sz="4" w:space="0"/>
                    <w:right w:val="single" w:color="auto" w:sz="4" w:space="0"/>
                  </w:tcBorders>
                  <w:noWrap w:val="0"/>
                  <w:vAlign w:val="center"/>
                </w:tcPr>
                <w:p w14:paraId="2628F7A7">
                  <w:pPr>
                    <w:pStyle w:val="90"/>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6</w:t>
                  </w:r>
                </w:p>
              </w:tc>
              <w:tc>
                <w:tcPr>
                  <w:tcW w:w="2924" w:type="dxa"/>
                  <w:tcBorders>
                    <w:top w:val="single" w:color="auto" w:sz="4" w:space="0"/>
                    <w:left w:val="single" w:color="auto" w:sz="4" w:space="0"/>
                    <w:bottom w:val="single" w:color="auto" w:sz="4" w:space="0"/>
                    <w:right w:val="single" w:color="auto" w:sz="4" w:space="0"/>
                  </w:tcBorders>
                  <w:noWrap w:val="0"/>
                  <w:vAlign w:val="center"/>
                </w:tcPr>
                <w:p w14:paraId="0AE7E0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切割机</w:t>
                  </w:r>
                </w:p>
              </w:tc>
              <w:tc>
                <w:tcPr>
                  <w:tcW w:w="2064" w:type="dxa"/>
                  <w:tcBorders>
                    <w:top w:val="single" w:color="auto" w:sz="4" w:space="0"/>
                    <w:left w:val="single" w:color="auto" w:sz="4" w:space="0"/>
                    <w:bottom w:val="single" w:color="auto" w:sz="4" w:space="0"/>
                    <w:right w:val="single" w:color="auto" w:sz="4" w:space="0"/>
                  </w:tcBorders>
                  <w:noWrap w:val="0"/>
                  <w:vAlign w:val="center"/>
                </w:tcPr>
                <w:p w14:paraId="2C4C34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rightChars="0" w:firstLine="0" w:firstLineChars="0"/>
                    <w:jc w:val="center"/>
                    <w:textAlignment w:val="auto"/>
                    <w:outlineLvl w:val="9"/>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90</w:t>
                  </w:r>
                </w:p>
              </w:tc>
              <w:tc>
                <w:tcPr>
                  <w:tcW w:w="2064" w:type="dxa"/>
                  <w:tcBorders>
                    <w:top w:val="single" w:color="auto" w:sz="4" w:space="0"/>
                    <w:left w:val="single" w:color="auto" w:sz="4" w:space="0"/>
                    <w:bottom w:val="single" w:color="auto" w:sz="4" w:space="0"/>
                    <w:right w:val="nil"/>
                  </w:tcBorders>
                  <w:noWrap w:val="0"/>
                  <w:vAlign w:val="center"/>
                </w:tcPr>
                <w:p w14:paraId="78E0F46F">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间歇性</w:t>
                  </w:r>
                </w:p>
              </w:tc>
            </w:tr>
            <w:tr w14:paraId="052FA9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4" w:type="dxa"/>
                  <w:tcBorders>
                    <w:top w:val="single" w:color="auto" w:sz="4" w:space="0"/>
                    <w:left w:val="nil"/>
                    <w:bottom w:val="single" w:color="auto" w:sz="12" w:space="0"/>
                    <w:right w:val="single" w:color="auto" w:sz="4" w:space="0"/>
                  </w:tcBorders>
                  <w:noWrap w:val="0"/>
                  <w:vAlign w:val="center"/>
                </w:tcPr>
                <w:p w14:paraId="428E68C8">
                  <w:pPr>
                    <w:pStyle w:val="90"/>
                    <w:keepNext w:val="0"/>
                    <w:keepLines w:val="0"/>
                    <w:suppressLineNumbers w:val="0"/>
                    <w:spacing w:before="0" w:beforeAutospacing="0" w:after="0" w:afterAutospacing="0"/>
                    <w:ind w:left="0" w:right="0"/>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7</w:t>
                  </w:r>
                </w:p>
              </w:tc>
              <w:tc>
                <w:tcPr>
                  <w:tcW w:w="2924" w:type="dxa"/>
                  <w:tcBorders>
                    <w:top w:val="single" w:color="auto" w:sz="4" w:space="0"/>
                    <w:left w:val="single" w:color="auto" w:sz="4" w:space="0"/>
                    <w:bottom w:val="single" w:color="auto" w:sz="12" w:space="0"/>
                    <w:right w:val="single" w:color="auto" w:sz="4" w:space="0"/>
                  </w:tcBorders>
                  <w:noWrap w:val="0"/>
                  <w:vAlign w:val="center"/>
                </w:tcPr>
                <w:p w14:paraId="5566BE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振捣器</w:t>
                  </w:r>
                </w:p>
              </w:tc>
              <w:tc>
                <w:tcPr>
                  <w:tcW w:w="2064" w:type="dxa"/>
                  <w:tcBorders>
                    <w:top w:val="single" w:color="auto" w:sz="4" w:space="0"/>
                    <w:left w:val="single" w:color="auto" w:sz="4" w:space="0"/>
                    <w:bottom w:val="single" w:color="auto" w:sz="12" w:space="0"/>
                    <w:right w:val="single" w:color="auto" w:sz="4" w:space="0"/>
                  </w:tcBorders>
                  <w:noWrap w:val="0"/>
                  <w:vAlign w:val="center"/>
                </w:tcPr>
                <w:p w14:paraId="159734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90</w:t>
                  </w:r>
                </w:p>
              </w:tc>
              <w:tc>
                <w:tcPr>
                  <w:tcW w:w="2064" w:type="dxa"/>
                  <w:tcBorders>
                    <w:top w:val="single" w:color="auto" w:sz="4" w:space="0"/>
                    <w:left w:val="single" w:color="auto" w:sz="4" w:space="0"/>
                    <w:bottom w:val="single" w:color="auto" w:sz="12" w:space="0"/>
                    <w:right w:val="nil"/>
                  </w:tcBorders>
                  <w:noWrap w:val="0"/>
                  <w:vAlign w:val="center"/>
                </w:tcPr>
                <w:p w14:paraId="53E00B86">
                  <w:pPr>
                    <w:pStyle w:val="90"/>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间歇性</w:t>
                  </w:r>
                </w:p>
              </w:tc>
            </w:tr>
          </w:tbl>
          <w:p w14:paraId="5C211B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根据本项目施工期间主要噪声源的特征，采用点声源距离衰减公式对主要声源产生声环境质量影响进行预测，具体公式如下：</w:t>
            </w:r>
          </w:p>
          <w:p w14:paraId="721BF5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jc w:val="center"/>
              <w:textAlignment w:val="auto"/>
              <w:rPr>
                <w:rFonts w:hint="default" w:ascii="Times New Roman" w:hAnsi="Times New Roman" w:eastAsia="宋体" w:cs="Times New Roman"/>
                <w:i/>
                <w:iCs/>
                <w:color w:val="auto"/>
                <w:sz w:val="24"/>
                <w:lang w:val="en-US" w:eastAsia="zh-CN"/>
              </w:rPr>
            </w:pPr>
            <w:r>
              <w:rPr>
                <w:rFonts w:hint="default" w:ascii="Times New Roman" w:hAnsi="Times New Roman" w:eastAsia="宋体" w:cs="Times New Roman"/>
                <w:i/>
                <w:iCs/>
                <w:color w:val="auto"/>
                <w:sz w:val="24"/>
                <w:lang w:val="en-US" w:eastAsia="zh-CN"/>
              </w:rPr>
              <w:t>L</w:t>
            </w:r>
            <w:r>
              <w:rPr>
                <w:rFonts w:hint="default" w:ascii="Times New Roman" w:hAnsi="Times New Roman" w:eastAsia="宋体" w:cs="Times New Roman"/>
                <w:i/>
                <w:iCs/>
                <w:color w:val="auto"/>
                <w:sz w:val="24"/>
                <w:vertAlign w:val="subscript"/>
                <w:lang w:val="en-US" w:eastAsia="zh-CN"/>
              </w:rPr>
              <w:t>P(r)</w:t>
            </w:r>
            <w:r>
              <w:rPr>
                <w:rFonts w:hint="default" w:ascii="Times New Roman" w:hAnsi="Times New Roman" w:eastAsia="宋体" w:cs="Times New Roman"/>
                <w:i/>
                <w:iCs/>
                <w:color w:val="auto"/>
                <w:sz w:val="24"/>
                <w:lang w:val="en-US" w:eastAsia="zh-CN"/>
              </w:rPr>
              <w:t>=L</w:t>
            </w:r>
            <w:r>
              <w:rPr>
                <w:rFonts w:hint="default" w:ascii="Times New Roman" w:hAnsi="Times New Roman" w:eastAsia="宋体" w:cs="Times New Roman"/>
                <w:i/>
                <w:iCs/>
                <w:color w:val="auto"/>
                <w:sz w:val="24"/>
                <w:vertAlign w:val="subscript"/>
                <w:lang w:val="en-US" w:eastAsia="zh-CN"/>
              </w:rPr>
              <w:t>P(r0)</w:t>
            </w:r>
            <w:r>
              <w:rPr>
                <w:rFonts w:hint="default" w:ascii="Times New Roman" w:hAnsi="Times New Roman" w:eastAsia="宋体" w:cs="Times New Roman"/>
                <w:i/>
                <w:iCs/>
                <w:color w:val="auto"/>
                <w:sz w:val="24"/>
                <w:lang w:val="en-US" w:eastAsia="zh-CN"/>
              </w:rPr>
              <w:t>-20lg(r/r0)</w:t>
            </w:r>
          </w:p>
          <w:p w14:paraId="5223B5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式中：</w:t>
            </w:r>
            <w:r>
              <w:rPr>
                <w:rFonts w:hint="default" w:ascii="Times New Roman" w:hAnsi="Times New Roman" w:eastAsia="宋体" w:cs="Times New Roman"/>
                <w:i/>
                <w:iCs/>
                <w:color w:val="auto"/>
                <w:sz w:val="24"/>
                <w:lang w:val="en-US" w:eastAsia="zh-CN"/>
              </w:rPr>
              <w:t>L</w:t>
            </w:r>
            <w:r>
              <w:rPr>
                <w:rFonts w:hint="default" w:ascii="Times New Roman" w:hAnsi="Times New Roman" w:eastAsia="宋体" w:cs="Times New Roman"/>
                <w:i/>
                <w:iCs/>
                <w:color w:val="auto"/>
                <w:sz w:val="24"/>
                <w:vertAlign w:val="subscript"/>
                <w:lang w:val="en-US" w:eastAsia="zh-CN"/>
              </w:rPr>
              <w:t>P(r)</w:t>
            </w:r>
            <w:r>
              <w:rPr>
                <w:rFonts w:hint="default" w:ascii="Times New Roman" w:hAnsi="Times New Roman" w:eastAsia="宋体" w:cs="Times New Roman"/>
                <w:color w:val="auto"/>
                <w:sz w:val="24"/>
                <w:lang w:val="en-US" w:eastAsia="zh-CN"/>
              </w:rPr>
              <w:t>——距离声源r处的声级dB</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A）；</w:t>
            </w:r>
          </w:p>
          <w:p w14:paraId="420B65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1200" w:firstLineChars="5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i/>
                <w:iCs/>
                <w:color w:val="auto"/>
                <w:sz w:val="24"/>
                <w:lang w:val="en-US" w:eastAsia="zh-CN"/>
              </w:rPr>
              <w:t>L</w:t>
            </w:r>
            <w:r>
              <w:rPr>
                <w:rFonts w:hint="default" w:ascii="Times New Roman" w:hAnsi="Times New Roman" w:eastAsia="宋体" w:cs="Times New Roman"/>
                <w:i/>
                <w:iCs/>
                <w:color w:val="auto"/>
                <w:sz w:val="24"/>
                <w:vertAlign w:val="subscript"/>
                <w:lang w:val="en-US" w:eastAsia="zh-CN"/>
              </w:rPr>
              <w:t>P(r0)</w:t>
            </w:r>
            <w:r>
              <w:rPr>
                <w:rFonts w:hint="default" w:ascii="Times New Roman" w:hAnsi="Times New Roman" w:eastAsia="宋体" w:cs="Times New Roman"/>
                <w:color w:val="auto"/>
                <w:sz w:val="24"/>
                <w:lang w:val="en-US" w:eastAsia="zh-CN"/>
              </w:rPr>
              <w:t>——距离声源r</w:t>
            </w:r>
            <w:r>
              <w:rPr>
                <w:rFonts w:hint="default" w:ascii="Times New Roman" w:hAnsi="Times New Roman" w:eastAsia="宋体" w:cs="Times New Roman"/>
                <w:color w:val="auto"/>
                <w:sz w:val="24"/>
                <w:vertAlign w:val="subscript"/>
                <w:lang w:val="en-US" w:eastAsia="zh-CN"/>
              </w:rPr>
              <w:t>0</w:t>
            </w:r>
            <w:r>
              <w:rPr>
                <w:rFonts w:hint="default" w:ascii="Times New Roman" w:hAnsi="Times New Roman" w:eastAsia="宋体" w:cs="Times New Roman"/>
                <w:color w:val="auto"/>
                <w:sz w:val="24"/>
                <w:lang w:val="en-US" w:eastAsia="zh-CN"/>
              </w:rPr>
              <w:t>处的声级dB</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A）；</w:t>
            </w:r>
          </w:p>
          <w:p w14:paraId="1C6403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1200" w:firstLineChars="5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i/>
                <w:iCs/>
                <w:color w:val="auto"/>
                <w:sz w:val="24"/>
                <w:lang w:val="en-US" w:eastAsia="zh-CN"/>
              </w:rPr>
              <w:t>r</w:t>
            </w:r>
            <w:r>
              <w:rPr>
                <w:rFonts w:hint="default" w:ascii="Times New Roman" w:hAnsi="Times New Roman" w:eastAsia="宋体" w:cs="Times New Roman"/>
                <w:color w:val="auto"/>
                <w:sz w:val="24"/>
                <w:lang w:val="en-US" w:eastAsia="zh-CN"/>
              </w:rPr>
              <w:t>——预测点与声源之间的距离，m；</w:t>
            </w:r>
          </w:p>
          <w:p w14:paraId="0FC129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1200" w:firstLineChars="500"/>
              <w:textAlignment w:val="auto"/>
              <w:rPr>
                <w:rFonts w:hint="default" w:ascii="Times New Roman" w:hAnsi="Times New Roman" w:eastAsia="宋体" w:cs="Times New Roman"/>
                <w:color w:val="auto"/>
                <w:sz w:val="24"/>
              </w:rPr>
            </w:pPr>
            <w:r>
              <w:rPr>
                <w:rFonts w:hint="default" w:ascii="Times New Roman" w:hAnsi="Times New Roman" w:eastAsia="宋体" w:cs="Times New Roman"/>
                <w:i/>
                <w:iCs/>
                <w:color w:val="auto"/>
                <w:sz w:val="24"/>
                <w:lang w:val="en-US" w:eastAsia="zh-CN"/>
              </w:rPr>
              <w:t>r</w:t>
            </w:r>
            <w:r>
              <w:rPr>
                <w:rFonts w:hint="default" w:ascii="Times New Roman" w:hAnsi="Times New Roman" w:eastAsia="宋体" w:cs="Times New Roman"/>
                <w:i/>
                <w:iCs/>
                <w:color w:val="auto"/>
                <w:sz w:val="24"/>
                <w:vertAlign w:val="subscript"/>
                <w:lang w:val="en-US" w:eastAsia="zh-CN"/>
              </w:rPr>
              <w:t>0</w:t>
            </w:r>
            <w:r>
              <w:rPr>
                <w:rFonts w:hint="default" w:ascii="Times New Roman" w:hAnsi="Times New Roman" w:eastAsia="宋体" w:cs="Times New Roman"/>
                <w:color w:val="auto"/>
                <w:sz w:val="24"/>
                <w:lang w:val="en-US" w:eastAsia="zh-CN"/>
              </w:rPr>
              <w:t>——监测点与声源之间的距离，m；</w:t>
            </w:r>
          </w:p>
          <w:p w14:paraId="2E67C8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施工设备噪声的距离衰减情况见下表。</w:t>
            </w:r>
          </w:p>
          <w:p w14:paraId="663340D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eastAsia" w:ascii="Times New Roman" w:hAnsi="Times New Roman" w:eastAsia="黑体" w:cs="Times New Roman"/>
                <w:color w:val="auto"/>
                <w:kern w:val="0"/>
                <w:sz w:val="21"/>
                <w:szCs w:val="24"/>
                <w:lang w:val="en-US" w:eastAsia="zh-CN" w:bidi="en-US"/>
              </w:rPr>
            </w:pPr>
            <w:r>
              <w:rPr>
                <w:rFonts w:hint="eastAsia" w:ascii="Times New Roman" w:hAnsi="Times New Roman" w:eastAsia="黑体" w:cs="Times New Roman"/>
                <w:color w:val="auto"/>
                <w:kern w:val="0"/>
                <w:sz w:val="21"/>
                <w:szCs w:val="24"/>
                <w:lang w:val="en-US" w:eastAsia="zh-CN" w:bidi="en-US"/>
              </w:rPr>
              <w:t>表4-3            主要施工设备噪声值随距离的衰减情况      单位：dB（A）</w:t>
            </w:r>
          </w:p>
          <w:tbl>
            <w:tblPr>
              <w:tblStyle w:val="29"/>
              <w:tblW w:w="49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61"/>
              <w:gridCol w:w="824"/>
              <w:gridCol w:w="976"/>
              <w:gridCol w:w="621"/>
              <w:gridCol w:w="773"/>
              <w:gridCol w:w="714"/>
              <w:gridCol w:w="807"/>
              <w:gridCol w:w="840"/>
              <w:gridCol w:w="841"/>
            </w:tblGrid>
            <w:tr w14:paraId="43CA41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61" w:type="dxa"/>
                  <w:vMerge w:val="restart"/>
                  <w:tcBorders>
                    <w:tl2br w:val="nil"/>
                    <w:tr2bl w:val="nil"/>
                  </w:tcBorders>
                  <w:noWrap w:val="0"/>
                  <w:vAlign w:val="center"/>
                </w:tcPr>
                <w:p w14:paraId="5DE1F6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right"/>
                    <w:textAlignment w:val="auto"/>
                    <w:rPr>
                      <w:rFonts w:hint="default" w:ascii="Times New Roman" w:hAnsi="Times New Roman" w:eastAsia="宋体" w:cs="Times New Roman"/>
                      <w:b w:val="0"/>
                      <w:bCs w:val="0"/>
                      <w:color w:val="auto"/>
                      <w:kern w:val="2"/>
                      <w:sz w:val="21"/>
                      <w:szCs w:val="21"/>
                      <w:highlight w:val="none"/>
                      <w:lang w:eastAsia="zh-CN" w:bidi="ar-SA"/>
                    </w:rPr>
                  </w:pPr>
                  <w:r>
                    <w:rPr>
                      <w:rFonts w:hint="default" w:ascii="Times New Roman" w:hAnsi="Times New Roman" w:eastAsia="宋体" w:cs="Times New Roman"/>
                      <w:b w:val="0"/>
                      <w:bCs w:val="0"/>
                      <w:color w:val="auto"/>
                      <w:kern w:val="2"/>
                      <w:sz w:val="21"/>
                      <w:szCs w:val="21"/>
                      <w:highlight w:val="none"/>
                      <w:lang w:bidi="ar-SA"/>
                    </w:rPr>
                    <w:t>距离</w:t>
                  </w:r>
                  <w:r>
                    <w:rPr>
                      <w:rFonts w:hint="default" w:ascii="Times New Roman" w:hAnsi="Times New Roman" w:eastAsia="宋体" w:cs="Times New Roman"/>
                      <w:b w:val="0"/>
                      <w:bCs w:val="0"/>
                      <w:color w:val="auto"/>
                      <w:kern w:val="2"/>
                      <w:sz w:val="21"/>
                      <w:szCs w:val="21"/>
                      <w:highlight w:val="none"/>
                      <w:lang w:eastAsia="zh-CN" w:bidi="ar-SA"/>
                    </w:rPr>
                    <w:t>（</w:t>
                  </w:r>
                  <w:r>
                    <w:rPr>
                      <w:rFonts w:hint="default" w:ascii="Times New Roman" w:hAnsi="Times New Roman" w:eastAsia="宋体" w:cs="Times New Roman"/>
                      <w:b w:val="0"/>
                      <w:bCs w:val="0"/>
                      <w:color w:val="auto"/>
                      <w:kern w:val="2"/>
                      <w:sz w:val="21"/>
                      <w:szCs w:val="21"/>
                      <w:highlight w:val="none"/>
                      <w:lang w:bidi="ar-SA"/>
                    </w:rPr>
                    <w:t>m</w:t>
                  </w:r>
                  <w:r>
                    <w:rPr>
                      <w:rFonts w:hint="default" w:ascii="Times New Roman" w:hAnsi="Times New Roman" w:eastAsia="宋体" w:cs="Times New Roman"/>
                      <w:b w:val="0"/>
                      <w:bCs w:val="0"/>
                      <w:color w:val="auto"/>
                      <w:kern w:val="2"/>
                      <w:sz w:val="21"/>
                      <w:szCs w:val="21"/>
                      <w:highlight w:val="none"/>
                      <w:lang w:eastAsia="zh-CN" w:bidi="ar-SA"/>
                    </w:rPr>
                    <w:t>）</w:t>
                  </w:r>
                </w:p>
                <w:p w14:paraId="109699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right"/>
                    <w:textAlignment w:val="auto"/>
                    <w:rPr>
                      <w:rFonts w:hint="default" w:ascii="Times New Roman" w:hAnsi="Times New Roman" w:eastAsia="宋体" w:cs="Times New Roman"/>
                      <w:b w:val="0"/>
                      <w:bCs w:val="0"/>
                      <w:color w:val="auto"/>
                      <w:kern w:val="2"/>
                      <w:sz w:val="21"/>
                      <w:szCs w:val="21"/>
                      <w:highlight w:val="none"/>
                      <w:lang w:eastAsia="zh-CN" w:bidi="ar-SA"/>
                    </w:rPr>
                  </w:pPr>
                </w:p>
                <w:p w14:paraId="639E0E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left"/>
                    <w:textAlignment w:val="auto"/>
                    <w:rPr>
                      <w:rFonts w:hint="default" w:ascii="Times New Roman" w:hAnsi="Times New Roman" w:eastAsia="宋体" w:cs="Times New Roman"/>
                      <w:b w:val="0"/>
                      <w:bCs w:val="0"/>
                      <w:color w:val="auto"/>
                      <w:kern w:val="2"/>
                      <w:sz w:val="21"/>
                      <w:szCs w:val="21"/>
                      <w:highlight w:val="none"/>
                      <w:lang w:bidi="ar-SA"/>
                    </w:rPr>
                  </w:pPr>
                  <w:r>
                    <w:rPr>
                      <w:rFonts w:hint="default" w:ascii="Times New Roman" w:hAnsi="Times New Roman" w:eastAsia="宋体" w:cs="Times New Roman"/>
                      <w:b w:val="0"/>
                      <w:bCs w:val="0"/>
                      <w:color w:val="auto"/>
                      <w:kern w:val="2"/>
                      <w:sz w:val="21"/>
                      <w:szCs w:val="21"/>
                      <w:highlight w:val="none"/>
                      <w:lang w:bidi="ar-SA"/>
                    </w:rPr>
                    <w:t>施工设备</w:t>
                  </w:r>
                </w:p>
              </w:tc>
              <w:tc>
                <w:tcPr>
                  <w:tcW w:w="1800" w:type="dxa"/>
                  <w:gridSpan w:val="2"/>
                  <w:tcBorders>
                    <w:tl2br w:val="nil"/>
                    <w:tr2bl w:val="nil"/>
                  </w:tcBorders>
                  <w:noWrap w:val="0"/>
                  <w:vAlign w:val="center"/>
                </w:tcPr>
                <w:p w14:paraId="654D87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b w:val="0"/>
                      <w:bCs w:val="0"/>
                      <w:color w:val="auto"/>
                      <w:kern w:val="2"/>
                      <w:sz w:val="21"/>
                      <w:szCs w:val="21"/>
                      <w:highlight w:val="none"/>
                      <w:lang w:bidi="ar-SA"/>
                    </w:rPr>
                  </w:pPr>
                  <w:r>
                    <w:rPr>
                      <w:rFonts w:hint="default" w:ascii="Times New Roman" w:hAnsi="Times New Roman" w:eastAsia="宋体" w:cs="Times New Roman"/>
                      <w:b w:val="0"/>
                      <w:bCs w:val="0"/>
                      <w:color w:val="auto"/>
                      <w:kern w:val="2"/>
                      <w:sz w:val="21"/>
                      <w:szCs w:val="21"/>
                      <w:highlight w:val="none"/>
                      <w:lang w:bidi="ar-SA"/>
                    </w:rPr>
                    <w:t>源强</w:t>
                  </w:r>
                </w:p>
              </w:tc>
              <w:tc>
                <w:tcPr>
                  <w:tcW w:w="621" w:type="dxa"/>
                  <w:vMerge w:val="restart"/>
                  <w:tcBorders>
                    <w:tl2br w:val="nil"/>
                    <w:tr2bl w:val="nil"/>
                  </w:tcBorders>
                  <w:noWrap w:val="0"/>
                  <w:vAlign w:val="center"/>
                </w:tcPr>
                <w:p w14:paraId="25AFB5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b w:val="0"/>
                      <w:bCs w:val="0"/>
                      <w:color w:val="auto"/>
                      <w:kern w:val="2"/>
                      <w:sz w:val="21"/>
                      <w:szCs w:val="21"/>
                      <w:highlight w:val="none"/>
                      <w:lang w:bidi="ar-SA"/>
                    </w:rPr>
                  </w:pPr>
                  <w:r>
                    <w:rPr>
                      <w:rFonts w:hint="default" w:ascii="Times New Roman" w:hAnsi="Times New Roman" w:eastAsia="宋体" w:cs="Times New Roman"/>
                      <w:b w:val="0"/>
                      <w:bCs w:val="0"/>
                      <w:color w:val="auto"/>
                      <w:kern w:val="2"/>
                      <w:sz w:val="21"/>
                      <w:szCs w:val="21"/>
                      <w:highlight w:val="none"/>
                      <w:lang w:bidi="ar-SA"/>
                    </w:rPr>
                    <w:t>10</w:t>
                  </w:r>
                </w:p>
              </w:tc>
              <w:tc>
                <w:tcPr>
                  <w:tcW w:w="773" w:type="dxa"/>
                  <w:vMerge w:val="restart"/>
                  <w:tcBorders>
                    <w:tl2br w:val="nil"/>
                    <w:tr2bl w:val="nil"/>
                  </w:tcBorders>
                  <w:noWrap w:val="0"/>
                  <w:vAlign w:val="center"/>
                </w:tcPr>
                <w:p w14:paraId="7A5E3B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b w:val="0"/>
                      <w:bCs w:val="0"/>
                      <w:color w:val="auto"/>
                      <w:kern w:val="2"/>
                      <w:sz w:val="21"/>
                      <w:szCs w:val="21"/>
                      <w:highlight w:val="none"/>
                      <w:lang w:bidi="ar-SA"/>
                    </w:rPr>
                  </w:pPr>
                  <w:r>
                    <w:rPr>
                      <w:rFonts w:hint="default" w:ascii="Times New Roman" w:hAnsi="Times New Roman" w:eastAsia="宋体" w:cs="Times New Roman"/>
                      <w:b w:val="0"/>
                      <w:bCs w:val="0"/>
                      <w:color w:val="auto"/>
                      <w:kern w:val="2"/>
                      <w:sz w:val="21"/>
                      <w:szCs w:val="21"/>
                      <w:highlight w:val="none"/>
                      <w:lang w:bidi="ar-SA"/>
                    </w:rPr>
                    <w:t>20</w:t>
                  </w:r>
                </w:p>
              </w:tc>
              <w:tc>
                <w:tcPr>
                  <w:tcW w:w="714" w:type="dxa"/>
                  <w:vMerge w:val="restart"/>
                  <w:tcBorders>
                    <w:tl2br w:val="nil"/>
                    <w:tr2bl w:val="nil"/>
                  </w:tcBorders>
                  <w:noWrap w:val="0"/>
                  <w:vAlign w:val="center"/>
                </w:tcPr>
                <w:p w14:paraId="447C02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b w:val="0"/>
                      <w:bCs w:val="0"/>
                      <w:color w:val="auto"/>
                      <w:kern w:val="2"/>
                      <w:sz w:val="21"/>
                      <w:szCs w:val="21"/>
                      <w:highlight w:val="none"/>
                      <w:lang w:bidi="ar-SA"/>
                    </w:rPr>
                  </w:pPr>
                  <w:r>
                    <w:rPr>
                      <w:rFonts w:hint="default" w:ascii="Times New Roman" w:hAnsi="Times New Roman" w:eastAsia="宋体" w:cs="Times New Roman"/>
                      <w:b w:val="0"/>
                      <w:bCs w:val="0"/>
                      <w:color w:val="auto"/>
                      <w:kern w:val="2"/>
                      <w:sz w:val="21"/>
                      <w:szCs w:val="21"/>
                      <w:highlight w:val="none"/>
                      <w:lang w:bidi="ar-SA"/>
                    </w:rPr>
                    <w:t>40</w:t>
                  </w:r>
                </w:p>
              </w:tc>
              <w:tc>
                <w:tcPr>
                  <w:tcW w:w="807" w:type="dxa"/>
                  <w:vMerge w:val="restart"/>
                  <w:tcBorders>
                    <w:tl2br w:val="nil"/>
                    <w:tr2bl w:val="nil"/>
                  </w:tcBorders>
                  <w:noWrap w:val="0"/>
                  <w:vAlign w:val="center"/>
                </w:tcPr>
                <w:p w14:paraId="7D5AA2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b w:val="0"/>
                      <w:bCs w:val="0"/>
                      <w:color w:val="auto"/>
                      <w:kern w:val="2"/>
                      <w:sz w:val="21"/>
                      <w:szCs w:val="21"/>
                      <w:highlight w:val="none"/>
                      <w:lang w:bidi="ar-SA"/>
                    </w:rPr>
                  </w:pPr>
                  <w:r>
                    <w:rPr>
                      <w:rFonts w:hint="default" w:ascii="Times New Roman" w:hAnsi="Times New Roman" w:eastAsia="宋体" w:cs="Times New Roman"/>
                      <w:b w:val="0"/>
                      <w:bCs w:val="0"/>
                      <w:color w:val="auto"/>
                      <w:kern w:val="2"/>
                      <w:sz w:val="21"/>
                      <w:szCs w:val="21"/>
                      <w:highlight w:val="none"/>
                      <w:lang w:bidi="ar-SA"/>
                    </w:rPr>
                    <w:t>80</w:t>
                  </w:r>
                </w:p>
              </w:tc>
              <w:tc>
                <w:tcPr>
                  <w:tcW w:w="840" w:type="dxa"/>
                  <w:vMerge w:val="restart"/>
                  <w:tcBorders>
                    <w:tl2br w:val="nil"/>
                    <w:tr2bl w:val="nil"/>
                  </w:tcBorders>
                  <w:noWrap w:val="0"/>
                  <w:vAlign w:val="center"/>
                </w:tcPr>
                <w:p w14:paraId="45A6F0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b w:val="0"/>
                      <w:bCs w:val="0"/>
                      <w:color w:val="auto"/>
                      <w:kern w:val="2"/>
                      <w:sz w:val="21"/>
                      <w:szCs w:val="21"/>
                      <w:highlight w:val="none"/>
                      <w:lang w:bidi="ar-SA"/>
                    </w:rPr>
                  </w:pPr>
                  <w:r>
                    <w:rPr>
                      <w:rFonts w:hint="default" w:ascii="Times New Roman" w:hAnsi="Times New Roman" w:eastAsia="宋体" w:cs="Times New Roman"/>
                      <w:b w:val="0"/>
                      <w:bCs w:val="0"/>
                      <w:color w:val="auto"/>
                      <w:kern w:val="2"/>
                      <w:sz w:val="21"/>
                      <w:szCs w:val="21"/>
                      <w:highlight w:val="none"/>
                      <w:lang w:bidi="ar-SA"/>
                    </w:rPr>
                    <w:t>160</w:t>
                  </w:r>
                </w:p>
              </w:tc>
              <w:tc>
                <w:tcPr>
                  <w:tcW w:w="841" w:type="dxa"/>
                  <w:vMerge w:val="restart"/>
                  <w:tcBorders>
                    <w:tl2br w:val="nil"/>
                    <w:tr2bl w:val="nil"/>
                  </w:tcBorders>
                  <w:noWrap w:val="0"/>
                  <w:vAlign w:val="center"/>
                </w:tcPr>
                <w:p w14:paraId="1CA457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b w:val="0"/>
                      <w:bCs w:val="0"/>
                      <w:color w:val="auto"/>
                      <w:kern w:val="2"/>
                      <w:sz w:val="21"/>
                      <w:szCs w:val="21"/>
                      <w:highlight w:val="none"/>
                      <w:lang w:bidi="ar-SA"/>
                    </w:rPr>
                  </w:pPr>
                  <w:r>
                    <w:rPr>
                      <w:rFonts w:hint="default" w:ascii="Times New Roman" w:hAnsi="Times New Roman" w:eastAsia="宋体" w:cs="Times New Roman"/>
                      <w:b w:val="0"/>
                      <w:bCs w:val="0"/>
                      <w:color w:val="auto"/>
                      <w:kern w:val="2"/>
                      <w:sz w:val="21"/>
                      <w:szCs w:val="21"/>
                      <w:highlight w:val="none"/>
                      <w:lang w:bidi="ar-SA"/>
                    </w:rPr>
                    <w:t>320</w:t>
                  </w:r>
                </w:p>
              </w:tc>
            </w:tr>
            <w:tr w14:paraId="0817205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61" w:type="dxa"/>
                  <w:vMerge w:val="continue"/>
                  <w:tcBorders>
                    <w:tl2br w:val="nil"/>
                    <w:tr2bl w:val="nil"/>
                  </w:tcBorders>
                  <w:noWrap w:val="0"/>
                  <w:vAlign w:val="center"/>
                </w:tcPr>
                <w:p w14:paraId="76CFD7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p>
              </w:tc>
              <w:tc>
                <w:tcPr>
                  <w:tcW w:w="824" w:type="dxa"/>
                  <w:tcBorders>
                    <w:tl2br w:val="nil"/>
                    <w:tr2bl w:val="nil"/>
                  </w:tcBorders>
                  <w:noWrap w:val="0"/>
                  <w:vAlign w:val="center"/>
                </w:tcPr>
                <w:p w14:paraId="3DA0C3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b w:val="0"/>
                      <w:bCs w:val="0"/>
                      <w:color w:val="auto"/>
                      <w:kern w:val="2"/>
                      <w:sz w:val="21"/>
                      <w:szCs w:val="21"/>
                      <w:highlight w:val="none"/>
                      <w:lang w:bidi="ar-SA"/>
                    </w:rPr>
                  </w:pPr>
                  <w:r>
                    <w:rPr>
                      <w:rFonts w:hint="default" w:ascii="Times New Roman" w:hAnsi="Times New Roman" w:eastAsia="宋体" w:cs="Times New Roman"/>
                      <w:b w:val="0"/>
                      <w:bCs w:val="0"/>
                      <w:color w:val="auto"/>
                      <w:kern w:val="2"/>
                      <w:sz w:val="21"/>
                      <w:szCs w:val="21"/>
                      <w:highlight w:val="none"/>
                      <w:lang w:bidi="ar-SA"/>
                    </w:rPr>
                    <w:t>距离</w:t>
                  </w:r>
                </w:p>
              </w:tc>
              <w:tc>
                <w:tcPr>
                  <w:tcW w:w="976" w:type="dxa"/>
                  <w:tcBorders>
                    <w:tl2br w:val="nil"/>
                    <w:tr2bl w:val="nil"/>
                  </w:tcBorders>
                  <w:noWrap w:val="0"/>
                  <w:vAlign w:val="center"/>
                </w:tcPr>
                <w:p w14:paraId="568C58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b w:val="0"/>
                      <w:bCs w:val="0"/>
                      <w:color w:val="auto"/>
                      <w:kern w:val="2"/>
                      <w:sz w:val="21"/>
                      <w:szCs w:val="21"/>
                      <w:highlight w:val="none"/>
                      <w:lang w:bidi="ar-SA"/>
                    </w:rPr>
                  </w:pPr>
                  <w:r>
                    <w:rPr>
                      <w:rFonts w:hint="default" w:ascii="Times New Roman" w:hAnsi="Times New Roman" w:eastAsia="宋体" w:cs="Times New Roman"/>
                      <w:b w:val="0"/>
                      <w:bCs w:val="0"/>
                      <w:color w:val="auto"/>
                      <w:kern w:val="2"/>
                      <w:sz w:val="21"/>
                      <w:szCs w:val="21"/>
                      <w:highlight w:val="none"/>
                      <w:lang w:bidi="ar-SA"/>
                    </w:rPr>
                    <w:t>噪声值</w:t>
                  </w:r>
                </w:p>
              </w:tc>
              <w:tc>
                <w:tcPr>
                  <w:tcW w:w="621" w:type="dxa"/>
                  <w:vMerge w:val="continue"/>
                  <w:tcBorders>
                    <w:tl2br w:val="nil"/>
                    <w:tr2bl w:val="nil"/>
                  </w:tcBorders>
                  <w:noWrap w:val="0"/>
                  <w:vAlign w:val="center"/>
                </w:tcPr>
                <w:p w14:paraId="1780AC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b/>
                      <w:bCs/>
                      <w:color w:val="auto"/>
                      <w:kern w:val="2"/>
                      <w:sz w:val="21"/>
                      <w:szCs w:val="21"/>
                      <w:highlight w:val="none"/>
                      <w:lang w:bidi="ar-SA"/>
                    </w:rPr>
                  </w:pPr>
                </w:p>
              </w:tc>
              <w:tc>
                <w:tcPr>
                  <w:tcW w:w="773" w:type="dxa"/>
                  <w:vMerge w:val="continue"/>
                  <w:tcBorders>
                    <w:tl2br w:val="nil"/>
                    <w:tr2bl w:val="nil"/>
                  </w:tcBorders>
                  <w:noWrap w:val="0"/>
                  <w:vAlign w:val="center"/>
                </w:tcPr>
                <w:p w14:paraId="264BC2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b/>
                      <w:bCs/>
                      <w:color w:val="auto"/>
                      <w:kern w:val="2"/>
                      <w:sz w:val="21"/>
                      <w:szCs w:val="21"/>
                      <w:highlight w:val="none"/>
                      <w:lang w:bidi="ar-SA"/>
                    </w:rPr>
                  </w:pPr>
                </w:p>
              </w:tc>
              <w:tc>
                <w:tcPr>
                  <w:tcW w:w="714" w:type="dxa"/>
                  <w:vMerge w:val="continue"/>
                  <w:tcBorders>
                    <w:tl2br w:val="nil"/>
                    <w:tr2bl w:val="nil"/>
                  </w:tcBorders>
                  <w:noWrap w:val="0"/>
                  <w:vAlign w:val="center"/>
                </w:tcPr>
                <w:p w14:paraId="646D43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b/>
                      <w:bCs/>
                      <w:color w:val="auto"/>
                      <w:kern w:val="2"/>
                      <w:sz w:val="21"/>
                      <w:szCs w:val="21"/>
                      <w:highlight w:val="none"/>
                      <w:lang w:bidi="ar-SA"/>
                    </w:rPr>
                  </w:pPr>
                </w:p>
              </w:tc>
              <w:tc>
                <w:tcPr>
                  <w:tcW w:w="807" w:type="dxa"/>
                  <w:vMerge w:val="continue"/>
                  <w:tcBorders>
                    <w:tl2br w:val="nil"/>
                    <w:tr2bl w:val="nil"/>
                  </w:tcBorders>
                  <w:noWrap w:val="0"/>
                  <w:vAlign w:val="center"/>
                </w:tcPr>
                <w:p w14:paraId="6B8A2F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b/>
                      <w:bCs/>
                      <w:color w:val="auto"/>
                      <w:kern w:val="2"/>
                      <w:sz w:val="21"/>
                      <w:szCs w:val="21"/>
                      <w:highlight w:val="none"/>
                      <w:lang w:bidi="ar-SA"/>
                    </w:rPr>
                  </w:pPr>
                </w:p>
              </w:tc>
              <w:tc>
                <w:tcPr>
                  <w:tcW w:w="840" w:type="dxa"/>
                  <w:vMerge w:val="continue"/>
                  <w:tcBorders>
                    <w:tl2br w:val="nil"/>
                    <w:tr2bl w:val="nil"/>
                  </w:tcBorders>
                  <w:noWrap w:val="0"/>
                  <w:vAlign w:val="center"/>
                </w:tcPr>
                <w:p w14:paraId="6099BF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b/>
                      <w:bCs/>
                      <w:color w:val="auto"/>
                      <w:kern w:val="2"/>
                      <w:sz w:val="21"/>
                      <w:szCs w:val="21"/>
                      <w:highlight w:val="none"/>
                      <w:lang w:bidi="ar-SA"/>
                    </w:rPr>
                  </w:pPr>
                </w:p>
              </w:tc>
              <w:tc>
                <w:tcPr>
                  <w:tcW w:w="841" w:type="dxa"/>
                  <w:vMerge w:val="continue"/>
                  <w:tcBorders>
                    <w:tl2br w:val="nil"/>
                    <w:tr2bl w:val="nil"/>
                  </w:tcBorders>
                  <w:noWrap w:val="0"/>
                  <w:vAlign w:val="center"/>
                </w:tcPr>
                <w:p w14:paraId="350372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b/>
                      <w:bCs/>
                      <w:color w:val="auto"/>
                      <w:kern w:val="2"/>
                      <w:sz w:val="21"/>
                      <w:szCs w:val="21"/>
                      <w:highlight w:val="none"/>
                      <w:lang w:bidi="ar-SA"/>
                    </w:rPr>
                  </w:pPr>
                </w:p>
              </w:tc>
            </w:tr>
            <w:tr w14:paraId="69113E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61" w:type="dxa"/>
                  <w:tcBorders>
                    <w:tl2br w:val="nil"/>
                    <w:tr2bl w:val="nil"/>
                  </w:tcBorders>
                  <w:noWrap w:val="0"/>
                  <w:vAlign w:val="center"/>
                </w:tcPr>
                <w:p w14:paraId="6F2551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推土机</w:t>
                  </w:r>
                </w:p>
              </w:tc>
              <w:tc>
                <w:tcPr>
                  <w:tcW w:w="824" w:type="dxa"/>
                  <w:tcBorders>
                    <w:tl2br w:val="nil"/>
                    <w:tr2bl w:val="nil"/>
                  </w:tcBorders>
                  <w:noWrap w:val="0"/>
                  <w:vAlign w:val="center"/>
                </w:tcPr>
                <w:p w14:paraId="1A6071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1</w:t>
                  </w:r>
                </w:p>
              </w:tc>
              <w:tc>
                <w:tcPr>
                  <w:tcW w:w="976" w:type="dxa"/>
                  <w:tcBorders>
                    <w:tl2br w:val="nil"/>
                    <w:tr2bl w:val="nil"/>
                  </w:tcBorders>
                  <w:noWrap w:val="0"/>
                  <w:vAlign w:val="center"/>
                </w:tcPr>
                <w:p w14:paraId="35564F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105</w:t>
                  </w:r>
                </w:p>
              </w:tc>
              <w:tc>
                <w:tcPr>
                  <w:tcW w:w="621" w:type="dxa"/>
                  <w:tcBorders>
                    <w:tl2br w:val="nil"/>
                    <w:tr2bl w:val="nil"/>
                  </w:tcBorders>
                  <w:noWrap w:val="0"/>
                  <w:vAlign w:val="center"/>
                </w:tcPr>
                <w:p w14:paraId="618B0B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85</w:t>
                  </w:r>
                </w:p>
              </w:tc>
              <w:tc>
                <w:tcPr>
                  <w:tcW w:w="773" w:type="dxa"/>
                  <w:tcBorders>
                    <w:tl2br w:val="nil"/>
                    <w:tr2bl w:val="nil"/>
                  </w:tcBorders>
                  <w:noWrap w:val="0"/>
                  <w:vAlign w:val="center"/>
                </w:tcPr>
                <w:p w14:paraId="64DD27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79</w:t>
                  </w:r>
                </w:p>
              </w:tc>
              <w:tc>
                <w:tcPr>
                  <w:tcW w:w="714" w:type="dxa"/>
                  <w:tcBorders>
                    <w:tl2br w:val="nil"/>
                    <w:tr2bl w:val="nil"/>
                  </w:tcBorders>
                  <w:noWrap w:val="0"/>
                  <w:vAlign w:val="center"/>
                </w:tcPr>
                <w:p w14:paraId="1DA923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73</w:t>
                  </w:r>
                </w:p>
              </w:tc>
              <w:tc>
                <w:tcPr>
                  <w:tcW w:w="807" w:type="dxa"/>
                  <w:tcBorders>
                    <w:tl2br w:val="nil"/>
                    <w:tr2bl w:val="nil"/>
                  </w:tcBorders>
                  <w:noWrap w:val="0"/>
                  <w:vAlign w:val="center"/>
                </w:tcPr>
                <w:p w14:paraId="24AC02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67</w:t>
                  </w:r>
                </w:p>
              </w:tc>
              <w:tc>
                <w:tcPr>
                  <w:tcW w:w="840" w:type="dxa"/>
                  <w:tcBorders>
                    <w:tl2br w:val="nil"/>
                    <w:tr2bl w:val="nil"/>
                  </w:tcBorders>
                  <w:noWrap w:val="0"/>
                  <w:vAlign w:val="center"/>
                </w:tcPr>
                <w:p w14:paraId="370521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61</w:t>
                  </w:r>
                </w:p>
              </w:tc>
              <w:tc>
                <w:tcPr>
                  <w:tcW w:w="841" w:type="dxa"/>
                  <w:tcBorders>
                    <w:tl2br w:val="nil"/>
                    <w:tr2bl w:val="nil"/>
                  </w:tcBorders>
                  <w:noWrap w:val="0"/>
                  <w:vAlign w:val="center"/>
                </w:tcPr>
                <w:p w14:paraId="0E99A8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55</w:t>
                  </w:r>
                </w:p>
              </w:tc>
            </w:tr>
            <w:tr w14:paraId="4367C9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61" w:type="dxa"/>
                  <w:tcBorders>
                    <w:tl2br w:val="nil"/>
                    <w:tr2bl w:val="nil"/>
                  </w:tcBorders>
                  <w:noWrap w:val="0"/>
                  <w:vAlign w:val="center"/>
                </w:tcPr>
                <w:p w14:paraId="77038A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挖掘机</w:t>
                  </w:r>
                </w:p>
              </w:tc>
              <w:tc>
                <w:tcPr>
                  <w:tcW w:w="824" w:type="dxa"/>
                  <w:tcBorders>
                    <w:tl2br w:val="nil"/>
                    <w:tr2bl w:val="nil"/>
                  </w:tcBorders>
                  <w:noWrap w:val="0"/>
                  <w:vAlign w:val="center"/>
                </w:tcPr>
                <w:p w14:paraId="58EF3E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1</w:t>
                  </w:r>
                </w:p>
              </w:tc>
              <w:tc>
                <w:tcPr>
                  <w:tcW w:w="976" w:type="dxa"/>
                  <w:tcBorders>
                    <w:tl2br w:val="nil"/>
                    <w:tr2bl w:val="nil"/>
                  </w:tcBorders>
                  <w:noWrap w:val="0"/>
                  <w:vAlign w:val="center"/>
                </w:tcPr>
                <w:p w14:paraId="3B772E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105</w:t>
                  </w:r>
                </w:p>
              </w:tc>
              <w:tc>
                <w:tcPr>
                  <w:tcW w:w="621" w:type="dxa"/>
                  <w:tcBorders>
                    <w:tl2br w:val="nil"/>
                    <w:tr2bl w:val="nil"/>
                  </w:tcBorders>
                  <w:noWrap w:val="0"/>
                  <w:vAlign w:val="center"/>
                </w:tcPr>
                <w:p w14:paraId="56B61F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85</w:t>
                  </w:r>
                </w:p>
              </w:tc>
              <w:tc>
                <w:tcPr>
                  <w:tcW w:w="773" w:type="dxa"/>
                  <w:tcBorders>
                    <w:tl2br w:val="nil"/>
                    <w:tr2bl w:val="nil"/>
                  </w:tcBorders>
                  <w:noWrap w:val="0"/>
                  <w:vAlign w:val="center"/>
                </w:tcPr>
                <w:p w14:paraId="72E75E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79</w:t>
                  </w:r>
                </w:p>
              </w:tc>
              <w:tc>
                <w:tcPr>
                  <w:tcW w:w="714" w:type="dxa"/>
                  <w:tcBorders>
                    <w:tl2br w:val="nil"/>
                    <w:tr2bl w:val="nil"/>
                  </w:tcBorders>
                  <w:noWrap w:val="0"/>
                  <w:vAlign w:val="center"/>
                </w:tcPr>
                <w:p w14:paraId="61CFC4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73</w:t>
                  </w:r>
                </w:p>
              </w:tc>
              <w:tc>
                <w:tcPr>
                  <w:tcW w:w="807" w:type="dxa"/>
                  <w:tcBorders>
                    <w:tl2br w:val="nil"/>
                    <w:tr2bl w:val="nil"/>
                  </w:tcBorders>
                  <w:noWrap w:val="0"/>
                  <w:vAlign w:val="center"/>
                </w:tcPr>
                <w:p w14:paraId="69530D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67</w:t>
                  </w:r>
                </w:p>
              </w:tc>
              <w:tc>
                <w:tcPr>
                  <w:tcW w:w="840" w:type="dxa"/>
                  <w:tcBorders>
                    <w:tl2br w:val="nil"/>
                    <w:tr2bl w:val="nil"/>
                  </w:tcBorders>
                  <w:noWrap w:val="0"/>
                  <w:vAlign w:val="center"/>
                </w:tcPr>
                <w:p w14:paraId="2CA037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61</w:t>
                  </w:r>
                </w:p>
              </w:tc>
              <w:tc>
                <w:tcPr>
                  <w:tcW w:w="841" w:type="dxa"/>
                  <w:tcBorders>
                    <w:tl2br w:val="nil"/>
                    <w:tr2bl w:val="nil"/>
                  </w:tcBorders>
                  <w:noWrap w:val="0"/>
                  <w:vAlign w:val="center"/>
                </w:tcPr>
                <w:p w14:paraId="678F2A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55</w:t>
                  </w:r>
                </w:p>
              </w:tc>
            </w:tr>
            <w:tr w14:paraId="5EDC94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61" w:type="dxa"/>
                  <w:tcBorders>
                    <w:tl2br w:val="nil"/>
                    <w:tr2bl w:val="nil"/>
                  </w:tcBorders>
                  <w:noWrap w:val="0"/>
                  <w:vAlign w:val="center"/>
                </w:tcPr>
                <w:p w14:paraId="0F180A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运输车辆</w:t>
                  </w:r>
                </w:p>
              </w:tc>
              <w:tc>
                <w:tcPr>
                  <w:tcW w:w="824" w:type="dxa"/>
                  <w:tcBorders>
                    <w:tl2br w:val="nil"/>
                    <w:tr2bl w:val="nil"/>
                  </w:tcBorders>
                  <w:noWrap w:val="0"/>
                  <w:vAlign w:val="center"/>
                </w:tcPr>
                <w:p w14:paraId="1E9372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1</w:t>
                  </w:r>
                </w:p>
              </w:tc>
              <w:tc>
                <w:tcPr>
                  <w:tcW w:w="976" w:type="dxa"/>
                  <w:tcBorders>
                    <w:tl2br w:val="nil"/>
                    <w:tr2bl w:val="nil"/>
                  </w:tcBorders>
                  <w:noWrap w:val="0"/>
                  <w:vAlign w:val="center"/>
                </w:tcPr>
                <w:p w14:paraId="456D7A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85</w:t>
                  </w:r>
                </w:p>
              </w:tc>
              <w:tc>
                <w:tcPr>
                  <w:tcW w:w="621" w:type="dxa"/>
                  <w:tcBorders>
                    <w:tl2br w:val="nil"/>
                    <w:tr2bl w:val="nil"/>
                  </w:tcBorders>
                  <w:noWrap w:val="0"/>
                  <w:vAlign w:val="center"/>
                </w:tcPr>
                <w:p w14:paraId="0D76E9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65</w:t>
                  </w:r>
                </w:p>
              </w:tc>
              <w:tc>
                <w:tcPr>
                  <w:tcW w:w="773" w:type="dxa"/>
                  <w:tcBorders>
                    <w:tl2br w:val="nil"/>
                    <w:tr2bl w:val="nil"/>
                  </w:tcBorders>
                  <w:noWrap w:val="0"/>
                  <w:vAlign w:val="center"/>
                </w:tcPr>
                <w:p w14:paraId="13B810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59</w:t>
                  </w:r>
                </w:p>
              </w:tc>
              <w:tc>
                <w:tcPr>
                  <w:tcW w:w="714" w:type="dxa"/>
                  <w:tcBorders>
                    <w:tl2br w:val="nil"/>
                    <w:tr2bl w:val="nil"/>
                  </w:tcBorders>
                  <w:noWrap w:val="0"/>
                  <w:vAlign w:val="center"/>
                </w:tcPr>
                <w:p w14:paraId="73380A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53</w:t>
                  </w:r>
                </w:p>
              </w:tc>
              <w:tc>
                <w:tcPr>
                  <w:tcW w:w="807" w:type="dxa"/>
                  <w:tcBorders>
                    <w:tl2br w:val="nil"/>
                    <w:tr2bl w:val="nil"/>
                  </w:tcBorders>
                  <w:noWrap w:val="0"/>
                  <w:vAlign w:val="center"/>
                </w:tcPr>
                <w:p w14:paraId="401680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47</w:t>
                  </w:r>
                </w:p>
              </w:tc>
              <w:tc>
                <w:tcPr>
                  <w:tcW w:w="840" w:type="dxa"/>
                  <w:tcBorders>
                    <w:tl2br w:val="nil"/>
                    <w:tr2bl w:val="nil"/>
                  </w:tcBorders>
                  <w:noWrap w:val="0"/>
                  <w:vAlign w:val="center"/>
                </w:tcPr>
                <w:p w14:paraId="550BC5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41</w:t>
                  </w:r>
                </w:p>
              </w:tc>
              <w:tc>
                <w:tcPr>
                  <w:tcW w:w="841" w:type="dxa"/>
                  <w:tcBorders>
                    <w:tl2br w:val="nil"/>
                    <w:tr2bl w:val="nil"/>
                  </w:tcBorders>
                  <w:noWrap w:val="0"/>
                  <w:vAlign w:val="center"/>
                </w:tcPr>
                <w:p w14:paraId="5B898F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35</w:t>
                  </w:r>
                </w:p>
              </w:tc>
            </w:tr>
            <w:tr w14:paraId="0BFD4D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61" w:type="dxa"/>
                  <w:tcBorders>
                    <w:tl2br w:val="nil"/>
                    <w:tr2bl w:val="nil"/>
                  </w:tcBorders>
                  <w:noWrap w:val="0"/>
                  <w:vAlign w:val="center"/>
                </w:tcPr>
                <w:p w14:paraId="4DA5C8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起重机</w:t>
                  </w:r>
                </w:p>
              </w:tc>
              <w:tc>
                <w:tcPr>
                  <w:tcW w:w="824" w:type="dxa"/>
                  <w:tcBorders>
                    <w:tl2br w:val="nil"/>
                    <w:tr2bl w:val="nil"/>
                  </w:tcBorders>
                  <w:noWrap w:val="0"/>
                  <w:vAlign w:val="center"/>
                </w:tcPr>
                <w:p w14:paraId="378702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1</w:t>
                  </w:r>
                </w:p>
              </w:tc>
              <w:tc>
                <w:tcPr>
                  <w:tcW w:w="976" w:type="dxa"/>
                  <w:tcBorders>
                    <w:tl2br w:val="nil"/>
                    <w:tr2bl w:val="nil"/>
                  </w:tcBorders>
                  <w:noWrap w:val="0"/>
                  <w:vAlign w:val="center"/>
                </w:tcPr>
                <w:p w14:paraId="518CBE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105</w:t>
                  </w:r>
                </w:p>
              </w:tc>
              <w:tc>
                <w:tcPr>
                  <w:tcW w:w="621" w:type="dxa"/>
                  <w:tcBorders>
                    <w:tl2br w:val="nil"/>
                    <w:tr2bl w:val="nil"/>
                  </w:tcBorders>
                  <w:noWrap w:val="0"/>
                  <w:vAlign w:val="center"/>
                </w:tcPr>
                <w:p w14:paraId="00C4D4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85</w:t>
                  </w:r>
                </w:p>
              </w:tc>
              <w:tc>
                <w:tcPr>
                  <w:tcW w:w="773" w:type="dxa"/>
                  <w:tcBorders>
                    <w:tl2br w:val="nil"/>
                    <w:tr2bl w:val="nil"/>
                  </w:tcBorders>
                  <w:noWrap w:val="0"/>
                  <w:vAlign w:val="center"/>
                </w:tcPr>
                <w:p w14:paraId="4DF589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79</w:t>
                  </w:r>
                </w:p>
              </w:tc>
              <w:tc>
                <w:tcPr>
                  <w:tcW w:w="714" w:type="dxa"/>
                  <w:tcBorders>
                    <w:tl2br w:val="nil"/>
                    <w:tr2bl w:val="nil"/>
                  </w:tcBorders>
                  <w:noWrap w:val="0"/>
                  <w:vAlign w:val="center"/>
                </w:tcPr>
                <w:p w14:paraId="30B8A1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73</w:t>
                  </w:r>
                </w:p>
              </w:tc>
              <w:tc>
                <w:tcPr>
                  <w:tcW w:w="807" w:type="dxa"/>
                  <w:tcBorders>
                    <w:tl2br w:val="nil"/>
                    <w:tr2bl w:val="nil"/>
                  </w:tcBorders>
                  <w:noWrap w:val="0"/>
                  <w:vAlign w:val="center"/>
                </w:tcPr>
                <w:p w14:paraId="66FFDF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67</w:t>
                  </w:r>
                </w:p>
              </w:tc>
              <w:tc>
                <w:tcPr>
                  <w:tcW w:w="840" w:type="dxa"/>
                  <w:tcBorders>
                    <w:tl2br w:val="nil"/>
                    <w:tr2bl w:val="nil"/>
                  </w:tcBorders>
                  <w:noWrap w:val="0"/>
                  <w:vAlign w:val="center"/>
                </w:tcPr>
                <w:p w14:paraId="6795A0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61</w:t>
                  </w:r>
                </w:p>
              </w:tc>
              <w:tc>
                <w:tcPr>
                  <w:tcW w:w="841" w:type="dxa"/>
                  <w:tcBorders>
                    <w:tl2br w:val="nil"/>
                    <w:tr2bl w:val="nil"/>
                  </w:tcBorders>
                  <w:noWrap w:val="0"/>
                  <w:vAlign w:val="center"/>
                </w:tcPr>
                <w:p w14:paraId="40E664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55</w:t>
                  </w:r>
                </w:p>
              </w:tc>
            </w:tr>
            <w:tr w14:paraId="4FCE76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61" w:type="dxa"/>
                  <w:tcBorders>
                    <w:tl2br w:val="nil"/>
                    <w:tr2bl w:val="nil"/>
                  </w:tcBorders>
                  <w:noWrap w:val="0"/>
                  <w:vAlign w:val="center"/>
                </w:tcPr>
                <w:p w14:paraId="3747AE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振捣器</w:t>
                  </w:r>
                </w:p>
              </w:tc>
              <w:tc>
                <w:tcPr>
                  <w:tcW w:w="824" w:type="dxa"/>
                  <w:tcBorders>
                    <w:tl2br w:val="nil"/>
                    <w:tr2bl w:val="nil"/>
                  </w:tcBorders>
                  <w:noWrap w:val="0"/>
                  <w:vAlign w:val="center"/>
                </w:tcPr>
                <w:p w14:paraId="6B0DA5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1</w:t>
                  </w:r>
                </w:p>
              </w:tc>
              <w:tc>
                <w:tcPr>
                  <w:tcW w:w="976" w:type="dxa"/>
                  <w:tcBorders>
                    <w:tl2br w:val="nil"/>
                    <w:tr2bl w:val="nil"/>
                  </w:tcBorders>
                  <w:noWrap w:val="0"/>
                  <w:vAlign w:val="center"/>
                </w:tcPr>
                <w:p w14:paraId="66202E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90</w:t>
                  </w:r>
                </w:p>
              </w:tc>
              <w:tc>
                <w:tcPr>
                  <w:tcW w:w="621" w:type="dxa"/>
                  <w:tcBorders>
                    <w:tl2br w:val="nil"/>
                    <w:tr2bl w:val="nil"/>
                  </w:tcBorders>
                  <w:noWrap w:val="0"/>
                  <w:vAlign w:val="center"/>
                </w:tcPr>
                <w:p w14:paraId="68465C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70</w:t>
                  </w:r>
                </w:p>
              </w:tc>
              <w:tc>
                <w:tcPr>
                  <w:tcW w:w="773" w:type="dxa"/>
                  <w:tcBorders>
                    <w:tl2br w:val="nil"/>
                    <w:tr2bl w:val="nil"/>
                  </w:tcBorders>
                  <w:noWrap w:val="0"/>
                  <w:vAlign w:val="center"/>
                </w:tcPr>
                <w:p w14:paraId="56DC09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64</w:t>
                  </w:r>
                </w:p>
              </w:tc>
              <w:tc>
                <w:tcPr>
                  <w:tcW w:w="714" w:type="dxa"/>
                  <w:tcBorders>
                    <w:tl2br w:val="nil"/>
                    <w:tr2bl w:val="nil"/>
                  </w:tcBorders>
                  <w:noWrap w:val="0"/>
                  <w:vAlign w:val="center"/>
                </w:tcPr>
                <w:p w14:paraId="378C3D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58</w:t>
                  </w:r>
                </w:p>
              </w:tc>
              <w:tc>
                <w:tcPr>
                  <w:tcW w:w="807" w:type="dxa"/>
                  <w:tcBorders>
                    <w:tl2br w:val="nil"/>
                    <w:tr2bl w:val="nil"/>
                  </w:tcBorders>
                  <w:noWrap w:val="0"/>
                  <w:vAlign w:val="center"/>
                </w:tcPr>
                <w:p w14:paraId="40327C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52</w:t>
                  </w:r>
                </w:p>
              </w:tc>
              <w:tc>
                <w:tcPr>
                  <w:tcW w:w="840" w:type="dxa"/>
                  <w:tcBorders>
                    <w:tl2br w:val="nil"/>
                    <w:tr2bl w:val="nil"/>
                  </w:tcBorders>
                  <w:noWrap w:val="0"/>
                  <w:vAlign w:val="center"/>
                </w:tcPr>
                <w:p w14:paraId="1BAC6D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46</w:t>
                  </w:r>
                </w:p>
              </w:tc>
              <w:tc>
                <w:tcPr>
                  <w:tcW w:w="841" w:type="dxa"/>
                  <w:tcBorders>
                    <w:tl2br w:val="nil"/>
                    <w:tr2bl w:val="nil"/>
                  </w:tcBorders>
                  <w:noWrap w:val="0"/>
                  <w:vAlign w:val="center"/>
                </w:tcPr>
                <w:p w14:paraId="5921C7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40</w:t>
                  </w:r>
                </w:p>
              </w:tc>
            </w:tr>
            <w:tr w14:paraId="5A77A4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61" w:type="dxa"/>
                  <w:tcBorders>
                    <w:tl2br w:val="nil"/>
                    <w:tr2bl w:val="nil"/>
                  </w:tcBorders>
                  <w:noWrap w:val="0"/>
                  <w:vAlign w:val="center"/>
                </w:tcPr>
                <w:p w14:paraId="1692F6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混凝土搅拌车</w:t>
                  </w:r>
                </w:p>
              </w:tc>
              <w:tc>
                <w:tcPr>
                  <w:tcW w:w="824" w:type="dxa"/>
                  <w:tcBorders>
                    <w:tl2br w:val="nil"/>
                    <w:tr2bl w:val="nil"/>
                  </w:tcBorders>
                  <w:noWrap w:val="0"/>
                  <w:vAlign w:val="center"/>
                </w:tcPr>
                <w:p w14:paraId="2F37A4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bidi="ar-SA"/>
                    </w:rPr>
                    <w:t>1</w:t>
                  </w:r>
                </w:p>
              </w:tc>
              <w:tc>
                <w:tcPr>
                  <w:tcW w:w="976" w:type="dxa"/>
                  <w:tcBorders>
                    <w:tl2br w:val="nil"/>
                    <w:tr2bl w:val="nil"/>
                  </w:tcBorders>
                  <w:noWrap w:val="0"/>
                  <w:vAlign w:val="center"/>
                </w:tcPr>
                <w:p w14:paraId="7EAA1B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90</w:t>
                  </w:r>
                </w:p>
              </w:tc>
              <w:tc>
                <w:tcPr>
                  <w:tcW w:w="621" w:type="dxa"/>
                  <w:tcBorders>
                    <w:tl2br w:val="nil"/>
                    <w:tr2bl w:val="nil"/>
                  </w:tcBorders>
                  <w:noWrap w:val="0"/>
                  <w:vAlign w:val="center"/>
                </w:tcPr>
                <w:p w14:paraId="31FCDD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70</w:t>
                  </w:r>
                </w:p>
              </w:tc>
              <w:tc>
                <w:tcPr>
                  <w:tcW w:w="773" w:type="dxa"/>
                  <w:tcBorders>
                    <w:tl2br w:val="nil"/>
                    <w:tr2bl w:val="nil"/>
                  </w:tcBorders>
                  <w:noWrap w:val="0"/>
                  <w:vAlign w:val="center"/>
                </w:tcPr>
                <w:p w14:paraId="02BD42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64</w:t>
                  </w:r>
                </w:p>
              </w:tc>
              <w:tc>
                <w:tcPr>
                  <w:tcW w:w="714" w:type="dxa"/>
                  <w:tcBorders>
                    <w:tl2br w:val="nil"/>
                    <w:tr2bl w:val="nil"/>
                  </w:tcBorders>
                  <w:noWrap w:val="0"/>
                  <w:vAlign w:val="center"/>
                </w:tcPr>
                <w:p w14:paraId="134BBD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58</w:t>
                  </w:r>
                </w:p>
              </w:tc>
              <w:tc>
                <w:tcPr>
                  <w:tcW w:w="807" w:type="dxa"/>
                  <w:tcBorders>
                    <w:tl2br w:val="nil"/>
                    <w:tr2bl w:val="nil"/>
                  </w:tcBorders>
                  <w:noWrap w:val="0"/>
                  <w:vAlign w:val="center"/>
                </w:tcPr>
                <w:p w14:paraId="186639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52</w:t>
                  </w:r>
                </w:p>
              </w:tc>
              <w:tc>
                <w:tcPr>
                  <w:tcW w:w="840" w:type="dxa"/>
                  <w:tcBorders>
                    <w:tl2br w:val="nil"/>
                    <w:tr2bl w:val="nil"/>
                  </w:tcBorders>
                  <w:noWrap w:val="0"/>
                  <w:vAlign w:val="center"/>
                </w:tcPr>
                <w:p w14:paraId="27FB41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46</w:t>
                  </w:r>
                </w:p>
              </w:tc>
              <w:tc>
                <w:tcPr>
                  <w:tcW w:w="841" w:type="dxa"/>
                  <w:tcBorders>
                    <w:tl2br w:val="nil"/>
                    <w:tr2bl w:val="nil"/>
                  </w:tcBorders>
                  <w:noWrap w:val="0"/>
                  <w:vAlign w:val="center"/>
                </w:tcPr>
                <w:p w14:paraId="5D3110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40</w:t>
                  </w:r>
                </w:p>
              </w:tc>
            </w:tr>
            <w:tr w14:paraId="01A18A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861" w:type="dxa"/>
                  <w:tcBorders>
                    <w:tl2br w:val="nil"/>
                    <w:tr2bl w:val="nil"/>
                  </w:tcBorders>
                  <w:noWrap w:val="0"/>
                  <w:vAlign w:val="center"/>
                </w:tcPr>
                <w:p w14:paraId="713A4F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切割机</w:t>
                  </w:r>
                </w:p>
              </w:tc>
              <w:tc>
                <w:tcPr>
                  <w:tcW w:w="824" w:type="dxa"/>
                  <w:tcBorders>
                    <w:tl2br w:val="nil"/>
                    <w:tr2bl w:val="nil"/>
                  </w:tcBorders>
                  <w:noWrap w:val="0"/>
                  <w:vAlign w:val="center"/>
                </w:tcPr>
                <w:p w14:paraId="32E653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bidi="ar-SA"/>
                    </w:rPr>
                    <w:t>1</w:t>
                  </w:r>
                </w:p>
              </w:tc>
              <w:tc>
                <w:tcPr>
                  <w:tcW w:w="976" w:type="dxa"/>
                  <w:tcBorders>
                    <w:tl2br w:val="nil"/>
                    <w:tr2bl w:val="nil"/>
                  </w:tcBorders>
                  <w:noWrap w:val="0"/>
                  <w:vAlign w:val="center"/>
                </w:tcPr>
                <w:p w14:paraId="596607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rightChars="0" w:firstLine="0" w:firstLineChars="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90</w:t>
                  </w:r>
                </w:p>
              </w:tc>
              <w:tc>
                <w:tcPr>
                  <w:tcW w:w="621" w:type="dxa"/>
                  <w:tcBorders>
                    <w:tl2br w:val="nil"/>
                    <w:tr2bl w:val="nil"/>
                  </w:tcBorders>
                  <w:noWrap w:val="0"/>
                  <w:vAlign w:val="center"/>
                </w:tcPr>
                <w:p w14:paraId="161A6A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70</w:t>
                  </w:r>
                </w:p>
              </w:tc>
              <w:tc>
                <w:tcPr>
                  <w:tcW w:w="773" w:type="dxa"/>
                  <w:tcBorders>
                    <w:tl2br w:val="nil"/>
                    <w:tr2bl w:val="nil"/>
                  </w:tcBorders>
                  <w:noWrap w:val="0"/>
                  <w:vAlign w:val="center"/>
                </w:tcPr>
                <w:p w14:paraId="51E78F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64</w:t>
                  </w:r>
                </w:p>
              </w:tc>
              <w:tc>
                <w:tcPr>
                  <w:tcW w:w="714" w:type="dxa"/>
                  <w:tcBorders>
                    <w:tl2br w:val="nil"/>
                    <w:tr2bl w:val="nil"/>
                  </w:tcBorders>
                  <w:noWrap w:val="0"/>
                  <w:vAlign w:val="center"/>
                </w:tcPr>
                <w:p w14:paraId="36D808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58</w:t>
                  </w:r>
                </w:p>
              </w:tc>
              <w:tc>
                <w:tcPr>
                  <w:tcW w:w="807" w:type="dxa"/>
                  <w:tcBorders>
                    <w:tl2br w:val="nil"/>
                    <w:tr2bl w:val="nil"/>
                  </w:tcBorders>
                  <w:noWrap w:val="0"/>
                  <w:vAlign w:val="center"/>
                </w:tcPr>
                <w:p w14:paraId="507773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52</w:t>
                  </w:r>
                </w:p>
              </w:tc>
              <w:tc>
                <w:tcPr>
                  <w:tcW w:w="840" w:type="dxa"/>
                  <w:tcBorders>
                    <w:tl2br w:val="nil"/>
                    <w:tr2bl w:val="nil"/>
                  </w:tcBorders>
                  <w:noWrap w:val="0"/>
                  <w:vAlign w:val="center"/>
                </w:tcPr>
                <w:p w14:paraId="7B788D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46</w:t>
                  </w:r>
                </w:p>
              </w:tc>
              <w:tc>
                <w:tcPr>
                  <w:tcW w:w="841" w:type="dxa"/>
                  <w:tcBorders>
                    <w:tl2br w:val="nil"/>
                    <w:tr2bl w:val="nil"/>
                  </w:tcBorders>
                  <w:noWrap w:val="0"/>
                  <w:vAlign w:val="center"/>
                </w:tcPr>
                <w:p w14:paraId="103A2A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jc w:val="center"/>
                    <w:textAlignment w:val="auto"/>
                    <w:rPr>
                      <w:rFonts w:hint="default" w:ascii="Times New Roman" w:hAnsi="Times New Roman" w:eastAsia="宋体" w:cs="Times New Roman"/>
                      <w:color w:val="auto"/>
                      <w:kern w:val="2"/>
                      <w:sz w:val="21"/>
                      <w:szCs w:val="21"/>
                      <w:highlight w:val="none"/>
                      <w:lang w:bidi="ar-SA"/>
                    </w:rPr>
                  </w:pPr>
                  <w:r>
                    <w:rPr>
                      <w:rFonts w:hint="default" w:ascii="Times New Roman" w:hAnsi="Times New Roman" w:eastAsia="宋体" w:cs="Times New Roman"/>
                      <w:color w:val="auto"/>
                      <w:kern w:val="2"/>
                      <w:sz w:val="21"/>
                      <w:szCs w:val="21"/>
                      <w:highlight w:val="none"/>
                      <w:lang w:bidi="ar-SA"/>
                    </w:rPr>
                    <w:t>40</w:t>
                  </w:r>
                </w:p>
              </w:tc>
            </w:tr>
          </w:tbl>
          <w:p w14:paraId="79A2F925">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由于以上预测结果是单一施工设备满负荷运作时的噪声预测结果，但在施工现场，存在多种施工设备共同作业，施工噪声影响是多种设备噪声共同造成的结果。本项目具有施工点多、分散的特点，因而一般情况下施工机械分布比较分散，多数情况下只有1～2台施工设备在同一作业点同时使用。</w:t>
            </w:r>
          </w:p>
          <w:p w14:paraId="3000E8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由</w:t>
            </w:r>
            <w:r>
              <w:rPr>
                <w:rFonts w:hint="eastAsia" w:ascii="Times New Roman" w:hAnsi="Times New Roman" w:eastAsia="宋体" w:cs="Times New Roman"/>
                <w:color w:val="auto"/>
                <w:sz w:val="24"/>
                <w:lang w:val="en-US" w:eastAsia="zh-CN"/>
              </w:rPr>
              <w:t>预测</w:t>
            </w:r>
            <w:r>
              <w:rPr>
                <w:rFonts w:hint="default" w:ascii="Times New Roman" w:hAnsi="Times New Roman" w:eastAsia="宋体" w:cs="Times New Roman"/>
                <w:color w:val="auto"/>
                <w:sz w:val="24"/>
                <w:lang w:val="en-US" w:eastAsia="zh-CN"/>
              </w:rPr>
              <w:t>可知，噪声源强最大的施工设备施工噪声值在距声源80m处即可满足《建筑施工噪声排放标准》（GB12523-2025）的昼间要求，其他设备在距声源</w:t>
            </w:r>
            <w:r>
              <w:rPr>
                <w:rFonts w:hint="eastAsia" w:ascii="Times New Roman" w:hAnsi="Times New Roman" w:eastAsia="宋体" w:cs="Times New Roman"/>
                <w:color w:val="auto"/>
                <w:sz w:val="24"/>
                <w:lang w:val="en-US" w:eastAsia="zh-CN"/>
              </w:rPr>
              <w:t>20</w:t>
            </w:r>
            <w:r>
              <w:rPr>
                <w:rFonts w:hint="default" w:ascii="Times New Roman" w:hAnsi="Times New Roman" w:eastAsia="宋体" w:cs="Times New Roman"/>
                <w:color w:val="auto"/>
                <w:sz w:val="24"/>
                <w:lang w:val="en-US" w:eastAsia="zh-CN"/>
              </w:rPr>
              <w:t>m处即可满足《建筑施工噪声排放标准》（GB12523-2025）昼间的要求。</w:t>
            </w:r>
          </w:p>
          <w:p w14:paraId="4C978E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施工机械及车辆在局部地段的施工及工作时间较短，施工产生的噪声只是短时对局部环境造成影响；本项目施工区域周边无常住居民等噪声敏感点，且工程需动用上述施工设备的施工活动基本在白天进行，故施工期噪声对外环境基本无影响。</w:t>
            </w:r>
          </w:p>
          <w:p w14:paraId="55E254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施工期固体废物影响分析</w:t>
            </w:r>
          </w:p>
          <w:p w14:paraId="78948D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施工期间将产生固体废弃物，主要包括施工土石方、生活垃圾、各类建材包装箱袋以及设备安装包装物等。</w:t>
            </w:r>
          </w:p>
          <w:p w14:paraId="7A8CCD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本工程土石方开挖量约</w:t>
            </w:r>
            <w:r>
              <w:rPr>
                <w:rFonts w:hint="eastAsia" w:ascii="Times New Roman" w:hAnsi="Times New Roman" w:cs="Times New Roman"/>
                <w:color w:val="auto"/>
                <w:sz w:val="24"/>
                <w:lang w:val="en-US" w:eastAsia="zh-CN"/>
              </w:rPr>
              <w:t>30万m</w:t>
            </w:r>
            <w:r>
              <w:rPr>
                <w:rFonts w:hint="eastAsia"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rPr>
              <w:t>，土石方回填量约</w:t>
            </w:r>
            <w:r>
              <w:rPr>
                <w:rFonts w:hint="eastAsia" w:ascii="Times New Roman" w:hAnsi="Times New Roman" w:cs="Times New Roman"/>
                <w:color w:val="auto"/>
                <w:sz w:val="24"/>
                <w:lang w:val="en-US" w:eastAsia="zh-CN"/>
              </w:rPr>
              <w:t>30万m</w:t>
            </w:r>
            <w:r>
              <w:rPr>
                <w:rFonts w:hint="eastAsia"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rPr>
              <w:t>，开挖的土石方应尽量及时回填，弃土现场综合利用，用于场地的平整和检修道路的路面工程。项目不设取、弃土场，避免因施工造成的局部水土流失，影响区域生态环境。</w:t>
            </w:r>
          </w:p>
          <w:p w14:paraId="5E1C09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对于各类建材安装或使用后产生的废弃包装箱（袋）统一回收后外售给废品收购站综合利用。</w:t>
            </w:r>
          </w:p>
          <w:p w14:paraId="6F5EF9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施工人员</w:t>
            </w:r>
            <w:r>
              <w:rPr>
                <w:rFonts w:hint="eastAsia" w:ascii="Times New Roman" w:hAnsi="Times New Roman" w:cs="Times New Roman"/>
                <w:color w:val="auto"/>
                <w:sz w:val="24"/>
                <w:lang w:val="en-US" w:eastAsia="zh-CN"/>
              </w:rPr>
              <w:t>1300</w:t>
            </w:r>
            <w:r>
              <w:rPr>
                <w:rFonts w:hint="default" w:ascii="Times New Roman" w:hAnsi="Times New Roman" w:cs="Times New Roman"/>
                <w:color w:val="auto"/>
                <w:sz w:val="24"/>
              </w:rPr>
              <w:t>人，日常生活垃圾产生量按照0.5</w:t>
            </w:r>
            <w:r>
              <w:rPr>
                <w:rFonts w:hint="eastAsia" w:ascii="Times New Roman" w:hAnsi="Times New Roman" w:cs="Times New Roman"/>
                <w:color w:val="auto"/>
                <w:sz w:val="24"/>
                <w:lang w:val="en-US" w:eastAsia="zh-CN"/>
              </w:rPr>
              <w:t>kg/人▪d</w:t>
            </w:r>
            <w:r>
              <w:rPr>
                <w:rFonts w:hint="default" w:ascii="Times New Roman" w:hAnsi="Times New Roman" w:cs="Times New Roman"/>
                <w:color w:val="auto"/>
                <w:sz w:val="24"/>
              </w:rPr>
              <w:t>计，则施工期生活垃圾产生量为</w:t>
            </w:r>
            <w:r>
              <w:rPr>
                <w:rFonts w:hint="eastAsia" w:ascii="Times New Roman" w:hAnsi="Times New Roman" w:cs="Times New Roman"/>
                <w:color w:val="auto"/>
                <w:sz w:val="24"/>
                <w:lang w:val="en-US" w:eastAsia="zh-CN"/>
              </w:rPr>
              <w:t>650kg/d</w:t>
            </w:r>
            <w:r>
              <w:rPr>
                <w:rFonts w:hint="default" w:ascii="Times New Roman" w:hAnsi="Times New Roman" w:cs="Times New Roman"/>
                <w:color w:val="auto"/>
                <w:sz w:val="24"/>
              </w:rPr>
              <w:t>，施工期为</w:t>
            </w:r>
            <w:r>
              <w:rPr>
                <w:rFonts w:hint="eastAsia" w:ascii="Times New Roman" w:hAnsi="Times New Roman" w:cs="Times New Roman"/>
                <w:color w:val="auto"/>
                <w:sz w:val="24"/>
                <w:lang w:val="en-US" w:eastAsia="zh-CN"/>
              </w:rPr>
              <w:t>9</w:t>
            </w:r>
            <w:r>
              <w:rPr>
                <w:rFonts w:hint="default" w:ascii="Times New Roman" w:hAnsi="Times New Roman" w:cs="Times New Roman"/>
                <w:color w:val="auto"/>
                <w:sz w:val="24"/>
              </w:rPr>
              <w:t>个月，则项目生活垃圾产生量共计</w:t>
            </w:r>
            <w:r>
              <w:rPr>
                <w:rFonts w:hint="eastAsia" w:ascii="Times New Roman" w:hAnsi="Times New Roman" w:cs="Times New Roman"/>
                <w:color w:val="auto"/>
                <w:sz w:val="24"/>
                <w:lang w:val="en-US" w:eastAsia="zh-CN"/>
              </w:rPr>
              <w:t>175.5t</w:t>
            </w:r>
            <w:r>
              <w:rPr>
                <w:rFonts w:hint="default" w:ascii="Times New Roman" w:hAnsi="Times New Roman" w:cs="Times New Roman"/>
                <w:color w:val="auto"/>
                <w:sz w:val="24"/>
              </w:rPr>
              <w:t>。环评要求将生活垃圾集中收集至垃圾箱（桶）内，定期送至当地环卫部门指定的垃圾填埋场处置，不得随意丢弃、洒落。</w:t>
            </w:r>
          </w:p>
        </w:tc>
      </w:tr>
      <w:tr w14:paraId="596A8A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82" w:hRule="atLeast"/>
          <w:jc w:val="center"/>
        </w:trPr>
        <w:tc>
          <w:tcPr>
            <w:tcW w:w="687" w:type="dxa"/>
            <w:noWrap w:val="0"/>
            <w:tcMar>
              <w:left w:w="28" w:type="dxa"/>
              <w:right w:w="28" w:type="dxa"/>
            </w:tcMar>
            <w:vAlign w:val="center"/>
          </w:tcPr>
          <w:p w14:paraId="1C9AFC1D">
            <w:pPr>
              <w:pStyle w:val="25"/>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spacing w:val="10"/>
                <w:kern w:val="2"/>
                <w:sz w:val="24"/>
                <w:szCs w:val="24"/>
              </w:rPr>
              <w:t>运营期生态环境影响分析</w:t>
            </w:r>
          </w:p>
        </w:tc>
        <w:tc>
          <w:tcPr>
            <w:tcW w:w="8555" w:type="dxa"/>
            <w:noWrap w:val="0"/>
            <w:vAlign w:val="top"/>
          </w:tcPr>
          <w:p w14:paraId="4674002C">
            <w:pPr>
              <w:pStyle w:val="70"/>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运行期大气环境影响分析</w:t>
            </w:r>
          </w:p>
          <w:p w14:paraId="1BCE964C">
            <w:pPr>
              <w:pStyle w:val="70"/>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本项目运营期无大气污染物产生。</w:t>
            </w:r>
          </w:p>
          <w:p w14:paraId="0564D1F7">
            <w:pPr>
              <w:pStyle w:val="70"/>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运行期水环境影响分析</w:t>
            </w:r>
          </w:p>
          <w:p w14:paraId="493B33AC">
            <w:pPr>
              <w:pStyle w:val="70"/>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both"/>
              <w:rPr>
                <w:rFonts w:hint="default" w:ascii="Times New Roman" w:hAnsi="Times New Roman" w:cs="Times New Roman"/>
                <w:color w:val="auto"/>
              </w:rPr>
            </w:pPr>
            <w:r>
              <w:rPr>
                <w:rFonts w:hint="default" w:ascii="Times New Roman" w:hAnsi="Times New Roman" w:eastAsia="宋体" w:cs="Times New Roman"/>
                <w:color w:val="auto"/>
              </w:rPr>
              <w:t>本项目建成投运后，废水主要</w:t>
            </w:r>
            <w:r>
              <w:rPr>
                <w:rFonts w:hint="default" w:ascii="Times New Roman" w:hAnsi="Times New Roman" w:cs="Times New Roman"/>
                <w:color w:val="auto"/>
              </w:rPr>
              <w:t>包括生产废水。</w:t>
            </w:r>
          </w:p>
          <w:p w14:paraId="6084EC3F">
            <w:pPr>
              <w:pStyle w:val="70"/>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rPr>
              <w:t>生产废水主要为太阳能模块表面的清洗用水，本项目太阳能电池组件共计</w:t>
            </w:r>
            <w:r>
              <w:rPr>
                <w:rFonts w:hint="default" w:ascii="Times New Roman" w:hAnsi="Times New Roman" w:cs="Times New Roman"/>
                <w:color w:val="auto"/>
                <w:lang w:val="en-US" w:eastAsia="zh-CN"/>
              </w:rPr>
              <w:t>1485224</w:t>
            </w:r>
            <w:r>
              <w:rPr>
                <w:rFonts w:hint="default" w:ascii="Times New Roman" w:hAnsi="Times New Roman" w:cs="Times New Roman"/>
                <w:color w:val="auto"/>
              </w:rPr>
              <w:t>块，每块面积约为0.1</w:t>
            </w:r>
            <w:r>
              <w:rPr>
                <w:rFonts w:hint="eastAsia" w:cs="Times New Roman"/>
                <w:color w:val="auto"/>
                <w:lang w:val="en-US" w:eastAsia="zh-CN"/>
              </w:rPr>
              <w:t>m</w:t>
            </w:r>
            <w:r>
              <w:rPr>
                <w:rFonts w:hint="eastAsia" w:cs="Times New Roman"/>
                <w:color w:val="auto"/>
                <w:vertAlign w:val="superscript"/>
                <w:lang w:val="en-US" w:eastAsia="zh-CN"/>
              </w:rPr>
              <w:t>2</w:t>
            </w:r>
            <w:r>
              <w:rPr>
                <w:rFonts w:hint="default" w:ascii="Times New Roman" w:hAnsi="Times New Roman" w:cs="Times New Roman"/>
                <w:color w:val="auto"/>
              </w:rPr>
              <w:t>，则光伏区总面积约为</w:t>
            </w:r>
            <w:r>
              <w:rPr>
                <w:rFonts w:hint="eastAsia" w:cs="Times New Roman"/>
                <w:color w:val="auto"/>
                <w:lang w:val="en-US" w:eastAsia="zh-CN"/>
              </w:rPr>
              <w:t>148522.4m</w:t>
            </w:r>
            <w:r>
              <w:rPr>
                <w:rFonts w:hint="eastAsia" w:cs="Times New Roman"/>
                <w:color w:val="auto"/>
                <w:vertAlign w:val="superscript"/>
                <w:lang w:val="en-US" w:eastAsia="zh-CN"/>
              </w:rPr>
              <w:t>2</w:t>
            </w:r>
            <w:r>
              <w:rPr>
                <w:rFonts w:hint="default" w:ascii="Times New Roman" w:hAnsi="Times New Roman" w:cs="Times New Roman"/>
                <w:color w:val="auto"/>
              </w:rPr>
              <w:t>，</w:t>
            </w:r>
            <w:r>
              <w:rPr>
                <w:rFonts w:hint="eastAsia" w:cs="Times New Roman"/>
                <w:color w:val="auto"/>
                <w:lang w:val="en-US" w:eastAsia="zh-CN"/>
              </w:rPr>
              <w:t>根据设计资料</w:t>
            </w:r>
            <w:r>
              <w:rPr>
                <w:rFonts w:hint="default" w:ascii="Times New Roman" w:hAnsi="Times New Roman" w:cs="Times New Roman"/>
                <w:color w:val="auto"/>
              </w:rPr>
              <w:t>组件清洗用水量取0.5</w:t>
            </w:r>
            <w:r>
              <w:rPr>
                <w:rFonts w:hint="eastAsia" w:cs="Times New Roman"/>
                <w:color w:val="auto"/>
                <w:lang w:val="en-US" w:eastAsia="zh-CN"/>
              </w:rPr>
              <w:t>L/m</w:t>
            </w:r>
            <w:r>
              <w:rPr>
                <w:rFonts w:hint="eastAsia" w:cs="Times New Roman"/>
                <w:color w:val="auto"/>
                <w:vertAlign w:val="superscript"/>
                <w:lang w:val="en-US" w:eastAsia="zh-CN"/>
              </w:rPr>
              <w:t>2</w:t>
            </w:r>
            <w:r>
              <w:rPr>
                <w:rFonts w:hint="eastAsia" w:cs="Times New Roman"/>
                <w:color w:val="auto"/>
                <w:lang w:val="en-US" w:eastAsia="zh-CN"/>
              </w:rPr>
              <w:t>▪次</w:t>
            </w:r>
            <w:r>
              <w:rPr>
                <w:rFonts w:hint="default" w:ascii="Times New Roman" w:hAnsi="Times New Roman" w:cs="Times New Roman"/>
                <w:color w:val="auto"/>
              </w:rPr>
              <w:t>，单次清洗总用水量约为</w:t>
            </w:r>
            <w:r>
              <w:rPr>
                <w:rFonts w:hint="eastAsia" w:cs="Times New Roman"/>
                <w:color w:val="auto"/>
                <w:lang w:val="en-US" w:eastAsia="zh-CN"/>
              </w:rPr>
              <w:t>74.26m</w:t>
            </w:r>
            <w:r>
              <w:rPr>
                <w:rFonts w:hint="eastAsia" w:cs="Times New Roman"/>
                <w:color w:val="auto"/>
                <w:vertAlign w:val="superscript"/>
                <w:lang w:val="en-US" w:eastAsia="zh-CN"/>
              </w:rPr>
              <w:t>3</w:t>
            </w:r>
            <w:r>
              <w:rPr>
                <w:rFonts w:hint="default" w:ascii="Times New Roman" w:hAnsi="Times New Roman" w:cs="Times New Roman"/>
                <w:color w:val="auto"/>
              </w:rPr>
              <w:t>。3-9月共清洗两次，则清洗的年用水量大约为</w:t>
            </w:r>
            <w:r>
              <w:rPr>
                <w:rFonts w:hint="eastAsia" w:cs="Times New Roman"/>
                <w:color w:val="auto"/>
                <w:lang w:val="en-US" w:eastAsia="zh-CN"/>
              </w:rPr>
              <w:t>148.52m</w:t>
            </w:r>
            <w:r>
              <w:rPr>
                <w:rFonts w:hint="eastAsia" w:cs="Times New Roman"/>
                <w:color w:val="auto"/>
                <w:vertAlign w:val="superscript"/>
                <w:lang w:val="en-US" w:eastAsia="zh-CN"/>
              </w:rPr>
              <w:t>3</w:t>
            </w:r>
            <w:r>
              <w:rPr>
                <w:rFonts w:hint="eastAsia" w:cs="Times New Roman"/>
                <w:color w:val="auto"/>
                <w:lang w:val="en-US" w:eastAsia="zh-CN"/>
              </w:rPr>
              <w:t>/a</w:t>
            </w:r>
            <w:r>
              <w:rPr>
                <w:rFonts w:hint="default" w:ascii="Times New Roman" w:hAnsi="Times New Roman" w:cs="Times New Roman"/>
                <w:color w:val="auto"/>
              </w:rPr>
              <w:t>。</w:t>
            </w:r>
          </w:p>
          <w:p w14:paraId="1BEBF2B5">
            <w:pPr>
              <w:pStyle w:val="70"/>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rPr>
              <w:t>项目光伏发电电池板安装范围较大，发电面积较大，清洗废水很难收集，鉴于其主要污染物为SS，清洗废水可通过自然蒸发及下渗浇灌地表植被损耗，无需收集处理。</w:t>
            </w:r>
          </w:p>
          <w:p w14:paraId="00BB8843">
            <w:pPr>
              <w:pStyle w:val="70"/>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3</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lang w:eastAsia="zh-CN"/>
              </w:rPr>
              <w:t>运行期声环境影响分析</w:t>
            </w:r>
          </w:p>
          <w:p w14:paraId="4CF55E4B">
            <w:pPr>
              <w:pStyle w:val="7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jc w:val="both"/>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本项目光伏电厂运营期噪声源主要为35kV箱式变压器所产生的噪声，箱式变压器均选用低噪声类型设备，均设置外壳隔声，设备底部基础安装减振垫，噪声值为60～65dB(A），同时太阳能发电工程具有极强的周期性，仅白天运行，</w:t>
            </w:r>
            <w:r>
              <w:rPr>
                <w:rFonts w:hint="eastAsia" w:ascii="Times New Roman" w:hAnsi="Times New Roman" w:eastAsia="宋体" w:cs="Times New Roman"/>
                <w:color w:val="auto"/>
                <w:lang w:val="en-US" w:eastAsia="zh-CN"/>
              </w:rPr>
              <w:t>因此运行期对周围声环境影响较小</w:t>
            </w:r>
            <w:r>
              <w:rPr>
                <w:rFonts w:hint="eastAsia" w:ascii="Times New Roman" w:hAnsi="Times New Roman" w:eastAsia="宋体" w:cs="Times New Roman"/>
                <w:color w:val="auto"/>
                <w:lang w:eastAsia="zh-CN"/>
              </w:rPr>
              <w:t>。</w:t>
            </w:r>
          </w:p>
          <w:p w14:paraId="4F64F337">
            <w:pPr>
              <w:pStyle w:val="70"/>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4</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运行期固体废物影响分析</w:t>
            </w:r>
          </w:p>
          <w:p w14:paraId="47053483">
            <w:pPr>
              <w:pStyle w:val="70"/>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光伏电站运行期固体废弃物主要为一般固废（废弃光伏组件）和危险</w:t>
            </w:r>
            <w:r>
              <w:rPr>
                <w:rFonts w:hint="eastAsia" w:ascii="Times New Roman" w:hAnsi="Times New Roman" w:eastAsia="宋体" w:cs="Times New Roman"/>
                <w:color w:val="auto"/>
                <w:lang w:val="en-US" w:eastAsia="zh-CN"/>
              </w:rPr>
              <w:t>废物</w:t>
            </w:r>
            <w:r>
              <w:rPr>
                <w:rFonts w:hint="default" w:ascii="Times New Roman" w:hAnsi="Times New Roman" w:eastAsia="宋体" w:cs="Times New Roman"/>
                <w:color w:val="auto"/>
              </w:rPr>
              <w:t>（废箱式变压器油）。</w:t>
            </w:r>
          </w:p>
          <w:p w14:paraId="7BF6DA3D">
            <w:pPr>
              <w:pStyle w:val="70"/>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both"/>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一般固废</w:t>
            </w:r>
          </w:p>
          <w:p w14:paraId="47C3E37B">
            <w:pPr>
              <w:pStyle w:val="70"/>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项目光伏系统使用寿命25年，其中组件寿命25年，逆变器寿命25年，电缆使用寿命大于20年，除人为破坏外基本无损坏，为保障太阳能发电站的稳定性，设备厂家对其进行定期检测，对于损坏更换的电池组件以及光伏电池组件使用寿命到期后更换下来的电池组件，根据《国家危险废物名录</w:t>
            </w:r>
            <w:r>
              <w:rPr>
                <w:rFonts w:hint="eastAsia" w:cs="Times New Roman"/>
                <w:color w:val="auto"/>
                <w:lang w:eastAsia="zh-CN"/>
              </w:rPr>
              <w:t>（</w:t>
            </w:r>
            <w:r>
              <w:rPr>
                <w:rFonts w:hint="default" w:ascii="Times New Roman" w:hAnsi="Times New Roman" w:eastAsia="宋体" w:cs="Times New Roman"/>
                <w:color w:val="auto"/>
              </w:rPr>
              <w:t>202</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rPr>
              <w:t>年版</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》，拟建项目所用晶硅电池组件不属于危险废物，场区内部不设置临时储存点，直接由设备厂家回收。</w:t>
            </w:r>
          </w:p>
          <w:p w14:paraId="01EC6A93">
            <w:pPr>
              <w:pStyle w:val="70"/>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both"/>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lang w:eastAsia="zh-CN"/>
              </w:rPr>
              <w:t>危险</w:t>
            </w:r>
            <w:r>
              <w:rPr>
                <w:rFonts w:hint="eastAsia" w:ascii="Times New Roman" w:hAnsi="Times New Roman" w:eastAsia="宋体" w:cs="Times New Roman"/>
                <w:color w:val="auto"/>
                <w:lang w:val="en-US" w:eastAsia="zh-CN"/>
              </w:rPr>
              <w:t>废物</w:t>
            </w:r>
          </w:p>
          <w:p w14:paraId="35A2E608">
            <w:pPr>
              <w:pStyle w:val="70"/>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35kV箱变的电抗器、断路器、电容器、互感器等设备，为了绝缘和冷却的需要，在变压器外壳内装有变压器油，一般只有检修及事故情况下才会产生油污染，事故废油属于HW08类废矿物与含矿物油废物，危废代码为900-220-08。当设备发生事故或者检修时，排放的废油全部经箱变周边的挡油坎流入事故储油池，每个事故储油池有效</w:t>
            </w:r>
            <w:r>
              <w:rPr>
                <w:rFonts w:hint="default" w:ascii="Times New Roman" w:hAnsi="Times New Roman" w:eastAsia="宋体" w:cs="Times New Roman"/>
                <w:color w:val="auto"/>
                <w:highlight w:val="none"/>
                <w:lang w:eastAsia="zh-CN"/>
              </w:rPr>
              <w:t>容积为</w:t>
            </w: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eastAsia="zh-CN"/>
              </w:rPr>
              <w:t>m</w:t>
            </w:r>
            <w:r>
              <w:rPr>
                <w:rFonts w:hint="default" w:ascii="Times New Roman" w:hAnsi="Times New Roman" w:eastAsia="宋体" w:cs="Times New Roman"/>
                <w:color w:val="auto"/>
                <w:highlight w:val="none"/>
                <w:vertAlign w:val="superscript"/>
                <w:lang w:eastAsia="zh-CN"/>
              </w:rPr>
              <w:t>3</w:t>
            </w:r>
            <w:r>
              <w:rPr>
                <w:rFonts w:hint="default" w:ascii="Times New Roman" w:hAnsi="Times New Roman" w:eastAsia="宋体" w:cs="Times New Roman"/>
                <w:color w:val="auto"/>
                <w:highlight w:val="none"/>
                <w:lang w:eastAsia="zh-CN"/>
              </w:rPr>
              <w:t>，然</w:t>
            </w:r>
            <w:r>
              <w:rPr>
                <w:rFonts w:hint="default" w:ascii="Times New Roman" w:hAnsi="Times New Roman" w:eastAsia="宋体" w:cs="Times New Roman"/>
                <w:color w:val="auto"/>
                <w:lang w:eastAsia="zh-CN"/>
              </w:rPr>
              <w:t>后将收集的废变压器油</w:t>
            </w:r>
            <w:r>
              <w:rPr>
                <w:rFonts w:hint="eastAsia" w:ascii="Times New Roman" w:hAnsi="Times New Roman" w:eastAsia="宋体" w:cs="Times New Roman"/>
                <w:color w:val="auto"/>
                <w:lang w:val="en-US" w:eastAsia="zh-CN"/>
              </w:rPr>
              <w:t>暂存于升压站危废暂存点定期</w:t>
            </w:r>
            <w:r>
              <w:rPr>
                <w:rFonts w:hint="default" w:ascii="Times New Roman" w:hAnsi="Times New Roman" w:eastAsia="宋体" w:cs="Times New Roman"/>
                <w:color w:val="auto"/>
                <w:lang w:eastAsia="zh-CN"/>
              </w:rPr>
              <w:t>交由有危险废物处理资质的单位进行规范处置。</w:t>
            </w:r>
          </w:p>
          <w:p w14:paraId="3C2579A7">
            <w:pPr>
              <w:pStyle w:val="70"/>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环评要求事故储油池应设基础防渗措施，事故储油池一般要求使用抗渗等级为S6的C30混凝土进行基础防渗，防渗层为至少1 m厚黏土层（渗透系数不大于 10</w:t>
            </w:r>
            <w:r>
              <w:rPr>
                <w:rFonts w:hint="default" w:ascii="Times New Roman" w:hAnsi="Times New Roman" w:eastAsia="宋体" w:cs="Times New Roman"/>
                <w:color w:val="auto"/>
                <w:vertAlign w:val="superscript"/>
                <w:lang w:eastAsia="zh-CN"/>
              </w:rPr>
              <w:t>-7</w:t>
            </w:r>
            <w:r>
              <w:rPr>
                <w:rFonts w:hint="default" w:ascii="Times New Roman" w:hAnsi="Times New Roman" w:eastAsia="宋体" w:cs="Times New Roman"/>
                <w:color w:val="auto"/>
                <w:lang w:eastAsia="zh-CN"/>
              </w:rPr>
              <w:t xml:space="preserve"> cm/s），或至少2 mm厚高密度聚乙烯膜等人工防渗材料（渗透系数不大于 10</w:t>
            </w:r>
            <w:r>
              <w:rPr>
                <w:rFonts w:hint="default" w:ascii="Times New Roman" w:hAnsi="Times New Roman" w:eastAsia="宋体" w:cs="Times New Roman"/>
                <w:color w:val="auto"/>
                <w:vertAlign w:val="superscript"/>
                <w:lang w:eastAsia="zh-CN"/>
              </w:rPr>
              <w:t>-10</w:t>
            </w:r>
            <w:r>
              <w:rPr>
                <w:rFonts w:hint="default" w:ascii="Times New Roman" w:hAnsi="Times New Roman" w:eastAsia="宋体" w:cs="Times New Roman"/>
                <w:color w:val="auto"/>
                <w:lang w:eastAsia="zh-CN"/>
              </w:rPr>
              <w:t xml:space="preserve"> cm/s），或其他防渗性能等效的材料，防止变压器油污染地下水，事故状态下排放的事故油不会对周围水环境造成污染，对周围环境无不良影响。</w:t>
            </w:r>
          </w:p>
          <w:p w14:paraId="102A7C10">
            <w:pPr>
              <w:pStyle w:val="70"/>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both"/>
              <w:rPr>
                <w:rFonts w:hint="default"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3</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lang w:eastAsia="zh-CN"/>
              </w:rPr>
              <w:t>生活垃圾</w:t>
            </w:r>
          </w:p>
          <w:p w14:paraId="5E3E30C8">
            <w:pPr>
              <w:pStyle w:val="70"/>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both"/>
              <w:rPr>
                <w:rFonts w:hint="default" w:ascii="Times New Roman" w:hAnsi="Times New Roman" w:cs="Times New Roman"/>
                <w:color w:val="auto"/>
                <w:sz w:val="24"/>
                <w:highlight w:val="none"/>
              </w:rPr>
            </w:pPr>
            <w:r>
              <w:rPr>
                <w:rFonts w:hint="default" w:ascii="Times New Roman" w:hAnsi="Times New Roman" w:eastAsia="宋体" w:cs="Times New Roman"/>
                <w:color w:val="auto"/>
                <w:highlight w:val="none"/>
                <w:lang w:eastAsia="zh-CN"/>
              </w:rPr>
              <w:t>本项目</w:t>
            </w:r>
            <w:r>
              <w:rPr>
                <w:rFonts w:hint="eastAsia" w:ascii="Times New Roman" w:hAnsi="Times New Roman" w:eastAsia="宋体" w:cs="Times New Roman"/>
                <w:color w:val="auto"/>
                <w:highlight w:val="none"/>
                <w:lang w:val="en-US" w:eastAsia="zh-CN"/>
              </w:rPr>
              <w:t>运行模式为无人值守，由本公司定期抽调人员进行巡检，不在项目区办公生活，巡检期间产生的生活垃圾由巡检人员随身携带出项目区就近排放至生活垃圾收集设施</w:t>
            </w:r>
            <w:r>
              <w:rPr>
                <w:rFonts w:hint="default" w:ascii="Times New Roman" w:hAnsi="Times New Roman" w:cs="Times New Roman"/>
                <w:color w:val="auto"/>
                <w:sz w:val="24"/>
                <w:highlight w:val="none"/>
              </w:rPr>
              <w:t>。</w:t>
            </w:r>
          </w:p>
          <w:p w14:paraId="35C41FE7">
            <w:pPr>
              <w:keepNext w:val="0"/>
              <w:keepLines w:val="0"/>
              <w:pageBreakBefore w:val="0"/>
              <w:suppressLineNumbers w:val="0"/>
              <w:kinsoku/>
              <w:wordWrap/>
              <w:overflowPunct/>
              <w:topLinePunct w:val="0"/>
              <w:bidi w:val="0"/>
              <w:spacing w:before="0" w:beforeAutospacing="0" w:after="0" w:afterAutospacing="0" w:line="480" w:lineRule="exact"/>
              <w:ind w:left="0" w:right="0" w:firstLine="480" w:firstLineChars="200"/>
              <w:jc w:val="both"/>
              <w:rPr>
                <w:rFonts w:hint="default" w:ascii="Times New Roman" w:hAnsi="Times New Roman" w:cs="Times New Roman"/>
                <w:color w:val="auto"/>
                <w:kern w:val="0"/>
                <w:sz w:val="24"/>
              </w:rPr>
            </w:pPr>
            <w:r>
              <w:rPr>
                <w:rFonts w:hint="default" w:ascii="Times New Roman" w:hAnsi="Times New Roman" w:cs="Times New Roman"/>
                <w:color w:val="auto"/>
                <w:kern w:val="0"/>
                <w:sz w:val="24"/>
              </w:rPr>
              <w:t>综上分析，对固体废物采取相应治理措施后，固废可以得到合理的处置，产生的固体废物对周围环境的影响不大。</w:t>
            </w:r>
          </w:p>
          <w:p w14:paraId="1E4845E5">
            <w:pPr>
              <w:pStyle w:val="70"/>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5</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 xml:space="preserve">运营期光污染影响分析  </w:t>
            </w:r>
          </w:p>
          <w:p w14:paraId="6F90BB27">
            <w:pPr>
              <w:pStyle w:val="70"/>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本项目光伏发电系统营运过程光伏组件表面受太阳光照射将会产生反射光。</w:t>
            </w:r>
          </w:p>
          <w:p w14:paraId="57C071D6">
            <w:pPr>
              <w:pStyle w:val="70"/>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both"/>
              <w:rPr>
                <w:rFonts w:hint="default" w:ascii="Times New Roman" w:hAnsi="Times New Roman" w:eastAsia="宋体" w:cs="Times New Roman"/>
                <w:color w:val="auto"/>
              </w:rPr>
            </w:pPr>
            <w:r>
              <w:rPr>
                <w:rFonts w:hint="default" w:ascii="Times New Roman" w:hAnsi="Times New Roman" w:eastAsia="宋体" w:cs="Times New Roman"/>
                <w:color w:val="auto"/>
              </w:rPr>
              <w:t>由于发电效率对光伏组件生产技术的要求，国内外生产厂家为降低反射，对光伏组件表面进行绒面处理技术或采用镀减反射膜技术。目前采用以上技术的光伏组件可使得入射光的反射率减少到10以内，若采用镀两侧减反射膜或绒面技术与反射膜技术同时使用，则入射光的反射率将降低至4以下。</w:t>
            </w:r>
          </w:p>
          <w:p w14:paraId="58E9B01C">
            <w:pPr>
              <w:pStyle w:val="70"/>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both"/>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rPr>
              <w:t>本项目采用单晶硅太阳能电池，这种电池组件最外层均为特种钢化玻璃。这种钢化玻璃的透光率极高，达95%</w:t>
            </w:r>
            <w:r>
              <w:rPr>
                <w:rFonts w:hint="default" w:ascii="Times New Roman" w:hAnsi="Times New Roman" w:cs="Times New Roman"/>
                <w:color w:val="auto"/>
                <w:kern w:val="0"/>
                <w:szCs w:val="24"/>
                <w:lang w:bidi="ar"/>
              </w:rPr>
              <w:t>以上。根据现行国家标准《玻璃幕墙光学性能》</w:t>
            </w:r>
            <w:r>
              <w:rPr>
                <w:rFonts w:hint="eastAsia" w:cs="Times New Roman"/>
                <w:color w:val="auto"/>
                <w:kern w:val="0"/>
                <w:szCs w:val="24"/>
                <w:lang w:eastAsia="zh-CN" w:bidi="ar"/>
              </w:rPr>
              <w:t>（</w:t>
            </w:r>
            <w:r>
              <w:rPr>
                <w:rFonts w:hint="default" w:ascii="Times New Roman" w:hAnsi="Times New Roman" w:cs="Times New Roman"/>
                <w:color w:val="auto"/>
                <w:kern w:val="0"/>
                <w:szCs w:val="24"/>
                <w:lang w:bidi="ar"/>
              </w:rPr>
              <w:t>GB/T18091-2015</w:t>
            </w:r>
            <w:r>
              <w:rPr>
                <w:rFonts w:hint="eastAsia" w:cs="Times New Roman"/>
                <w:color w:val="auto"/>
                <w:kern w:val="0"/>
                <w:szCs w:val="24"/>
                <w:lang w:eastAsia="zh-CN" w:bidi="ar"/>
              </w:rPr>
              <w:t>）</w:t>
            </w:r>
            <w:r>
              <w:rPr>
                <w:rFonts w:hint="default" w:ascii="Times New Roman" w:hAnsi="Times New Roman" w:cs="Times New Roman"/>
                <w:color w:val="auto"/>
                <w:kern w:val="0"/>
                <w:szCs w:val="24"/>
                <w:lang w:bidi="ar"/>
              </w:rPr>
              <w:t>的相关规定，在城市主干道、立交桥、高架桥两侧设立的玻璃幕墙，应采用反射比小于0.16的低辐射玻璃。依据此标准，光伏阵列的反射光极少，不会使电站东侧G576</w:t>
            </w:r>
            <w:r>
              <w:rPr>
                <w:rFonts w:hint="default" w:ascii="Times New Roman" w:hAnsi="Times New Roman" w:cs="Times New Roman"/>
                <w:color w:val="auto"/>
                <w:szCs w:val="24"/>
              </w:rPr>
              <w:t>国道</w:t>
            </w:r>
            <w:r>
              <w:rPr>
                <w:rFonts w:hint="default" w:ascii="Times New Roman" w:hAnsi="Times New Roman" w:cs="Times New Roman"/>
                <w:color w:val="auto"/>
                <w:kern w:val="0"/>
                <w:szCs w:val="24"/>
                <w:lang w:bidi="ar"/>
              </w:rPr>
              <w:t>上正在行驶车辆的驾驶人员产生眩晕感，不会影</w:t>
            </w:r>
            <w:r>
              <w:rPr>
                <w:rFonts w:hint="default" w:ascii="Times New Roman" w:hAnsi="Times New Roman" w:eastAsia="宋体" w:cs="Times New Roman"/>
                <w:color w:val="auto"/>
                <w:kern w:val="0"/>
                <w:szCs w:val="24"/>
                <w:lang w:bidi="ar"/>
              </w:rPr>
              <w:t>响交通安全。</w:t>
            </w:r>
          </w:p>
          <w:p w14:paraId="4A9ED94D">
            <w:pPr>
              <w:pStyle w:val="70"/>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both"/>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6</w:t>
            </w:r>
            <w:r>
              <w:rPr>
                <w:rFonts w:hint="eastAsia" w:ascii="Times New Roman" w:hAnsi="Times New Roman" w:eastAsia="宋体" w:cs="Times New Roman"/>
                <w:color w:val="auto"/>
                <w:kern w:val="0"/>
                <w:szCs w:val="24"/>
                <w:lang w:eastAsia="zh-CN" w:bidi="ar"/>
              </w:rPr>
              <w:t>、</w:t>
            </w:r>
            <w:r>
              <w:rPr>
                <w:rFonts w:hint="default" w:ascii="Times New Roman" w:hAnsi="Times New Roman" w:eastAsia="宋体" w:cs="Times New Roman"/>
                <w:color w:val="auto"/>
                <w:kern w:val="0"/>
                <w:szCs w:val="24"/>
                <w:lang w:bidi="ar"/>
              </w:rPr>
              <w:t>生态环境影响分析</w:t>
            </w:r>
          </w:p>
          <w:p w14:paraId="5BA1BE46">
            <w:pPr>
              <w:pStyle w:val="70"/>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both"/>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bidi="ar"/>
              </w:rPr>
              <w:t>光伏电站占地属于国有未利用地，经现场踏勘和调查，场址区内未发现</w:t>
            </w:r>
            <w:r>
              <w:rPr>
                <w:rFonts w:hint="eastAsia" w:ascii="Times New Roman" w:hAnsi="Times New Roman" w:eastAsia="宋体" w:cs="Times New Roman"/>
                <w:color w:val="auto"/>
                <w:kern w:val="0"/>
                <w:szCs w:val="24"/>
                <w:lang w:val="en-US" w:eastAsia="zh-CN" w:bidi="ar"/>
              </w:rPr>
              <w:t>珍稀</w:t>
            </w:r>
            <w:r>
              <w:rPr>
                <w:rFonts w:hint="default" w:ascii="Times New Roman" w:hAnsi="Times New Roman" w:eastAsia="宋体" w:cs="Times New Roman"/>
                <w:color w:val="auto"/>
                <w:kern w:val="0"/>
                <w:szCs w:val="24"/>
                <w:lang w:bidi="ar"/>
              </w:rPr>
              <w:t>保护动植物，项目周边没有迁徙动物，无生态阻隔影响。</w:t>
            </w:r>
          </w:p>
          <w:p w14:paraId="1A9F348C">
            <w:pPr>
              <w:pStyle w:val="11"/>
              <w:keepNext w:val="0"/>
              <w:keepLines w:val="0"/>
              <w:pageBreakBefore w:val="0"/>
              <w:suppressLineNumbers w:val="0"/>
              <w:kinsoku/>
              <w:wordWrap/>
              <w:overflowPunct/>
              <w:topLinePunct w:val="0"/>
              <w:bidi w:val="0"/>
              <w:spacing w:before="0" w:beforeAutospacing="0" w:after="0" w:afterAutospacing="0" w:line="480" w:lineRule="exact"/>
              <w:ind w:left="0" w:right="0" w:firstLine="480" w:firstLineChars="200"/>
              <w:jc w:val="both"/>
              <w:rPr>
                <w:rFonts w:hint="default" w:ascii="Times New Roman" w:hAnsi="Times New Roman" w:eastAsia="宋体" w:cs="Times New Roman"/>
                <w:bCs/>
                <w:color w:val="auto"/>
                <w:sz w:val="24"/>
                <w:lang w:val="zh-CN"/>
              </w:rPr>
            </w:pPr>
            <w:r>
              <w:rPr>
                <w:rFonts w:hint="default" w:ascii="Times New Roman" w:hAnsi="Times New Roman" w:eastAsia="宋体" w:cs="Times New Roman"/>
                <w:bCs/>
                <w:color w:val="auto"/>
                <w:sz w:val="24"/>
                <w:lang w:val="zh-CN"/>
              </w:rPr>
              <w:t>运营期，光伏电站的检修道路需严格控制占地面积，不得随意扩大或变更行车道路的宽度和长度，避免行驶车辆及检修人员的行走路线对征地范围外地表草地生长及原生植被的碾压扰动。</w:t>
            </w:r>
          </w:p>
          <w:p w14:paraId="5CE0CF96">
            <w:pPr>
              <w:pStyle w:val="11"/>
              <w:keepNext w:val="0"/>
              <w:keepLines w:val="0"/>
              <w:pageBreakBefore w:val="0"/>
              <w:suppressLineNumbers w:val="0"/>
              <w:kinsoku/>
              <w:wordWrap/>
              <w:overflowPunct/>
              <w:topLinePunct w:val="0"/>
              <w:bidi w:val="0"/>
              <w:spacing w:before="0" w:beforeAutospacing="0" w:after="0" w:afterAutospacing="0" w:line="480" w:lineRule="exact"/>
              <w:ind w:left="0" w:right="0" w:firstLine="480" w:firstLineChars="200"/>
              <w:jc w:val="both"/>
              <w:rPr>
                <w:rFonts w:hint="default" w:ascii="Times New Roman" w:hAnsi="Times New Roman" w:eastAsia="宋体" w:cs="Times New Roman"/>
                <w:bCs/>
                <w:color w:val="auto"/>
                <w:sz w:val="24"/>
                <w:lang w:val="zh-CN"/>
              </w:rPr>
            </w:pPr>
            <w:r>
              <w:rPr>
                <w:rFonts w:hint="default" w:ascii="Times New Roman" w:hAnsi="Times New Roman" w:eastAsia="宋体" w:cs="Times New Roman"/>
                <w:bCs/>
                <w:color w:val="auto"/>
                <w:sz w:val="24"/>
                <w:lang w:val="zh-CN"/>
              </w:rPr>
              <w:t>本项目的建设将改变项目的土地利用状况，虽然建设期其生物量将有所减少，通过播撒一些耐旱、不喜光的植被用于恢复生态，可以在一定程度上弥补项目永久占地损失的生物量，而且通过对项目精心设计建造后，将带来明显的生态景观效应，</w:t>
            </w:r>
            <w:r>
              <w:rPr>
                <w:rFonts w:hint="eastAsia" w:ascii="Times New Roman" w:hAnsi="Times New Roman" w:eastAsia="宋体" w:cs="Times New Roman"/>
                <w:bCs/>
                <w:color w:val="auto"/>
                <w:sz w:val="24"/>
                <w:lang w:val="zh-CN"/>
              </w:rPr>
              <w:t>进一步提高</w:t>
            </w:r>
            <w:r>
              <w:rPr>
                <w:rFonts w:hint="default" w:ascii="Times New Roman" w:hAnsi="Times New Roman" w:eastAsia="宋体" w:cs="Times New Roman"/>
                <w:bCs/>
                <w:color w:val="auto"/>
                <w:sz w:val="24"/>
                <w:lang w:val="zh-CN"/>
              </w:rPr>
              <w:t>整个地区环境效应，对提升区域环境品位具有一定的积极作用。施工结束后，根据项目所在区域的土地利用现状分析，并综合考虑地形、土壤、水文等因素，对项目建设区进行场地平整，清理和恢复施工场地。</w:t>
            </w:r>
          </w:p>
          <w:p w14:paraId="13F355B7">
            <w:pPr>
              <w:pStyle w:val="70"/>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both"/>
              <w:rPr>
                <w:rFonts w:hint="default" w:ascii="Times New Roman" w:hAnsi="Times New Roman" w:eastAsia="宋体" w:cs="Times New Roman"/>
                <w:color w:val="auto"/>
                <w:kern w:val="0"/>
                <w:szCs w:val="24"/>
                <w:lang w:val="zh-CN" w:bidi="ar"/>
              </w:rPr>
            </w:pPr>
            <w:r>
              <w:rPr>
                <w:rFonts w:hint="default" w:ascii="Times New Roman" w:hAnsi="Times New Roman" w:eastAsia="宋体" w:cs="Times New Roman"/>
                <w:color w:val="auto"/>
                <w:kern w:val="0"/>
                <w:szCs w:val="24"/>
                <w:lang w:val="zh-CN" w:bidi="ar"/>
              </w:rPr>
              <w:t>7</w:t>
            </w:r>
            <w:r>
              <w:rPr>
                <w:rFonts w:hint="eastAsia" w:ascii="Times New Roman" w:hAnsi="Times New Roman" w:eastAsia="宋体" w:cs="Times New Roman"/>
                <w:color w:val="auto"/>
                <w:kern w:val="0"/>
                <w:szCs w:val="24"/>
                <w:lang w:val="zh-CN" w:bidi="ar"/>
              </w:rPr>
              <w:t>、</w:t>
            </w:r>
            <w:r>
              <w:rPr>
                <w:rFonts w:hint="default" w:ascii="Times New Roman" w:hAnsi="Times New Roman" w:eastAsia="宋体" w:cs="Times New Roman"/>
                <w:color w:val="auto"/>
                <w:kern w:val="0"/>
                <w:szCs w:val="24"/>
                <w:lang w:val="zh-CN" w:bidi="ar"/>
              </w:rPr>
              <w:t xml:space="preserve">服务期满后影响分析 </w:t>
            </w:r>
          </w:p>
          <w:p w14:paraId="0725BD09">
            <w:pPr>
              <w:pStyle w:val="70"/>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both"/>
              <w:rPr>
                <w:rFonts w:hint="default" w:ascii="Times New Roman" w:hAnsi="Times New Roman" w:eastAsia="宋体" w:cs="Times New Roman"/>
                <w:color w:val="auto"/>
                <w:kern w:val="0"/>
                <w:szCs w:val="24"/>
                <w:lang w:val="zh-CN" w:bidi="ar"/>
              </w:rPr>
            </w:pPr>
            <w:r>
              <w:rPr>
                <w:rFonts w:hint="default" w:ascii="Times New Roman" w:hAnsi="Times New Roman" w:eastAsia="宋体" w:cs="Times New Roman"/>
                <w:color w:val="auto"/>
                <w:kern w:val="0"/>
                <w:szCs w:val="24"/>
                <w:lang w:val="zh-CN" w:bidi="ar"/>
              </w:rPr>
              <w:t>项目光伏系统使用寿命25年，其中组件寿命25年，逆变器寿命25年，电缆使用寿命大于20年。服务期满后，按国家相关要求，将对电池组件及支架、箱变等进行拆除或者更换。光伏组件由设备厂家回收，逆变器交由有资质单位处理，组件支架等钢材、电缆可外售给物资回收公司，所有建</w:t>
            </w:r>
            <w:r>
              <w:rPr>
                <w:rFonts w:hint="eastAsia" w:ascii="Times New Roman" w:hAnsi="Times New Roman" w:eastAsia="宋体" w:cs="Times New Roman"/>
                <w:color w:val="auto"/>
                <w:kern w:val="0"/>
                <w:szCs w:val="24"/>
                <w:lang w:val="zh-CN" w:bidi="ar"/>
              </w:rPr>
              <w:t>（</w:t>
            </w:r>
            <w:r>
              <w:rPr>
                <w:rFonts w:hint="default" w:ascii="Times New Roman" w:hAnsi="Times New Roman" w:eastAsia="宋体" w:cs="Times New Roman"/>
                <w:color w:val="auto"/>
                <w:kern w:val="0"/>
                <w:szCs w:val="24"/>
                <w:lang w:val="zh-CN" w:bidi="ar"/>
              </w:rPr>
              <w:t>构</w:t>
            </w:r>
            <w:r>
              <w:rPr>
                <w:rFonts w:hint="eastAsia" w:ascii="Times New Roman" w:hAnsi="Times New Roman" w:eastAsia="宋体" w:cs="Times New Roman"/>
                <w:color w:val="auto"/>
                <w:kern w:val="0"/>
                <w:szCs w:val="24"/>
                <w:lang w:val="zh-CN" w:bidi="ar"/>
              </w:rPr>
              <w:t>）</w:t>
            </w:r>
            <w:r>
              <w:rPr>
                <w:rFonts w:hint="default" w:ascii="Times New Roman" w:hAnsi="Times New Roman" w:eastAsia="宋体" w:cs="Times New Roman"/>
                <w:color w:val="auto"/>
                <w:kern w:val="0"/>
                <w:szCs w:val="24"/>
                <w:lang w:val="zh-CN" w:bidi="ar"/>
              </w:rPr>
              <w:t xml:space="preserve">物及其基础由拆迁公司拆除、清理。光伏电站服务期满后环境影响为拆除的太阳能电池板、箱变等固体废物影响及基础拆除产生的生态环境影响。 </w:t>
            </w:r>
          </w:p>
          <w:p w14:paraId="0346E4EB">
            <w:pPr>
              <w:pStyle w:val="70"/>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both"/>
              <w:rPr>
                <w:rFonts w:hint="default" w:ascii="Times New Roman" w:hAnsi="Times New Roman" w:eastAsia="宋体" w:cs="Times New Roman"/>
                <w:color w:val="auto"/>
                <w:kern w:val="0"/>
                <w:szCs w:val="24"/>
                <w:lang w:val="zh-CN" w:bidi="ar"/>
              </w:rPr>
            </w:pPr>
            <w:r>
              <w:rPr>
                <w:rFonts w:hint="default" w:ascii="Times New Roman" w:hAnsi="Times New Roman" w:eastAsia="宋体" w:cs="Times New Roman"/>
                <w:color w:val="auto"/>
                <w:kern w:val="0"/>
                <w:szCs w:val="24"/>
                <w:lang w:val="zh-CN" w:bidi="ar"/>
              </w:rPr>
              <w:t>8</w:t>
            </w:r>
            <w:r>
              <w:rPr>
                <w:rFonts w:hint="eastAsia" w:ascii="Times New Roman" w:hAnsi="Times New Roman" w:eastAsia="宋体" w:cs="Times New Roman"/>
                <w:color w:val="auto"/>
                <w:kern w:val="0"/>
                <w:szCs w:val="24"/>
                <w:lang w:val="zh-CN" w:bidi="ar"/>
              </w:rPr>
              <w:t>、</w:t>
            </w:r>
            <w:r>
              <w:rPr>
                <w:rFonts w:hint="default" w:ascii="Times New Roman" w:hAnsi="Times New Roman" w:eastAsia="宋体" w:cs="Times New Roman"/>
                <w:color w:val="auto"/>
                <w:kern w:val="0"/>
                <w:szCs w:val="24"/>
                <w:lang w:val="zh-CN" w:bidi="ar"/>
              </w:rPr>
              <w:t xml:space="preserve">环境风险分析     </w:t>
            </w:r>
          </w:p>
          <w:p w14:paraId="492189B9">
            <w:pPr>
              <w:pStyle w:val="70"/>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both"/>
              <w:rPr>
                <w:rFonts w:hint="default" w:ascii="Times New Roman" w:hAnsi="Times New Roman" w:eastAsia="宋体" w:cs="Times New Roman"/>
                <w:color w:val="auto"/>
                <w:kern w:val="0"/>
                <w:szCs w:val="24"/>
                <w:lang w:bidi="ar"/>
              </w:rPr>
            </w:pPr>
            <w:r>
              <w:rPr>
                <w:rFonts w:hint="default" w:ascii="Times New Roman" w:hAnsi="Times New Roman" w:eastAsia="宋体" w:cs="Times New Roman"/>
                <w:color w:val="auto"/>
                <w:kern w:val="0"/>
                <w:szCs w:val="24"/>
                <w:lang w:val="zh-CN" w:bidi="ar"/>
              </w:rPr>
              <w:t>变压器使用冷却和绝缘油。在变压器运行的过程中，这些冷却和绝缘油都封闭在电气设备内，不会造成对人身</w:t>
            </w:r>
            <w:r>
              <w:rPr>
                <w:rFonts w:hint="default" w:ascii="Times New Roman" w:hAnsi="Times New Roman" w:eastAsia="宋体" w:cs="Times New Roman"/>
                <w:color w:val="auto"/>
                <w:kern w:val="0"/>
                <w:szCs w:val="24"/>
                <w:lang w:bidi="ar"/>
              </w:rPr>
              <w:t>、环境的危害。但在设备事故时有可能泄漏变压器油，污染环境。本项目共设</w:t>
            </w:r>
            <w:r>
              <w:rPr>
                <w:rFonts w:hint="eastAsia" w:ascii="Times New Roman" w:hAnsi="Times New Roman" w:eastAsia="宋体" w:cs="Times New Roman"/>
                <w:color w:val="auto"/>
                <w:kern w:val="0"/>
                <w:szCs w:val="24"/>
                <w:lang w:val="en-US" w:eastAsia="zh-CN" w:bidi="ar"/>
              </w:rPr>
              <w:t>209</w:t>
            </w:r>
            <w:r>
              <w:rPr>
                <w:rFonts w:hint="default" w:ascii="Times New Roman" w:hAnsi="Times New Roman" w:eastAsia="宋体" w:cs="Times New Roman"/>
                <w:color w:val="auto"/>
                <w:kern w:val="0"/>
                <w:szCs w:val="24"/>
                <w:lang w:bidi="ar"/>
              </w:rPr>
              <w:t>台35kV箱式变压器，当箱式变压器发生事故时，可能导致变压器内的变压器油发生泄漏，从而影响周围环境。本项目在每台箱变下方</w:t>
            </w:r>
            <w:r>
              <w:rPr>
                <w:rFonts w:hint="default" w:ascii="Times New Roman" w:hAnsi="Times New Roman" w:eastAsia="宋体" w:cs="Times New Roman"/>
                <w:color w:val="auto"/>
                <w:kern w:val="0"/>
                <w:szCs w:val="24"/>
                <w:highlight w:val="none"/>
                <w:lang w:bidi="ar"/>
              </w:rPr>
              <w:t>设置</w:t>
            </w:r>
            <w:r>
              <w:rPr>
                <w:rFonts w:hint="eastAsia" w:ascii="Times New Roman" w:hAnsi="Times New Roman" w:eastAsia="宋体" w:cs="Times New Roman"/>
                <w:color w:val="auto"/>
                <w:kern w:val="0"/>
                <w:szCs w:val="24"/>
                <w:highlight w:val="none"/>
                <w:lang w:val="en-US" w:eastAsia="zh-CN" w:bidi="ar"/>
              </w:rPr>
              <w:t>5</w:t>
            </w:r>
            <w:r>
              <w:rPr>
                <w:rFonts w:hint="default" w:ascii="Times New Roman" w:hAnsi="Times New Roman" w:eastAsia="宋体" w:cs="Times New Roman"/>
                <w:color w:val="auto"/>
                <w:kern w:val="0"/>
                <w:szCs w:val="24"/>
                <w:highlight w:val="none"/>
                <w:lang w:bidi="ar"/>
              </w:rPr>
              <w:t>m</w:t>
            </w:r>
            <w:r>
              <w:rPr>
                <w:rFonts w:hint="default" w:ascii="Times New Roman" w:hAnsi="Times New Roman" w:eastAsia="宋体" w:cs="Times New Roman"/>
                <w:color w:val="auto"/>
                <w:kern w:val="0"/>
                <w:szCs w:val="24"/>
                <w:highlight w:val="none"/>
                <w:vertAlign w:val="superscript"/>
                <w:lang w:bidi="ar"/>
              </w:rPr>
              <w:t>3</w:t>
            </w:r>
            <w:r>
              <w:rPr>
                <w:rFonts w:hint="default" w:ascii="Times New Roman" w:hAnsi="Times New Roman" w:eastAsia="宋体" w:cs="Times New Roman"/>
                <w:color w:val="auto"/>
                <w:kern w:val="0"/>
                <w:szCs w:val="24"/>
                <w:highlight w:val="none"/>
                <w:lang w:bidi="ar"/>
              </w:rPr>
              <w:t>变压器</w:t>
            </w:r>
            <w:r>
              <w:rPr>
                <w:rFonts w:hint="default" w:ascii="Times New Roman" w:hAnsi="Times New Roman" w:eastAsia="宋体" w:cs="Times New Roman"/>
                <w:color w:val="auto"/>
                <w:kern w:val="0"/>
                <w:szCs w:val="24"/>
                <w:lang w:bidi="ar"/>
              </w:rPr>
              <w:t>事故油池一座，</w:t>
            </w:r>
            <w:r>
              <w:rPr>
                <w:rFonts w:hint="eastAsia" w:ascii="Times New Roman" w:hAnsi="Times New Roman" w:eastAsia="宋体" w:cs="Times New Roman"/>
                <w:color w:val="auto"/>
                <w:kern w:val="0"/>
                <w:szCs w:val="24"/>
                <w:lang w:val="en-US" w:eastAsia="zh-CN" w:bidi="ar"/>
              </w:rPr>
              <w:t>集中收集后暂存于升压站危废暂存点，定期交由有资质单位处置</w:t>
            </w:r>
            <w:r>
              <w:rPr>
                <w:rFonts w:hint="default" w:ascii="Times New Roman" w:hAnsi="Times New Roman" w:eastAsia="宋体" w:cs="Times New Roman"/>
                <w:color w:val="auto"/>
                <w:kern w:val="0"/>
                <w:szCs w:val="24"/>
                <w:lang w:bidi="ar"/>
              </w:rPr>
              <w:t>。</w:t>
            </w:r>
          </w:p>
          <w:p w14:paraId="1474B580">
            <w:pPr>
              <w:pStyle w:val="70"/>
              <w:keepNext w:val="0"/>
              <w:keepLines w:val="0"/>
              <w:pageBreakBefore w:val="0"/>
              <w:suppressLineNumbers w:val="0"/>
              <w:kinsoku/>
              <w:wordWrap/>
              <w:overflowPunct/>
              <w:topLinePunct w:val="0"/>
              <w:bidi w:val="0"/>
              <w:adjustRightInd/>
              <w:snapToGrid/>
              <w:spacing w:before="0" w:beforeAutospacing="0" w:after="0" w:afterAutospacing="0" w:line="480" w:lineRule="exact"/>
              <w:ind w:left="0" w:right="0" w:firstLine="480" w:firstLineChars="200"/>
              <w:jc w:val="both"/>
              <w:rPr>
                <w:rFonts w:hint="default" w:ascii="Times New Roman" w:hAnsi="Times New Roman" w:cs="Times New Roman"/>
                <w:color w:val="auto"/>
                <w:sz w:val="24"/>
              </w:rPr>
            </w:pPr>
            <w:r>
              <w:rPr>
                <w:rFonts w:hint="default" w:ascii="Times New Roman" w:hAnsi="Times New Roman" w:eastAsia="宋体" w:cs="Times New Roman"/>
                <w:color w:val="auto"/>
                <w:kern w:val="0"/>
                <w:szCs w:val="24"/>
                <w:lang w:bidi="ar"/>
              </w:rPr>
              <w:t>根据物质危险性判定标准，变压器事故排油</w:t>
            </w:r>
            <w:r>
              <w:rPr>
                <w:rFonts w:hint="eastAsia" w:ascii="Times New Roman" w:hAnsi="Times New Roman" w:eastAsia="宋体" w:cs="Times New Roman"/>
                <w:color w:val="auto"/>
                <w:kern w:val="0"/>
                <w:szCs w:val="24"/>
                <w:lang w:eastAsia="zh-CN" w:bidi="ar"/>
              </w:rPr>
              <w:t>属于</w:t>
            </w:r>
            <w:r>
              <w:rPr>
                <w:rFonts w:hint="default" w:ascii="Times New Roman" w:hAnsi="Times New Roman" w:eastAsia="宋体" w:cs="Times New Roman"/>
                <w:color w:val="auto"/>
                <w:kern w:val="0"/>
                <w:szCs w:val="24"/>
                <w:lang w:bidi="ar"/>
              </w:rPr>
              <w:t>废矿物油，</w:t>
            </w:r>
            <w:r>
              <w:rPr>
                <w:rFonts w:hint="default" w:ascii="Times New Roman" w:hAnsi="Times New Roman" w:cs="Times New Roman"/>
                <w:color w:val="auto"/>
                <w:sz w:val="24"/>
              </w:rPr>
              <w:t>根据《国家危险废物名录</w:t>
            </w:r>
            <w:r>
              <w:rPr>
                <w:rFonts w:hint="eastAsia" w:cs="Times New Roman"/>
                <w:color w:val="auto"/>
                <w:sz w:val="24"/>
                <w:lang w:eastAsia="zh-CN"/>
              </w:rPr>
              <w:t>（</w:t>
            </w:r>
            <w:r>
              <w:rPr>
                <w:rFonts w:hint="default" w:ascii="Times New Roman" w:hAnsi="Times New Roman" w:cs="Times New Roman"/>
                <w:color w:val="auto"/>
                <w:sz w:val="24"/>
              </w:rPr>
              <w:t>202</w:t>
            </w:r>
            <w:r>
              <w:rPr>
                <w:rFonts w:hint="eastAsia" w:cs="Times New Roman"/>
                <w:color w:val="auto"/>
                <w:sz w:val="24"/>
                <w:lang w:val="en-US" w:eastAsia="zh-CN"/>
              </w:rPr>
              <w:t>5</w:t>
            </w:r>
            <w:r>
              <w:rPr>
                <w:rFonts w:hint="default" w:ascii="Times New Roman" w:hAnsi="Times New Roman" w:cs="Times New Roman"/>
                <w:color w:val="auto"/>
                <w:sz w:val="24"/>
              </w:rPr>
              <w:t>年版</w:t>
            </w:r>
            <w:r>
              <w:rPr>
                <w:rFonts w:hint="eastAsia" w:cs="Times New Roman"/>
                <w:color w:val="auto"/>
                <w:sz w:val="24"/>
                <w:lang w:eastAsia="zh-CN"/>
              </w:rPr>
              <w:t>）</w:t>
            </w:r>
            <w:r>
              <w:rPr>
                <w:rFonts w:hint="default" w:ascii="Times New Roman" w:hAnsi="Times New Roman" w:cs="Times New Roman"/>
                <w:color w:val="auto"/>
                <w:sz w:val="24"/>
              </w:rPr>
              <w:t>》，建设项目事故排油属于“HW08废矿物油与含矿物油废物”中的“变压器维护、更换和拆解过程中产生的废变压器油”，废物代码“900-220-08”。因该废矿物油由变压器发生事故状态产生，变压器事故油池主要起临时收集贮存作用，废油产生后将尽快交由与公司签订合作协议的具有相关资质的单位进行回收处理，不在汇集站内长时间储存。</w:t>
            </w:r>
          </w:p>
          <w:p w14:paraId="0AE3E900">
            <w:pPr>
              <w:pStyle w:val="11"/>
              <w:keepNext w:val="0"/>
              <w:keepLines w:val="0"/>
              <w:pageBreakBefore w:val="0"/>
              <w:suppressLineNumbers w:val="0"/>
              <w:kinsoku/>
              <w:wordWrap/>
              <w:overflowPunct/>
              <w:topLinePunct w:val="0"/>
              <w:bidi w:val="0"/>
              <w:adjustRightInd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综上所述，通过采取相应污染防治措施后，本项目产生的事故排油对环境无不良影响。</w:t>
            </w:r>
          </w:p>
          <w:p w14:paraId="1E0FAD3A">
            <w:pPr>
              <w:keepNext w:val="0"/>
              <w:keepLines w:val="0"/>
              <w:suppressLineNumbers w:val="0"/>
              <w:snapToGrid w:val="0"/>
              <w:spacing w:before="0" w:beforeAutospacing="0" w:after="0" w:afterAutospacing="0" w:line="480" w:lineRule="exact"/>
              <w:ind w:left="0" w:right="0"/>
              <w:rPr>
                <w:rFonts w:hint="default" w:ascii="Times New Roman" w:hAnsi="Times New Roman" w:cs="Times New Roman"/>
                <w:color w:val="auto"/>
                <w:sz w:val="24"/>
              </w:rPr>
            </w:pPr>
          </w:p>
        </w:tc>
      </w:tr>
      <w:tr w14:paraId="6E8AF8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687" w:type="dxa"/>
            <w:noWrap w:val="0"/>
            <w:vAlign w:val="center"/>
          </w:tcPr>
          <w:p w14:paraId="1B404CCD">
            <w:pPr>
              <w:pStyle w:val="25"/>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4"/>
                <w:szCs w:val="24"/>
              </w:rPr>
              <w:t>选址选线环境合理性分析</w:t>
            </w:r>
          </w:p>
        </w:tc>
        <w:tc>
          <w:tcPr>
            <w:tcW w:w="8555" w:type="dxa"/>
            <w:noWrap w:val="0"/>
            <w:vAlign w:val="top"/>
          </w:tcPr>
          <w:p w14:paraId="3DB76237">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场址选择需考虑城乡规划要求、土地利用类型、项目工艺设计、交通条件、地形地貌、气象条件、地质灾害及环境保护等多项因素。项目在可行性研究阶段，选址按照光伏发电站设计规范、防火规范等相关要求进行，与周边环境及配套设施充分做到相容；满足安全、消防及地质灾害等相关要求。</w:t>
            </w:r>
          </w:p>
          <w:p w14:paraId="09CC1EA4">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本项目位于玛纳斯县，属于清洁、可再生能源的利用项目，受到国家和地方政府的大力支持。不涉及生态保护红线、环境保护区及其他生态敏感区，项目选址无环境限制因素。</w:t>
            </w:r>
          </w:p>
          <w:p w14:paraId="68FAA7B3">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交通条件</w:t>
            </w:r>
          </w:p>
          <w:p w14:paraId="3AC0042C">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东</w:t>
            </w:r>
            <w:r>
              <w:rPr>
                <w:rFonts w:hint="default" w:ascii="Times New Roman" w:hAnsi="Times New Roman" w:eastAsia="宋体" w:cs="Times New Roman"/>
                <w:color w:val="auto"/>
                <w:sz w:val="24"/>
              </w:rPr>
              <w:t>侧</w:t>
            </w:r>
            <w:r>
              <w:rPr>
                <w:rFonts w:hint="eastAsia" w:ascii="Times New Roman" w:hAnsi="Times New Roman" w:eastAsia="宋体" w:cs="Times New Roman"/>
                <w:color w:val="auto"/>
                <w:sz w:val="24"/>
                <w:lang w:val="en-US" w:eastAsia="zh-CN"/>
              </w:rPr>
              <w:t>250</w:t>
            </w:r>
            <w:r>
              <w:rPr>
                <w:rFonts w:hint="default" w:ascii="Times New Roman" w:hAnsi="Times New Roman" w:eastAsia="宋体" w:cs="Times New Roman"/>
                <w:color w:val="auto"/>
                <w:sz w:val="24"/>
              </w:rPr>
              <w:t>m处有G576国道通过，站址内及周围有现有道路，交通条件便利，可满足项目交通运输要求。</w:t>
            </w:r>
          </w:p>
          <w:p w14:paraId="42AFF139">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光辐射资源</w:t>
            </w:r>
          </w:p>
          <w:p w14:paraId="29F3B189">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场址区工程代表年总辐射量为</w:t>
            </w:r>
            <w:r>
              <w:rPr>
                <w:rFonts w:hint="eastAsia" w:ascii="Times New Roman" w:hAnsi="Times New Roman" w:eastAsia="宋体" w:cs="Times New Roman"/>
                <w:color w:val="auto"/>
                <w:sz w:val="24"/>
                <w:lang w:val="en-US" w:eastAsia="zh-CN"/>
              </w:rPr>
              <w:t>1434.6kWh</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rPr>
              <w:t xml:space="preserve">，根据《太阳能资源评估方法》（GB/T37526-2019），属于太阳能资源很丰富带，太阳能等级为B类地区。场址区除沙暴和雷暴天气外，其他灾害性天气发生天数不多。综合考虑，该地区适宜太阳能资源开发。 </w:t>
            </w:r>
          </w:p>
          <w:p w14:paraId="7928E4CA">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场地条件</w:t>
            </w:r>
          </w:p>
          <w:p w14:paraId="3A2C1449">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本项目位于玛纳斯县境内。项目区距离玛纳斯县约</w:t>
            </w:r>
            <w:r>
              <w:rPr>
                <w:rFonts w:hint="eastAsia" w:ascii="Times New Roman" w:hAnsi="Times New Roman" w:eastAsia="宋体" w:cs="Times New Roman"/>
                <w:color w:val="auto"/>
                <w:sz w:val="24"/>
                <w:lang w:val="en-US" w:eastAsia="zh-CN"/>
              </w:rPr>
              <w:t>117</w:t>
            </w:r>
            <w:r>
              <w:rPr>
                <w:rFonts w:hint="default" w:ascii="Times New Roman" w:hAnsi="Times New Roman" w:eastAsia="宋体" w:cs="Times New Roman"/>
                <w:color w:val="auto"/>
                <w:sz w:val="24"/>
              </w:rPr>
              <w:t>km。光伏电站地势平坦开阔，所处地貌单元为冲洪积平原，场地自然坡度约0.1%。</w:t>
            </w:r>
            <w:r>
              <w:rPr>
                <w:rFonts w:hint="eastAsia" w:ascii="Times New Roman" w:hAnsi="Times New Roman" w:eastAsia="宋体" w:cs="Times New Roman"/>
                <w:color w:val="auto"/>
                <w:sz w:val="24"/>
                <w:lang w:eastAsia="zh-CN"/>
              </w:rPr>
              <w:t>无其他</w:t>
            </w:r>
            <w:r>
              <w:rPr>
                <w:rFonts w:hint="default" w:ascii="Times New Roman" w:hAnsi="Times New Roman" w:eastAsia="宋体" w:cs="Times New Roman"/>
                <w:color w:val="auto"/>
                <w:sz w:val="24"/>
              </w:rPr>
              <w:t xml:space="preserve">不良地质作用，且太阳能资源丰富，具有较好的开发利用价值，适合建设光伏发电系统。 </w:t>
            </w:r>
          </w:p>
          <w:p w14:paraId="605E84A8">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环境条件</w:t>
            </w:r>
          </w:p>
          <w:p w14:paraId="5C43B8F8">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拟建场区地形开阔平坦，周围无高大建筑物，不会产生遮光等不利于光伏发电的情况，可以最大程度发挥太阳能资源优势。</w:t>
            </w:r>
          </w:p>
          <w:p w14:paraId="75CE0D0F">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本项目所在区域目前为国有未利用地，周围无自然保护区、受保护的文物古迹，也无居民区等环境敏感保护目标。场址占地远离军事设施、机场及人口密集区，从环保角度考虑，选址合理。</w:t>
            </w:r>
          </w:p>
          <w:p w14:paraId="2C1A22D8">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5、国土空间规划</w:t>
            </w:r>
          </w:p>
          <w:p w14:paraId="71B43E61">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根据《玛纳斯县国土空间规划（2021年-2035年）》推动兵地融合发展 加快推进石玛兵地融合5GW 光伏基地项目、2GW 光伏发电项目、1GW 光伏光热储能氢能示范项目和40 万千瓦水电项目建设，有序推进石玛两地“源网荷储”一体化发展。本项目为“第八师石玛兵地融合陕建100万千瓦“草光互补”光伏项目”，属于《规划》中“石玛兵地融合5GW 光伏基地项目”中建设项目，符合《玛纳斯县国土空间规划（2021年-2035年）》要求。</w:t>
            </w:r>
          </w:p>
          <w:p w14:paraId="43183973">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cs="Times New Roman"/>
                <w:color w:val="auto"/>
              </w:rPr>
            </w:pPr>
            <w:r>
              <w:rPr>
                <w:rFonts w:hint="default" w:ascii="Times New Roman" w:hAnsi="Times New Roman" w:eastAsia="宋体" w:cs="Times New Roman"/>
                <w:color w:val="auto"/>
                <w:sz w:val="24"/>
              </w:rPr>
              <w:t>综上所述，工程场址开发条件好，是建设光伏电场的理想场址。</w:t>
            </w:r>
          </w:p>
          <w:p w14:paraId="495353D4">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p>
          <w:p w14:paraId="7325F60B">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p>
          <w:p w14:paraId="26962361">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p>
          <w:p w14:paraId="2FD5E706">
            <w:pPr>
              <w:keepNext w:val="0"/>
              <w:keepLines w:val="0"/>
              <w:suppressLineNumbers w:val="0"/>
              <w:adjustRightInd w:val="0"/>
              <w:snapToGrid w:val="0"/>
              <w:spacing w:before="0" w:beforeAutospacing="0" w:after="0" w:afterAutospacing="0" w:line="480" w:lineRule="exact"/>
              <w:ind w:left="0" w:right="0" w:firstLine="480" w:firstLineChars="200"/>
              <w:rPr>
                <w:rFonts w:hint="default" w:ascii="Times New Roman" w:hAnsi="Times New Roman" w:cs="Times New Roman"/>
                <w:color w:val="auto"/>
                <w:sz w:val="24"/>
              </w:rPr>
            </w:pPr>
          </w:p>
          <w:p w14:paraId="592DA899">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14:paraId="25C2DE26">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color w:val="auto"/>
                <w:sz w:val="24"/>
              </w:rPr>
            </w:pPr>
          </w:p>
        </w:tc>
      </w:tr>
    </w:tbl>
    <w:p w14:paraId="12F1F61D">
      <w:pPr>
        <w:pStyle w:val="25"/>
        <w:jc w:val="center"/>
        <w:rPr>
          <w:rFonts w:hint="default" w:ascii="Times New Roman" w:hAnsi="Times New Roman" w:eastAsia="黑体" w:cs="Times New Roman"/>
          <w:snapToGrid w:val="0"/>
          <w:color w:val="000000"/>
          <w:sz w:val="36"/>
          <w:szCs w:val="36"/>
        </w:rPr>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p>
    <w:p w14:paraId="04B55F75">
      <w:pPr>
        <w:pStyle w:val="25"/>
        <w:adjustRightInd w:val="0"/>
        <w:snapToGrid w:val="0"/>
        <w:spacing w:before="0" w:beforeAutospacing="0" w:after="0" w:afterAutospacing="0" w:line="15" w:lineRule="auto"/>
        <w:jc w:val="center"/>
        <w:rPr>
          <w:rFonts w:hint="default" w:ascii="Times New Roman" w:hAnsi="Times New Roman" w:eastAsia="黑体" w:cs="Times New Roman"/>
          <w:snapToGrid w:val="0"/>
          <w:color w:val="000000"/>
          <w:sz w:val="30"/>
          <w:szCs w:val="30"/>
        </w:rPr>
      </w:pPr>
    </w:p>
    <w:p w14:paraId="329EAEF3">
      <w:pPr>
        <w:pStyle w:val="25"/>
        <w:jc w:val="center"/>
        <w:outlineLvl w:val="0"/>
        <w:rPr>
          <w:rFonts w:hint="default" w:ascii="Times New Roman" w:hAnsi="Times New Roman" w:eastAsia="黑体" w:cs="Times New Roman"/>
          <w:snapToGrid w:val="0"/>
          <w:color w:val="000000"/>
          <w:sz w:val="30"/>
          <w:szCs w:val="30"/>
        </w:rPr>
      </w:pPr>
      <w:bookmarkStart w:id="15" w:name="_Toc26934"/>
      <w:r>
        <w:rPr>
          <w:rFonts w:hint="default" w:ascii="Times New Roman" w:hAnsi="Times New Roman" w:eastAsia="黑体" w:cs="Times New Roman"/>
          <w:snapToGrid w:val="0"/>
          <w:color w:val="000000"/>
          <w:sz w:val="30"/>
          <w:szCs w:val="30"/>
        </w:rPr>
        <w:t>五、主要生态环境保护措施</w:t>
      </w:r>
      <w:bookmarkEnd w:id="15"/>
    </w:p>
    <w:tbl>
      <w:tblPr>
        <w:tblStyle w:val="29"/>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8457"/>
      </w:tblGrid>
      <w:tr w14:paraId="6F317B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9" w:hRule="atLeast"/>
          <w:jc w:val="center"/>
        </w:trPr>
        <w:tc>
          <w:tcPr>
            <w:tcW w:w="753" w:type="dxa"/>
            <w:noWrap w:val="0"/>
            <w:tcMar>
              <w:left w:w="28" w:type="dxa"/>
              <w:right w:w="28" w:type="dxa"/>
            </w:tcMar>
            <w:vAlign w:val="center"/>
          </w:tcPr>
          <w:p w14:paraId="0DA57D4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szCs w:val="24"/>
              </w:rPr>
            </w:pPr>
            <w:r>
              <w:rPr>
                <w:rFonts w:hint="default" w:ascii="Times New Roman" w:hAnsi="Times New Roman" w:cs="Times New Roman"/>
                <w:bCs/>
                <w:color w:val="auto"/>
                <w:spacing w:val="10"/>
                <w:sz w:val="24"/>
                <w:szCs w:val="24"/>
              </w:rPr>
              <w:t>施工期生态环境保护措施</w:t>
            </w:r>
          </w:p>
        </w:tc>
        <w:tc>
          <w:tcPr>
            <w:tcW w:w="8457" w:type="dxa"/>
            <w:noWrap w:val="0"/>
            <w:vAlign w:val="top"/>
          </w:tcPr>
          <w:p w14:paraId="62A216B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施工期生态环境保护措施</w:t>
            </w:r>
          </w:p>
          <w:p w14:paraId="6101C7B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土地利用的影响</w:t>
            </w:r>
          </w:p>
          <w:p w14:paraId="4C061A9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①</w:t>
            </w:r>
            <w:r>
              <w:rPr>
                <w:rFonts w:hint="default" w:ascii="Times New Roman" w:hAnsi="Times New Roman" w:eastAsia="宋体" w:cs="Times New Roman"/>
                <w:color w:val="auto"/>
                <w:sz w:val="24"/>
              </w:rPr>
              <w:t xml:space="preserve">施工活动严格控制在征地范围内，尽可能减少对周围土地的破坏；考虑对进场道路与施工道路进行一次性规划，施工道路不再单独临时征用土地；道路尽可能在现有道路的基础上布置规划，尽量减少对土地的破坏、占用。 </w:t>
            </w:r>
          </w:p>
          <w:p w14:paraId="71B9EB4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②</w:t>
            </w:r>
            <w:r>
              <w:rPr>
                <w:rFonts w:hint="default" w:ascii="Times New Roman" w:hAnsi="Times New Roman" w:eastAsia="宋体" w:cs="Times New Roman"/>
                <w:color w:val="auto"/>
                <w:sz w:val="24"/>
              </w:rPr>
              <w:t xml:space="preserve">电池组件及电气设备必须严格按设计规划指定位置来放置，各施工机械和设备不得随意堆放，以便能有效地控制占地面积，更好地保护原地貌。 </w:t>
            </w:r>
          </w:p>
          <w:p w14:paraId="78C8E95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③</w:t>
            </w:r>
            <w:r>
              <w:rPr>
                <w:rFonts w:hint="default" w:ascii="Times New Roman" w:hAnsi="Times New Roman" w:eastAsia="宋体" w:cs="Times New Roman"/>
                <w:color w:val="auto"/>
                <w:sz w:val="24"/>
              </w:rPr>
              <w:t xml:space="preserve">在施工过程中，要求完工后及时利用原表土对施工造成的裸露面进行覆土。 </w:t>
            </w:r>
          </w:p>
          <w:p w14:paraId="3874D68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④</w:t>
            </w:r>
            <w:r>
              <w:rPr>
                <w:rFonts w:hint="default" w:ascii="Times New Roman" w:hAnsi="Times New Roman" w:eastAsia="宋体" w:cs="Times New Roman"/>
                <w:color w:val="auto"/>
                <w:sz w:val="24"/>
              </w:rPr>
              <w:t>尽量减少大型机械施工，基坑开挖后，尽快浇筑混凝土，并及时回填</w:t>
            </w:r>
            <w:r>
              <w:rPr>
                <w:rFonts w:hint="eastAsia" w:ascii="Times New Roman" w:hAnsi="Times New Roman" w:eastAsia="宋体" w:cs="Times New Roman"/>
                <w:color w:val="auto"/>
                <w:sz w:val="24"/>
                <w:lang w:eastAsia="zh-CN"/>
              </w:rPr>
              <w:t>，对</w:t>
            </w:r>
            <w:r>
              <w:rPr>
                <w:rFonts w:hint="default" w:ascii="Times New Roman" w:hAnsi="Times New Roman" w:eastAsia="宋体" w:cs="Times New Roman"/>
                <w:color w:val="auto"/>
                <w:sz w:val="24"/>
              </w:rPr>
              <w:t xml:space="preserve">表层进行碾压，缩短裸露时间，减少扬尘发生。基坑开挖严禁爆破，以减少粉尘及震动对周围环境的影响。 </w:t>
            </w:r>
          </w:p>
          <w:p w14:paraId="2ADC018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⑤</w:t>
            </w:r>
            <w:r>
              <w:rPr>
                <w:rFonts w:hint="default" w:ascii="Times New Roman" w:hAnsi="Times New Roman" w:eastAsia="宋体" w:cs="Times New Roman"/>
                <w:color w:val="auto"/>
                <w:sz w:val="24"/>
              </w:rPr>
              <w:t>电缆沟施工后应及时回填，并恢复原有地貌。</w:t>
            </w:r>
          </w:p>
          <w:p w14:paraId="253DC12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⑥</w:t>
            </w:r>
            <w:r>
              <w:rPr>
                <w:rFonts w:hint="default" w:ascii="Times New Roman" w:hAnsi="Times New Roman" w:eastAsia="宋体" w:cs="Times New Roman"/>
                <w:color w:val="auto"/>
                <w:sz w:val="24"/>
              </w:rPr>
              <w:t>临时料堆放场、施工营地等临时工程布设在项目永久占地范围内，减少临时占地。</w:t>
            </w:r>
          </w:p>
          <w:p w14:paraId="17FAA5AD">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⑦</w:t>
            </w:r>
            <w:r>
              <w:rPr>
                <w:rFonts w:hint="default" w:ascii="Times New Roman" w:hAnsi="Times New Roman" w:eastAsia="宋体" w:cs="Times New Roman"/>
                <w:color w:val="auto"/>
                <w:sz w:val="24"/>
              </w:rPr>
              <w:t>合理规划临时工程的位置，尽可能减小扰动范围；临时施工占地在施工结束后及时清理施工垃圾，对施工场地进行平整、压实。</w:t>
            </w:r>
          </w:p>
          <w:p w14:paraId="398ADE3E">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⑧</w:t>
            </w:r>
            <w:r>
              <w:rPr>
                <w:rFonts w:hint="default" w:ascii="Times New Roman" w:hAnsi="Times New Roman" w:eastAsia="宋体" w:cs="Times New Roman"/>
                <w:color w:val="auto"/>
                <w:sz w:val="24"/>
              </w:rPr>
              <w:t>施工期间应划定施工活动范围，严格控制和管理运输车辆及重型机械的运行线路和范围，不得离开运输</w:t>
            </w:r>
            <w:r>
              <w:rPr>
                <w:rFonts w:hint="eastAsia" w:ascii="Times New Roman" w:hAnsi="Times New Roman" w:eastAsia="宋体" w:cs="Times New Roman"/>
                <w:color w:val="auto"/>
                <w:sz w:val="24"/>
                <w:lang w:eastAsia="zh-CN"/>
              </w:rPr>
              <w:t>道路</w:t>
            </w:r>
            <w:r>
              <w:rPr>
                <w:rFonts w:hint="default" w:ascii="Times New Roman" w:hAnsi="Times New Roman" w:eastAsia="宋体" w:cs="Times New Roman"/>
                <w:color w:val="auto"/>
                <w:sz w:val="24"/>
              </w:rPr>
              <w:t>随意行驶，由专人负责，以防破坏土壤和植被，加剧土地荒漠化。</w:t>
            </w:r>
          </w:p>
          <w:p w14:paraId="064A2357">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⑨</w:t>
            </w:r>
            <w:r>
              <w:rPr>
                <w:rFonts w:hint="default" w:ascii="Times New Roman" w:hAnsi="Times New Roman" w:eastAsia="宋体" w:cs="Times New Roman"/>
                <w:color w:val="auto"/>
                <w:sz w:val="24"/>
              </w:rPr>
              <w:t>工程施工过程中和施工结束后，应及时并严格按照本项目所提出的各种水土保持措施对各水土流失防治部位进行治理，防止新增水土流失。</w:t>
            </w:r>
          </w:p>
          <w:p w14:paraId="5D9113F7">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⑩</w:t>
            </w:r>
            <w:r>
              <w:rPr>
                <w:rFonts w:hint="default" w:ascii="Times New Roman" w:hAnsi="Times New Roman" w:eastAsia="宋体" w:cs="Times New Roman"/>
                <w:color w:val="auto"/>
                <w:sz w:val="24"/>
              </w:rPr>
              <w:t>及时办理临时占用其他草地土地征用手续及补偿手续。</w:t>
            </w:r>
          </w:p>
          <w:p w14:paraId="21FFB899">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植物保护措施</w:t>
            </w:r>
          </w:p>
          <w:p w14:paraId="1A3A8799">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①</w:t>
            </w:r>
            <w:r>
              <w:rPr>
                <w:rFonts w:hint="default" w:ascii="Times New Roman" w:hAnsi="Times New Roman" w:eastAsia="宋体" w:cs="Times New Roman"/>
                <w:color w:val="auto"/>
                <w:sz w:val="24"/>
              </w:rPr>
              <w:t>合理规划、设计施工场地，各种机械和车辆固定行车路线，不能随意下道行驶或另开辟便道，以保证周围地表和植被不受破坏。</w:t>
            </w:r>
          </w:p>
          <w:p w14:paraId="2EA39062">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②</w:t>
            </w:r>
            <w:r>
              <w:rPr>
                <w:rFonts w:hint="default" w:ascii="Times New Roman" w:hAnsi="Times New Roman" w:eastAsia="宋体" w:cs="Times New Roman"/>
                <w:color w:val="auto"/>
                <w:sz w:val="24"/>
              </w:rPr>
              <w:t>施工时应在工期安排上合理有序，先设置围栏措施，后进行工程建设，尽量减少对地表和植被的破坏，除施工必须不得不铲除或碾压植被外，不允许以</w:t>
            </w:r>
            <w:r>
              <w:rPr>
                <w:rFonts w:hint="eastAsia" w:ascii="Times New Roman" w:hAnsi="Times New Roman" w:eastAsia="宋体" w:cs="Times New Roman"/>
                <w:color w:val="auto"/>
                <w:sz w:val="24"/>
                <w:lang w:eastAsia="zh-CN"/>
              </w:rPr>
              <w:t>其他</w:t>
            </w:r>
            <w:r>
              <w:rPr>
                <w:rFonts w:hint="default" w:ascii="Times New Roman" w:hAnsi="Times New Roman" w:eastAsia="宋体" w:cs="Times New Roman"/>
                <w:color w:val="auto"/>
                <w:sz w:val="24"/>
              </w:rPr>
              <w:t>任何理由铲除植被，以减少对生态环境的破坏。</w:t>
            </w:r>
          </w:p>
          <w:p w14:paraId="4C40793B">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③</w:t>
            </w:r>
            <w:r>
              <w:rPr>
                <w:rFonts w:hint="default" w:ascii="Times New Roman" w:hAnsi="Times New Roman" w:eastAsia="宋体" w:cs="Times New Roman"/>
                <w:color w:val="auto"/>
                <w:sz w:val="24"/>
              </w:rPr>
              <w:t>临时堆土采取上铺下盖</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彩条布铺垫、苫布苫盖</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的措施，回填后及时整平。施工中要严格控制临时占地，减少破坏原地貌、植被的面积。</w:t>
            </w:r>
          </w:p>
          <w:p w14:paraId="09B86EEF">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④</w:t>
            </w:r>
            <w:r>
              <w:rPr>
                <w:rFonts w:hint="default" w:ascii="Times New Roman" w:hAnsi="Times New Roman" w:eastAsia="宋体" w:cs="Times New Roman"/>
                <w:color w:val="auto"/>
                <w:sz w:val="24"/>
              </w:rPr>
              <w:t>在光伏基础施工完毕后，应按设计要求立即对基础周边开挖部分进行覆土，并进行平整夯实，以减少水土流失，必要时进行喷水增湿，以便自然植被的生长恢复。</w:t>
            </w:r>
          </w:p>
          <w:p w14:paraId="6BA1C273">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⑤</w:t>
            </w:r>
            <w:r>
              <w:rPr>
                <w:rFonts w:hint="default" w:ascii="Times New Roman" w:hAnsi="Times New Roman" w:eastAsia="宋体" w:cs="Times New Roman"/>
                <w:color w:val="auto"/>
                <w:sz w:val="24"/>
              </w:rPr>
              <w:t>施工道路两侧布设彩条旗进行围护，防止施工车辆跨越施工道路征地范围作业，造成大面积的地表扰动，工程完结后对扰动的区域进行平整，恢复生态。</w:t>
            </w:r>
          </w:p>
          <w:p w14:paraId="35A9190F">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 xml:space="preserve">对野生动物保护措施 </w:t>
            </w:r>
          </w:p>
          <w:p w14:paraId="74372214">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①</w:t>
            </w:r>
            <w:r>
              <w:rPr>
                <w:rFonts w:hint="default" w:ascii="Times New Roman" w:hAnsi="Times New Roman" w:eastAsia="宋体" w:cs="Times New Roman"/>
                <w:color w:val="auto"/>
                <w:sz w:val="24"/>
              </w:rPr>
              <w:t>施工前对施工人员进行宣传和教育，严禁发生捕捉伤害野生动物的行为，</w:t>
            </w:r>
            <w:r>
              <w:rPr>
                <w:rFonts w:hint="eastAsia" w:ascii="Times New Roman" w:hAnsi="Times New Roman" w:eastAsia="宋体" w:cs="Times New Roman"/>
                <w:color w:val="auto"/>
                <w:sz w:val="24"/>
                <w:lang w:eastAsia="zh-CN"/>
              </w:rPr>
              <w:t>增强</w:t>
            </w:r>
            <w:r>
              <w:rPr>
                <w:rFonts w:hint="default" w:ascii="Times New Roman" w:hAnsi="Times New Roman" w:eastAsia="宋体" w:cs="Times New Roman"/>
                <w:color w:val="auto"/>
                <w:sz w:val="24"/>
              </w:rPr>
              <w:t>保护野生动物的意识。</w:t>
            </w:r>
          </w:p>
          <w:p w14:paraId="51AE587E">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②</w:t>
            </w:r>
            <w:r>
              <w:rPr>
                <w:rFonts w:hint="default" w:ascii="Times New Roman" w:hAnsi="Times New Roman" w:eastAsia="宋体" w:cs="Times New Roman"/>
                <w:color w:val="auto"/>
                <w:sz w:val="24"/>
              </w:rPr>
              <w:t>选用低噪声的施工设备及工艺，施工活动主要集中在白天进行，尽量避免夜间施工作业，减少灯光、噪声对夜间动物活动的惊扰。在施工过程中若发现野生动物的</w:t>
            </w:r>
            <w:r>
              <w:rPr>
                <w:rFonts w:hint="eastAsia" w:ascii="Times New Roman" w:hAnsi="Times New Roman" w:eastAsia="宋体" w:cs="Times New Roman"/>
                <w:color w:val="auto"/>
                <w:sz w:val="24"/>
                <w:lang w:eastAsia="zh-CN"/>
              </w:rPr>
              <w:t>活动</w:t>
            </w:r>
            <w:r>
              <w:rPr>
                <w:rFonts w:hint="default" w:ascii="Times New Roman" w:hAnsi="Times New Roman" w:eastAsia="宋体" w:cs="Times New Roman"/>
                <w:color w:val="auto"/>
                <w:sz w:val="24"/>
              </w:rPr>
              <w:t>，应进行避让和保护，以防影响野生动物的栖息。</w:t>
            </w:r>
          </w:p>
          <w:p w14:paraId="4A3A69D6">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③</w:t>
            </w:r>
            <w:r>
              <w:rPr>
                <w:rFonts w:hint="default" w:ascii="Times New Roman" w:hAnsi="Times New Roman" w:eastAsia="宋体" w:cs="Times New Roman"/>
                <w:color w:val="auto"/>
                <w:sz w:val="24"/>
              </w:rPr>
              <w:t>施工</w:t>
            </w:r>
            <w:r>
              <w:rPr>
                <w:rFonts w:hint="eastAsia" w:ascii="Times New Roman" w:hAnsi="Times New Roman" w:eastAsia="宋体" w:cs="Times New Roman"/>
                <w:color w:val="auto"/>
                <w:sz w:val="24"/>
                <w:lang w:eastAsia="zh-CN"/>
              </w:rPr>
              <w:t>期间</w:t>
            </w:r>
            <w:r>
              <w:rPr>
                <w:rFonts w:hint="default" w:ascii="Times New Roman" w:hAnsi="Times New Roman" w:eastAsia="宋体" w:cs="Times New Roman"/>
                <w:color w:val="auto"/>
                <w:sz w:val="24"/>
              </w:rPr>
              <w:t>如发现野生保护动物应采取妥善措施进行保护，不得杀害和损伤保护动物。对受伤的动物应及时联系野生动物保护部门，及时救治。</w:t>
            </w:r>
          </w:p>
          <w:p w14:paraId="57C0AD60">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施工景观影响</w:t>
            </w:r>
          </w:p>
          <w:p w14:paraId="0761B5E5">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采取围挡作业、分段施工、及时清运弃方、采取防尘抑尘措施、集中收集施工人员生活垃圾并及时清运处理等措施，可以使施工区域及时恢复原有自然面貌，将施工期造成的景观影响降至最小。</w:t>
            </w:r>
          </w:p>
          <w:p w14:paraId="25B3E679">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水土保持措施</w:t>
            </w:r>
          </w:p>
          <w:p w14:paraId="3B76D39D">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 xml:space="preserve">水土流失防治措施主要采用工程措施、植物措施、临时措施和管理措施相结合的综合防护措施，在时间上、空间上形成水土保持措施体系。 </w:t>
            </w:r>
          </w:p>
          <w:p w14:paraId="2A9AE8C8">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①</w:t>
            </w:r>
            <w:r>
              <w:rPr>
                <w:rFonts w:hint="default" w:ascii="Times New Roman" w:hAnsi="Times New Roman" w:eastAsia="宋体" w:cs="Times New Roman"/>
                <w:color w:val="auto"/>
                <w:sz w:val="24"/>
              </w:rPr>
              <w:t xml:space="preserve">工程措施：电池阵列区、施工生产生活区施工结束后进行覆土平整。弃渣场采用拦挡工程。 </w:t>
            </w:r>
          </w:p>
          <w:p w14:paraId="6D965307">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②</w:t>
            </w:r>
            <w:r>
              <w:rPr>
                <w:rFonts w:hint="default" w:ascii="Times New Roman" w:hAnsi="Times New Roman" w:eastAsia="宋体" w:cs="Times New Roman"/>
                <w:color w:val="auto"/>
                <w:sz w:val="24"/>
              </w:rPr>
              <w:t xml:space="preserve">植物措施：对项目场地进行植被自然恢复。 </w:t>
            </w:r>
          </w:p>
          <w:p w14:paraId="48D58225">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③</w:t>
            </w:r>
            <w:r>
              <w:rPr>
                <w:rFonts w:hint="default" w:ascii="Times New Roman" w:hAnsi="Times New Roman" w:eastAsia="宋体" w:cs="Times New Roman"/>
                <w:color w:val="auto"/>
                <w:sz w:val="24"/>
              </w:rPr>
              <w:t xml:space="preserve">临时措施：主体施工过程中，特别是下雨或刮风期施工时，为防止开挖填垫后的场地水蚀和风蚀，对电池阵列区、施工生产生活区和弃渣场等部位布设排水、拦挡和遮盖等临时防护措施，考虑临时工程的短时效性，选择有效、简单易行、易于拆除且投资小的措施。 </w:t>
            </w:r>
          </w:p>
          <w:p w14:paraId="7E3EAC38">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④</w:t>
            </w:r>
            <w:r>
              <w:rPr>
                <w:rFonts w:hint="default" w:ascii="Times New Roman" w:hAnsi="Times New Roman" w:eastAsia="宋体" w:cs="Times New Roman"/>
                <w:color w:val="auto"/>
                <w:sz w:val="24"/>
              </w:rPr>
              <w:t xml:space="preserve">管理措施：工程施工时序和施工安排对水土保持工程防治水土流失的效果影响很大。若施工时序和施工安排不当，不但不能有效预防施工中产生的水土流失，而且造成施工中的水土流失无从治理，失去预防优先的意义。道路路面要定期洒水，临时堆放的土石料和运输车辆应遮盖；定期对施工生产生活区空地洒水降尘等。 </w:t>
            </w:r>
          </w:p>
          <w:p w14:paraId="78164071">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防沙治沙措施</w:t>
            </w:r>
          </w:p>
          <w:p w14:paraId="6EDA0BAC">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本项目位于戈壁荒漠区域，根据《中华人民共和国防沙治沙法》办法，本项目施工期间要严格执行防沙治沙要求。</w:t>
            </w:r>
          </w:p>
          <w:p w14:paraId="295F1985">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①</w:t>
            </w:r>
            <w:r>
              <w:rPr>
                <w:rFonts w:hint="default" w:ascii="Times New Roman" w:hAnsi="Times New Roman" w:eastAsia="宋体" w:cs="Times New Roman"/>
                <w:color w:val="auto"/>
                <w:sz w:val="24"/>
              </w:rPr>
              <w:t>光伏基础除施工必须不得不铲除或碾压植被外，不允许以</w:t>
            </w:r>
            <w:r>
              <w:rPr>
                <w:rFonts w:hint="eastAsia" w:ascii="Times New Roman" w:hAnsi="Times New Roman" w:eastAsia="宋体" w:cs="Times New Roman"/>
                <w:color w:val="auto"/>
                <w:sz w:val="24"/>
                <w:lang w:eastAsia="zh-CN"/>
              </w:rPr>
              <w:t>其他</w:t>
            </w:r>
            <w:r>
              <w:rPr>
                <w:rFonts w:hint="default" w:ascii="Times New Roman" w:hAnsi="Times New Roman" w:eastAsia="宋体" w:cs="Times New Roman"/>
                <w:color w:val="auto"/>
                <w:sz w:val="24"/>
              </w:rPr>
              <w:t>任何理由铲除植被，以减少对荒漠植被的破坏。</w:t>
            </w:r>
          </w:p>
          <w:p w14:paraId="69D8584A">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②</w:t>
            </w:r>
            <w:r>
              <w:rPr>
                <w:rFonts w:hint="default" w:ascii="Times New Roman" w:hAnsi="Times New Roman" w:eastAsia="宋体" w:cs="Times New Roman"/>
                <w:color w:val="auto"/>
                <w:sz w:val="24"/>
              </w:rPr>
              <w:t>扰动范围控制在占地范围内，严格控制扰动面积，施工扰动面积控制在</w:t>
            </w:r>
            <w:r>
              <w:rPr>
                <w:rFonts w:hint="eastAsia" w:ascii="Times New Roman" w:hAnsi="Times New Roman" w:eastAsia="宋体" w:cs="Times New Roman"/>
                <w:color w:val="auto"/>
                <w:sz w:val="24"/>
                <w:lang w:val="en-US" w:eastAsia="zh-CN"/>
              </w:rPr>
              <w:t>1387.79</w:t>
            </w:r>
            <w:r>
              <w:rPr>
                <w:rFonts w:hint="default" w:ascii="Times New Roman" w:hAnsi="Times New Roman" w:eastAsia="宋体" w:cs="Times New Roman"/>
                <w:color w:val="auto"/>
                <w:sz w:val="24"/>
              </w:rPr>
              <w:t>hm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范围之内，现场采用设置彩旗标识的方式划定具体施工作业占地范围。</w:t>
            </w:r>
          </w:p>
          <w:p w14:paraId="00CA4CAA">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③</w:t>
            </w:r>
            <w:r>
              <w:rPr>
                <w:rFonts w:hint="default" w:ascii="Times New Roman" w:hAnsi="Times New Roman" w:eastAsia="宋体" w:cs="Times New Roman"/>
                <w:color w:val="auto"/>
                <w:sz w:val="24"/>
              </w:rPr>
              <w:t>施工期间严格执行生态保护措施，杜绝破坏植被，造成沙化的行为。</w:t>
            </w:r>
          </w:p>
          <w:p w14:paraId="1F3ED5DA">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④</w:t>
            </w:r>
            <w:r>
              <w:rPr>
                <w:rFonts w:hint="default" w:ascii="Times New Roman" w:hAnsi="Times New Roman" w:eastAsia="宋体" w:cs="Times New Roman"/>
                <w:color w:val="auto"/>
                <w:sz w:val="24"/>
              </w:rPr>
              <w:t>施工营地等临时工程占地全部利用项目永久占地，不新增临时用地。</w:t>
            </w:r>
          </w:p>
          <w:p w14:paraId="0C3D667F">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⑤</w:t>
            </w:r>
            <w:r>
              <w:rPr>
                <w:rFonts w:hint="default" w:ascii="Times New Roman" w:hAnsi="Times New Roman" w:eastAsia="宋体" w:cs="Times New Roman"/>
                <w:color w:val="auto"/>
                <w:sz w:val="24"/>
              </w:rPr>
              <w:t>场内检修道路采用砂砾石压盖等措施，防止区域土地发生沙化现象。</w:t>
            </w:r>
          </w:p>
          <w:p w14:paraId="0D700321">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⑥</w:t>
            </w:r>
            <w:r>
              <w:rPr>
                <w:rFonts w:hint="default" w:ascii="Times New Roman" w:hAnsi="Times New Roman" w:eastAsia="宋体" w:cs="Times New Roman"/>
                <w:color w:val="auto"/>
                <w:sz w:val="24"/>
              </w:rPr>
              <w:t>土地使用过程中发现土地沙化或者沙化程度加重的，应当及时报告当地人民政府。</w:t>
            </w:r>
          </w:p>
          <w:p w14:paraId="1E8DD585">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⑦</w:t>
            </w:r>
            <w:r>
              <w:rPr>
                <w:rFonts w:hint="default" w:ascii="Times New Roman" w:hAnsi="Times New Roman" w:eastAsia="宋体" w:cs="Times New Roman"/>
                <w:color w:val="auto"/>
                <w:sz w:val="24"/>
              </w:rPr>
              <w:t>强化封禁保护，实行“三禁”制度。切实汲取长期存在的边治理、边破坏的教训，杜绝滥垦、滥牧、滥采等破坏行为，遏制沙地活化，保护荒漠区植被。</w:t>
            </w:r>
          </w:p>
          <w:p w14:paraId="2B0A887C">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7</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人员行为规范</w:t>
            </w:r>
          </w:p>
          <w:p w14:paraId="4ACF1321">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①</w:t>
            </w:r>
            <w:r>
              <w:rPr>
                <w:rFonts w:hint="default" w:ascii="Times New Roman" w:hAnsi="Times New Roman" w:eastAsia="宋体" w:cs="Times New Roman"/>
                <w:color w:val="auto"/>
                <w:sz w:val="24"/>
              </w:rPr>
              <w:t>加强对管理人员和施工人员的教育，</w:t>
            </w:r>
            <w:r>
              <w:rPr>
                <w:rFonts w:hint="eastAsia" w:ascii="Times New Roman" w:hAnsi="Times New Roman" w:eastAsia="宋体" w:cs="Times New Roman"/>
                <w:color w:val="auto"/>
                <w:sz w:val="24"/>
                <w:lang w:eastAsia="zh-CN"/>
              </w:rPr>
              <w:t>增强</w:t>
            </w:r>
            <w:r>
              <w:rPr>
                <w:rFonts w:hint="default" w:ascii="Times New Roman" w:hAnsi="Times New Roman" w:eastAsia="宋体" w:cs="Times New Roman"/>
                <w:color w:val="auto"/>
                <w:sz w:val="24"/>
              </w:rPr>
              <w:t>其环保意识，设置环保宣传牌。</w:t>
            </w:r>
          </w:p>
          <w:p w14:paraId="583A8220">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②</w:t>
            </w:r>
            <w:r>
              <w:rPr>
                <w:rFonts w:hint="default" w:ascii="Times New Roman" w:hAnsi="Times New Roman" w:eastAsia="宋体" w:cs="Times New Roman"/>
                <w:color w:val="auto"/>
                <w:sz w:val="24"/>
              </w:rPr>
              <w:t>注意保护植被，禁止随意砍伐灌木等活动，不得偷猎、伤害、恐吓、袭击野生动物。</w:t>
            </w:r>
          </w:p>
          <w:p w14:paraId="419CCBDD">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③</w:t>
            </w:r>
            <w:r>
              <w:rPr>
                <w:rFonts w:hint="default" w:ascii="Times New Roman" w:hAnsi="Times New Roman" w:eastAsia="宋体" w:cs="Times New Roman"/>
                <w:color w:val="auto"/>
                <w:sz w:val="24"/>
              </w:rPr>
              <w:t>施工人员和施工机械不得在规定区域范围外随意活动和行驶。</w:t>
            </w:r>
          </w:p>
          <w:p w14:paraId="22A6ED1F">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④</w:t>
            </w:r>
            <w:r>
              <w:rPr>
                <w:rFonts w:hint="default" w:ascii="Times New Roman" w:hAnsi="Times New Roman" w:eastAsia="宋体" w:cs="Times New Roman"/>
                <w:color w:val="auto"/>
                <w:sz w:val="24"/>
              </w:rPr>
              <w:t>生活垃圾和建筑垃圾集中收集、集中处理，不得随意丢弃。</w:t>
            </w:r>
          </w:p>
          <w:p w14:paraId="4005D8A1">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⑤</w:t>
            </w:r>
            <w:r>
              <w:rPr>
                <w:rFonts w:hint="default" w:ascii="Times New Roman" w:hAnsi="Times New Roman" w:eastAsia="宋体" w:cs="Times New Roman"/>
                <w:color w:val="auto"/>
                <w:sz w:val="24"/>
              </w:rPr>
              <w:t>对事故贮油池的防渗施工过程进行质量监督。</w:t>
            </w:r>
          </w:p>
          <w:p w14:paraId="55C61AE8">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采取以上措施后，可防止区域土地沙化，项目建设对区域内生态环境的影响较小。</w:t>
            </w:r>
          </w:p>
          <w:p w14:paraId="482B9108">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施工扬尘防治措施</w:t>
            </w:r>
          </w:p>
          <w:p w14:paraId="65F9F708">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施工期扬尘废气防治措施</w:t>
            </w:r>
          </w:p>
          <w:p w14:paraId="4AB3D963">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根据国务院关于印发《大气污染防治行动计划》的通知对扬尘污染防治的规定，项目施工期采取以下措施：</w:t>
            </w:r>
          </w:p>
          <w:p w14:paraId="21D6EEB5">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①</w:t>
            </w:r>
            <w:r>
              <w:rPr>
                <w:rFonts w:hint="default" w:ascii="Times New Roman" w:hAnsi="Times New Roman" w:eastAsia="宋体" w:cs="Times New Roman"/>
                <w:color w:val="auto"/>
                <w:sz w:val="24"/>
              </w:rPr>
              <w:t>加强施工管理，做到文明施工，严禁大风</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风速≥5m/s</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天气进行易产尘施工作业。</w:t>
            </w:r>
          </w:p>
          <w:p w14:paraId="365A6D2D">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②</w:t>
            </w:r>
            <w:r>
              <w:rPr>
                <w:rFonts w:hint="default" w:ascii="Times New Roman" w:hAnsi="Times New Roman" w:eastAsia="宋体" w:cs="Times New Roman"/>
                <w:color w:val="auto"/>
                <w:sz w:val="24"/>
              </w:rPr>
              <w:t>做好施工规划，合理安排土石方临时堆放场地，对临时堆放土石方表面进行遮盖、四周进行围挡或定期对临时堆放土石方表面洒水。尽可能</w:t>
            </w:r>
            <w:r>
              <w:rPr>
                <w:rFonts w:hint="eastAsia" w:ascii="Times New Roman" w:hAnsi="Times New Roman" w:eastAsia="宋体" w:cs="Times New Roman"/>
                <w:color w:val="auto"/>
                <w:sz w:val="24"/>
                <w:lang w:eastAsia="zh-CN"/>
              </w:rPr>
              <w:t>地</w:t>
            </w:r>
            <w:r>
              <w:rPr>
                <w:rFonts w:hint="default" w:ascii="Times New Roman" w:hAnsi="Times New Roman" w:eastAsia="宋体" w:cs="Times New Roman"/>
                <w:color w:val="auto"/>
                <w:sz w:val="24"/>
              </w:rPr>
              <w:t>降低对周边大气环境的影响。</w:t>
            </w:r>
          </w:p>
          <w:p w14:paraId="5FD74343">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③</w:t>
            </w:r>
            <w:r>
              <w:rPr>
                <w:rFonts w:hint="default" w:ascii="Times New Roman" w:hAnsi="Times New Roman" w:eastAsia="宋体" w:cs="Times New Roman"/>
                <w:color w:val="auto"/>
                <w:sz w:val="24"/>
              </w:rPr>
              <w:t>对施工场地和运输道路每天洒水2～3次，遇大风或干燥天气应适当增加洒水次数，对于施工场地裸露地面，应采</w:t>
            </w:r>
            <w:r>
              <w:rPr>
                <w:rFonts w:hint="eastAsia" w:ascii="Times New Roman" w:hAnsi="Times New Roman" w:eastAsia="宋体" w:cs="Times New Roman"/>
                <w:color w:val="auto"/>
                <w:sz w:val="24"/>
                <w:lang w:val="en-US" w:eastAsia="zh-CN"/>
              </w:rPr>
              <w:t>取</w:t>
            </w:r>
            <w:r>
              <w:rPr>
                <w:rFonts w:hint="default" w:ascii="Times New Roman" w:hAnsi="Times New Roman" w:eastAsia="宋体" w:cs="Times New Roman"/>
                <w:color w:val="auto"/>
                <w:sz w:val="24"/>
              </w:rPr>
              <w:t>覆盖防尘布或防尘网，定时定量洒水。</w:t>
            </w:r>
          </w:p>
          <w:p w14:paraId="017B2A16">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④</w:t>
            </w:r>
            <w:r>
              <w:rPr>
                <w:rFonts w:hint="default" w:ascii="Times New Roman" w:hAnsi="Times New Roman" w:eastAsia="宋体" w:cs="Times New Roman"/>
                <w:color w:val="auto"/>
                <w:sz w:val="24"/>
              </w:rPr>
              <w:t>对运输施工垃圾的车辆应加盖篷布或采取密闭运输方式，运输车辆的装载量应适当，严禁超载，应严格按照规定行车路线和速度行驶，并定期对运输道路路面进行清扫和洒水。</w:t>
            </w:r>
          </w:p>
          <w:p w14:paraId="7DF5C544">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⑤</w:t>
            </w:r>
            <w:r>
              <w:rPr>
                <w:rFonts w:hint="default" w:ascii="Times New Roman" w:hAnsi="Times New Roman" w:eastAsia="宋体" w:cs="Times New Roman"/>
                <w:color w:val="auto"/>
                <w:sz w:val="24"/>
              </w:rPr>
              <w:t>合理集中安排建筑材料临时堆放场所和施工垃圾临时堆放场所，尽量设置在远离人群集中场所的下风向且避风处，严禁露天堆放粉砂状建筑材料和施工垃圾，应对其表面进行遮盖或四周进行围挡，并尽量采用成品建筑材料。</w:t>
            </w:r>
          </w:p>
          <w:p w14:paraId="490E72C9">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⑥</w:t>
            </w:r>
            <w:r>
              <w:rPr>
                <w:rFonts w:hint="default" w:ascii="Times New Roman" w:hAnsi="Times New Roman" w:eastAsia="宋体" w:cs="Times New Roman"/>
                <w:color w:val="auto"/>
                <w:sz w:val="24"/>
              </w:rPr>
              <w:t>装卸施工垃圾过程中应采用隔板阻挡以防洒落，对不慎洒落的应及时进行清理，并尽量降低装卸落差。</w:t>
            </w:r>
          </w:p>
          <w:p w14:paraId="1471932B">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⑦</w:t>
            </w:r>
            <w:r>
              <w:rPr>
                <w:rFonts w:hint="default" w:ascii="Times New Roman" w:hAnsi="Times New Roman" w:eastAsia="宋体" w:cs="Times New Roman"/>
                <w:color w:val="auto"/>
                <w:sz w:val="24"/>
              </w:rPr>
              <w:t>在施工场地四周设置临时性围栏或围墙，在易产尘施工作业点四周设置临时性细目滞尘防护网。</w:t>
            </w:r>
          </w:p>
          <w:p w14:paraId="6BD818E9">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⑧</w:t>
            </w:r>
            <w:r>
              <w:rPr>
                <w:rFonts w:hint="default" w:ascii="Times New Roman" w:hAnsi="Times New Roman" w:eastAsia="宋体" w:cs="Times New Roman"/>
                <w:color w:val="auto"/>
                <w:sz w:val="24"/>
              </w:rPr>
              <w:t>加强施工人员个体防护措施，如在进行易产尘作业时佩戴防尘面罩等。</w:t>
            </w:r>
          </w:p>
          <w:p w14:paraId="19FB6869">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采取以上措施后对大气环境的影响会有所降低，施工期产生的扬</w:t>
            </w:r>
            <w:r>
              <w:rPr>
                <w:rFonts w:hint="eastAsia" w:ascii="Times New Roman" w:hAnsi="Times New Roman" w:eastAsia="宋体" w:cs="Times New Roman"/>
                <w:color w:val="auto"/>
                <w:sz w:val="24"/>
                <w:lang w:eastAsia="zh-CN"/>
              </w:rPr>
              <w:t>尘</w:t>
            </w:r>
            <w:r>
              <w:rPr>
                <w:rFonts w:hint="default" w:ascii="Times New Roman" w:hAnsi="Times New Roman" w:eastAsia="宋体" w:cs="Times New Roman"/>
                <w:color w:val="auto"/>
                <w:sz w:val="24"/>
              </w:rPr>
              <w:t>采取以上措施后对大气环境的影响会有所降低，施工期产生的扬尘会随施工结束而消失，建议缩短工期，不会长期影响周边大气环境质量。</w:t>
            </w:r>
          </w:p>
          <w:p w14:paraId="08C3A3AC">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设备燃油废气防治措施</w:t>
            </w:r>
          </w:p>
          <w:p w14:paraId="2788811C">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①</w:t>
            </w:r>
            <w:r>
              <w:rPr>
                <w:rFonts w:hint="default" w:ascii="Times New Roman" w:hAnsi="Times New Roman" w:eastAsia="宋体" w:cs="Times New Roman"/>
                <w:color w:val="auto"/>
                <w:sz w:val="24"/>
              </w:rPr>
              <w:t>加强施工车辆运行管理与维护保养。</w:t>
            </w:r>
          </w:p>
          <w:p w14:paraId="62084833">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②</w:t>
            </w:r>
            <w:r>
              <w:rPr>
                <w:rFonts w:hint="default" w:ascii="Times New Roman" w:hAnsi="Times New Roman" w:eastAsia="宋体" w:cs="Times New Roman"/>
                <w:color w:val="auto"/>
                <w:sz w:val="24"/>
              </w:rPr>
              <w:t>使用满足《车用柴油》</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GB19147-2016</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标准的柴油，柴油机废气排放满足《重型柴油车污染物排放限值及测量方法</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中国第六阶段</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GB17691-2018</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及《非道路柴油移动机械排气烟度限值及测量方法》</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GB36886-2018</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p>
          <w:p w14:paraId="21E23252">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焊接烟尘防治措施</w:t>
            </w:r>
          </w:p>
          <w:p w14:paraId="54F11330">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①</w:t>
            </w:r>
            <w:r>
              <w:rPr>
                <w:rFonts w:hint="default" w:ascii="Times New Roman" w:hAnsi="Times New Roman" w:eastAsia="宋体" w:cs="Times New Roman"/>
                <w:color w:val="auto"/>
                <w:sz w:val="24"/>
              </w:rPr>
              <w:t>在工艺确定的前提下，选用机械化、自动化程度高设备。应采用低尘低毒焊条，以降低烟尘浓度和毒性。</w:t>
            </w:r>
          </w:p>
          <w:p w14:paraId="13D8DFB6">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②</w:t>
            </w:r>
            <w:r>
              <w:rPr>
                <w:rFonts w:hint="default" w:ascii="Times New Roman" w:hAnsi="Times New Roman" w:eastAsia="宋体" w:cs="Times New Roman"/>
                <w:color w:val="auto"/>
                <w:sz w:val="24"/>
              </w:rPr>
              <w:t>应选用成熟的隐弧焊代替明弧焊，可大大降低污染物的污染程度。</w:t>
            </w:r>
          </w:p>
          <w:p w14:paraId="128439E5">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③</w:t>
            </w:r>
            <w:r>
              <w:rPr>
                <w:rFonts w:hint="default" w:ascii="Times New Roman" w:hAnsi="Times New Roman" w:eastAsia="宋体" w:cs="Times New Roman"/>
                <w:color w:val="auto"/>
                <w:sz w:val="24"/>
              </w:rPr>
              <w:t>采用环保型的药芯焊丝代替普通焊丝，可在一定程度上降低焊接烟尘的产生量。</w:t>
            </w:r>
          </w:p>
          <w:p w14:paraId="438BDD84">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本项目所在地地域开阔，空气流动性较好，可在一定程度上加速焊接烟尘的扩散，对焊接烟尘起到稀释作用。</w:t>
            </w:r>
          </w:p>
          <w:p w14:paraId="40BF2455">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施工期废水防治措施</w:t>
            </w:r>
          </w:p>
          <w:p w14:paraId="6609F58B">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本项目施工期间产生的废污水主要</w:t>
            </w:r>
            <w:r>
              <w:rPr>
                <w:rFonts w:hint="eastAsia" w:ascii="Times New Roman" w:hAnsi="Times New Roman" w:eastAsia="宋体" w:cs="Times New Roman"/>
                <w:color w:val="auto"/>
                <w:sz w:val="24"/>
                <w:lang w:eastAsia="zh-CN"/>
              </w:rPr>
              <w:t>来自</w:t>
            </w:r>
            <w:r>
              <w:rPr>
                <w:rFonts w:hint="default" w:ascii="Times New Roman" w:hAnsi="Times New Roman" w:eastAsia="宋体" w:cs="Times New Roman"/>
                <w:color w:val="auto"/>
                <w:sz w:val="24"/>
              </w:rPr>
              <w:t>施工废水及施工人员生活污水。</w:t>
            </w:r>
          </w:p>
          <w:p w14:paraId="15327F40">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施工营地设置移动卫生厕所和防渗污水收集池，营地食堂及洗漱废水经隔油隔渣池后排入防渗污水收集池，移动卫生厕所用于解决施工人员的生活排污，及时委托环卫部门拉运，避免生活污水外排。</w:t>
            </w:r>
          </w:p>
          <w:p w14:paraId="3EEE8CB9">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工程施工生产废水主要</w:t>
            </w:r>
            <w:r>
              <w:rPr>
                <w:rFonts w:hint="eastAsia" w:ascii="Times New Roman" w:hAnsi="Times New Roman" w:eastAsia="宋体" w:cs="Times New Roman"/>
                <w:color w:val="auto"/>
                <w:sz w:val="24"/>
                <w:lang w:val="en-US" w:eastAsia="zh-CN"/>
              </w:rPr>
              <w:t>为混凝土养护废水，全部吸收或蒸发</w:t>
            </w:r>
            <w:r>
              <w:rPr>
                <w:rFonts w:hint="default" w:ascii="Times New Roman" w:hAnsi="Times New Roman" w:eastAsia="宋体" w:cs="Times New Roman"/>
                <w:color w:val="auto"/>
                <w:sz w:val="24"/>
              </w:rPr>
              <w:t>，对周边环境影响较小。</w:t>
            </w:r>
          </w:p>
          <w:p w14:paraId="071F8E40">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施工期噪声防治措施</w:t>
            </w:r>
          </w:p>
          <w:p w14:paraId="78A89BAC">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施工期噪声主要为施工机械设备所产生的作业噪声，具有阶段性、临时性和不固定性等特点。本项目采取的噪声污染防治措施如下所示：</w:t>
            </w:r>
          </w:p>
          <w:p w14:paraId="00085375">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合理布置施工现场，以减轻施工噪声的影响。</w:t>
            </w:r>
          </w:p>
          <w:p w14:paraId="3CFFE011">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严格遵守《建筑施工噪声排放标准》</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GB12523-20</w:t>
            </w:r>
            <w:r>
              <w:rPr>
                <w:rFonts w:hint="eastAsia" w:ascii="Times New Roman" w:hAnsi="Times New Roman" w:eastAsia="宋体" w:cs="Times New Roman"/>
                <w:color w:val="auto"/>
                <w:sz w:val="24"/>
                <w:lang w:val="en-US" w:eastAsia="zh-CN"/>
              </w:rPr>
              <w:t>25）</w:t>
            </w:r>
            <w:r>
              <w:rPr>
                <w:rFonts w:hint="default" w:ascii="Times New Roman" w:hAnsi="Times New Roman" w:eastAsia="宋体" w:cs="Times New Roman"/>
                <w:color w:val="auto"/>
                <w:sz w:val="24"/>
              </w:rPr>
              <w:t>有关规定，未经批准，不得夜间</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夜间2</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:00～次日早晨0</w:t>
            </w:r>
            <w:r>
              <w:rPr>
                <w:rFonts w:hint="eastAsia"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rPr>
              <w:t>:00</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从事产生噪声污染的施工作业，确因赶工需要连续施工作业的，应当提前向当地有关部门申报，取得许可证明，方可实施。</w:t>
            </w:r>
          </w:p>
          <w:p w14:paraId="055D3216">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积极采取各种噪声控制措施，如尽量采用低噪施工设备，以液压工具代替气压工具，严禁使用冲击式打桩机，选用静压式打桩机。对于高噪声设备应搭建隔声棚。</w:t>
            </w:r>
          </w:p>
          <w:p w14:paraId="07D54443">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施工机械产生的噪声往往具有突发、无规则、不连续和高强度等特点，施工单位应采取合理安排施工机械操作时间的方法加以缓解，并减少同时作业的高噪施工机械数量，尽可能减轻声源叠加影响。</w:t>
            </w:r>
          </w:p>
          <w:p w14:paraId="6BF92190">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对于施工期间的材料运输、敲击、人的喊叫等噪声源，要求施工单位文明施工、加强有效管理以缓解其影响。</w:t>
            </w:r>
          </w:p>
          <w:p w14:paraId="6CA48386">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优化施工车辆行车路线。</w:t>
            </w:r>
          </w:p>
          <w:p w14:paraId="5E77F3BE">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施工期环境噪声影响是短期的，随着施工期的结束而消失，受人为和自然条件的影响较大，因此应加强对施工现场管理，并采取有效的防护措施，则项目施工期噪声对环境影响较小。</w:t>
            </w:r>
          </w:p>
          <w:p w14:paraId="517B56C1">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施工期固体废物防治措施</w:t>
            </w:r>
          </w:p>
          <w:p w14:paraId="5D5B019E">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lang w:val="zh-CN"/>
              </w:rPr>
            </w:pP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val="zh-CN"/>
              </w:rPr>
              <w:t>设置生活垃圾箱，固定地堆放，收集后统一运至生活垃圾转运站，包装袋由施工单位统一回收，综合利用。</w:t>
            </w:r>
          </w:p>
          <w:p w14:paraId="1642A6BE">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lang w:val="zh-CN"/>
              </w:rPr>
            </w:pPr>
            <w:r>
              <w:rPr>
                <w:rFonts w:hint="eastAsia" w:ascii="Times New Roman" w:hAnsi="Times New Roman" w:eastAsia="宋体" w:cs="Times New Roman"/>
                <w:color w:val="auto"/>
                <w:sz w:val="24"/>
                <w:lang w:val="zh-CN"/>
              </w:rPr>
              <w:t>（</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val="zh-CN"/>
              </w:rPr>
              <w:t>）</w:t>
            </w:r>
            <w:r>
              <w:rPr>
                <w:rFonts w:hint="default" w:ascii="Times New Roman" w:hAnsi="Times New Roman" w:eastAsia="宋体" w:cs="Times New Roman"/>
                <w:color w:val="auto"/>
                <w:sz w:val="24"/>
                <w:lang w:val="zh-CN"/>
              </w:rPr>
              <w:t>地基处理，开挖产生的土石方及其它建筑类垃圾，要尽可能回填于场区地基。</w:t>
            </w:r>
          </w:p>
          <w:p w14:paraId="5ED63F2B">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lang w:val="zh-CN"/>
              </w:rPr>
            </w:pPr>
            <w:r>
              <w:rPr>
                <w:rFonts w:hint="eastAsia" w:ascii="Times New Roman" w:hAnsi="Times New Roman" w:eastAsia="宋体" w:cs="Times New Roman"/>
                <w:color w:val="auto"/>
                <w:sz w:val="24"/>
                <w:lang w:val="zh-CN"/>
              </w:rPr>
              <w:t>（</w:t>
            </w: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lang w:val="zh-CN"/>
              </w:rPr>
              <w:t>）</w:t>
            </w:r>
            <w:r>
              <w:rPr>
                <w:rFonts w:hint="default" w:ascii="Times New Roman" w:hAnsi="Times New Roman" w:eastAsia="宋体" w:cs="Times New Roman"/>
                <w:color w:val="auto"/>
                <w:sz w:val="24"/>
                <w:lang w:val="zh-CN"/>
              </w:rPr>
              <w:t>施工期建筑垃圾与生活垃圾应分类堆放，分别处置，严禁乱堆乱倒。</w:t>
            </w:r>
          </w:p>
          <w:p w14:paraId="4DC79F35">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本项目施工期各固体废弃物均得到了合理处置，不会造成周边环境的污染。</w:t>
            </w:r>
          </w:p>
          <w:p w14:paraId="0C614C20">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6、施工期生态环境保护措施及预期效果</w:t>
            </w:r>
          </w:p>
          <w:p w14:paraId="08C49147">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rPr>
              <w:t>本项目施工期主要生态环境保护措施及预期效果详见表5-1。</w:t>
            </w:r>
          </w:p>
          <w:p w14:paraId="64F1EAE1">
            <w:pPr>
              <w:keepNext w:val="0"/>
              <w:keepLines w:val="0"/>
              <w:suppressLineNumbers w:val="0"/>
              <w:overflowPunct w:val="0"/>
              <w:adjustRightInd w:val="0"/>
              <w:snapToGrid w:val="0"/>
              <w:spacing w:before="0" w:beforeAutospacing="0" w:after="0" w:afterAutospacing="0"/>
              <w:ind w:left="0" w:right="0" w:firstLine="420" w:firstLineChars="200"/>
              <w:rPr>
                <w:rFonts w:hint="default" w:ascii="Times New Roman" w:hAnsi="Times New Roman" w:eastAsia="黑体" w:cs="Times New Roman"/>
                <w:b w:val="0"/>
                <w:bCs/>
                <w:color w:val="auto"/>
                <w:sz w:val="21"/>
                <w:szCs w:val="21"/>
                <w:highlight w:val="yellow"/>
              </w:rPr>
            </w:pPr>
            <w:r>
              <w:rPr>
                <w:rFonts w:hint="default" w:ascii="Times New Roman" w:hAnsi="Times New Roman" w:eastAsia="黑体" w:cs="Times New Roman"/>
                <w:b w:val="0"/>
                <w:bCs/>
                <w:color w:val="auto"/>
                <w:sz w:val="21"/>
                <w:szCs w:val="21"/>
              </w:rPr>
              <w:t xml:space="preserve">表5-1       </w:t>
            </w:r>
            <w:r>
              <w:rPr>
                <w:rFonts w:hint="eastAsia" w:ascii="Times New Roman" w:hAnsi="Times New Roman" w:eastAsia="黑体" w:cs="Times New Roman"/>
                <w:b w:val="0"/>
                <w:bCs/>
                <w:color w:val="auto"/>
                <w:sz w:val="21"/>
                <w:szCs w:val="21"/>
                <w:lang w:val="en-US" w:eastAsia="zh-CN"/>
              </w:rPr>
              <w:t xml:space="preserve">   </w:t>
            </w:r>
            <w:r>
              <w:rPr>
                <w:rFonts w:hint="default" w:ascii="Times New Roman" w:hAnsi="Times New Roman" w:eastAsia="黑体" w:cs="Times New Roman"/>
                <w:b w:val="0"/>
                <w:bCs/>
                <w:color w:val="auto"/>
                <w:sz w:val="21"/>
                <w:szCs w:val="21"/>
              </w:rPr>
              <w:t>施工期生态环境保护措施及预期效果一览表</w:t>
            </w:r>
          </w:p>
          <w:tbl>
            <w:tblPr>
              <w:tblStyle w:val="29"/>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2531"/>
              <w:gridCol w:w="843"/>
              <w:gridCol w:w="703"/>
              <w:gridCol w:w="703"/>
              <w:gridCol w:w="1139"/>
              <w:gridCol w:w="1663"/>
            </w:tblGrid>
            <w:tr w14:paraId="087370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tcBorders>
                    <w:tl2br w:val="nil"/>
                    <w:tr2bl w:val="nil"/>
                  </w:tcBorders>
                  <w:noWrap w:val="0"/>
                  <w:vAlign w:val="center"/>
                </w:tcPr>
                <w:p w14:paraId="4FE0FC7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序号</w:t>
                  </w:r>
                </w:p>
              </w:tc>
              <w:tc>
                <w:tcPr>
                  <w:tcW w:w="2327" w:type="dxa"/>
                  <w:tcBorders>
                    <w:tl2br w:val="nil"/>
                    <w:tr2bl w:val="nil"/>
                  </w:tcBorders>
                  <w:noWrap w:val="0"/>
                  <w:vAlign w:val="center"/>
                </w:tcPr>
                <w:p w14:paraId="093C9F8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生态保护措施要求</w:t>
                  </w:r>
                </w:p>
              </w:tc>
              <w:tc>
                <w:tcPr>
                  <w:tcW w:w="775" w:type="dxa"/>
                  <w:tcBorders>
                    <w:tl2br w:val="nil"/>
                    <w:tr2bl w:val="nil"/>
                  </w:tcBorders>
                  <w:noWrap w:val="0"/>
                  <w:vAlign w:val="center"/>
                </w:tcPr>
                <w:p w14:paraId="02D1867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实施</w:t>
                  </w:r>
                </w:p>
                <w:p w14:paraId="02E45B0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部位</w:t>
                  </w:r>
                </w:p>
              </w:tc>
              <w:tc>
                <w:tcPr>
                  <w:tcW w:w="646" w:type="dxa"/>
                  <w:tcBorders>
                    <w:tl2br w:val="nil"/>
                    <w:tr2bl w:val="nil"/>
                  </w:tcBorders>
                  <w:noWrap w:val="0"/>
                  <w:vAlign w:val="center"/>
                </w:tcPr>
                <w:p w14:paraId="7794322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实施时间</w:t>
                  </w:r>
                </w:p>
              </w:tc>
              <w:tc>
                <w:tcPr>
                  <w:tcW w:w="646" w:type="dxa"/>
                  <w:tcBorders>
                    <w:tl2br w:val="nil"/>
                    <w:tr2bl w:val="nil"/>
                  </w:tcBorders>
                  <w:noWrap w:val="0"/>
                  <w:vAlign w:val="center"/>
                </w:tcPr>
                <w:p w14:paraId="5D9961A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责任主体</w:t>
                  </w:r>
                </w:p>
              </w:tc>
              <w:tc>
                <w:tcPr>
                  <w:tcW w:w="1047" w:type="dxa"/>
                  <w:tcBorders>
                    <w:tl2br w:val="nil"/>
                    <w:tr2bl w:val="nil"/>
                  </w:tcBorders>
                  <w:noWrap w:val="0"/>
                  <w:vAlign w:val="center"/>
                </w:tcPr>
                <w:p w14:paraId="5C324FA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实施保障</w:t>
                  </w:r>
                </w:p>
              </w:tc>
              <w:tc>
                <w:tcPr>
                  <w:tcW w:w="1529" w:type="dxa"/>
                  <w:tcBorders>
                    <w:tl2br w:val="nil"/>
                    <w:tr2bl w:val="nil"/>
                  </w:tcBorders>
                  <w:noWrap w:val="0"/>
                  <w:vAlign w:val="center"/>
                </w:tcPr>
                <w:p w14:paraId="2C7903A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实施效果</w:t>
                  </w:r>
                </w:p>
              </w:tc>
            </w:tr>
            <w:tr w14:paraId="1BEB3D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tcBorders>
                    <w:tl2br w:val="nil"/>
                    <w:tr2bl w:val="nil"/>
                  </w:tcBorders>
                  <w:noWrap w:val="0"/>
                  <w:vAlign w:val="center"/>
                </w:tcPr>
                <w:p w14:paraId="06C7D2A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1</w:t>
                  </w:r>
                </w:p>
              </w:tc>
              <w:tc>
                <w:tcPr>
                  <w:tcW w:w="2327" w:type="dxa"/>
                  <w:tcBorders>
                    <w:tl2br w:val="nil"/>
                    <w:tr2bl w:val="nil"/>
                  </w:tcBorders>
                  <w:noWrap w:val="0"/>
                  <w:vAlign w:val="center"/>
                </w:tcPr>
                <w:p w14:paraId="1562777A">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sz w:val="21"/>
                      <w:szCs w:val="21"/>
                    </w:rPr>
                    <w:t>应在施工前及时办理土地征用手续。</w:t>
                  </w:r>
                </w:p>
              </w:tc>
              <w:tc>
                <w:tcPr>
                  <w:tcW w:w="775" w:type="dxa"/>
                  <w:vMerge w:val="restart"/>
                  <w:tcBorders>
                    <w:tl2br w:val="nil"/>
                    <w:tr2bl w:val="nil"/>
                  </w:tcBorders>
                  <w:noWrap w:val="0"/>
                  <w:vAlign w:val="center"/>
                </w:tcPr>
                <w:p w14:paraId="7F6DC2F7">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项目施工场所、区域</w:t>
                  </w:r>
                </w:p>
              </w:tc>
              <w:tc>
                <w:tcPr>
                  <w:tcW w:w="646" w:type="dxa"/>
                  <w:tcBorders>
                    <w:tl2br w:val="nil"/>
                    <w:tr2bl w:val="nil"/>
                  </w:tcBorders>
                  <w:noWrap w:val="0"/>
                  <w:vAlign w:val="center"/>
                </w:tcPr>
                <w:p w14:paraId="328701E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开工前</w:t>
                  </w:r>
                </w:p>
              </w:tc>
              <w:tc>
                <w:tcPr>
                  <w:tcW w:w="646" w:type="dxa"/>
                  <w:tcBorders>
                    <w:tl2br w:val="nil"/>
                    <w:tr2bl w:val="nil"/>
                  </w:tcBorders>
                  <w:noWrap w:val="0"/>
                  <w:vAlign w:val="center"/>
                </w:tcPr>
                <w:p w14:paraId="3262507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建设单位</w:t>
                  </w:r>
                </w:p>
              </w:tc>
              <w:tc>
                <w:tcPr>
                  <w:tcW w:w="1047" w:type="dxa"/>
                  <w:vMerge w:val="restart"/>
                  <w:tcBorders>
                    <w:tl2br w:val="nil"/>
                    <w:tr2bl w:val="nil"/>
                  </w:tcBorders>
                  <w:noWrap w:val="0"/>
                  <w:vAlign w:val="center"/>
                </w:tcPr>
                <w:p w14:paraId="02F40DA4">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①建立环境管理机构，配备专职或兼职卫生管理人员；</w:t>
                  </w:r>
                </w:p>
                <w:p w14:paraId="0141780C">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②制定相关方环境管理条例、质量管理规定；</w:t>
                  </w:r>
                </w:p>
                <w:p w14:paraId="2C19EEB0">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③加强</w:t>
                  </w:r>
                  <w:r>
                    <w:rPr>
                      <w:rFonts w:hint="eastAsia" w:ascii="Times New Roman" w:hAnsi="Times New Roman" w:cs="Times New Roman"/>
                      <w:b w:val="0"/>
                      <w:bCs/>
                      <w:color w:val="auto"/>
                      <w:kern w:val="0"/>
                      <w:sz w:val="21"/>
                      <w:szCs w:val="21"/>
                      <w:lang w:val="en-US" w:eastAsia="zh-CN"/>
                    </w:rPr>
                    <w:t>施工期环境监督检查</w:t>
                  </w:r>
                  <w:r>
                    <w:rPr>
                      <w:rFonts w:hint="default" w:ascii="Times New Roman" w:hAnsi="Times New Roman" w:cs="Times New Roman"/>
                      <w:b w:val="0"/>
                      <w:bCs/>
                      <w:color w:val="auto"/>
                      <w:kern w:val="0"/>
                      <w:sz w:val="21"/>
                      <w:szCs w:val="21"/>
                    </w:rPr>
                    <w:t>，开展经常性检查、监督，发现问题及时解决、纠正。</w:t>
                  </w:r>
                </w:p>
              </w:tc>
              <w:tc>
                <w:tcPr>
                  <w:tcW w:w="1529" w:type="dxa"/>
                  <w:tcBorders>
                    <w:tl2br w:val="nil"/>
                    <w:tr2bl w:val="nil"/>
                  </w:tcBorders>
                  <w:noWrap w:val="0"/>
                  <w:vAlign w:val="center"/>
                </w:tcPr>
                <w:p w14:paraId="7F367080">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取得征地手续。</w:t>
                  </w:r>
                </w:p>
              </w:tc>
            </w:tr>
            <w:tr w14:paraId="093EEA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tcBorders>
                    <w:tl2br w:val="nil"/>
                    <w:tr2bl w:val="nil"/>
                  </w:tcBorders>
                  <w:noWrap w:val="0"/>
                  <w:vAlign w:val="center"/>
                </w:tcPr>
                <w:p w14:paraId="0A118D8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2</w:t>
                  </w:r>
                </w:p>
              </w:tc>
              <w:tc>
                <w:tcPr>
                  <w:tcW w:w="2327" w:type="dxa"/>
                  <w:tcBorders>
                    <w:tl2br w:val="nil"/>
                    <w:tr2bl w:val="nil"/>
                  </w:tcBorders>
                  <w:noWrap w:val="0"/>
                  <w:vAlign w:val="center"/>
                </w:tcPr>
                <w:p w14:paraId="119B58EB">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尽量减少占地、控制施工范围、减少扰动面积，</w:t>
                  </w:r>
                  <w:r>
                    <w:rPr>
                      <w:rFonts w:hint="default" w:ascii="Times New Roman" w:hAnsi="Times New Roman" w:cs="Times New Roman"/>
                      <w:b w:val="0"/>
                      <w:bCs/>
                      <w:color w:val="auto"/>
                      <w:kern w:val="0"/>
                      <w:sz w:val="21"/>
                      <w:szCs w:val="21"/>
                    </w:rPr>
                    <w:t>作业区四周设置彩带控制作业范围。</w:t>
                  </w:r>
                </w:p>
              </w:tc>
              <w:tc>
                <w:tcPr>
                  <w:tcW w:w="775" w:type="dxa"/>
                  <w:vMerge w:val="continue"/>
                  <w:tcBorders>
                    <w:tl2br w:val="nil"/>
                    <w:tr2bl w:val="nil"/>
                  </w:tcBorders>
                  <w:noWrap w:val="0"/>
                  <w:vAlign w:val="center"/>
                </w:tcPr>
                <w:p w14:paraId="7ACA528A">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kern w:val="0"/>
                      <w:sz w:val="21"/>
                      <w:szCs w:val="21"/>
                    </w:rPr>
                  </w:pPr>
                </w:p>
              </w:tc>
              <w:tc>
                <w:tcPr>
                  <w:tcW w:w="646" w:type="dxa"/>
                  <w:vMerge w:val="restart"/>
                  <w:tcBorders>
                    <w:tl2br w:val="nil"/>
                    <w:tr2bl w:val="nil"/>
                  </w:tcBorders>
                  <w:noWrap w:val="0"/>
                  <w:vAlign w:val="center"/>
                </w:tcPr>
                <w:p w14:paraId="69D108F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全部施工期</w:t>
                  </w:r>
                </w:p>
              </w:tc>
              <w:tc>
                <w:tcPr>
                  <w:tcW w:w="646" w:type="dxa"/>
                  <w:vMerge w:val="restart"/>
                  <w:tcBorders>
                    <w:tl2br w:val="nil"/>
                    <w:tr2bl w:val="nil"/>
                  </w:tcBorders>
                  <w:noWrap w:val="0"/>
                  <w:vAlign w:val="center"/>
                </w:tcPr>
                <w:p w14:paraId="540DD4A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施工单位</w:t>
                  </w:r>
                </w:p>
              </w:tc>
              <w:tc>
                <w:tcPr>
                  <w:tcW w:w="1047" w:type="dxa"/>
                  <w:vMerge w:val="continue"/>
                  <w:tcBorders>
                    <w:tl2br w:val="nil"/>
                    <w:tr2bl w:val="nil"/>
                  </w:tcBorders>
                  <w:noWrap w:val="0"/>
                  <w:vAlign w:val="center"/>
                </w:tcPr>
                <w:p w14:paraId="21F4DF60">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kern w:val="0"/>
                      <w:sz w:val="21"/>
                      <w:szCs w:val="21"/>
                    </w:rPr>
                  </w:pPr>
                </w:p>
              </w:tc>
              <w:tc>
                <w:tcPr>
                  <w:tcW w:w="1529" w:type="dxa"/>
                  <w:tcBorders>
                    <w:tl2br w:val="nil"/>
                    <w:tr2bl w:val="nil"/>
                  </w:tcBorders>
                  <w:noWrap w:val="0"/>
                  <w:vAlign w:val="center"/>
                </w:tcPr>
                <w:p w14:paraId="1C2C686E">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划定施工作业范围，将施工占地控制在最小范围，防止土地沙化。</w:t>
                  </w:r>
                </w:p>
              </w:tc>
            </w:tr>
            <w:tr w14:paraId="0049E3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tcBorders>
                    <w:tl2br w:val="nil"/>
                    <w:tr2bl w:val="nil"/>
                  </w:tcBorders>
                  <w:noWrap w:val="0"/>
                  <w:vAlign w:val="center"/>
                </w:tcPr>
                <w:p w14:paraId="7C106C8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3</w:t>
                  </w:r>
                </w:p>
              </w:tc>
              <w:tc>
                <w:tcPr>
                  <w:tcW w:w="2327" w:type="dxa"/>
                  <w:tcBorders>
                    <w:tl2br w:val="nil"/>
                    <w:tr2bl w:val="nil"/>
                  </w:tcBorders>
                  <w:noWrap w:val="0"/>
                  <w:vAlign w:val="center"/>
                </w:tcPr>
                <w:p w14:paraId="23CBF50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减少地表开挖裸露时间、避开雨季及大风天气施工、及时进行迹地恢复等。</w:t>
                  </w:r>
                </w:p>
              </w:tc>
              <w:tc>
                <w:tcPr>
                  <w:tcW w:w="775" w:type="dxa"/>
                  <w:vMerge w:val="continue"/>
                  <w:tcBorders>
                    <w:tl2br w:val="nil"/>
                    <w:tr2bl w:val="nil"/>
                  </w:tcBorders>
                  <w:noWrap w:val="0"/>
                  <w:vAlign w:val="center"/>
                </w:tcPr>
                <w:p w14:paraId="4C832407">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kern w:val="0"/>
                      <w:sz w:val="21"/>
                      <w:szCs w:val="21"/>
                    </w:rPr>
                  </w:pPr>
                </w:p>
              </w:tc>
              <w:tc>
                <w:tcPr>
                  <w:tcW w:w="646" w:type="dxa"/>
                  <w:vMerge w:val="continue"/>
                  <w:tcBorders>
                    <w:tl2br w:val="nil"/>
                    <w:tr2bl w:val="nil"/>
                  </w:tcBorders>
                  <w:noWrap w:val="0"/>
                  <w:vAlign w:val="center"/>
                </w:tcPr>
                <w:p w14:paraId="675EE97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p>
              </w:tc>
              <w:tc>
                <w:tcPr>
                  <w:tcW w:w="646" w:type="dxa"/>
                  <w:vMerge w:val="continue"/>
                  <w:tcBorders>
                    <w:tl2br w:val="nil"/>
                    <w:tr2bl w:val="nil"/>
                  </w:tcBorders>
                  <w:noWrap w:val="0"/>
                  <w:vAlign w:val="center"/>
                </w:tcPr>
                <w:p w14:paraId="54BFDD5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p>
              </w:tc>
              <w:tc>
                <w:tcPr>
                  <w:tcW w:w="1047" w:type="dxa"/>
                  <w:vMerge w:val="continue"/>
                  <w:tcBorders>
                    <w:tl2br w:val="nil"/>
                    <w:tr2bl w:val="nil"/>
                  </w:tcBorders>
                  <w:noWrap w:val="0"/>
                  <w:vAlign w:val="center"/>
                </w:tcPr>
                <w:p w14:paraId="04886F28">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kern w:val="0"/>
                      <w:sz w:val="21"/>
                      <w:szCs w:val="21"/>
                    </w:rPr>
                  </w:pPr>
                </w:p>
              </w:tc>
              <w:tc>
                <w:tcPr>
                  <w:tcW w:w="1529" w:type="dxa"/>
                  <w:vMerge w:val="restart"/>
                  <w:tcBorders>
                    <w:tl2br w:val="nil"/>
                    <w:tr2bl w:val="nil"/>
                  </w:tcBorders>
                  <w:noWrap w:val="0"/>
                  <w:vAlign w:val="center"/>
                </w:tcPr>
                <w:p w14:paraId="5B4AA460">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减少土壤养分的流失，恢复土壤肥力和土壤理化性质，使土壤、植被受影响程度最低，尽可能早地恢复遭受破坏地段的自然生境。</w:t>
                  </w:r>
                </w:p>
              </w:tc>
            </w:tr>
            <w:tr w14:paraId="07FCD1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tcBorders>
                    <w:tl2br w:val="nil"/>
                    <w:tr2bl w:val="nil"/>
                  </w:tcBorders>
                  <w:noWrap w:val="0"/>
                  <w:vAlign w:val="center"/>
                </w:tcPr>
                <w:p w14:paraId="1AD7F9A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4</w:t>
                  </w:r>
                </w:p>
              </w:tc>
              <w:tc>
                <w:tcPr>
                  <w:tcW w:w="2327" w:type="dxa"/>
                  <w:tcBorders>
                    <w:tl2br w:val="nil"/>
                    <w:tr2bl w:val="nil"/>
                  </w:tcBorders>
                  <w:noWrap w:val="0"/>
                  <w:vAlign w:val="center"/>
                </w:tcPr>
                <w:p w14:paraId="4BD4615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sz w:val="21"/>
                      <w:szCs w:val="21"/>
                    </w:rPr>
                  </w:pPr>
                  <w:r>
                    <w:rPr>
                      <w:rFonts w:hint="default" w:ascii="Times New Roman" w:hAnsi="Times New Roman" w:cs="Times New Roman"/>
                      <w:b w:val="0"/>
                      <w:bCs/>
                      <w:color w:val="auto"/>
                      <w:kern w:val="0"/>
                      <w:sz w:val="21"/>
                      <w:szCs w:val="21"/>
                    </w:rPr>
                    <w:t>合理规划、设计施工场地，施工结束后进行施工道路的植被恢复。</w:t>
                  </w:r>
                </w:p>
              </w:tc>
              <w:tc>
                <w:tcPr>
                  <w:tcW w:w="775" w:type="dxa"/>
                  <w:vMerge w:val="continue"/>
                  <w:tcBorders>
                    <w:tl2br w:val="nil"/>
                    <w:tr2bl w:val="nil"/>
                  </w:tcBorders>
                  <w:noWrap w:val="0"/>
                  <w:vAlign w:val="center"/>
                </w:tcPr>
                <w:p w14:paraId="5FB418CC">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kern w:val="0"/>
                      <w:sz w:val="21"/>
                      <w:szCs w:val="21"/>
                    </w:rPr>
                  </w:pPr>
                </w:p>
              </w:tc>
              <w:tc>
                <w:tcPr>
                  <w:tcW w:w="646" w:type="dxa"/>
                  <w:vMerge w:val="continue"/>
                  <w:tcBorders>
                    <w:tl2br w:val="nil"/>
                    <w:tr2bl w:val="nil"/>
                  </w:tcBorders>
                  <w:noWrap w:val="0"/>
                  <w:vAlign w:val="center"/>
                </w:tcPr>
                <w:p w14:paraId="21BCFDB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p>
              </w:tc>
              <w:tc>
                <w:tcPr>
                  <w:tcW w:w="646" w:type="dxa"/>
                  <w:vMerge w:val="continue"/>
                  <w:tcBorders>
                    <w:tl2br w:val="nil"/>
                    <w:tr2bl w:val="nil"/>
                  </w:tcBorders>
                  <w:noWrap w:val="0"/>
                  <w:vAlign w:val="center"/>
                </w:tcPr>
                <w:p w14:paraId="3EEFFF0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p>
              </w:tc>
              <w:tc>
                <w:tcPr>
                  <w:tcW w:w="1047" w:type="dxa"/>
                  <w:vMerge w:val="continue"/>
                  <w:tcBorders>
                    <w:tl2br w:val="nil"/>
                    <w:tr2bl w:val="nil"/>
                  </w:tcBorders>
                  <w:noWrap w:val="0"/>
                  <w:vAlign w:val="center"/>
                </w:tcPr>
                <w:p w14:paraId="43746D7D">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kern w:val="0"/>
                      <w:sz w:val="21"/>
                      <w:szCs w:val="21"/>
                    </w:rPr>
                  </w:pPr>
                </w:p>
              </w:tc>
              <w:tc>
                <w:tcPr>
                  <w:tcW w:w="1529" w:type="dxa"/>
                  <w:vMerge w:val="continue"/>
                  <w:tcBorders>
                    <w:tl2br w:val="nil"/>
                    <w:tr2bl w:val="nil"/>
                  </w:tcBorders>
                  <w:noWrap w:val="0"/>
                  <w:vAlign w:val="center"/>
                </w:tcPr>
                <w:p w14:paraId="653A5293">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kern w:val="0"/>
                      <w:sz w:val="21"/>
                      <w:szCs w:val="21"/>
                    </w:rPr>
                  </w:pPr>
                </w:p>
              </w:tc>
            </w:tr>
            <w:tr w14:paraId="51F421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tcBorders>
                    <w:tl2br w:val="nil"/>
                    <w:tr2bl w:val="nil"/>
                  </w:tcBorders>
                  <w:noWrap w:val="0"/>
                  <w:vAlign w:val="center"/>
                </w:tcPr>
                <w:p w14:paraId="05E6EC6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5</w:t>
                  </w:r>
                </w:p>
              </w:tc>
              <w:tc>
                <w:tcPr>
                  <w:tcW w:w="2327" w:type="dxa"/>
                  <w:tcBorders>
                    <w:tl2br w:val="nil"/>
                    <w:tr2bl w:val="nil"/>
                  </w:tcBorders>
                  <w:noWrap w:val="0"/>
                  <w:vAlign w:val="center"/>
                </w:tcPr>
                <w:p w14:paraId="51C1FF90">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加强施工管理，做到文明施工，严禁大风(风速≥5m/s)天气进行易产尘施工作业。减少地表开挖裸露时间、避开雨天及大风天气施工、及时进行迹地恢复等。</w:t>
                  </w:r>
                </w:p>
                <w:p w14:paraId="137FD502">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尽量减少占地、控制施工范围、减少扰动面积。</w:t>
                  </w:r>
                </w:p>
                <w:p w14:paraId="19D572AF">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对临时堆放土石方表面进行遮盖、四周进行围挡或定期对临时堆放土石方表面洒水。</w:t>
                  </w:r>
                </w:p>
                <w:p w14:paraId="56CC5CAC">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合理集中安排建筑材料临时堆放场所和施工垃圾临时堆放场所，尽量设置在远离人群集中场所的下风向且避风处，严禁露天堆放粉砂状建筑材料和施工垃圾，应对其表面进行遮盖或四周进行围挡，并尽量采用成品建筑材料。</w:t>
                  </w:r>
                </w:p>
              </w:tc>
              <w:tc>
                <w:tcPr>
                  <w:tcW w:w="775" w:type="dxa"/>
                  <w:vMerge w:val="continue"/>
                  <w:tcBorders>
                    <w:tl2br w:val="nil"/>
                    <w:tr2bl w:val="nil"/>
                  </w:tcBorders>
                  <w:noWrap w:val="0"/>
                  <w:vAlign w:val="center"/>
                </w:tcPr>
                <w:p w14:paraId="6FFA733C">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kern w:val="0"/>
                      <w:sz w:val="21"/>
                      <w:szCs w:val="21"/>
                    </w:rPr>
                  </w:pPr>
                </w:p>
              </w:tc>
              <w:tc>
                <w:tcPr>
                  <w:tcW w:w="646" w:type="dxa"/>
                  <w:vMerge w:val="continue"/>
                  <w:tcBorders>
                    <w:tl2br w:val="nil"/>
                    <w:tr2bl w:val="nil"/>
                  </w:tcBorders>
                  <w:noWrap w:val="0"/>
                  <w:vAlign w:val="center"/>
                </w:tcPr>
                <w:p w14:paraId="43E71A9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p>
              </w:tc>
              <w:tc>
                <w:tcPr>
                  <w:tcW w:w="646" w:type="dxa"/>
                  <w:vMerge w:val="continue"/>
                  <w:tcBorders>
                    <w:tl2br w:val="nil"/>
                    <w:tr2bl w:val="nil"/>
                  </w:tcBorders>
                  <w:noWrap w:val="0"/>
                  <w:vAlign w:val="center"/>
                </w:tcPr>
                <w:p w14:paraId="7EEC65B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p>
              </w:tc>
              <w:tc>
                <w:tcPr>
                  <w:tcW w:w="1047" w:type="dxa"/>
                  <w:vMerge w:val="continue"/>
                  <w:tcBorders>
                    <w:tl2br w:val="nil"/>
                    <w:tr2bl w:val="nil"/>
                  </w:tcBorders>
                  <w:noWrap w:val="0"/>
                  <w:vAlign w:val="center"/>
                </w:tcPr>
                <w:p w14:paraId="004DB0CF">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kern w:val="0"/>
                      <w:sz w:val="21"/>
                      <w:szCs w:val="21"/>
                    </w:rPr>
                  </w:pPr>
                </w:p>
              </w:tc>
              <w:tc>
                <w:tcPr>
                  <w:tcW w:w="1529" w:type="dxa"/>
                  <w:tcBorders>
                    <w:tl2br w:val="nil"/>
                    <w:tr2bl w:val="nil"/>
                  </w:tcBorders>
                  <w:noWrap w:val="0"/>
                  <w:vAlign w:val="center"/>
                </w:tcPr>
                <w:p w14:paraId="2EFC356A">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划定施工作业范围，将施工占地控制在最小范围，对周边大气环境影响较小。</w:t>
                  </w:r>
                </w:p>
              </w:tc>
            </w:tr>
            <w:tr w14:paraId="42E193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tcBorders>
                    <w:tl2br w:val="nil"/>
                    <w:tr2bl w:val="nil"/>
                  </w:tcBorders>
                  <w:noWrap w:val="0"/>
                  <w:vAlign w:val="center"/>
                </w:tcPr>
                <w:p w14:paraId="1BFEC56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6</w:t>
                  </w:r>
                </w:p>
              </w:tc>
              <w:tc>
                <w:tcPr>
                  <w:tcW w:w="2327" w:type="dxa"/>
                  <w:tcBorders>
                    <w:tl2br w:val="nil"/>
                    <w:tr2bl w:val="nil"/>
                  </w:tcBorders>
                  <w:noWrap w:val="0"/>
                  <w:vAlign w:val="center"/>
                </w:tcPr>
                <w:p w14:paraId="4D442FCA">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sz w:val="21"/>
                      <w:szCs w:val="21"/>
                    </w:rPr>
                    <w:t>对运输粉砂状建筑材料和施工垃圾的车辆应加盖篷布或采取密闭运输方式，运输车辆的装载量应适当，严禁超载，应严格按照规定行车路线和速度行驶，并定期对运输道路路面进行清扫和洒水。</w:t>
                  </w:r>
                </w:p>
              </w:tc>
              <w:tc>
                <w:tcPr>
                  <w:tcW w:w="775" w:type="dxa"/>
                  <w:vMerge w:val="continue"/>
                  <w:tcBorders>
                    <w:tl2br w:val="nil"/>
                    <w:tr2bl w:val="nil"/>
                  </w:tcBorders>
                  <w:noWrap w:val="0"/>
                  <w:vAlign w:val="center"/>
                </w:tcPr>
                <w:p w14:paraId="46263CA1">
                  <w:pPr>
                    <w:keepNext w:val="0"/>
                    <w:keepLines w:val="0"/>
                    <w:widowControl/>
                    <w:suppressLineNumbers w:val="0"/>
                    <w:spacing w:before="0" w:beforeAutospacing="0" w:after="0" w:afterAutospacing="0"/>
                    <w:ind w:left="0" w:right="0"/>
                    <w:jc w:val="left"/>
                    <w:rPr>
                      <w:rFonts w:hint="default" w:ascii="Times New Roman" w:hAnsi="Times New Roman" w:cs="Times New Roman"/>
                      <w:b w:val="0"/>
                      <w:bCs/>
                      <w:color w:val="auto"/>
                      <w:kern w:val="0"/>
                      <w:sz w:val="21"/>
                      <w:szCs w:val="21"/>
                    </w:rPr>
                  </w:pPr>
                </w:p>
              </w:tc>
              <w:tc>
                <w:tcPr>
                  <w:tcW w:w="646" w:type="dxa"/>
                  <w:vMerge w:val="continue"/>
                  <w:tcBorders>
                    <w:tl2br w:val="nil"/>
                    <w:tr2bl w:val="nil"/>
                  </w:tcBorders>
                  <w:noWrap w:val="0"/>
                  <w:vAlign w:val="center"/>
                </w:tcPr>
                <w:p w14:paraId="792F1022">
                  <w:pPr>
                    <w:keepNext w:val="0"/>
                    <w:keepLines w:val="0"/>
                    <w:widowControl/>
                    <w:suppressLineNumbers w:val="0"/>
                    <w:spacing w:before="0" w:beforeAutospacing="0" w:after="0" w:afterAutospacing="0"/>
                    <w:ind w:left="0" w:right="0"/>
                    <w:jc w:val="left"/>
                    <w:rPr>
                      <w:rFonts w:hint="default" w:ascii="Times New Roman" w:hAnsi="Times New Roman" w:cs="Times New Roman"/>
                      <w:b w:val="0"/>
                      <w:bCs/>
                      <w:color w:val="auto"/>
                      <w:kern w:val="0"/>
                      <w:sz w:val="21"/>
                      <w:szCs w:val="21"/>
                    </w:rPr>
                  </w:pPr>
                </w:p>
              </w:tc>
              <w:tc>
                <w:tcPr>
                  <w:tcW w:w="646" w:type="dxa"/>
                  <w:vMerge w:val="continue"/>
                  <w:tcBorders>
                    <w:tl2br w:val="nil"/>
                    <w:tr2bl w:val="nil"/>
                  </w:tcBorders>
                  <w:noWrap w:val="0"/>
                  <w:vAlign w:val="center"/>
                </w:tcPr>
                <w:p w14:paraId="40DFB811">
                  <w:pPr>
                    <w:keepNext w:val="0"/>
                    <w:keepLines w:val="0"/>
                    <w:widowControl/>
                    <w:suppressLineNumbers w:val="0"/>
                    <w:spacing w:before="0" w:beforeAutospacing="0" w:after="0" w:afterAutospacing="0"/>
                    <w:ind w:left="0" w:right="0"/>
                    <w:jc w:val="left"/>
                    <w:rPr>
                      <w:rFonts w:hint="default" w:ascii="Times New Roman" w:hAnsi="Times New Roman" w:cs="Times New Roman"/>
                      <w:b w:val="0"/>
                      <w:bCs/>
                      <w:color w:val="auto"/>
                      <w:kern w:val="0"/>
                      <w:sz w:val="21"/>
                      <w:szCs w:val="21"/>
                    </w:rPr>
                  </w:pPr>
                </w:p>
              </w:tc>
              <w:tc>
                <w:tcPr>
                  <w:tcW w:w="1047" w:type="dxa"/>
                  <w:vMerge w:val="continue"/>
                  <w:tcBorders>
                    <w:tl2br w:val="nil"/>
                    <w:tr2bl w:val="nil"/>
                  </w:tcBorders>
                  <w:noWrap w:val="0"/>
                  <w:vAlign w:val="center"/>
                </w:tcPr>
                <w:p w14:paraId="29AE6305">
                  <w:pPr>
                    <w:keepNext w:val="0"/>
                    <w:keepLines w:val="0"/>
                    <w:widowControl/>
                    <w:suppressLineNumbers w:val="0"/>
                    <w:spacing w:before="0" w:beforeAutospacing="0" w:after="0" w:afterAutospacing="0"/>
                    <w:ind w:left="0" w:right="0"/>
                    <w:jc w:val="left"/>
                    <w:rPr>
                      <w:rFonts w:hint="default" w:ascii="Times New Roman" w:hAnsi="Times New Roman" w:cs="Times New Roman"/>
                      <w:b w:val="0"/>
                      <w:bCs/>
                      <w:color w:val="auto"/>
                      <w:kern w:val="0"/>
                      <w:sz w:val="21"/>
                      <w:szCs w:val="21"/>
                    </w:rPr>
                  </w:pPr>
                </w:p>
              </w:tc>
              <w:tc>
                <w:tcPr>
                  <w:tcW w:w="1529" w:type="dxa"/>
                  <w:tcBorders>
                    <w:tl2br w:val="nil"/>
                    <w:tr2bl w:val="nil"/>
                  </w:tcBorders>
                  <w:noWrap w:val="0"/>
                  <w:vAlign w:val="center"/>
                </w:tcPr>
                <w:p w14:paraId="2EC5444A">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对周边大气环境影响较小。</w:t>
                  </w:r>
                </w:p>
              </w:tc>
            </w:tr>
            <w:tr w14:paraId="2C7E96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tcBorders>
                    <w:tl2br w:val="nil"/>
                    <w:tr2bl w:val="nil"/>
                  </w:tcBorders>
                  <w:noWrap w:val="0"/>
                  <w:vAlign w:val="center"/>
                </w:tcPr>
                <w:p w14:paraId="3B07C52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7</w:t>
                  </w:r>
                </w:p>
              </w:tc>
              <w:tc>
                <w:tcPr>
                  <w:tcW w:w="2327" w:type="dxa"/>
                  <w:tcBorders>
                    <w:tl2br w:val="nil"/>
                    <w:tr2bl w:val="nil"/>
                  </w:tcBorders>
                  <w:noWrap w:val="0"/>
                  <w:vAlign w:val="center"/>
                </w:tcPr>
                <w:p w14:paraId="06163626">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占地范围内</w:t>
                  </w:r>
                  <w:r>
                    <w:rPr>
                      <w:rFonts w:hint="default" w:ascii="Times New Roman" w:hAnsi="Times New Roman" w:cs="Times New Roman"/>
                      <w:b w:val="0"/>
                      <w:bCs/>
                      <w:color w:val="auto"/>
                      <w:sz w:val="21"/>
                      <w:szCs w:val="21"/>
                    </w:rPr>
                    <w:t>土地</w:t>
                  </w:r>
                  <w:r>
                    <w:rPr>
                      <w:rFonts w:hint="default" w:ascii="Times New Roman" w:hAnsi="Times New Roman" w:cs="Times New Roman"/>
                      <w:b w:val="0"/>
                      <w:bCs/>
                      <w:color w:val="auto"/>
                      <w:kern w:val="0"/>
                      <w:sz w:val="21"/>
                      <w:szCs w:val="21"/>
                    </w:rPr>
                    <w:t>清理平整，</w:t>
                  </w:r>
                  <w:r>
                    <w:rPr>
                      <w:rFonts w:hint="default" w:ascii="Times New Roman" w:hAnsi="Times New Roman" w:cs="Times New Roman"/>
                      <w:b w:val="0"/>
                      <w:bCs/>
                      <w:color w:val="auto"/>
                      <w:sz w:val="21"/>
                      <w:szCs w:val="21"/>
                    </w:rPr>
                    <w:t>及时清理施工现场，并开展植被恢复工作，</w:t>
                  </w:r>
                  <w:r>
                    <w:rPr>
                      <w:rFonts w:hint="default" w:ascii="Times New Roman" w:hAnsi="Times New Roman" w:cs="Times New Roman"/>
                      <w:b w:val="0"/>
                      <w:bCs/>
                      <w:color w:val="auto"/>
                      <w:kern w:val="0"/>
                      <w:sz w:val="21"/>
                      <w:szCs w:val="21"/>
                    </w:rPr>
                    <w:t>恢复地貌</w:t>
                  </w:r>
                  <w:r>
                    <w:rPr>
                      <w:rFonts w:hint="default" w:ascii="Times New Roman" w:hAnsi="Times New Roman" w:cs="Times New Roman"/>
                      <w:b w:val="0"/>
                      <w:bCs/>
                      <w:color w:val="auto"/>
                      <w:sz w:val="21"/>
                      <w:szCs w:val="21"/>
                    </w:rPr>
                    <w:t>。</w:t>
                  </w:r>
                </w:p>
              </w:tc>
              <w:tc>
                <w:tcPr>
                  <w:tcW w:w="775" w:type="dxa"/>
                  <w:vMerge w:val="continue"/>
                  <w:tcBorders>
                    <w:tl2br w:val="nil"/>
                    <w:tr2bl w:val="nil"/>
                  </w:tcBorders>
                  <w:noWrap w:val="0"/>
                  <w:vAlign w:val="center"/>
                </w:tcPr>
                <w:p w14:paraId="298DA0DA">
                  <w:pPr>
                    <w:keepNext w:val="0"/>
                    <w:keepLines w:val="0"/>
                    <w:widowControl/>
                    <w:suppressLineNumbers w:val="0"/>
                    <w:spacing w:before="0" w:beforeAutospacing="0" w:after="0" w:afterAutospacing="0"/>
                    <w:ind w:left="0" w:right="0"/>
                    <w:jc w:val="left"/>
                    <w:rPr>
                      <w:rFonts w:hint="default" w:ascii="Times New Roman" w:hAnsi="Times New Roman" w:cs="Times New Roman"/>
                      <w:b w:val="0"/>
                      <w:bCs/>
                      <w:color w:val="auto"/>
                      <w:kern w:val="0"/>
                      <w:sz w:val="21"/>
                      <w:szCs w:val="21"/>
                    </w:rPr>
                  </w:pPr>
                </w:p>
              </w:tc>
              <w:tc>
                <w:tcPr>
                  <w:tcW w:w="646" w:type="dxa"/>
                  <w:tcBorders>
                    <w:tl2br w:val="nil"/>
                    <w:tr2bl w:val="nil"/>
                  </w:tcBorders>
                  <w:noWrap w:val="0"/>
                  <w:vAlign w:val="center"/>
                </w:tcPr>
                <w:p w14:paraId="0358680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施工后期</w:t>
                  </w:r>
                </w:p>
              </w:tc>
              <w:tc>
                <w:tcPr>
                  <w:tcW w:w="646" w:type="dxa"/>
                  <w:vMerge w:val="continue"/>
                  <w:tcBorders>
                    <w:tl2br w:val="nil"/>
                    <w:tr2bl w:val="nil"/>
                  </w:tcBorders>
                  <w:noWrap w:val="0"/>
                  <w:vAlign w:val="center"/>
                </w:tcPr>
                <w:p w14:paraId="28996D8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p>
              </w:tc>
              <w:tc>
                <w:tcPr>
                  <w:tcW w:w="1047" w:type="dxa"/>
                  <w:vMerge w:val="continue"/>
                  <w:tcBorders>
                    <w:tl2br w:val="nil"/>
                    <w:tr2bl w:val="nil"/>
                  </w:tcBorders>
                  <w:noWrap w:val="0"/>
                  <w:vAlign w:val="center"/>
                </w:tcPr>
                <w:p w14:paraId="106910AA">
                  <w:pPr>
                    <w:keepNext w:val="0"/>
                    <w:keepLines w:val="0"/>
                    <w:widowControl/>
                    <w:suppressLineNumbers w:val="0"/>
                    <w:spacing w:before="0" w:beforeAutospacing="0" w:after="0" w:afterAutospacing="0"/>
                    <w:ind w:left="0" w:right="0"/>
                    <w:jc w:val="left"/>
                    <w:rPr>
                      <w:rFonts w:hint="default" w:ascii="Times New Roman" w:hAnsi="Times New Roman" w:cs="Times New Roman"/>
                      <w:b w:val="0"/>
                      <w:bCs/>
                      <w:color w:val="auto"/>
                      <w:kern w:val="0"/>
                      <w:sz w:val="21"/>
                      <w:szCs w:val="21"/>
                    </w:rPr>
                  </w:pPr>
                </w:p>
              </w:tc>
              <w:tc>
                <w:tcPr>
                  <w:tcW w:w="1529" w:type="dxa"/>
                  <w:tcBorders>
                    <w:tl2br w:val="nil"/>
                    <w:tr2bl w:val="nil"/>
                  </w:tcBorders>
                  <w:noWrap w:val="0"/>
                  <w:vAlign w:val="center"/>
                </w:tcPr>
                <w:p w14:paraId="734681E4">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施工后做到工完料净场地清。</w:t>
                  </w:r>
                </w:p>
              </w:tc>
            </w:tr>
            <w:tr w14:paraId="2CF49B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tcBorders>
                    <w:tl2br w:val="nil"/>
                    <w:tr2bl w:val="nil"/>
                  </w:tcBorders>
                  <w:noWrap w:val="0"/>
                  <w:vAlign w:val="center"/>
                </w:tcPr>
                <w:p w14:paraId="2971CB0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8</w:t>
                  </w:r>
                </w:p>
              </w:tc>
              <w:tc>
                <w:tcPr>
                  <w:tcW w:w="2327" w:type="dxa"/>
                  <w:tcBorders>
                    <w:tl2br w:val="nil"/>
                    <w:tr2bl w:val="nil"/>
                  </w:tcBorders>
                  <w:noWrap w:val="0"/>
                  <w:vAlign w:val="center"/>
                </w:tcPr>
                <w:p w14:paraId="0E631207">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加强宣传教育，设置环保宣传牌。</w:t>
                  </w:r>
                </w:p>
              </w:tc>
              <w:tc>
                <w:tcPr>
                  <w:tcW w:w="775" w:type="dxa"/>
                  <w:vMerge w:val="continue"/>
                  <w:tcBorders>
                    <w:tl2br w:val="nil"/>
                    <w:tr2bl w:val="nil"/>
                  </w:tcBorders>
                  <w:noWrap w:val="0"/>
                  <w:vAlign w:val="center"/>
                </w:tcPr>
                <w:p w14:paraId="4F55C11C">
                  <w:pPr>
                    <w:keepNext w:val="0"/>
                    <w:keepLines w:val="0"/>
                    <w:widowControl/>
                    <w:suppressLineNumbers w:val="0"/>
                    <w:spacing w:before="0" w:beforeAutospacing="0" w:after="0" w:afterAutospacing="0"/>
                    <w:ind w:left="0" w:right="0"/>
                    <w:jc w:val="left"/>
                    <w:rPr>
                      <w:rFonts w:hint="default" w:ascii="Times New Roman" w:hAnsi="Times New Roman" w:cs="Times New Roman"/>
                      <w:b w:val="0"/>
                      <w:bCs/>
                      <w:color w:val="auto"/>
                      <w:kern w:val="0"/>
                      <w:sz w:val="21"/>
                      <w:szCs w:val="21"/>
                    </w:rPr>
                  </w:pPr>
                </w:p>
              </w:tc>
              <w:tc>
                <w:tcPr>
                  <w:tcW w:w="646" w:type="dxa"/>
                  <w:tcBorders>
                    <w:tl2br w:val="nil"/>
                    <w:tr2bl w:val="nil"/>
                  </w:tcBorders>
                  <w:noWrap w:val="0"/>
                  <w:vAlign w:val="center"/>
                </w:tcPr>
                <w:p w14:paraId="5BDCAA7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全部施工期</w:t>
                  </w:r>
                </w:p>
              </w:tc>
              <w:tc>
                <w:tcPr>
                  <w:tcW w:w="646" w:type="dxa"/>
                  <w:vMerge w:val="continue"/>
                  <w:tcBorders>
                    <w:tl2br w:val="nil"/>
                    <w:tr2bl w:val="nil"/>
                  </w:tcBorders>
                  <w:noWrap w:val="0"/>
                  <w:vAlign w:val="center"/>
                </w:tcPr>
                <w:p w14:paraId="3ED9FF1F">
                  <w:pPr>
                    <w:keepNext w:val="0"/>
                    <w:keepLines w:val="0"/>
                    <w:widowControl/>
                    <w:suppressLineNumbers w:val="0"/>
                    <w:spacing w:before="0" w:beforeAutospacing="0" w:after="0" w:afterAutospacing="0"/>
                    <w:ind w:left="0" w:right="0"/>
                    <w:jc w:val="left"/>
                    <w:rPr>
                      <w:rFonts w:hint="default" w:ascii="Times New Roman" w:hAnsi="Times New Roman" w:cs="Times New Roman"/>
                      <w:b w:val="0"/>
                      <w:bCs/>
                      <w:color w:val="auto"/>
                      <w:kern w:val="0"/>
                      <w:sz w:val="21"/>
                      <w:szCs w:val="21"/>
                    </w:rPr>
                  </w:pPr>
                </w:p>
              </w:tc>
              <w:tc>
                <w:tcPr>
                  <w:tcW w:w="1047" w:type="dxa"/>
                  <w:vMerge w:val="continue"/>
                  <w:tcBorders>
                    <w:tl2br w:val="nil"/>
                    <w:tr2bl w:val="nil"/>
                  </w:tcBorders>
                  <w:noWrap w:val="0"/>
                  <w:vAlign w:val="center"/>
                </w:tcPr>
                <w:p w14:paraId="541466DE">
                  <w:pPr>
                    <w:keepNext w:val="0"/>
                    <w:keepLines w:val="0"/>
                    <w:widowControl/>
                    <w:suppressLineNumbers w:val="0"/>
                    <w:spacing w:before="0" w:beforeAutospacing="0" w:after="0" w:afterAutospacing="0"/>
                    <w:ind w:left="0" w:right="0"/>
                    <w:jc w:val="left"/>
                    <w:rPr>
                      <w:rFonts w:hint="default" w:ascii="Times New Roman" w:hAnsi="Times New Roman" w:cs="Times New Roman"/>
                      <w:b w:val="0"/>
                      <w:bCs/>
                      <w:color w:val="auto"/>
                      <w:kern w:val="0"/>
                      <w:sz w:val="21"/>
                      <w:szCs w:val="21"/>
                    </w:rPr>
                  </w:pPr>
                </w:p>
              </w:tc>
              <w:tc>
                <w:tcPr>
                  <w:tcW w:w="1529" w:type="dxa"/>
                  <w:tcBorders>
                    <w:tl2br w:val="nil"/>
                    <w:tr2bl w:val="nil"/>
                  </w:tcBorders>
                  <w:noWrap w:val="0"/>
                  <w:vAlign w:val="center"/>
                </w:tcPr>
                <w:p w14:paraId="5C750701">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避免发生施工人员随意惊吓、捕猎、宰杀野生动物，踩踏、破坏植被的现象。</w:t>
                  </w:r>
                </w:p>
              </w:tc>
            </w:tr>
            <w:tr w14:paraId="70B278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tcBorders>
                    <w:tl2br w:val="nil"/>
                    <w:tr2bl w:val="nil"/>
                  </w:tcBorders>
                  <w:noWrap w:val="0"/>
                  <w:vAlign w:val="center"/>
                </w:tcPr>
                <w:p w14:paraId="57CFC2A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9</w:t>
                  </w:r>
                </w:p>
              </w:tc>
              <w:tc>
                <w:tcPr>
                  <w:tcW w:w="2327" w:type="dxa"/>
                  <w:tcBorders>
                    <w:tl2br w:val="nil"/>
                    <w:tr2bl w:val="nil"/>
                  </w:tcBorders>
                  <w:noWrap w:val="0"/>
                  <w:vAlign w:val="center"/>
                </w:tcPr>
                <w:p w14:paraId="21D3471E">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sz w:val="21"/>
                      <w:szCs w:val="21"/>
                    </w:rPr>
                    <w:t>施工营地设置移动卫生厕所和防渗污水收集池，及时委托环卫部门拉运。</w:t>
                  </w:r>
                </w:p>
              </w:tc>
              <w:tc>
                <w:tcPr>
                  <w:tcW w:w="775" w:type="dxa"/>
                  <w:vMerge w:val="continue"/>
                  <w:tcBorders>
                    <w:tl2br w:val="nil"/>
                    <w:tr2bl w:val="nil"/>
                  </w:tcBorders>
                  <w:noWrap w:val="0"/>
                  <w:vAlign w:val="center"/>
                </w:tcPr>
                <w:p w14:paraId="3178D66A">
                  <w:pPr>
                    <w:keepNext w:val="0"/>
                    <w:keepLines w:val="0"/>
                    <w:widowControl/>
                    <w:suppressLineNumbers w:val="0"/>
                    <w:spacing w:before="0" w:beforeAutospacing="0" w:after="0" w:afterAutospacing="0"/>
                    <w:ind w:left="0" w:right="0"/>
                    <w:jc w:val="left"/>
                    <w:rPr>
                      <w:rFonts w:hint="default" w:ascii="Times New Roman" w:hAnsi="Times New Roman" w:cs="Times New Roman"/>
                      <w:b w:val="0"/>
                      <w:bCs/>
                      <w:color w:val="auto"/>
                      <w:kern w:val="0"/>
                      <w:sz w:val="21"/>
                      <w:szCs w:val="21"/>
                    </w:rPr>
                  </w:pPr>
                </w:p>
              </w:tc>
              <w:tc>
                <w:tcPr>
                  <w:tcW w:w="646" w:type="dxa"/>
                  <w:tcBorders>
                    <w:tl2br w:val="nil"/>
                    <w:tr2bl w:val="nil"/>
                  </w:tcBorders>
                  <w:noWrap w:val="0"/>
                  <w:vAlign w:val="center"/>
                </w:tcPr>
                <w:p w14:paraId="35ABDD3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全部施工期</w:t>
                  </w:r>
                </w:p>
              </w:tc>
              <w:tc>
                <w:tcPr>
                  <w:tcW w:w="646" w:type="dxa"/>
                  <w:vMerge w:val="continue"/>
                  <w:tcBorders>
                    <w:tl2br w:val="nil"/>
                    <w:tr2bl w:val="nil"/>
                  </w:tcBorders>
                  <w:noWrap w:val="0"/>
                  <w:vAlign w:val="center"/>
                </w:tcPr>
                <w:p w14:paraId="280ECE4D">
                  <w:pPr>
                    <w:keepNext w:val="0"/>
                    <w:keepLines w:val="0"/>
                    <w:widowControl/>
                    <w:suppressLineNumbers w:val="0"/>
                    <w:spacing w:before="0" w:beforeAutospacing="0" w:after="0" w:afterAutospacing="0"/>
                    <w:ind w:left="0" w:right="0"/>
                    <w:jc w:val="left"/>
                    <w:rPr>
                      <w:rFonts w:hint="default" w:ascii="Times New Roman" w:hAnsi="Times New Roman" w:cs="Times New Roman"/>
                      <w:b w:val="0"/>
                      <w:bCs/>
                      <w:color w:val="auto"/>
                      <w:kern w:val="0"/>
                      <w:sz w:val="21"/>
                      <w:szCs w:val="21"/>
                    </w:rPr>
                  </w:pPr>
                </w:p>
              </w:tc>
              <w:tc>
                <w:tcPr>
                  <w:tcW w:w="1047" w:type="dxa"/>
                  <w:vMerge w:val="continue"/>
                  <w:tcBorders>
                    <w:tl2br w:val="nil"/>
                    <w:tr2bl w:val="nil"/>
                  </w:tcBorders>
                  <w:noWrap w:val="0"/>
                  <w:vAlign w:val="center"/>
                </w:tcPr>
                <w:p w14:paraId="423ABBBB">
                  <w:pPr>
                    <w:keepNext w:val="0"/>
                    <w:keepLines w:val="0"/>
                    <w:widowControl/>
                    <w:suppressLineNumbers w:val="0"/>
                    <w:spacing w:before="0" w:beforeAutospacing="0" w:after="0" w:afterAutospacing="0"/>
                    <w:ind w:left="0" w:right="0"/>
                    <w:jc w:val="left"/>
                    <w:rPr>
                      <w:rFonts w:hint="default" w:ascii="Times New Roman" w:hAnsi="Times New Roman" w:cs="Times New Roman"/>
                      <w:b w:val="0"/>
                      <w:bCs/>
                      <w:color w:val="auto"/>
                      <w:kern w:val="0"/>
                      <w:sz w:val="21"/>
                      <w:szCs w:val="21"/>
                    </w:rPr>
                  </w:pPr>
                </w:p>
              </w:tc>
              <w:tc>
                <w:tcPr>
                  <w:tcW w:w="1529" w:type="dxa"/>
                  <w:tcBorders>
                    <w:tl2br w:val="nil"/>
                    <w:tr2bl w:val="nil"/>
                  </w:tcBorders>
                  <w:noWrap w:val="0"/>
                  <w:vAlign w:val="center"/>
                </w:tcPr>
                <w:p w14:paraId="620F9B4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sz w:val="21"/>
                      <w:szCs w:val="21"/>
                    </w:rPr>
                    <w:t>无废水外排。</w:t>
                  </w:r>
                </w:p>
              </w:tc>
            </w:tr>
            <w:tr w14:paraId="500049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tcBorders>
                    <w:tl2br w:val="nil"/>
                    <w:tr2bl w:val="nil"/>
                  </w:tcBorders>
                  <w:noWrap w:val="0"/>
                  <w:vAlign w:val="center"/>
                </w:tcPr>
                <w:p w14:paraId="4498A9F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10</w:t>
                  </w:r>
                </w:p>
              </w:tc>
              <w:tc>
                <w:tcPr>
                  <w:tcW w:w="2327" w:type="dxa"/>
                  <w:tcBorders>
                    <w:tl2br w:val="nil"/>
                    <w:tr2bl w:val="nil"/>
                  </w:tcBorders>
                  <w:noWrap w:val="0"/>
                  <w:vAlign w:val="center"/>
                </w:tcPr>
                <w:p w14:paraId="718BE80F">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sz w:val="21"/>
                      <w:szCs w:val="21"/>
                    </w:rPr>
                    <w:t>施工采用低噪声设备，加强维护保养，严格操作规程，限制夜间施工。</w:t>
                  </w:r>
                </w:p>
              </w:tc>
              <w:tc>
                <w:tcPr>
                  <w:tcW w:w="775" w:type="dxa"/>
                  <w:vMerge w:val="continue"/>
                  <w:tcBorders>
                    <w:tl2br w:val="nil"/>
                    <w:tr2bl w:val="nil"/>
                  </w:tcBorders>
                  <w:noWrap w:val="0"/>
                  <w:vAlign w:val="center"/>
                </w:tcPr>
                <w:p w14:paraId="681719F8">
                  <w:pPr>
                    <w:keepNext w:val="0"/>
                    <w:keepLines w:val="0"/>
                    <w:widowControl/>
                    <w:suppressLineNumbers w:val="0"/>
                    <w:spacing w:before="0" w:beforeAutospacing="0" w:after="0" w:afterAutospacing="0"/>
                    <w:ind w:left="0" w:right="0"/>
                    <w:jc w:val="left"/>
                    <w:rPr>
                      <w:rFonts w:hint="default" w:ascii="Times New Roman" w:hAnsi="Times New Roman" w:cs="Times New Roman"/>
                      <w:b w:val="0"/>
                      <w:bCs/>
                      <w:color w:val="auto"/>
                      <w:kern w:val="0"/>
                      <w:sz w:val="21"/>
                      <w:szCs w:val="21"/>
                    </w:rPr>
                  </w:pPr>
                </w:p>
              </w:tc>
              <w:tc>
                <w:tcPr>
                  <w:tcW w:w="646" w:type="dxa"/>
                  <w:tcBorders>
                    <w:tl2br w:val="nil"/>
                    <w:tr2bl w:val="nil"/>
                  </w:tcBorders>
                  <w:noWrap w:val="0"/>
                  <w:vAlign w:val="center"/>
                </w:tcPr>
                <w:p w14:paraId="4668E17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全部施工期</w:t>
                  </w:r>
                </w:p>
              </w:tc>
              <w:tc>
                <w:tcPr>
                  <w:tcW w:w="646" w:type="dxa"/>
                  <w:vMerge w:val="continue"/>
                  <w:tcBorders>
                    <w:tl2br w:val="nil"/>
                    <w:tr2bl w:val="nil"/>
                  </w:tcBorders>
                  <w:noWrap w:val="0"/>
                  <w:vAlign w:val="center"/>
                </w:tcPr>
                <w:p w14:paraId="483D5B93">
                  <w:pPr>
                    <w:keepNext w:val="0"/>
                    <w:keepLines w:val="0"/>
                    <w:widowControl/>
                    <w:suppressLineNumbers w:val="0"/>
                    <w:spacing w:before="0" w:beforeAutospacing="0" w:after="0" w:afterAutospacing="0"/>
                    <w:ind w:left="0" w:right="0"/>
                    <w:jc w:val="left"/>
                    <w:rPr>
                      <w:rFonts w:hint="default" w:ascii="Times New Roman" w:hAnsi="Times New Roman" w:cs="Times New Roman"/>
                      <w:b w:val="0"/>
                      <w:bCs/>
                      <w:color w:val="auto"/>
                      <w:kern w:val="0"/>
                      <w:sz w:val="21"/>
                      <w:szCs w:val="21"/>
                    </w:rPr>
                  </w:pPr>
                </w:p>
              </w:tc>
              <w:tc>
                <w:tcPr>
                  <w:tcW w:w="1047" w:type="dxa"/>
                  <w:vMerge w:val="continue"/>
                  <w:tcBorders>
                    <w:tl2br w:val="nil"/>
                    <w:tr2bl w:val="nil"/>
                  </w:tcBorders>
                  <w:noWrap w:val="0"/>
                  <w:vAlign w:val="center"/>
                </w:tcPr>
                <w:p w14:paraId="7B8F0C2E">
                  <w:pPr>
                    <w:keepNext w:val="0"/>
                    <w:keepLines w:val="0"/>
                    <w:widowControl/>
                    <w:suppressLineNumbers w:val="0"/>
                    <w:spacing w:before="0" w:beforeAutospacing="0" w:after="0" w:afterAutospacing="0"/>
                    <w:ind w:left="0" w:right="0"/>
                    <w:jc w:val="left"/>
                    <w:rPr>
                      <w:rFonts w:hint="default" w:ascii="Times New Roman" w:hAnsi="Times New Roman" w:cs="Times New Roman"/>
                      <w:b w:val="0"/>
                      <w:bCs/>
                      <w:color w:val="auto"/>
                      <w:kern w:val="0"/>
                      <w:sz w:val="21"/>
                      <w:szCs w:val="21"/>
                    </w:rPr>
                  </w:pPr>
                </w:p>
              </w:tc>
              <w:tc>
                <w:tcPr>
                  <w:tcW w:w="1529" w:type="dxa"/>
                  <w:tcBorders>
                    <w:tl2br w:val="nil"/>
                    <w:tr2bl w:val="nil"/>
                  </w:tcBorders>
                  <w:noWrap w:val="0"/>
                  <w:vAlign w:val="center"/>
                </w:tcPr>
                <w:p w14:paraId="6836DF91">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sz w:val="21"/>
                      <w:szCs w:val="21"/>
                    </w:rPr>
                    <w:t>对周边声环境无影响。</w:t>
                  </w:r>
                </w:p>
              </w:tc>
            </w:tr>
            <w:tr w14:paraId="62AD13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0" w:type="dxa"/>
                  <w:tcBorders>
                    <w:tl2br w:val="nil"/>
                    <w:tr2bl w:val="nil"/>
                  </w:tcBorders>
                  <w:noWrap w:val="0"/>
                  <w:vAlign w:val="center"/>
                </w:tcPr>
                <w:p w14:paraId="414F2EC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11</w:t>
                  </w:r>
                </w:p>
              </w:tc>
              <w:tc>
                <w:tcPr>
                  <w:tcW w:w="2327" w:type="dxa"/>
                  <w:tcBorders>
                    <w:tl2br w:val="nil"/>
                    <w:tr2bl w:val="nil"/>
                  </w:tcBorders>
                  <w:noWrap w:val="0"/>
                  <w:vAlign w:val="center"/>
                </w:tcPr>
                <w:p w14:paraId="04D0A9BD">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生活垃圾及建筑垃圾分别集中收集后，委托当地环卫部门清运；包装袋由施工单位统一回收，综合利用。</w:t>
                  </w:r>
                </w:p>
              </w:tc>
              <w:tc>
                <w:tcPr>
                  <w:tcW w:w="775" w:type="dxa"/>
                  <w:vMerge w:val="continue"/>
                  <w:tcBorders>
                    <w:tl2br w:val="nil"/>
                    <w:tr2bl w:val="nil"/>
                  </w:tcBorders>
                  <w:noWrap w:val="0"/>
                  <w:vAlign w:val="center"/>
                </w:tcPr>
                <w:p w14:paraId="09EE5E1E">
                  <w:pPr>
                    <w:keepNext w:val="0"/>
                    <w:keepLines w:val="0"/>
                    <w:widowControl/>
                    <w:suppressLineNumbers w:val="0"/>
                    <w:spacing w:before="0" w:beforeAutospacing="0" w:after="0" w:afterAutospacing="0"/>
                    <w:ind w:left="0" w:right="0"/>
                    <w:jc w:val="left"/>
                    <w:rPr>
                      <w:rFonts w:hint="default" w:ascii="Times New Roman" w:hAnsi="Times New Roman" w:cs="Times New Roman"/>
                      <w:b w:val="0"/>
                      <w:bCs/>
                      <w:color w:val="auto"/>
                      <w:sz w:val="21"/>
                      <w:szCs w:val="21"/>
                    </w:rPr>
                  </w:pPr>
                </w:p>
              </w:tc>
              <w:tc>
                <w:tcPr>
                  <w:tcW w:w="646" w:type="dxa"/>
                  <w:tcBorders>
                    <w:tl2br w:val="nil"/>
                    <w:tr2bl w:val="nil"/>
                  </w:tcBorders>
                  <w:noWrap w:val="0"/>
                  <w:vAlign w:val="center"/>
                </w:tcPr>
                <w:p w14:paraId="58A5651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rPr>
                    <w:t>全部施工期</w:t>
                  </w:r>
                </w:p>
              </w:tc>
              <w:tc>
                <w:tcPr>
                  <w:tcW w:w="646" w:type="dxa"/>
                  <w:vMerge w:val="continue"/>
                  <w:tcBorders>
                    <w:tl2br w:val="nil"/>
                    <w:tr2bl w:val="nil"/>
                  </w:tcBorders>
                  <w:noWrap w:val="0"/>
                  <w:vAlign w:val="center"/>
                </w:tcPr>
                <w:p w14:paraId="3AD3F893">
                  <w:pPr>
                    <w:keepNext w:val="0"/>
                    <w:keepLines w:val="0"/>
                    <w:widowControl/>
                    <w:suppressLineNumbers w:val="0"/>
                    <w:spacing w:before="0" w:beforeAutospacing="0" w:after="0" w:afterAutospacing="0"/>
                    <w:ind w:left="0" w:right="0"/>
                    <w:jc w:val="left"/>
                    <w:rPr>
                      <w:rFonts w:hint="default" w:ascii="Times New Roman" w:hAnsi="Times New Roman" w:cs="Times New Roman"/>
                      <w:b w:val="0"/>
                      <w:bCs/>
                      <w:color w:val="auto"/>
                      <w:kern w:val="0"/>
                      <w:sz w:val="21"/>
                      <w:szCs w:val="21"/>
                    </w:rPr>
                  </w:pPr>
                </w:p>
              </w:tc>
              <w:tc>
                <w:tcPr>
                  <w:tcW w:w="1047" w:type="dxa"/>
                  <w:vMerge w:val="continue"/>
                  <w:tcBorders>
                    <w:tl2br w:val="nil"/>
                    <w:tr2bl w:val="nil"/>
                  </w:tcBorders>
                  <w:noWrap w:val="0"/>
                  <w:vAlign w:val="center"/>
                </w:tcPr>
                <w:p w14:paraId="5D4F880D">
                  <w:pPr>
                    <w:keepNext w:val="0"/>
                    <w:keepLines w:val="0"/>
                    <w:widowControl/>
                    <w:suppressLineNumbers w:val="0"/>
                    <w:spacing w:before="0" w:beforeAutospacing="0" w:after="0" w:afterAutospacing="0"/>
                    <w:ind w:left="0" w:right="0"/>
                    <w:jc w:val="left"/>
                    <w:rPr>
                      <w:rFonts w:hint="default" w:ascii="Times New Roman" w:hAnsi="Times New Roman" w:cs="Times New Roman"/>
                      <w:b w:val="0"/>
                      <w:bCs/>
                      <w:color w:val="auto"/>
                      <w:kern w:val="0"/>
                      <w:sz w:val="21"/>
                      <w:szCs w:val="21"/>
                    </w:rPr>
                  </w:pPr>
                </w:p>
              </w:tc>
              <w:tc>
                <w:tcPr>
                  <w:tcW w:w="1529" w:type="dxa"/>
                  <w:tcBorders>
                    <w:tl2br w:val="nil"/>
                    <w:tr2bl w:val="nil"/>
                  </w:tcBorders>
                  <w:noWrap w:val="0"/>
                  <w:vAlign w:val="center"/>
                </w:tcPr>
                <w:p w14:paraId="37280418">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固废均得到有效处置，施工迹地得以恢复。</w:t>
                  </w:r>
                </w:p>
              </w:tc>
            </w:tr>
          </w:tbl>
          <w:p w14:paraId="0E73D3BD">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lang w:val="zh-CN"/>
              </w:rPr>
            </w:pPr>
          </w:p>
          <w:p w14:paraId="07C5E8CA">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lang w:val="zh-CN"/>
              </w:rPr>
            </w:pPr>
          </w:p>
          <w:p w14:paraId="12E1C6C1">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lang w:val="zh-CN"/>
              </w:rPr>
            </w:pPr>
          </w:p>
          <w:p w14:paraId="06D19861">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lang w:val="zh-CN"/>
              </w:rPr>
            </w:pPr>
          </w:p>
          <w:p w14:paraId="15C4F103">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lang w:val="zh-CN"/>
              </w:rPr>
            </w:pPr>
          </w:p>
          <w:p w14:paraId="55605E10">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lang w:val="zh-CN"/>
              </w:rPr>
            </w:pPr>
          </w:p>
          <w:p w14:paraId="004CA5C0">
            <w:pPr>
              <w:pStyle w:val="2"/>
              <w:keepNext w:val="0"/>
              <w:keepLines w:val="0"/>
              <w:suppressLineNumbers w:val="0"/>
              <w:spacing w:beforeAutospacing="0" w:afterAutospacing="0"/>
              <w:ind w:left="0"/>
              <w:rPr>
                <w:rFonts w:hint="default" w:ascii="Times New Roman" w:hAnsi="Times New Roman" w:eastAsia="宋体" w:cs="Times New Roman"/>
                <w:color w:val="auto"/>
                <w:sz w:val="24"/>
                <w:lang w:val="zh-CN"/>
              </w:rPr>
            </w:pPr>
          </w:p>
          <w:p w14:paraId="54F5AA18">
            <w:pPr>
              <w:pStyle w:val="3"/>
              <w:keepNext w:val="0"/>
              <w:keepLines w:val="0"/>
              <w:suppressLineNumbers w:val="0"/>
              <w:spacing w:before="0" w:beforeAutospacing="0" w:afterAutospacing="0"/>
              <w:ind w:left="0" w:right="0"/>
              <w:rPr>
                <w:rFonts w:hint="default" w:ascii="Times New Roman" w:hAnsi="Times New Roman" w:eastAsia="宋体" w:cs="Times New Roman"/>
                <w:color w:val="auto"/>
                <w:sz w:val="24"/>
                <w:lang w:val="zh-CN"/>
              </w:rPr>
            </w:pPr>
          </w:p>
          <w:p w14:paraId="0DC43ABC">
            <w:pPr>
              <w:pStyle w:val="3"/>
              <w:keepNext w:val="0"/>
              <w:keepLines w:val="0"/>
              <w:suppressLineNumbers w:val="0"/>
              <w:spacing w:before="0" w:beforeAutospacing="0" w:afterAutospacing="0"/>
              <w:ind w:left="0" w:right="0"/>
              <w:rPr>
                <w:rFonts w:hint="default" w:ascii="Times New Roman" w:hAnsi="Times New Roman" w:eastAsia="宋体" w:cs="Times New Roman"/>
                <w:color w:val="auto"/>
                <w:sz w:val="24"/>
                <w:lang w:val="zh-CN"/>
              </w:rPr>
            </w:pPr>
          </w:p>
          <w:p w14:paraId="7EDC4655">
            <w:pPr>
              <w:pStyle w:val="3"/>
              <w:keepNext w:val="0"/>
              <w:keepLines w:val="0"/>
              <w:suppressLineNumbers w:val="0"/>
              <w:spacing w:before="0" w:beforeAutospacing="0" w:afterAutospacing="0"/>
              <w:ind w:left="0" w:right="0"/>
              <w:rPr>
                <w:rFonts w:hint="default" w:ascii="Times New Roman" w:hAnsi="Times New Roman" w:eastAsia="宋体" w:cs="Times New Roman"/>
                <w:color w:val="auto"/>
                <w:sz w:val="24"/>
                <w:lang w:val="zh-CN"/>
              </w:rPr>
            </w:pPr>
          </w:p>
          <w:p w14:paraId="0F6229F2">
            <w:pPr>
              <w:pStyle w:val="3"/>
              <w:keepNext w:val="0"/>
              <w:keepLines w:val="0"/>
              <w:suppressLineNumbers w:val="0"/>
              <w:spacing w:before="0" w:beforeAutospacing="0" w:afterAutospacing="0"/>
              <w:ind w:left="0" w:right="0"/>
              <w:rPr>
                <w:rFonts w:hint="default" w:ascii="Times New Roman" w:hAnsi="Times New Roman" w:eastAsia="宋体" w:cs="Times New Roman"/>
                <w:color w:val="auto"/>
                <w:sz w:val="24"/>
                <w:lang w:val="zh-CN"/>
              </w:rPr>
            </w:pPr>
          </w:p>
          <w:p w14:paraId="222B5CDC">
            <w:pPr>
              <w:pStyle w:val="3"/>
              <w:keepNext w:val="0"/>
              <w:keepLines w:val="0"/>
              <w:suppressLineNumbers w:val="0"/>
              <w:spacing w:before="0" w:beforeAutospacing="0" w:afterAutospacing="0"/>
              <w:ind w:left="0" w:right="0"/>
              <w:rPr>
                <w:rFonts w:hint="default" w:ascii="Times New Roman" w:hAnsi="Times New Roman" w:eastAsia="宋体" w:cs="Times New Roman"/>
                <w:color w:val="auto"/>
                <w:sz w:val="24"/>
                <w:lang w:val="zh-CN"/>
              </w:rPr>
            </w:pPr>
          </w:p>
          <w:p w14:paraId="6764E13B">
            <w:pPr>
              <w:pStyle w:val="3"/>
              <w:keepNext w:val="0"/>
              <w:keepLines w:val="0"/>
              <w:suppressLineNumbers w:val="0"/>
              <w:spacing w:before="0" w:beforeAutospacing="0" w:afterAutospacing="0"/>
              <w:ind w:left="0" w:right="0"/>
              <w:rPr>
                <w:rFonts w:hint="default" w:ascii="Times New Roman" w:hAnsi="Times New Roman" w:eastAsia="宋体" w:cs="Times New Roman"/>
                <w:color w:val="auto"/>
                <w:sz w:val="24"/>
                <w:lang w:val="zh-CN"/>
              </w:rPr>
            </w:pPr>
          </w:p>
          <w:p w14:paraId="6C2715F6">
            <w:pPr>
              <w:pStyle w:val="3"/>
              <w:keepNext w:val="0"/>
              <w:keepLines w:val="0"/>
              <w:suppressLineNumbers w:val="0"/>
              <w:spacing w:before="0" w:beforeAutospacing="0" w:afterAutospacing="0"/>
              <w:ind w:left="0" w:right="0"/>
              <w:rPr>
                <w:rFonts w:hint="default" w:ascii="Times New Roman" w:hAnsi="Times New Roman" w:eastAsia="宋体" w:cs="Times New Roman"/>
                <w:color w:val="auto"/>
                <w:sz w:val="24"/>
                <w:lang w:val="zh-CN"/>
              </w:rPr>
            </w:pPr>
          </w:p>
          <w:p w14:paraId="0CCC5106">
            <w:pPr>
              <w:pStyle w:val="3"/>
              <w:keepNext w:val="0"/>
              <w:keepLines w:val="0"/>
              <w:suppressLineNumbers w:val="0"/>
              <w:spacing w:before="0" w:beforeAutospacing="0" w:afterAutospacing="0"/>
              <w:ind w:left="0" w:right="0"/>
              <w:rPr>
                <w:rFonts w:hint="default" w:ascii="Times New Roman" w:hAnsi="Times New Roman" w:eastAsia="宋体" w:cs="Times New Roman"/>
                <w:color w:val="auto"/>
                <w:sz w:val="24"/>
                <w:lang w:val="zh-CN"/>
              </w:rPr>
            </w:pPr>
          </w:p>
          <w:p w14:paraId="404B292A">
            <w:pPr>
              <w:pStyle w:val="3"/>
              <w:keepNext w:val="0"/>
              <w:keepLines w:val="0"/>
              <w:suppressLineNumbers w:val="0"/>
              <w:spacing w:before="0" w:beforeAutospacing="0" w:afterAutospacing="0"/>
              <w:ind w:left="0" w:right="0"/>
              <w:rPr>
                <w:rFonts w:hint="default" w:ascii="Times New Roman" w:hAnsi="Times New Roman" w:eastAsia="宋体" w:cs="Times New Roman"/>
                <w:color w:val="auto"/>
                <w:sz w:val="24"/>
                <w:lang w:val="zh-CN"/>
              </w:rPr>
            </w:pPr>
          </w:p>
          <w:p w14:paraId="1B973830">
            <w:pPr>
              <w:pStyle w:val="3"/>
              <w:keepNext w:val="0"/>
              <w:keepLines w:val="0"/>
              <w:suppressLineNumbers w:val="0"/>
              <w:spacing w:before="0" w:beforeAutospacing="0" w:afterAutospacing="0"/>
              <w:ind w:left="0" w:right="0"/>
              <w:rPr>
                <w:rFonts w:hint="default" w:ascii="Times New Roman" w:hAnsi="Times New Roman" w:eastAsia="宋体" w:cs="Times New Roman"/>
                <w:color w:val="auto"/>
                <w:sz w:val="24"/>
                <w:lang w:val="zh-CN"/>
              </w:rPr>
            </w:pPr>
          </w:p>
          <w:p w14:paraId="73C10A55">
            <w:pPr>
              <w:pStyle w:val="3"/>
              <w:keepNext w:val="0"/>
              <w:keepLines w:val="0"/>
              <w:suppressLineNumbers w:val="0"/>
              <w:spacing w:before="0" w:beforeAutospacing="0" w:afterAutospacing="0"/>
              <w:ind w:left="0" w:right="0"/>
              <w:rPr>
                <w:rFonts w:hint="default" w:ascii="Times New Roman" w:hAnsi="Times New Roman" w:eastAsia="宋体" w:cs="Times New Roman"/>
                <w:color w:val="auto"/>
                <w:sz w:val="24"/>
                <w:lang w:val="zh-CN"/>
              </w:rPr>
            </w:pPr>
          </w:p>
          <w:p w14:paraId="1B8CCBCC">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lang w:val="zh-CN"/>
              </w:rPr>
            </w:pPr>
          </w:p>
          <w:p w14:paraId="4E7655A1">
            <w:pPr>
              <w:pStyle w:val="12"/>
              <w:keepNext w:val="0"/>
              <w:keepLines w:val="0"/>
              <w:suppressLineNumbers w:val="0"/>
              <w:spacing w:before="0" w:beforeAutospacing="0" w:after="0" w:afterAutospacing="0"/>
              <w:ind w:right="0"/>
              <w:rPr>
                <w:rFonts w:hint="default" w:ascii="Times New Roman" w:hAnsi="Times New Roman" w:eastAsia="宋体" w:cs="Times New Roman"/>
                <w:color w:val="auto"/>
                <w:sz w:val="24"/>
                <w:lang w:val="zh-CN"/>
              </w:rPr>
            </w:pPr>
          </w:p>
          <w:p w14:paraId="5682C1D8">
            <w:pPr>
              <w:pStyle w:val="12"/>
              <w:keepNext w:val="0"/>
              <w:keepLines w:val="0"/>
              <w:suppressLineNumbers w:val="0"/>
              <w:spacing w:before="0" w:beforeAutospacing="0" w:after="0" w:afterAutospacing="0"/>
              <w:ind w:right="0"/>
              <w:rPr>
                <w:rFonts w:hint="default" w:ascii="Times New Roman" w:hAnsi="Times New Roman" w:eastAsia="宋体" w:cs="Times New Roman"/>
                <w:color w:val="auto"/>
                <w:sz w:val="24"/>
                <w:lang w:val="zh-CN"/>
              </w:rPr>
            </w:pPr>
          </w:p>
        </w:tc>
      </w:tr>
      <w:tr w14:paraId="403B3C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2" w:hRule="atLeast"/>
          <w:jc w:val="center"/>
        </w:trPr>
        <w:tc>
          <w:tcPr>
            <w:tcW w:w="753" w:type="dxa"/>
            <w:noWrap w:val="0"/>
            <w:tcMar>
              <w:left w:w="28" w:type="dxa"/>
              <w:right w:w="28" w:type="dxa"/>
            </w:tcMar>
            <w:vAlign w:val="center"/>
          </w:tcPr>
          <w:p w14:paraId="572648A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 w:val="24"/>
                <w:szCs w:val="24"/>
              </w:rPr>
            </w:pPr>
            <w:r>
              <w:rPr>
                <w:rFonts w:hint="default" w:ascii="Times New Roman" w:hAnsi="Times New Roman" w:cs="Times New Roman"/>
                <w:bCs/>
                <w:color w:val="auto"/>
                <w:spacing w:val="10"/>
                <w:sz w:val="24"/>
                <w:szCs w:val="24"/>
              </w:rPr>
              <w:t>运营期生态环境保护措施</w:t>
            </w:r>
          </w:p>
        </w:tc>
        <w:tc>
          <w:tcPr>
            <w:tcW w:w="8457" w:type="dxa"/>
            <w:noWrap w:val="0"/>
            <w:vAlign w:val="top"/>
          </w:tcPr>
          <w:p w14:paraId="03AD4595">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运营期生态恢复措施可行性</w:t>
            </w:r>
          </w:p>
          <w:p w14:paraId="0F880FD4">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运营期的生态环境保护措施主要是做好施工结束后的土地平整，采取的环境保护措施具体如下：道路需严格控制占地面积，不得随意扩大或变更行车道路的宽度和长度，避免行驶车辆及检修人员的行走路线对征地范围外地表的碾压扰动。</w:t>
            </w:r>
            <w:r>
              <w:rPr>
                <w:rFonts w:hint="eastAsia" w:cs="Times New Roman"/>
                <w:color w:val="auto"/>
                <w:sz w:val="24"/>
                <w:lang w:val="en-US" w:eastAsia="zh-CN"/>
              </w:rPr>
              <w:t>严格落实“光草互补”方案，在光伏板下方种植耐盐碱、耐阴的生态修复性草种，如紫花苜蓿、高羊茅、食叶草、盐地碱蓬、田菁等植物，充分利用光伏板冲洗废水进行灌溉，</w:t>
            </w:r>
            <w:r>
              <w:rPr>
                <w:rFonts w:hint="default" w:ascii="Times New Roman" w:hAnsi="Times New Roman" w:eastAsia="宋体" w:cs="Times New Roman"/>
                <w:color w:val="auto"/>
                <w:sz w:val="24"/>
              </w:rPr>
              <w:t>项目生态恢复措施选取的植被种类均为价格低廉且具有一定经济价值的耐旱植被，能够适应项目所在地区环境稳定生长，生态恢复措施具有运行稳定性。建设单位在认真落实本报告提出的环境保护措施后，可达到生态保护及恢复的效果。</w:t>
            </w:r>
          </w:p>
          <w:p w14:paraId="52CAE885">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运营期噪声环境保护措施</w:t>
            </w:r>
          </w:p>
          <w:p w14:paraId="01CF8DD1">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本项目光伏发电本身没有机械传动或运动部件，项目运营期的主要噪声是逆变升压一体机产生的噪声，但产生的噪声源强小，噪声值为60～65dB(A</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，自由衰减后影响很小。为进一步减小项目噪声对厂界及区域环境的影响，建议采取以下防治措施：</w:t>
            </w:r>
          </w:p>
          <w:p w14:paraId="5173328E">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建立设备定期维护、保养的管理制度，以防止设备故障形成的噪声；</w:t>
            </w:r>
          </w:p>
          <w:p w14:paraId="0A56344B">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对于流动声源</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运输车辆</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 xml:space="preserve">，单独控制声源技术难度较大，可行的措施是强化行驶管理制度。要求驾驶员加强环保意识，尽可能减少鸣笛次数，特别是行驶车辆经过居住点等敏感区域时，更应注意减少交通噪声影响。 </w:t>
            </w:r>
          </w:p>
          <w:p w14:paraId="15678135">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运营期水环境污染防治措施</w:t>
            </w:r>
          </w:p>
          <w:p w14:paraId="0FD6ECEB">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本项目建成投运后，废水主要</w:t>
            </w:r>
            <w:r>
              <w:rPr>
                <w:rFonts w:hint="eastAsia" w:ascii="Times New Roman" w:hAnsi="Times New Roman" w:eastAsia="宋体" w:cs="Times New Roman"/>
                <w:color w:val="auto"/>
                <w:sz w:val="24"/>
                <w:lang w:eastAsia="zh-CN"/>
              </w:rPr>
              <w:t>为</w:t>
            </w:r>
            <w:r>
              <w:rPr>
                <w:rFonts w:hint="default" w:ascii="Times New Roman" w:hAnsi="Times New Roman" w:eastAsia="宋体" w:cs="Times New Roman"/>
                <w:color w:val="auto"/>
                <w:sz w:val="24"/>
              </w:rPr>
              <w:t>生产废水。</w:t>
            </w:r>
          </w:p>
          <w:p w14:paraId="2B2F2A50">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生产废水主要为太阳能模块表面的清洗用水，清洗的作用主要是减少表面灰尘覆盖等对光伏组件转换效率的影响，主要污染物为SS，清洗废水沿板面直接落入光伏组件下方，土壤入渗和蒸发，不会对周围水环境产生影响。</w:t>
            </w:r>
          </w:p>
          <w:p w14:paraId="7ABA2632">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运营期固体废物防治措施</w:t>
            </w:r>
          </w:p>
          <w:p w14:paraId="4C05EEB6">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报废零部件为一般废物，定期由厂家回收处置；生活垃圾</w:t>
            </w:r>
            <w:r>
              <w:rPr>
                <w:rFonts w:hint="eastAsia" w:ascii="Times New Roman" w:hAnsi="Times New Roman" w:eastAsia="宋体" w:cs="Times New Roman"/>
                <w:color w:val="auto"/>
                <w:sz w:val="24"/>
                <w:lang w:val="en-US" w:eastAsia="zh-CN"/>
              </w:rPr>
              <w:t>检修人员随身携带出项目区后扔至就近生活垃圾收集点</w:t>
            </w:r>
            <w:r>
              <w:rPr>
                <w:rFonts w:hint="default" w:ascii="Times New Roman" w:hAnsi="Times New Roman" w:eastAsia="宋体" w:cs="Times New Roman"/>
                <w:color w:val="auto"/>
                <w:sz w:val="24"/>
              </w:rPr>
              <w:t>。</w:t>
            </w:r>
          </w:p>
          <w:p w14:paraId="174756B9">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产生工业固体废物单位应当设立专人负责台账的管理与归纳、一般工业固体废物台账保存期限不少于5年。</w:t>
            </w:r>
          </w:p>
          <w:p w14:paraId="7AC10A8F">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产生工业固体废物单位，应当根据自身固体废物产生情况，对应固体废物种类和代码，并根据固体废物种类确定固体废物具体名称并记录。</w:t>
            </w:r>
          </w:p>
          <w:p w14:paraId="35D98F75">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检修过程中产生的废变压器油属于危险废物，暂存于220kV升压汇集站危废暂存</w:t>
            </w:r>
            <w:r>
              <w:rPr>
                <w:rFonts w:hint="eastAsia" w:ascii="Times New Roman" w:hAnsi="Times New Roman" w:eastAsia="宋体" w:cs="Times New Roman"/>
                <w:color w:val="auto"/>
                <w:sz w:val="24"/>
                <w:lang w:val="en-US" w:eastAsia="zh-CN"/>
              </w:rPr>
              <w:t>点</w:t>
            </w:r>
            <w:r>
              <w:rPr>
                <w:rFonts w:hint="default" w:ascii="Times New Roman" w:hAnsi="Times New Roman" w:eastAsia="宋体" w:cs="Times New Roman"/>
                <w:color w:val="auto"/>
                <w:sz w:val="24"/>
              </w:rPr>
              <w:t>，委托有资质单位处理。</w:t>
            </w:r>
          </w:p>
          <w:p w14:paraId="15480BB1">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5</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每台箱式变压器配套一座贮油坑，发生漏油事故所有的油水混合物下渗至贮油坑；事故废油属于危险废物，当设备发生事故时，排放的废油全部进入贮油坑，及时委托有资质的单位进行规范处置。</w:t>
            </w:r>
          </w:p>
          <w:p w14:paraId="0965654F">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6</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危险废物的贮存设施必须按《环境保护图形标志</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固体废物贮存</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处置</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场》</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GB15562.2-1995</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及其修改单中的标准要求设置警示标志。</w:t>
            </w:r>
          </w:p>
          <w:p w14:paraId="7CEEB037">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7</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危险废物的贮存设施关闭后，必须采取措施消除污染。</w:t>
            </w:r>
          </w:p>
          <w:p w14:paraId="64310FAD">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8</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须做好危险废物情况的记录，记录上须注明危险废物的名称、来源、数量、产生日期、接收日期、接收单位名称等。</w:t>
            </w:r>
          </w:p>
          <w:p w14:paraId="075F0E6A">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9</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根据《危险废物产生单位管理计划制定指南》</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公告2016第7号</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要求，产生危险废物的单位应依据国家相关法律法规和标准规范的有关要求制定管理计划，并严格按照管理计划加强危险废物全生命周期的环境管理。</w:t>
            </w:r>
          </w:p>
          <w:p w14:paraId="1CA8D70B">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10</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根据《危险废物转移管理办法》</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2022年1月1日实施</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危险废物转移应遵循就近原则。产生危险废物的单位应执行危险废物转移联单制度，通过国家危险废物信息管理系统填写、运行危险废物电子转移联单，并依照国家有关规定公开危险废物转移相关污染环境防治信息。</w:t>
            </w:r>
          </w:p>
          <w:p w14:paraId="78392487">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11</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产生危险废物的单位应对承运人或者接受人的主体资格和技术能力进行核实，依法签订书面合同，并在合同中约定运输、贮存、利用、处置危险废物的污染防治要求及相关责任。</w:t>
            </w:r>
          </w:p>
          <w:p w14:paraId="187500D6">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对于</w:t>
            </w:r>
            <w:r>
              <w:rPr>
                <w:rFonts w:hint="eastAsia" w:ascii="Times New Roman" w:hAnsi="Times New Roman" w:eastAsia="宋体" w:cs="Times New Roman"/>
                <w:color w:val="auto"/>
                <w:sz w:val="24"/>
                <w:lang w:val="en-US" w:eastAsia="zh-CN"/>
              </w:rPr>
              <w:t>事故贮油坑</w:t>
            </w:r>
            <w:r>
              <w:rPr>
                <w:rFonts w:hint="default" w:ascii="Times New Roman" w:hAnsi="Times New Roman" w:eastAsia="宋体" w:cs="Times New Roman"/>
                <w:color w:val="auto"/>
                <w:sz w:val="24"/>
              </w:rPr>
              <w:t>要求严格按照《危险废物贮存污染控制标准》</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GB18597-2023</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要求进行设计、施工。事故油池基础必须防渗，防渗层为至少1m厚粘土层</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渗透系数≤10</w:t>
            </w:r>
            <w:r>
              <w:rPr>
                <w:rFonts w:hint="default" w:ascii="Times New Roman" w:hAnsi="Times New Roman" w:eastAsia="宋体" w:cs="Times New Roman"/>
                <w:color w:val="auto"/>
                <w:sz w:val="24"/>
                <w:vertAlign w:val="superscript"/>
              </w:rPr>
              <w:t>-7</w:t>
            </w:r>
            <w:r>
              <w:rPr>
                <w:rFonts w:hint="default" w:ascii="Times New Roman" w:hAnsi="Times New Roman" w:eastAsia="宋体" w:cs="Times New Roman"/>
                <w:color w:val="auto"/>
                <w:sz w:val="24"/>
              </w:rPr>
              <w:t>cm/s</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或2mm厚高密度聚乙烯，或至少2mm厚的</w:t>
            </w:r>
            <w:r>
              <w:rPr>
                <w:rFonts w:hint="eastAsia" w:ascii="Times New Roman" w:hAnsi="Times New Roman" w:eastAsia="宋体" w:cs="Times New Roman"/>
                <w:color w:val="auto"/>
                <w:sz w:val="24"/>
                <w:lang w:eastAsia="zh-CN"/>
              </w:rPr>
              <w:t>其他人工</w:t>
            </w:r>
            <w:r>
              <w:rPr>
                <w:rFonts w:hint="default" w:ascii="Times New Roman" w:hAnsi="Times New Roman" w:eastAsia="宋体" w:cs="Times New Roman"/>
                <w:color w:val="auto"/>
                <w:sz w:val="24"/>
              </w:rPr>
              <w:t>材料，渗透系数≤10</w:t>
            </w:r>
            <w:r>
              <w:rPr>
                <w:rFonts w:hint="default" w:ascii="Times New Roman" w:hAnsi="Times New Roman" w:eastAsia="宋体" w:cs="Times New Roman"/>
                <w:color w:val="auto"/>
                <w:sz w:val="24"/>
                <w:vertAlign w:val="superscript"/>
              </w:rPr>
              <w:t>-10</w:t>
            </w:r>
            <w:r>
              <w:rPr>
                <w:rFonts w:hint="default" w:ascii="Times New Roman" w:hAnsi="Times New Roman" w:eastAsia="宋体" w:cs="Times New Roman"/>
                <w:color w:val="auto"/>
                <w:sz w:val="24"/>
              </w:rPr>
              <w:t>cm/s。</w:t>
            </w:r>
          </w:p>
          <w:p w14:paraId="601423EF">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危险废物贮存设施的设计原则：</w:t>
            </w:r>
          </w:p>
          <w:p w14:paraId="1E8B5811">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①地面与裙脚要用坚固、防渗的材料建造，建筑材料必须与危险废物相容。</w:t>
            </w:r>
          </w:p>
          <w:p w14:paraId="6CAC5A14">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②必须有泄漏液体收集装置、气体导出口及气体净化装置。</w:t>
            </w:r>
          </w:p>
          <w:p w14:paraId="356009D8">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③设施内要有安全照明设施和观察窗口。</w:t>
            </w:r>
          </w:p>
          <w:p w14:paraId="78951E2F">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④用以存放装载液体、半固体危险废物容器的地方，必须有耐腐蚀的硬化地面，且表面无裂隙。</w:t>
            </w:r>
          </w:p>
          <w:p w14:paraId="456EE614">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⑤应设计堵截泄漏的裙脚，地面与裙脚所围建的容积不低于堵截最大容器的最大储量或总储量的五分之一。</w:t>
            </w:r>
          </w:p>
          <w:p w14:paraId="32AE9276">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⑥不相容的危险废物必须分开存放，并设有隔离间隔断。</w:t>
            </w:r>
          </w:p>
          <w:p w14:paraId="2A585FC3">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危险废物的堆放：</w:t>
            </w:r>
          </w:p>
          <w:p w14:paraId="7C968286">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①不相容的危险废物不能堆放在一起，危险废物分类堆放，有明显过道划分，各区域设立该类危废标志牌，危险废物及时转运。</w:t>
            </w:r>
          </w:p>
          <w:p w14:paraId="4FA30DB3">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②堆放危险废物的高度应根据地面承载能力确定。</w:t>
            </w:r>
          </w:p>
          <w:p w14:paraId="6E43D2F2">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③衬里放在一个基础或底座上。</w:t>
            </w:r>
          </w:p>
          <w:p w14:paraId="16EB2EEF">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④衬里要能够覆盖危险废物或其溶出物可能</w:t>
            </w:r>
            <w:r>
              <w:rPr>
                <w:rFonts w:hint="eastAsia" w:ascii="Times New Roman" w:hAnsi="Times New Roman" w:eastAsia="宋体" w:cs="Times New Roman"/>
                <w:color w:val="auto"/>
                <w:sz w:val="24"/>
                <w:lang w:eastAsia="zh-CN"/>
              </w:rPr>
              <w:t>涉及</w:t>
            </w:r>
            <w:r>
              <w:rPr>
                <w:rFonts w:hint="default" w:ascii="Times New Roman" w:hAnsi="Times New Roman" w:eastAsia="宋体" w:cs="Times New Roman"/>
                <w:color w:val="auto"/>
                <w:sz w:val="24"/>
              </w:rPr>
              <w:t>的范围，衬里材料与堆放危险废物相容。</w:t>
            </w:r>
          </w:p>
          <w:p w14:paraId="26EFA0EA">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⑤在衬里上设计、建造浸出液收集清除系统。</w:t>
            </w:r>
          </w:p>
          <w:p w14:paraId="135C2BD5">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⑥加强管理和定期检查，做好危险废物贮存台账，建立健全危险废物污染防治制度，张贴危险废物标识及信息板。</w:t>
            </w:r>
          </w:p>
          <w:p w14:paraId="095C8611">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⑦应设计建造径流疏导系统，保证能防止25年一遇的暴雨不会流到危险废物堆里。</w:t>
            </w:r>
          </w:p>
          <w:p w14:paraId="5D759688">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⑧产生量大的危险废物可以散装方式堆放贮存在按上述要求设计的废物堆里。</w:t>
            </w:r>
          </w:p>
          <w:p w14:paraId="357C4355">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cs="Times New Roman"/>
                <w:color w:val="auto"/>
                <w:sz w:val="24"/>
                <w:lang w:val="en-US" w:eastAsia="zh-CN"/>
              </w:rPr>
            </w:pPr>
            <w:r>
              <w:rPr>
                <w:rFonts w:hint="eastAsia" w:cs="Times New Roman"/>
                <w:color w:val="auto"/>
                <w:sz w:val="24"/>
                <w:lang w:val="en-US" w:eastAsia="zh-CN"/>
              </w:rPr>
              <w:t>5、光污染防治措施</w:t>
            </w:r>
          </w:p>
          <w:p w14:paraId="222EA185">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cs="Times New Roman"/>
                <w:color w:val="auto"/>
                <w:sz w:val="24"/>
                <w:lang w:val="en-US" w:eastAsia="zh-CN"/>
              </w:rPr>
            </w:pPr>
            <w:r>
              <w:rPr>
                <w:rFonts w:hint="eastAsia" w:cs="Times New Roman"/>
                <w:color w:val="auto"/>
                <w:sz w:val="24"/>
                <w:lang w:val="en-US" w:eastAsia="zh-CN"/>
              </w:rPr>
              <w:t>（1）项目所选用光伏组件要求采用镀膜技术减少光污染；</w:t>
            </w:r>
          </w:p>
          <w:p w14:paraId="1E8441E9">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cs="Times New Roman"/>
                <w:color w:val="auto"/>
                <w:sz w:val="24"/>
                <w:lang w:val="en-US" w:eastAsia="zh-CN"/>
              </w:rPr>
            </w:pPr>
            <w:r>
              <w:rPr>
                <w:rFonts w:hint="eastAsia" w:cs="Times New Roman"/>
                <w:color w:val="auto"/>
                <w:sz w:val="24"/>
                <w:lang w:val="en-US" w:eastAsia="zh-CN"/>
              </w:rPr>
              <w:t>（2）选择符合国家标准产品；</w:t>
            </w:r>
          </w:p>
          <w:p w14:paraId="2F72AA51">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eastAsia" w:cs="Times New Roman"/>
                <w:color w:val="auto"/>
                <w:sz w:val="24"/>
                <w:lang w:val="en-US" w:eastAsia="zh-CN"/>
              </w:rPr>
            </w:pPr>
            <w:r>
              <w:rPr>
                <w:rFonts w:hint="eastAsia" w:cs="Times New Roman"/>
                <w:color w:val="auto"/>
                <w:sz w:val="24"/>
                <w:lang w:val="en-US" w:eastAsia="zh-CN"/>
              </w:rPr>
              <w:t>（3）合理布置光伏组件，项目区道路G576自项目东南侧由西南向东北方向布置，本项目光伏组件布置结合太阳走向正南布置，与道路形成夹角，避免发射光队道路直接照射；</w:t>
            </w:r>
          </w:p>
          <w:p w14:paraId="072E939F">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cs="Times New Roman"/>
                <w:color w:val="auto"/>
                <w:sz w:val="24"/>
                <w:lang w:val="en-US" w:eastAsia="zh-CN"/>
              </w:rPr>
            </w:pPr>
            <w:r>
              <w:rPr>
                <w:rFonts w:hint="eastAsia" w:cs="Times New Roman"/>
                <w:color w:val="auto"/>
                <w:sz w:val="24"/>
                <w:lang w:val="en-US" w:eastAsia="zh-CN"/>
              </w:rPr>
              <w:t>（4）合理进行绿化种植，在光伏板下方种植耐盐碱、耐阴的生态修复性草种，如紫花苜蓿，高羊茅，食叶草等。</w:t>
            </w:r>
          </w:p>
          <w:p w14:paraId="2F247301">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cs="Times New Roman"/>
                <w:color w:val="auto"/>
                <w:sz w:val="24"/>
                <w:lang w:val="en-US" w:eastAsia="zh-CN"/>
              </w:rPr>
              <w:t>6</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环境风险防范措施</w:t>
            </w:r>
          </w:p>
          <w:p w14:paraId="7D59FC68">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本项目在每台箱变下方设置</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变压器事故油池一座，可将事故废油排至事故油池中，事故废油产生后应及时交</w:t>
            </w:r>
            <w:r>
              <w:rPr>
                <w:rFonts w:hint="eastAsia" w:ascii="Times New Roman" w:hAnsi="Times New Roman" w:eastAsia="宋体" w:cs="Times New Roman"/>
                <w:color w:val="auto"/>
                <w:sz w:val="24"/>
                <w:lang w:val="en-US" w:eastAsia="zh-CN"/>
              </w:rPr>
              <w:t>由</w:t>
            </w:r>
            <w:r>
              <w:rPr>
                <w:rFonts w:hint="default" w:ascii="Times New Roman" w:hAnsi="Times New Roman" w:eastAsia="宋体" w:cs="Times New Roman"/>
                <w:color w:val="auto"/>
                <w:sz w:val="24"/>
              </w:rPr>
              <w:t>有资质单位进行处置。</w:t>
            </w:r>
          </w:p>
          <w:p w14:paraId="7E30ECB4">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cs="Times New Roman"/>
                <w:color w:val="auto"/>
                <w:sz w:val="24"/>
                <w:lang w:val="en-US" w:eastAsia="zh-CN"/>
              </w:rPr>
              <w:t>7</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rPr>
              <w:t>运营期生态环境保护措施及预期效果</w:t>
            </w:r>
          </w:p>
          <w:p w14:paraId="08F5E265">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rPr>
              <w:t>本项目运营期主要生态环境保护措施及预期效果详见表5-2。</w:t>
            </w:r>
          </w:p>
          <w:p w14:paraId="0060615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default" w:ascii="Times New Roman" w:hAnsi="Times New Roman" w:eastAsia="黑体" w:cs="Times New Roman"/>
                <w:color w:val="auto"/>
                <w:kern w:val="0"/>
                <w:sz w:val="21"/>
                <w:szCs w:val="24"/>
                <w:lang w:val="en-US" w:eastAsia="zh-CN" w:bidi="en-US"/>
              </w:rPr>
            </w:pPr>
            <w:r>
              <w:rPr>
                <w:rFonts w:hint="eastAsia" w:ascii="Times New Roman" w:hAnsi="Times New Roman" w:eastAsia="黑体" w:cs="Times New Roman"/>
                <w:color w:val="auto"/>
                <w:kern w:val="0"/>
                <w:sz w:val="21"/>
                <w:szCs w:val="24"/>
                <w:lang w:val="en-US" w:eastAsia="zh-CN" w:bidi="en-US"/>
              </w:rPr>
              <w:t>表5-2          运营期生态环境保护措施及预期效果一览表</w:t>
            </w:r>
          </w:p>
          <w:tbl>
            <w:tblPr>
              <w:tblStyle w:val="29"/>
              <w:tblW w:w="49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64"/>
              <w:gridCol w:w="2316"/>
              <w:gridCol w:w="779"/>
              <w:gridCol w:w="803"/>
              <w:gridCol w:w="731"/>
              <w:gridCol w:w="1121"/>
              <w:gridCol w:w="1945"/>
            </w:tblGrid>
            <w:tr w14:paraId="7AD08C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4" w:type="dxa"/>
                  <w:tcBorders>
                    <w:tl2br w:val="nil"/>
                    <w:tr2bl w:val="nil"/>
                  </w:tcBorders>
                  <w:noWrap w:val="0"/>
                  <w:vAlign w:val="center"/>
                </w:tcPr>
                <w:p w14:paraId="122F99C1">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2316" w:type="dxa"/>
                  <w:tcBorders>
                    <w:tl2br w:val="nil"/>
                    <w:tr2bl w:val="nil"/>
                  </w:tcBorders>
                  <w:noWrap w:val="0"/>
                  <w:vAlign w:val="center"/>
                </w:tcPr>
                <w:p w14:paraId="2B3B20A8">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生态保护措施要求</w:t>
                  </w:r>
                </w:p>
              </w:tc>
              <w:tc>
                <w:tcPr>
                  <w:tcW w:w="779" w:type="dxa"/>
                  <w:tcBorders>
                    <w:tl2br w:val="nil"/>
                    <w:tr2bl w:val="nil"/>
                  </w:tcBorders>
                  <w:noWrap w:val="0"/>
                  <w:vAlign w:val="center"/>
                </w:tcPr>
                <w:p w14:paraId="7B37AFFC">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实施</w:t>
                  </w:r>
                </w:p>
                <w:p w14:paraId="340C783A">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部位</w:t>
                  </w:r>
                </w:p>
              </w:tc>
              <w:tc>
                <w:tcPr>
                  <w:tcW w:w="803" w:type="dxa"/>
                  <w:tcBorders>
                    <w:tl2br w:val="nil"/>
                    <w:tr2bl w:val="nil"/>
                  </w:tcBorders>
                  <w:noWrap w:val="0"/>
                  <w:vAlign w:val="center"/>
                </w:tcPr>
                <w:p w14:paraId="3492E4B9">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实施</w:t>
                  </w:r>
                </w:p>
                <w:p w14:paraId="41D5C9C1">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时间</w:t>
                  </w:r>
                </w:p>
              </w:tc>
              <w:tc>
                <w:tcPr>
                  <w:tcW w:w="731" w:type="dxa"/>
                  <w:tcBorders>
                    <w:tl2br w:val="nil"/>
                    <w:tr2bl w:val="nil"/>
                  </w:tcBorders>
                  <w:noWrap w:val="0"/>
                  <w:vAlign w:val="center"/>
                </w:tcPr>
                <w:p w14:paraId="13AC43B5">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责任</w:t>
                  </w:r>
                </w:p>
                <w:p w14:paraId="3A3F498B">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主体</w:t>
                  </w:r>
                </w:p>
              </w:tc>
              <w:tc>
                <w:tcPr>
                  <w:tcW w:w="1121" w:type="dxa"/>
                  <w:tcBorders>
                    <w:tl2br w:val="nil"/>
                    <w:tr2bl w:val="nil"/>
                  </w:tcBorders>
                  <w:noWrap w:val="0"/>
                  <w:vAlign w:val="center"/>
                </w:tcPr>
                <w:p w14:paraId="7A421372">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实施</w:t>
                  </w:r>
                </w:p>
                <w:p w14:paraId="5F31207B">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保障</w:t>
                  </w:r>
                </w:p>
              </w:tc>
              <w:tc>
                <w:tcPr>
                  <w:tcW w:w="1945" w:type="dxa"/>
                  <w:tcBorders>
                    <w:tl2br w:val="nil"/>
                    <w:tr2bl w:val="nil"/>
                  </w:tcBorders>
                  <w:noWrap w:val="0"/>
                  <w:vAlign w:val="center"/>
                </w:tcPr>
                <w:p w14:paraId="37736821">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实施效果</w:t>
                  </w:r>
                </w:p>
              </w:tc>
            </w:tr>
            <w:tr w14:paraId="7AB5773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4" w:type="dxa"/>
                  <w:tcBorders>
                    <w:tl2br w:val="nil"/>
                    <w:tr2bl w:val="nil"/>
                  </w:tcBorders>
                  <w:noWrap w:val="0"/>
                  <w:vAlign w:val="center"/>
                </w:tcPr>
                <w:p w14:paraId="1F2F8A21">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316" w:type="dxa"/>
                  <w:tcBorders>
                    <w:tl2br w:val="nil"/>
                    <w:tr2bl w:val="nil"/>
                  </w:tcBorders>
                  <w:noWrap w:val="0"/>
                  <w:vAlign w:val="center"/>
                </w:tcPr>
                <w:p w14:paraId="30FD0B1D">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箱变</w:t>
                  </w:r>
                  <w:r>
                    <w:rPr>
                      <w:rFonts w:hint="default" w:ascii="Times New Roman" w:hAnsi="Times New Roman" w:cs="Times New Roman"/>
                      <w:color w:val="auto"/>
                      <w:sz w:val="21"/>
                      <w:szCs w:val="21"/>
                    </w:rPr>
                    <w:t>首选低噪声</w:t>
                  </w:r>
                  <w:r>
                    <w:rPr>
                      <w:rFonts w:hint="eastAsia" w:cs="Times New Roman"/>
                      <w:color w:val="auto"/>
                      <w:sz w:val="21"/>
                      <w:szCs w:val="21"/>
                      <w:lang w:val="en-US" w:eastAsia="zh-CN"/>
                    </w:rPr>
                    <w:t>设备</w:t>
                  </w:r>
                  <w:r>
                    <w:rPr>
                      <w:rFonts w:hint="default" w:ascii="Times New Roman" w:hAnsi="Times New Roman" w:cs="Times New Roman"/>
                      <w:color w:val="auto"/>
                      <w:sz w:val="21"/>
                      <w:szCs w:val="21"/>
                    </w:rPr>
                    <w:t>，合理布局电气设备及配电装置，线路选用的导线质量应符合国家相关标准的要求。</w:t>
                  </w:r>
                </w:p>
              </w:tc>
              <w:tc>
                <w:tcPr>
                  <w:tcW w:w="779" w:type="dxa"/>
                  <w:vMerge w:val="restart"/>
                  <w:tcBorders>
                    <w:tl2br w:val="nil"/>
                    <w:tr2bl w:val="nil"/>
                  </w:tcBorders>
                  <w:noWrap w:val="0"/>
                  <w:vAlign w:val="center"/>
                </w:tcPr>
                <w:p w14:paraId="76078931">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工程生产运营场所区域</w:t>
                  </w:r>
                </w:p>
              </w:tc>
              <w:tc>
                <w:tcPr>
                  <w:tcW w:w="803" w:type="dxa"/>
                  <w:vMerge w:val="restart"/>
                  <w:tcBorders>
                    <w:tl2br w:val="nil"/>
                    <w:tr2bl w:val="nil"/>
                  </w:tcBorders>
                  <w:noWrap w:val="0"/>
                  <w:vAlign w:val="center"/>
                </w:tcPr>
                <w:p w14:paraId="2F6564F4">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运营期</w:t>
                  </w:r>
                </w:p>
              </w:tc>
              <w:tc>
                <w:tcPr>
                  <w:tcW w:w="731" w:type="dxa"/>
                  <w:vMerge w:val="restart"/>
                  <w:tcBorders>
                    <w:tl2br w:val="nil"/>
                    <w:tr2bl w:val="nil"/>
                  </w:tcBorders>
                  <w:noWrap w:val="0"/>
                  <w:vAlign w:val="center"/>
                </w:tcPr>
                <w:p w14:paraId="42F0B613">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建设单位</w:t>
                  </w:r>
                </w:p>
              </w:tc>
              <w:tc>
                <w:tcPr>
                  <w:tcW w:w="1121" w:type="dxa"/>
                  <w:vMerge w:val="restart"/>
                  <w:tcBorders>
                    <w:tl2br w:val="nil"/>
                    <w:tr2bl w:val="nil"/>
                  </w:tcBorders>
                  <w:noWrap w:val="0"/>
                  <w:vAlign w:val="center"/>
                </w:tcPr>
                <w:p w14:paraId="3D01991F">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①建立环境管理机构，配备专职或兼职卫生管理人员；</w:t>
                  </w:r>
                </w:p>
                <w:p w14:paraId="05B3C9E9">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②制定相关方环境管理条例、质量管理规定；</w:t>
                  </w:r>
                </w:p>
                <w:p w14:paraId="63E6D62B">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③开展经常性检查、监督，发现问题及时解决、纠正</w:t>
                  </w:r>
                </w:p>
              </w:tc>
              <w:tc>
                <w:tcPr>
                  <w:tcW w:w="1945" w:type="dxa"/>
                  <w:tcBorders>
                    <w:tl2br w:val="nil"/>
                    <w:tr2bl w:val="nil"/>
                  </w:tcBorders>
                  <w:noWrap w:val="0"/>
                  <w:vAlign w:val="center"/>
                </w:tcPr>
                <w:p w14:paraId="43AFBC4A">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场界</w:t>
                  </w:r>
                  <w:r>
                    <w:rPr>
                      <w:rFonts w:hint="default" w:ascii="Times New Roman" w:hAnsi="Times New Roman" w:cs="Times New Roman"/>
                      <w:color w:val="auto"/>
                      <w:sz w:val="21"/>
                      <w:szCs w:val="21"/>
                    </w:rPr>
                    <w:t>环境噪声满足《工业企业厂界环境噪声排放标准》(GB12348-2008)2类标准要求。</w:t>
                  </w:r>
                </w:p>
              </w:tc>
            </w:tr>
            <w:tr w14:paraId="491828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4" w:type="dxa"/>
                  <w:tcBorders>
                    <w:tl2br w:val="nil"/>
                    <w:tr2bl w:val="nil"/>
                  </w:tcBorders>
                  <w:noWrap w:val="0"/>
                  <w:vAlign w:val="center"/>
                </w:tcPr>
                <w:p w14:paraId="5C9D5792">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316" w:type="dxa"/>
                  <w:tcBorders>
                    <w:tl2br w:val="nil"/>
                    <w:tr2bl w:val="nil"/>
                  </w:tcBorders>
                  <w:noWrap w:val="0"/>
                  <w:vAlign w:val="center"/>
                </w:tcPr>
                <w:p w14:paraId="0567E4E0">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每座箱变</w:t>
                  </w:r>
                  <w:r>
                    <w:rPr>
                      <w:rFonts w:hint="default" w:ascii="Times New Roman" w:hAnsi="Times New Roman" w:cs="Times New Roman"/>
                      <w:color w:val="auto"/>
                      <w:sz w:val="21"/>
                      <w:szCs w:val="21"/>
                    </w:rPr>
                    <w:t>建设</w:t>
                  </w:r>
                  <w:r>
                    <w:rPr>
                      <w:rFonts w:hint="eastAsia" w:cs="Times New Roman"/>
                      <w:color w:val="auto"/>
                      <w:sz w:val="21"/>
                      <w:szCs w:val="21"/>
                      <w:lang w:val="en-US" w:eastAsia="zh-CN"/>
                    </w:rPr>
                    <w:t>1座</w:t>
                  </w:r>
                  <w:r>
                    <w:rPr>
                      <w:rFonts w:hint="default" w:ascii="Times New Roman" w:hAnsi="Times New Roman" w:cs="Times New Roman"/>
                      <w:color w:val="auto"/>
                      <w:sz w:val="21"/>
                      <w:szCs w:val="21"/>
                    </w:rPr>
                    <w:t>事故贮油</w:t>
                  </w:r>
                  <w:r>
                    <w:rPr>
                      <w:rFonts w:hint="eastAsia" w:cs="Times New Roman"/>
                      <w:color w:val="auto"/>
                      <w:sz w:val="21"/>
                      <w:szCs w:val="21"/>
                      <w:lang w:val="en-US" w:eastAsia="zh-CN"/>
                    </w:rPr>
                    <w:t>坑</w:t>
                  </w:r>
                  <w:r>
                    <w:rPr>
                      <w:rFonts w:hint="default" w:ascii="Times New Roman" w:hAnsi="Times New Roman" w:cs="Times New Roman"/>
                      <w:color w:val="auto"/>
                      <w:sz w:val="21"/>
                      <w:szCs w:val="21"/>
                    </w:rPr>
                    <w:t>座，容积</w:t>
                  </w:r>
                  <w:r>
                    <w:rPr>
                      <w:rFonts w:hint="eastAsia" w:cs="Times New Roman"/>
                      <w:color w:val="auto"/>
                      <w:sz w:val="21"/>
                      <w:szCs w:val="21"/>
                      <w:lang w:val="en-US" w:eastAsia="zh-CN"/>
                    </w:rPr>
                    <w:t>5</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eastAsia" w:cs="Times New Roman"/>
                      <w:color w:val="auto"/>
                      <w:sz w:val="21"/>
                      <w:szCs w:val="21"/>
                      <w:vertAlign w:val="baseline"/>
                      <w:lang w:eastAsia="zh-CN"/>
                    </w:rPr>
                    <w:t>，</w:t>
                  </w:r>
                  <w:r>
                    <w:rPr>
                      <w:rFonts w:hint="eastAsia" w:cs="Times New Roman"/>
                      <w:color w:val="auto"/>
                      <w:sz w:val="21"/>
                      <w:szCs w:val="21"/>
                      <w:vertAlign w:val="baseline"/>
                      <w:lang w:val="en-US" w:eastAsia="zh-CN"/>
                    </w:rPr>
                    <w:t>共计209个</w:t>
                  </w:r>
                  <w:r>
                    <w:rPr>
                      <w:rFonts w:hint="default" w:ascii="Times New Roman" w:hAnsi="Times New Roman" w:cs="Times New Roman"/>
                      <w:color w:val="auto"/>
                      <w:sz w:val="21"/>
                      <w:szCs w:val="21"/>
                    </w:rPr>
                    <w:t>；事故废油委托有资质的单位处置。事故贮油池基础必须采取相应的防渗措施。</w:t>
                  </w:r>
                </w:p>
              </w:tc>
              <w:tc>
                <w:tcPr>
                  <w:tcW w:w="779" w:type="dxa"/>
                  <w:vMerge w:val="continue"/>
                  <w:tcBorders>
                    <w:tl2br w:val="nil"/>
                    <w:tr2bl w:val="nil"/>
                  </w:tcBorders>
                  <w:noWrap w:val="0"/>
                  <w:vAlign w:val="center"/>
                </w:tcPr>
                <w:p w14:paraId="00B75F0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803" w:type="dxa"/>
                  <w:vMerge w:val="continue"/>
                  <w:tcBorders>
                    <w:tl2br w:val="nil"/>
                    <w:tr2bl w:val="nil"/>
                  </w:tcBorders>
                  <w:noWrap w:val="0"/>
                  <w:vAlign w:val="center"/>
                </w:tcPr>
                <w:p w14:paraId="1F3BA024">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731" w:type="dxa"/>
                  <w:vMerge w:val="continue"/>
                  <w:tcBorders>
                    <w:tl2br w:val="nil"/>
                    <w:tr2bl w:val="nil"/>
                  </w:tcBorders>
                  <w:noWrap w:val="0"/>
                  <w:vAlign w:val="center"/>
                </w:tcPr>
                <w:p w14:paraId="582EBFFB">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1121" w:type="dxa"/>
                  <w:vMerge w:val="continue"/>
                  <w:tcBorders>
                    <w:tl2br w:val="nil"/>
                    <w:tr2bl w:val="nil"/>
                  </w:tcBorders>
                  <w:noWrap w:val="0"/>
                  <w:vAlign w:val="center"/>
                </w:tcPr>
                <w:p w14:paraId="27B54A4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1945" w:type="dxa"/>
                  <w:tcBorders>
                    <w:tl2br w:val="nil"/>
                    <w:tr2bl w:val="nil"/>
                  </w:tcBorders>
                  <w:noWrap w:val="0"/>
                  <w:vAlign w:val="center"/>
                </w:tcPr>
                <w:p w14:paraId="6A442C9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各类固体废弃物能够妥善处置，</w:t>
                  </w:r>
                  <w:r>
                    <w:rPr>
                      <w:rFonts w:hint="eastAsia" w:cs="Times New Roman"/>
                      <w:color w:val="auto"/>
                      <w:sz w:val="21"/>
                      <w:szCs w:val="21"/>
                      <w:lang w:val="en-US" w:eastAsia="zh-CN"/>
                    </w:rPr>
                    <w:t>事故贮油坑按照《危险废物贮存污染控制标准》（GB18597-2023）要求建设，</w:t>
                  </w:r>
                  <w:r>
                    <w:rPr>
                      <w:rFonts w:hint="default" w:ascii="Times New Roman" w:hAnsi="Times New Roman" w:cs="Times New Roman"/>
                      <w:color w:val="auto"/>
                      <w:sz w:val="21"/>
                      <w:szCs w:val="21"/>
                    </w:rPr>
                    <w:t>防渗层为至少1m厚粘土层(渗透系数≤10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w:t>
                  </w:r>
                  <w:r>
                    <w:rPr>
                      <w:rFonts w:hint="eastAsia" w:cs="Times New Roman"/>
                      <w:color w:val="auto"/>
                      <w:sz w:val="21"/>
                      <w:szCs w:val="21"/>
                      <w:lang w:eastAsia="zh-CN"/>
                    </w:rPr>
                    <w:t>，</w:t>
                  </w:r>
                  <w:r>
                    <w:rPr>
                      <w:rFonts w:hint="default" w:ascii="Times New Roman" w:hAnsi="Times New Roman" w:cs="Times New Roman"/>
                      <w:color w:val="auto"/>
                      <w:sz w:val="21"/>
                      <w:szCs w:val="21"/>
                    </w:rPr>
                    <w:t>或2mm厚高密度聚乙烯，或至少2mm厚的其它人工材料，渗透系数≤10</w:t>
                  </w:r>
                  <w:r>
                    <w:rPr>
                      <w:rFonts w:hint="default" w:ascii="Times New Roman" w:hAnsi="Times New Roman" w:cs="Times New Roman"/>
                      <w:color w:val="auto"/>
                      <w:sz w:val="21"/>
                      <w:szCs w:val="21"/>
                      <w:vertAlign w:val="superscript"/>
                    </w:rPr>
                    <w:t>-10</w:t>
                  </w:r>
                  <w:r>
                    <w:rPr>
                      <w:rFonts w:hint="default" w:ascii="Times New Roman" w:hAnsi="Times New Roman" w:cs="Times New Roman"/>
                      <w:color w:val="auto"/>
                      <w:sz w:val="21"/>
                      <w:szCs w:val="21"/>
                    </w:rPr>
                    <w:t>cm/s。</w:t>
                  </w:r>
                </w:p>
              </w:tc>
            </w:tr>
            <w:tr w14:paraId="0BABAC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64" w:type="dxa"/>
                  <w:tcBorders>
                    <w:tl2br w:val="nil"/>
                    <w:tr2bl w:val="nil"/>
                  </w:tcBorders>
                  <w:noWrap w:val="0"/>
                  <w:vAlign w:val="center"/>
                </w:tcPr>
                <w:p w14:paraId="2F20BEF6">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3</w:t>
                  </w:r>
                </w:p>
              </w:tc>
              <w:tc>
                <w:tcPr>
                  <w:tcW w:w="2316" w:type="dxa"/>
                  <w:tcBorders>
                    <w:tl2br w:val="nil"/>
                    <w:tr2bl w:val="nil"/>
                  </w:tcBorders>
                  <w:noWrap w:val="0"/>
                  <w:vAlign w:val="center"/>
                </w:tcPr>
                <w:p w14:paraId="45B434F8">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建设项目环保竣工验收监测一次，建设单位组织开展定期监测</w:t>
                  </w:r>
                </w:p>
              </w:tc>
              <w:tc>
                <w:tcPr>
                  <w:tcW w:w="779" w:type="dxa"/>
                  <w:vMerge w:val="continue"/>
                  <w:tcBorders>
                    <w:tl2br w:val="nil"/>
                    <w:tr2bl w:val="nil"/>
                  </w:tcBorders>
                  <w:noWrap w:val="0"/>
                  <w:vAlign w:val="center"/>
                </w:tcPr>
                <w:p w14:paraId="456D8EE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803" w:type="dxa"/>
                  <w:vMerge w:val="continue"/>
                  <w:tcBorders>
                    <w:tl2br w:val="nil"/>
                    <w:tr2bl w:val="nil"/>
                  </w:tcBorders>
                  <w:noWrap w:val="0"/>
                  <w:vAlign w:val="center"/>
                </w:tcPr>
                <w:p w14:paraId="221A8D1F">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731" w:type="dxa"/>
                  <w:vMerge w:val="continue"/>
                  <w:tcBorders>
                    <w:tl2br w:val="nil"/>
                    <w:tr2bl w:val="nil"/>
                  </w:tcBorders>
                  <w:noWrap w:val="0"/>
                  <w:vAlign w:val="center"/>
                </w:tcPr>
                <w:p w14:paraId="27CF01BF">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1121" w:type="dxa"/>
                  <w:vMerge w:val="continue"/>
                  <w:tcBorders>
                    <w:tl2br w:val="nil"/>
                    <w:tr2bl w:val="nil"/>
                  </w:tcBorders>
                  <w:noWrap w:val="0"/>
                  <w:vAlign w:val="center"/>
                </w:tcPr>
                <w:p w14:paraId="7B6E4516">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p>
              </w:tc>
              <w:tc>
                <w:tcPr>
                  <w:tcW w:w="1945" w:type="dxa"/>
                  <w:tcBorders>
                    <w:tl2br w:val="nil"/>
                    <w:tr2bl w:val="nil"/>
                  </w:tcBorders>
                  <w:noWrap w:val="0"/>
                  <w:vAlign w:val="center"/>
                </w:tcPr>
                <w:p w14:paraId="153161AE">
                  <w:pPr>
                    <w:keepNext w:val="0"/>
                    <w:keepLines w:val="0"/>
                    <w:pageBreakBefore w:val="0"/>
                    <w:suppressLineNumbers w:val="0"/>
                    <w:kinsoku/>
                    <w:wordWrap w:val="0"/>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监测结果达标</w:t>
                  </w:r>
                </w:p>
              </w:tc>
            </w:tr>
          </w:tbl>
          <w:p w14:paraId="0F4370B0">
            <w:pPr>
              <w:keepNext w:val="0"/>
              <w:keepLines w:val="0"/>
              <w:pageBreakBefore w:val="0"/>
              <w:widowControl w:val="0"/>
              <w:suppressLineNumbers w:val="0"/>
              <w:kinsoku/>
              <w:wordWrap/>
              <w:overflowPunct/>
              <w:topLinePunct w:val="0"/>
              <w:autoSpaceDE/>
              <w:autoSpaceDN/>
              <w:bidi w:val="0"/>
              <w:adjustRightInd/>
              <w:snapToGrid w:val="0"/>
              <w:spacing w:before="157" w:beforeLines="5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rPr>
            </w:pPr>
            <w:r>
              <w:rPr>
                <w:rFonts w:hint="eastAsia" w:cs="Times New Roman"/>
                <w:color w:val="auto"/>
                <w:sz w:val="24"/>
                <w:lang w:val="en-US" w:eastAsia="zh-CN"/>
              </w:rPr>
              <w:t>8</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环境管理及监控计划</w:t>
            </w:r>
          </w:p>
          <w:p w14:paraId="71E24BA2">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环境管理</w:t>
            </w:r>
          </w:p>
          <w:p w14:paraId="08121CFC">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境管理是一项综合性的管理，建议在项目筹建阶段就建立适合本行业特点的环境管理机构。除机构建设要搞好外，还要建立与当地政府各主管部门间相互协调、分工负责、互相配合的综合环境管理体系。建立环境管理机构是落实项目环保各项任务的保证。</w:t>
            </w:r>
          </w:p>
          <w:p w14:paraId="754A4351">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的建设可促进当地社会经济的发展。为项目工程的社会经济效益与环境效益相协调，实现可持续发展的目标，应加强对工程建设期和营运期的环境管理工作，并设置专门的机构负责。在工程的实施过程中，要坚持建设管理一体的原则，明确项目法人的责任和</w:t>
            </w:r>
            <w:r>
              <w:rPr>
                <w:rFonts w:hint="eastAsia" w:ascii="Times New Roman" w:hAnsi="Times New Roman" w:eastAsia="宋体" w:cs="Times New Roman"/>
                <w:color w:val="auto"/>
                <w:sz w:val="24"/>
                <w:lang w:eastAsia="zh-CN"/>
              </w:rPr>
              <w:t>权利</w:t>
            </w:r>
            <w:r>
              <w:rPr>
                <w:rFonts w:hint="default" w:ascii="Times New Roman" w:hAnsi="Times New Roman" w:eastAsia="宋体" w:cs="Times New Roman"/>
                <w:color w:val="auto"/>
                <w:sz w:val="24"/>
              </w:rPr>
              <w:t>，积极推行“五制”，即“项目法人制、招投标制、建设监理制、合同管理制、竣工验收制”，建立健全质量保证体系。</w:t>
            </w:r>
          </w:p>
          <w:p w14:paraId="7529E4AB">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（2）环境管理机构职责</w:t>
            </w:r>
          </w:p>
          <w:p w14:paraId="0F7CBA1F">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1 \* GB3 \* MERGEFORMAT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①</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执行国家及地方的环保方针、政策和有关法律、法规，配合有关部门审查落实工程设计中的环保设施设计内容及工程环保设施的竣工验收。</w:t>
            </w:r>
          </w:p>
          <w:p w14:paraId="17A0218E">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2 \* GB3 \* MERGEFORMAT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②</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组织协调本报告表和审批意见提出的各项任务，落实污染防治的各项经费。建立健全环境保护工作规章制度，明确环保责任制及其奖惩办法。</w:t>
            </w:r>
          </w:p>
          <w:p w14:paraId="384C4FF7">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环境</w:t>
            </w:r>
            <w:r>
              <w:rPr>
                <w:rFonts w:hint="default" w:ascii="Times New Roman" w:hAnsi="Times New Roman" w:eastAsia="宋体" w:cs="Times New Roman"/>
                <w:color w:val="auto"/>
                <w:sz w:val="24"/>
              </w:rPr>
              <w:t>监测计划</w:t>
            </w:r>
          </w:p>
          <w:p w14:paraId="6460D0EC">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为了及时了解项目施工和运营过程中对生态环境产生影响的范围和程度，以便采取相应的减缓措施，根据环境影响预测结论，对光伏区及储能区周围环境进行监测，根据本项目的环境影响要求，制定环境监测计划，具体监测计划见表5-</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w:t>
            </w:r>
          </w:p>
          <w:p w14:paraId="4B3A85E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default" w:ascii="Times New Roman" w:hAnsi="Times New Roman" w:eastAsia="黑体" w:cs="Times New Roman"/>
                <w:color w:val="auto"/>
                <w:kern w:val="0"/>
                <w:sz w:val="21"/>
                <w:szCs w:val="24"/>
                <w:lang w:val="en-US" w:eastAsia="zh-CN" w:bidi="en-US"/>
              </w:rPr>
            </w:pPr>
            <w:r>
              <w:rPr>
                <w:rFonts w:hint="default" w:ascii="Times New Roman" w:hAnsi="Times New Roman" w:eastAsia="黑体" w:cs="Times New Roman"/>
                <w:color w:val="auto"/>
                <w:kern w:val="0"/>
                <w:sz w:val="21"/>
                <w:szCs w:val="24"/>
                <w:lang w:val="en-US" w:eastAsia="zh-CN" w:bidi="en-US"/>
              </w:rPr>
              <w:t>表5-</w:t>
            </w:r>
            <w:r>
              <w:rPr>
                <w:rFonts w:hint="eastAsia" w:ascii="Times New Roman" w:hAnsi="Times New Roman" w:eastAsia="黑体" w:cs="Times New Roman"/>
                <w:color w:val="auto"/>
                <w:kern w:val="0"/>
                <w:sz w:val="21"/>
                <w:szCs w:val="24"/>
                <w:lang w:val="en-US" w:eastAsia="zh-CN" w:bidi="en-US"/>
              </w:rPr>
              <w:t>3</w:t>
            </w:r>
            <w:r>
              <w:rPr>
                <w:rFonts w:hint="default" w:ascii="Times New Roman" w:hAnsi="Times New Roman" w:eastAsia="黑体" w:cs="Times New Roman"/>
                <w:color w:val="auto"/>
                <w:kern w:val="0"/>
                <w:sz w:val="21"/>
                <w:szCs w:val="24"/>
                <w:lang w:val="en-US" w:eastAsia="zh-CN" w:bidi="en-US"/>
              </w:rPr>
              <w:t xml:space="preserve">                 环境监测计划表</w:t>
            </w:r>
          </w:p>
          <w:tbl>
            <w:tblPr>
              <w:tblStyle w:val="29"/>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3189"/>
              <w:gridCol w:w="4235"/>
            </w:tblGrid>
            <w:tr w14:paraId="77449F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dxa"/>
                  <w:tcBorders>
                    <w:tl2br w:val="nil"/>
                    <w:tr2bl w:val="nil"/>
                  </w:tcBorders>
                  <w:noWrap w:val="0"/>
                  <w:vAlign w:val="center"/>
                </w:tcPr>
                <w:p w14:paraId="53513FAE">
                  <w:pPr>
                    <w:pStyle w:val="1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监测内容</w:t>
                  </w:r>
                </w:p>
              </w:tc>
              <w:tc>
                <w:tcPr>
                  <w:tcW w:w="3189" w:type="dxa"/>
                  <w:tcBorders>
                    <w:tl2br w:val="nil"/>
                    <w:tr2bl w:val="nil"/>
                  </w:tcBorders>
                  <w:noWrap w:val="0"/>
                  <w:vAlign w:val="center"/>
                </w:tcPr>
                <w:p w14:paraId="267E9345">
                  <w:pPr>
                    <w:pStyle w:val="1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监测因子、频率</w:t>
                  </w:r>
                </w:p>
              </w:tc>
              <w:tc>
                <w:tcPr>
                  <w:tcW w:w="4235" w:type="dxa"/>
                  <w:tcBorders>
                    <w:tl2br w:val="nil"/>
                    <w:tr2bl w:val="nil"/>
                  </w:tcBorders>
                  <w:noWrap w:val="0"/>
                  <w:vAlign w:val="center"/>
                </w:tcPr>
                <w:p w14:paraId="466726C4">
                  <w:pPr>
                    <w:pStyle w:val="1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监测点位、监测要求、监管要求</w:t>
                  </w:r>
                </w:p>
              </w:tc>
            </w:tr>
            <w:tr w14:paraId="3212D0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dxa"/>
                  <w:tcBorders>
                    <w:tl2br w:val="nil"/>
                    <w:tr2bl w:val="nil"/>
                  </w:tcBorders>
                  <w:noWrap w:val="0"/>
                  <w:vAlign w:val="center"/>
                </w:tcPr>
                <w:p w14:paraId="0B03ED8E">
                  <w:pPr>
                    <w:pStyle w:val="1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声环境监测</w:t>
                  </w:r>
                </w:p>
              </w:tc>
              <w:tc>
                <w:tcPr>
                  <w:tcW w:w="3189" w:type="dxa"/>
                  <w:tcBorders>
                    <w:tl2br w:val="nil"/>
                    <w:tr2bl w:val="nil"/>
                  </w:tcBorders>
                  <w:noWrap w:val="0"/>
                  <w:vAlign w:val="center"/>
                </w:tcPr>
                <w:p w14:paraId="733120E4">
                  <w:pPr>
                    <w:pStyle w:val="1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监测因子：噪声</w:t>
                  </w:r>
                </w:p>
                <w:p w14:paraId="05598C9E">
                  <w:pPr>
                    <w:pStyle w:val="1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监测频率：厂界环境噪声每季度至少开展一次监测，夜间生产的要监测夜间噪声。</w:t>
                  </w:r>
                </w:p>
              </w:tc>
              <w:tc>
                <w:tcPr>
                  <w:tcW w:w="4235" w:type="dxa"/>
                  <w:tcBorders>
                    <w:tl2br w:val="nil"/>
                    <w:tr2bl w:val="nil"/>
                  </w:tcBorders>
                  <w:noWrap w:val="0"/>
                  <w:vAlign w:val="center"/>
                </w:tcPr>
                <w:p w14:paraId="402A7548">
                  <w:pPr>
                    <w:pStyle w:val="1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1、光伏电站厂界四周布点；</w:t>
                  </w:r>
                </w:p>
                <w:p w14:paraId="53253D41">
                  <w:pPr>
                    <w:pStyle w:val="11"/>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2、如新增声环境保护目标，声保护目标处布点监测；监测点位及要求应满足《排污单位自行监测技术指南》</w:t>
                  </w:r>
                  <w:r>
                    <w:rPr>
                      <w:rFonts w:hint="eastAsia"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rPr>
                    <w:t>HJ/819-2017</w:t>
                  </w:r>
                  <w:r>
                    <w:rPr>
                      <w:rFonts w:hint="eastAsia" w:ascii="Times New Roman" w:hAnsi="Times New Roman"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rPr>
                    <w:t>。</w:t>
                  </w:r>
                </w:p>
              </w:tc>
            </w:tr>
            <w:tr w14:paraId="763622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5" w:type="dxa"/>
                  <w:tcBorders>
                    <w:tl2br w:val="nil"/>
                    <w:tr2bl w:val="nil"/>
                  </w:tcBorders>
                  <w:noWrap w:val="0"/>
                  <w:vAlign w:val="center"/>
                </w:tcPr>
                <w:p w14:paraId="6C238A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生态恢复监管</w:t>
                  </w:r>
                </w:p>
              </w:tc>
              <w:tc>
                <w:tcPr>
                  <w:tcW w:w="3189" w:type="dxa"/>
                  <w:tcBorders>
                    <w:tl2br w:val="nil"/>
                    <w:tr2bl w:val="nil"/>
                  </w:tcBorders>
                  <w:noWrap w:val="0"/>
                  <w:vAlign w:val="center"/>
                </w:tcPr>
                <w:p w14:paraId="0DE195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生态系统及其生物因子、非生物因子</w:t>
                  </w:r>
                </w:p>
              </w:tc>
              <w:tc>
                <w:tcPr>
                  <w:tcW w:w="4235" w:type="dxa"/>
                  <w:tcBorders>
                    <w:tl2br w:val="nil"/>
                    <w:tr2bl w:val="nil"/>
                  </w:tcBorders>
                  <w:noWrap w:val="0"/>
                  <w:vAlign w:val="center"/>
                </w:tcPr>
                <w:p w14:paraId="6EE3DA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生态监管主要是定期对工程临时占地的水土流失控制情况进行调查统计，根据实际情况制定完善生态恢复计划，确保工程临时占地恢复原有地貌。</w:t>
                  </w:r>
                </w:p>
              </w:tc>
            </w:tr>
          </w:tbl>
          <w:p w14:paraId="2D5B2B4D">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p>
          <w:p w14:paraId="4E2163BA">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p>
          <w:p w14:paraId="0C7BA6A1">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p>
          <w:p w14:paraId="14E411B5">
            <w:pPr>
              <w:pStyle w:val="3"/>
              <w:keepNext w:val="0"/>
              <w:keepLines w:val="0"/>
              <w:suppressLineNumbers w:val="0"/>
              <w:spacing w:before="0" w:beforeAutospacing="0" w:afterAutospacing="0"/>
              <w:ind w:left="0" w:right="0"/>
              <w:rPr>
                <w:rFonts w:hint="default" w:ascii="Times New Roman" w:hAnsi="Times New Roman" w:cs="Times New Roman"/>
                <w:color w:val="auto"/>
                <w:sz w:val="24"/>
              </w:rPr>
            </w:pPr>
          </w:p>
        </w:tc>
      </w:tr>
      <w:tr w14:paraId="527D48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753" w:type="dxa"/>
            <w:noWrap w:val="0"/>
            <w:vAlign w:val="center"/>
          </w:tcPr>
          <w:p w14:paraId="5F7E06C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 w:val="24"/>
                <w:szCs w:val="24"/>
              </w:rPr>
            </w:pPr>
            <w:r>
              <w:rPr>
                <w:rFonts w:hint="default" w:ascii="Times New Roman" w:hAnsi="Times New Roman" w:cs="Times New Roman"/>
                <w:bCs/>
                <w:color w:val="auto"/>
                <w:sz w:val="24"/>
                <w:szCs w:val="24"/>
              </w:rPr>
              <w:t>其他</w:t>
            </w:r>
          </w:p>
        </w:tc>
        <w:tc>
          <w:tcPr>
            <w:tcW w:w="8457" w:type="dxa"/>
            <w:noWrap w:val="0"/>
            <w:vAlign w:val="center"/>
          </w:tcPr>
          <w:p w14:paraId="57A9F97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无</w:t>
            </w:r>
          </w:p>
        </w:tc>
      </w:tr>
      <w:tr w14:paraId="4AB304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noWrap w:val="0"/>
            <w:vAlign w:val="center"/>
          </w:tcPr>
          <w:p w14:paraId="4FB90FC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 w:val="24"/>
                <w:szCs w:val="24"/>
              </w:rPr>
            </w:pPr>
            <w:r>
              <w:rPr>
                <w:rFonts w:hint="default" w:ascii="Times New Roman" w:hAnsi="Times New Roman" w:cs="Times New Roman"/>
                <w:bCs/>
                <w:color w:val="auto"/>
                <w:sz w:val="24"/>
                <w:szCs w:val="24"/>
              </w:rPr>
              <w:t>环保投资</w:t>
            </w:r>
          </w:p>
        </w:tc>
        <w:tc>
          <w:tcPr>
            <w:tcW w:w="8457" w:type="dxa"/>
            <w:noWrap w:val="0"/>
            <w:vAlign w:val="top"/>
          </w:tcPr>
          <w:p w14:paraId="76A069F9">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环保措施投资估算</w:t>
            </w:r>
          </w:p>
          <w:p w14:paraId="39660E9A">
            <w:pPr>
              <w:keepNext w:val="0"/>
              <w:keepLines w:val="0"/>
              <w:pageBreakBefore w:val="0"/>
              <w:suppressLineNumbers w:val="0"/>
              <w:kinsoku/>
              <w:wordWrap/>
              <w:overflowPunct/>
              <w:topLinePunct w:val="0"/>
              <w:bidi w:val="0"/>
              <w:snapToGrid w:val="0"/>
              <w:spacing w:before="0" w:beforeAutospacing="0" w:after="0" w:afterAutospacing="0" w:line="480" w:lineRule="exact"/>
              <w:ind w:left="0" w:right="0" w:firstLine="480" w:firstLineChars="200"/>
              <w:jc w:val="both"/>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本工程环保措施投资估算，见表5-</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w:t>
            </w:r>
          </w:p>
          <w:p w14:paraId="7947A7E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default" w:ascii="Times New Roman" w:hAnsi="Times New Roman" w:eastAsia="黑体" w:cs="Times New Roman"/>
                <w:color w:val="auto"/>
                <w:kern w:val="0"/>
                <w:sz w:val="21"/>
                <w:szCs w:val="24"/>
                <w:lang w:val="en-US" w:eastAsia="zh-CN" w:bidi="en-US"/>
              </w:rPr>
            </w:pPr>
            <w:r>
              <w:rPr>
                <w:rFonts w:hint="default" w:ascii="Times New Roman" w:hAnsi="Times New Roman" w:eastAsia="黑体" w:cs="Times New Roman"/>
                <w:color w:val="auto"/>
                <w:kern w:val="0"/>
                <w:sz w:val="21"/>
                <w:szCs w:val="24"/>
                <w:lang w:val="en-US" w:eastAsia="zh-CN" w:bidi="en-US"/>
              </w:rPr>
              <w:t>表5-</w:t>
            </w:r>
            <w:r>
              <w:rPr>
                <w:rFonts w:hint="eastAsia" w:ascii="Times New Roman" w:hAnsi="Times New Roman" w:eastAsia="黑体" w:cs="Times New Roman"/>
                <w:color w:val="auto"/>
                <w:kern w:val="0"/>
                <w:sz w:val="21"/>
                <w:szCs w:val="24"/>
                <w:lang w:val="en-US" w:eastAsia="zh-CN" w:bidi="en-US"/>
              </w:rPr>
              <w:t>2</w:t>
            </w:r>
            <w:r>
              <w:rPr>
                <w:rFonts w:hint="default" w:ascii="Times New Roman" w:hAnsi="Times New Roman" w:eastAsia="黑体" w:cs="Times New Roman"/>
                <w:color w:val="auto"/>
                <w:kern w:val="0"/>
                <w:sz w:val="21"/>
                <w:szCs w:val="24"/>
                <w:lang w:val="en-US" w:eastAsia="zh-CN" w:bidi="en-US"/>
              </w:rPr>
              <w:t xml:space="preserve">           </w:t>
            </w:r>
            <w:r>
              <w:rPr>
                <w:rFonts w:hint="eastAsia" w:ascii="Times New Roman" w:hAnsi="Times New Roman" w:eastAsia="黑体" w:cs="Times New Roman"/>
                <w:color w:val="auto"/>
                <w:kern w:val="0"/>
                <w:sz w:val="21"/>
                <w:szCs w:val="24"/>
                <w:lang w:val="en-US" w:eastAsia="zh-CN" w:bidi="en-US"/>
              </w:rPr>
              <w:t xml:space="preserve">  </w:t>
            </w:r>
            <w:r>
              <w:rPr>
                <w:rFonts w:hint="default" w:ascii="Times New Roman" w:hAnsi="Times New Roman" w:eastAsia="黑体" w:cs="Times New Roman"/>
                <w:color w:val="auto"/>
                <w:kern w:val="0"/>
                <w:sz w:val="21"/>
                <w:szCs w:val="24"/>
                <w:lang w:val="en-US" w:eastAsia="zh-CN" w:bidi="en-US"/>
              </w:rPr>
              <w:t xml:space="preserve">   环保措施投资估算表</w:t>
            </w:r>
          </w:p>
          <w:tbl>
            <w:tblPr>
              <w:tblStyle w:val="29"/>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75"/>
              <w:gridCol w:w="542"/>
              <w:gridCol w:w="1994"/>
              <w:gridCol w:w="3389"/>
              <w:gridCol w:w="1459"/>
            </w:tblGrid>
            <w:tr w14:paraId="2F6EB2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5" w:type="pct"/>
                  <w:tcBorders>
                    <w:tl2br w:val="nil"/>
                    <w:tr2bl w:val="nil"/>
                  </w:tcBorders>
                  <w:noWrap w:val="0"/>
                  <w:vAlign w:val="center"/>
                </w:tcPr>
                <w:p w14:paraId="341A39F4">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554" w:type="pct"/>
                  <w:gridSpan w:val="2"/>
                  <w:tcBorders>
                    <w:tl2br w:val="nil"/>
                    <w:tr2bl w:val="nil"/>
                  </w:tcBorders>
                  <w:noWrap w:val="0"/>
                  <w:vAlign w:val="center"/>
                </w:tcPr>
                <w:p w14:paraId="2EB06BC8">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2076" w:type="pct"/>
                  <w:tcBorders>
                    <w:tl2br w:val="nil"/>
                    <w:tr2bl w:val="nil"/>
                  </w:tcBorders>
                  <w:noWrap w:val="0"/>
                  <w:vAlign w:val="center"/>
                </w:tcPr>
                <w:p w14:paraId="4FB2A857">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措施</w:t>
                  </w:r>
                </w:p>
              </w:tc>
              <w:tc>
                <w:tcPr>
                  <w:tcW w:w="894" w:type="pct"/>
                  <w:tcBorders>
                    <w:tl2br w:val="nil"/>
                    <w:tr2bl w:val="nil"/>
                  </w:tcBorders>
                  <w:noWrap w:val="0"/>
                  <w:vAlign w:val="center"/>
                </w:tcPr>
                <w:p w14:paraId="3171E73E">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投资（万元）</w:t>
                  </w:r>
                </w:p>
              </w:tc>
            </w:tr>
            <w:tr w14:paraId="392764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5" w:type="pct"/>
                  <w:tcBorders>
                    <w:tl2br w:val="nil"/>
                    <w:tr2bl w:val="nil"/>
                  </w:tcBorders>
                  <w:noWrap w:val="0"/>
                  <w:vAlign w:val="center"/>
                </w:tcPr>
                <w:p w14:paraId="131F9F53">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32" w:type="pct"/>
                  <w:vMerge w:val="restart"/>
                  <w:tcBorders>
                    <w:tl2br w:val="nil"/>
                    <w:tr2bl w:val="nil"/>
                  </w:tcBorders>
                  <w:noWrap w:val="0"/>
                  <w:vAlign w:val="center"/>
                </w:tcPr>
                <w:p w14:paraId="57C0D694">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施工期</w:t>
                  </w:r>
                </w:p>
              </w:tc>
              <w:tc>
                <w:tcPr>
                  <w:tcW w:w="1221" w:type="pct"/>
                  <w:tcBorders>
                    <w:tl2br w:val="nil"/>
                    <w:tr2bl w:val="nil"/>
                  </w:tcBorders>
                  <w:noWrap w:val="0"/>
                  <w:vAlign w:val="center"/>
                </w:tcPr>
                <w:p w14:paraId="58904356">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施工期降尘、防尘</w:t>
                  </w:r>
                </w:p>
              </w:tc>
              <w:tc>
                <w:tcPr>
                  <w:tcW w:w="2076" w:type="pct"/>
                  <w:tcBorders>
                    <w:tl2br w:val="nil"/>
                    <w:tr2bl w:val="nil"/>
                  </w:tcBorders>
                  <w:noWrap w:val="0"/>
                  <w:vAlign w:val="center"/>
                </w:tcPr>
                <w:p w14:paraId="05D417E4">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洒水、遮盖篷布等</w:t>
                  </w:r>
                </w:p>
              </w:tc>
              <w:tc>
                <w:tcPr>
                  <w:tcW w:w="894" w:type="pct"/>
                  <w:tcBorders>
                    <w:tl2br w:val="nil"/>
                    <w:tr2bl w:val="nil"/>
                  </w:tcBorders>
                  <w:noWrap w:val="0"/>
                  <w:vAlign w:val="center"/>
                </w:tcPr>
                <w:p w14:paraId="73593117">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r>
            <w:tr w14:paraId="3EE6EB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5" w:type="pct"/>
                  <w:tcBorders>
                    <w:tl2br w:val="nil"/>
                    <w:tr2bl w:val="nil"/>
                  </w:tcBorders>
                  <w:noWrap w:val="0"/>
                  <w:vAlign w:val="center"/>
                </w:tcPr>
                <w:p w14:paraId="55998C41">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332" w:type="pct"/>
                  <w:vMerge w:val="continue"/>
                  <w:tcBorders>
                    <w:tl2br w:val="nil"/>
                    <w:tr2bl w:val="nil"/>
                  </w:tcBorders>
                  <w:noWrap w:val="0"/>
                  <w:vAlign w:val="center"/>
                </w:tcPr>
                <w:p w14:paraId="65062FEF">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221" w:type="pct"/>
                  <w:tcBorders>
                    <w:tl2br w:val="nil"/>
                    <w:tr2bl w:val="nil"/>
                  </w:tcBorders>
                  <w:noWrap w:val="0"/>
                  <w:vAlign w:val="center"/>
                </w:tcPr>
                <w:p w14:paraId="72E41F22">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施工期噪声</w:t>
                  </w:r>
                </w:p>
              </w:tc>
              <w:tc>
                <w:tcPr>
                  <w:tcW w:w="2076" w:type="pct"/>
                  <w:tcBorders>
                    <w:tl2br w:val="nil"/>
                    <w:tr2bl w:val="nil"/>
                  </w:tcBorders>
                  <w:noWrap w:val="0"/>
                  <w:vAlign w:val="center"/>
                </w:tcPr>
                <w:p w14:paraId="55C2000D">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隔声围挡、施工设备降噪</w:t>
                  </w:r>
                </w:p>
              </w:tc>
              <w:tc>
                <w:tcPr>
                  <w:tcW w:w="894" w:type="pct"/>
                  <w:tcBorders>
                    <w:tl2br w:val="nil"/>
                    <w:tr2bl w:val="nil"/>
                  </w:tcBorders>
                  <w:noWrap w:val="0"/>
                  <w:vAlign w:val="center"/>
                </w:tcPr>
                <w:p w14:paraId="0F641CAA">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r>
            <w:tr w14:paraId="04779A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5" w:type="pct"/>
                  <w:tcBorders>
                    <w:tl2br w:val="nil"/>
                    <w:tr2bl w:val="nil"/>
                  </w:tcBorders>
                  <w:noWrap w:val="0"/>
                  <w:vAlign w:val="center"/>
                </w:tcPr>
                <w:p w14:paraId="4B570009">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332" w:type="pct"/>
                  <w:vMerge w:val="continue"/>
                  <w:tcBorders>
                    <w:tl2br w:val="nil"/>
                    <w:tr2bl w:val="nil"/>
                  </w:tcBorders>
                  <w:noWrap w:val="0"/>
                  <w:vAlign w:val="center"/>
                </w:tcPr>
                <w:p w14:paraId="239E866C">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221" w:type="pct"/>
                  <w:tcBorders>
                    <w:tl2br w:val="nil"/>
                    <w:tr2bl w:val="nil"/>
                  </w:tcBorders>
                  <w:noWrap w:val="0"/>
                  <w:vAlign w:val="center"/>
                </w:tcPr>
                <w:p w14:paraId="3871BC82">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2076" w:type="pct"/>
                  <w:tcBorders>
                    <w:tl2br w:val="nil"/>
                    <w:tr2bl w:val="nil"/>
                  </w:tcBorders>
                  <w:noWrap w:val="0"/>
                  <w:vAlign w:val="center"/>
                </w:tcPr>
                <w:p w14:paraId="311D86F6">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临时垃圾箱、及时拉运</w:t>
                  </w:r>
                </w:p>
              </w:tc>
              <w:tc>
                <w:tcPr>
                  <w:tcW w:w="894" w:type="pct"/>
                  <w:tcBorders>
                    <w:tl2br w:val="nil"/>
                    <w:tr2bl w:val="nil"/>
                  </w:tcBorders>
                  <w:noWrap w:val="0"/>
                  <w:vAlign w:val="center"/>
                </w:tcPr>
                <w:p w14:paraId="315E62FD">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r>
            <w:tr w14:paraId="406C4F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5" w:type="pct"/>
                  <w:tcBorders>
                    <w:tl2br w:val="nil"/>
                    <w:tr2bl w:val="nil"/>
                  </w:tcBorders>
                  <w:noWrap w:val="0"/>
                  <w:vAlign w:val="center"/>
                </w:tcPr>
                <w:p w14:paraId="3C7EC0E5">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332" w:type="pct"/>
                  <w:vMerge w:val="continue"/>
                  <w:tcBorders>
                    <w:tl2br w:val="nil"/>
                    <w:tr2bl w:val="nil"/>
                  </w:tcBorders>
                  <w:noWrap w:val="0"/>
                  <w:vAlign w:val="center"/>
                </w:tcPr>
                <w:p w14:paraId="5CC2068E">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221" w:type="pct"/>
                  <w:tcBorders>
                    <w:tl2br w:val="nil"/>
                    <w:tr2bl w:val="nil"/>
                  </w:tcBorders>
                  <w:noWrap w:val="0"/>
                  <w:vAlign w:val="center"/>
                </w:tcPr>
                <w:p w14:paraId="3BDDD908">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施工期废水</w:t>
                  </w:r>
                </w:p>
              </w:tc>
              <w:tc>
                <w:tcPr>
                  <w:tcW w:w="2076" w:type="pct"/>
                  <w:tcBorders>
                    <w:tl2br w:val="nil"/>
                    <w:tr2bl w:val="nil"/>
                  </w:tcBorders>
                  <w:noWrap w:val="0"/>
                  <w:vAlign w:val="center"/>
                </w:tcPr>
                <w:p w14:paraId="71E99B00">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防渗收集池、移动环保厕所、定期拉运</w:t>
                  </w:r>
                </w:p>
              </w:tc>
              <w:tc>
                <w:tcPr>
                  <w:tcW w:w="894" w:type="pct"/>
                  <w:tcBorders>
                    <w:tl2br w:val="nil"/>
                    <w:tr2bl w:val="nil"/>
                  </w:tcBorders>
                  <w:noWrap w:val="0"/>
                  <w:vAlign w:val="center"/>
                </w:tcPr>
                <w:p w14:paraId="35DBA600">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r>
            <w:tr w14:paraId="59B57B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5" w:type="pct"/>
                  <w:tcBorders>
                    <w:tl2br w:val="nil"/>
                    <w:tr2bl w:val="nil"/>
                  </w:tcBorders>
                  <w:noWrap w:val="0"/>
                  <w:vAlign w:val="center"/>
                </w:tcPr>
                <w:p w14:paraId="5F6A4212">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332" w:type="pct"/>
                  <w:vMerge w:val="continue"/>
                  <w:tcBorders>
                    <w:tl2br w:val="nil"/>
                    <w:tr2bl w:val="nil"/>
                  </w:tcBorders>
                  <w:noWrap w:val="0"/>
                  <w:vAlign w:val="center"/>
                </w:tcPr>
                <w:p w14:paraId="5646D8B7">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221" w:type="pct"/>
                  <w:tcBorders>
                    <w:tl2br w:val="nil"/>
                    <w:tr2bl w:val="nil"/>
                  </w:tcBorders>
                  <w:noWrap w:val="0"/>
                  <w:vAlign w:val="center"/>
                </w:tcPr>
                <w:p w14:paraId="1E375961">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施工期固废</w:t>
                  </w:r>
                </w:p>
              </w:tc>
              <w:tc>
                <w:tcPr>
                  <w:tcW w:w="2076" w:type="pct"/>
                  <w:tcBorders>
                    <w:tl2br w:val="nil"/>
                    <w:tr2bl w:val="nil"/>
                  </w:tcBorders>
                  <w:noWrap w:val="0"/>
                  <w:vAlign w:val="center"/>
                </w:tcPr>
                <w:p w14:paraId="7CB595FE">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建筑垃圾</w:t>
                  </w:r>
                </w:p>
              </w:tc>
              <w:tc>
                <w:tcPr>
                  <w:tcW w:w="894" w:type="pct"/>
                  <w:tcBorders>
                    <w:tl2br w:val="nil"/>
                    <w:tr2bl w:val="nil"/>
                  </w:tcBorders>
                  <w:noWrap w:val="0"/>
                  <w:vAlign w:val="center"/>
                </w:tcPr>
                <w:p w14:paraId="4139D532">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r>
            <w:tr w14:paraId="7D99E0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5" w:type="pct"/>
                  <w:tcBorders>
                    <w:tl2br w:val="nil"/>
                    <w:tr2bl w:val="nil"/>
                  </w:tcBorders>
                  <w:noWrap w:val="0"/>
                  <w:vAlign w:val="center"/>
                </w:tcPr>
                <w:p w14:paraId="28D364FC">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332" w:type="pct"/>
                  <w:vMerge w:val="restart"/>
                  <w:tcBorders>
                    <w:tl2br w:val="nil"/>
                    <w:tr2bl w:val="nil"/>
                  </w:tcBorders>
                  <w:noWrap w:val="0"/>
                  <w:vAlign w:val="center"/>
                </w:tcPr>
                <w:p w14:paraId="5FB58895">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运营期</w:t>
                  </w:r>
                </w:p>
              </w:tc>
              <w:tc>
                <w:tcPr>
                  <w:tcW w:w="1221" w:type="pct"/>
                  <w:tcBorders>
                    <w:tl2br w:val="nil"/>
                    <w:tr2bl w:val="nil"/>
                  </w:tcBorders>
                  <w:noWrap w:val="0"/>
                  <w:vAlign w:val="center"/>
                </w:tcPr>
                <w:p w14:paraId="02A0337B">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光伏电场</w:t>
                  </w:r>
                </w:p>
              </w:tc>
              <w:tc>
                <w:tcPr>
                  <w:tcW w:w="2076" w:type="pct"/>
                  <w:tcBorders>
                    <w:tl2br w:val="nil"/>
                    <w:tr2bl w:val="nil"/>
                  </w:tcBorders>
                  <w:noWrap w:val="0"/>
                  <w:vAlign w:val="center"/>
                </w:tcPr>
                <w:p w14:paraId="03DAED60">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悬挂警示牌</w:t>
                  </w:r>
                </w:p>
              </w:tc>
              <w:tc>
                <w:tcPr>
                  <w:tcW w:w="894" w:type="pct"/>
                  <w:tcBorders>
                    <w:tl2br w:val="nil"/>
                    <w:tr2bl w:val="nil"/>
                  </w:tcBorders>
                  <w:noWrap w:val="0"/>
                  <w:vAlign w:val="center"/>
                </w:tcPr>
                <w:p w14:paraId="35C3CBB5">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r>
            <w:tr w14:paraId="6D249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5" w:type="pct"/>
                  <w:tcBorders>
                    <w:tl2br w:val="nil"/>
                    <w:tr2bl w:val="nil"/>
                  </w:tcBorders>
                  <w:noWrap w:val="0"/>
                  <w:vAlign w:val="center"/>
                </w:tcPr>
                <w:p w14:paraId="1A5C3054">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332" w:type="pct"/>
                  <w:vMerge w:val="continue"/>
                  <w:tcBorders>
                    <w:tl2br w:val="nil"/>
                    <w:tr2bl w:val="nil"/>
                  </w:tcBorders>
                  <w:noWrap w:val="0"/>
                  <w:vAlign w:val="center"/>
                </w:tcPr>
                <w:p w14:paraId="1D741E72">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221" w:type="pct"/>
                  <w:tcBorders>
                    <w:tl2br w:val="nil"/>
                    <w:tr2bl w:val="nil"/>
                  </w:tcBorders>
                  <w:noWrap w:val="0"/>
                  <w:vAlign w:val="center"/>
                </w:tcPr>
                <w:p w14:paraId="20FF461D">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生态补偿</w:t>
                  </w:r>
                </w:p>
              </w:tc>
              <w:tc>
                <w:tcPr>
                  <w:tcW w:w="2076" w:type="pct"/>
                  <w:tcBorders>
                    <w:tl2br w:val="nil"/>
                    <w:tr2bl w:val="nil"/>
                  </w:tcBorders>
                  <w:noWrap w:val="0"/>
                  <w:vAlign w:val="center"/>
                </w:tcPr>
                <w:p w14:paraId="0EC80E5D">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施工结束后的场地平整、植被恢复等</w:t>
                  </w:r>
                </w:p>
              </w:tc>
              <w:tc>
                <w:tcPr>
                  <w:tcW w:w="894" w:type="pct"/>
                  <w:tcBorders>
                    <w:tl2br w:val="nil"/>
                    <w:tr2bl w:val="nil"/>
                  </w:tcBorders>
                  <w:noWrap w:val="0"/>
                  <w:vAlign w:val="center"/>
                </w:tcPr>
                <w:p w14:paraId="33815404">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80</w:t>
                  </w:r>
                </w:p>
              </w:tc>
            </w:tr>
            <w:tr w14:paraId="2EEA99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5" w:type="pct"/>
                  <w:tcBorders>
                    <w:tl2br w:val="nil"/>
                    <w:tr2bl w:val="nil"/>
                  </w:tcBorders>
                  <w:noWrap w:val="0"/>
                  <w:vAlign w:val="center"/>
                </w:tcPr>
                <w:p w14:paraId="5B45135D">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8</w:t>
                  </w:r>
                </w:p>
              </w:tc>
              <w:tc>
                <w:tcPr>
                  <w:tcW w:w="332" w:type="pct"/>
                  <w:vMerge w:val="continue"/>
                  <w:tcBorders>
                    <w:tl2br w:val="nil"/>
                    <w:tr2bl w:val="nil"/>
                  </w:tcBorders>
                  <w:noWrap w:val="0"/>
                  <w:vAlign w:val="center"/>
                </w:tcPr>
                <w:p w14:paraId="2C927229">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221" w:type="pct"/>
                  <w:tcBorders>
                    <w:tl2br w:val="nil"/>
                    <w:tr2bl w:val="nil"/>
                  </w:tcBorders>
                  <w:noWrap w:val="0"/>
                  <w:vAlign w:val="center"/>
                </w:tcPr>
                <w:p w14:paraId="00CB1B13">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箱变事故油池</w:t>
                  </w:r>
                </w:p>
              </w:tc>
              <w:tc>
                <w:tcPr>
                  <w:tcW w:w="2076" w:type="pct"/>
                  <w:tcBorders>
                    <w:tl2br w:val="nil"/>
                    <w:tr2bl w:val="nil"/>
                  </w:tcBorders>
                  <w:noWrap w:val="0"/>
                  <w:vAlign w:val="center"/>
                </w:tcPr>
                <w:p w14:paraId="57C04F6A">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每台箱变配套一座5m</w:t>
                  </w:r>
                  <w:r>
                    <w:rPr>
                      <w:rFonts w:hint="eastAsia"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rPr>
                    <w:t>事故油池</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基础防渗、围堰</w:t>
                  </w:r>
                </w:p>
              </w:tc>
              <w:tc>
                <w:tcPr>
                  <w:tcW w:w="894" w:type="pct"/>
                  <w:tcBorders>
                    <w:tl2br w:val="nil"/>
                    <w:tr2bl w:val="nil"/>
                  </w:tcBorders>
                  <w:noWrap w:val="0"/>
                  <w:vAlign w:val="center"/>
                </w:tcPr>
                <w:p w14:paraId="3BE2F267">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0</w:t>
                  </w:r>
                </w:p>
              </w:tc>
            </w:tr>
            <w:tr w14:paraId="2799D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75" w:type="pct"/>
                  <w:tcBorders>
                    <w:tl2br w:val="nil"/>
                    <w:tr2bl w:val="nil"/>
                  </w:tcBorders>
                  <w:noWrap w:val="0"/>
                  <w:vAlign w:val="center"/>
                </w:tcPr>
                <w:p w14:paraId="5390F4ED">
                  <w:pPr>
                    <w:keepNext w:val="0"/>
                    <w:keepLines w:val="0"/>
                    <w:suppressLineNumbers w:val="0"/>
                    <w:snapToGrid w:val="0"/>
                    <w:spacing w:before="0" w:beforeAutospacing="0" w:after="0" w:afterAutospacing="0" w:line="240" w:lineRule="atLeast"/>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9</w:t>
                  </w:r>
                </w:p>
              </w:tc>
              <w:tc>
                <w:tcPr>
                  <w:tcW w:w="332" w:type="pct"/>
                  <w:vMerge w:val="continue"/>
                  <w:tcBorders>
                    <w:tl2br w:val="nil"/>
                    <w:tr2bl w:val="nil"/>
                  </w:tcBorders>
                  <w:noWrap w:val="0"/>
                  <w:vAlign w:val="center"/>
                </w:tcPr>
                <w:p w14:paraId="5EE94F41">
                  <w:pPr>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p>
              </w:tc>
              <w:tc>
                <w:tcPr>
                  <w:tcW w:w="1221" w:type="pct"/>
                  <w:tcBorders>
                    <w:tl2br w:val="nil"/>
                    <w:tr2bl w:val="nil"/>
                  </w:tcBorders>
                  <w:noWrap w:val="0"/>
                  <w:vAlign w:val="center"/>
                </w:tcPr>
                <w:p w14:paraId="7789E9CD">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竣工环保验收及监测</w:t>
                  </w:r>
                </w:p>
              </w:tc>
              <w:tc>
                <w:tcPr>
                  <w:tcW w:w="2076" w:type="pct"/>
                  <w:tcBorders>
                    <w:tl2br w:val="nil"/>
                    <w:tr2bl w:val="nil"/>
                  </w:tcBorders>
                  <w:noWrap w:val="0"/>
                  <w:vAlign w:val="center"/>
                </w:tcPr>
                <w:p w14:paraId="69F410C3">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竣工环保验收及监测</w:t>
                  </w:r>
                </w:p>
              </w:tc>
              <w:tc>
                <w:tcPr>
                  <w:tcW w:w="894" w:type="pct"/>
                  <w:tcBorders>
                    <w:tl2br w:val="nil"/>
                    <w:tr2bl w:val="nil"/>
                  </w:tcBorders>
                  <w:noWrap w:val="0"/>
                  <w:vAlign w:val="center"/>
                </w:tcPr>
                <w:p w14:paraId="70931DAB">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r>
            <w:tr w14:paraId="26EB04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105" w:type="pct"/>
                  <w:gridSpan w:val="4"/>
                  <w:tcBorders>
                    <w:tl2br w:val="nil"/>
                    <w:tr2bl w:val="nil"/>
                  </w:tcBorders>
                  <w:noWrap w:val="0"/>
                  <w:vAlign w:val="center"/>
                </w:tcPr>
                <w:p w14:paraId="090DD176">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总计</w:t>
                  </w:r>
                </w:p>
              </w:tc>
              <w:tc>
                <w:tcPr>
                  <w:tcW w:w="894" w:type="pct"/>
                  <w:tcBorders>
                    <w:tl2br w:val="nil"/>
                    <w:tr2bl w:val="nil"/>
                  </w:tcBorders>
                  <w:noWrap w:val="0"/>
                  <w:vAlign w:val="center"/>
                </w:tcPr>
                <w:p w14:paraId="1BB7E2E6">
                  <w:pPr>
                    <w:keepNext w:val="0"/>
                    <w:keepLines w:val="0"/>
                    <w:suppressLineNumbers w:val="0"/>
                    <w:snapToGrid w:val="0"/>
                    <w:spacing w:before="0" w:beforeAutospacing="0" w:after="0" w:afterAutospacing="0" w:line="240" w:lineRule="atLeas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270</w:t>
                  </w:r>
                </w:p>
              </w:tc>
            </w:tr>
          </w:tbl>
          <w:p w14:paraId="3B5B2F69">
            <w:pPr>
              <w:keepNext w:val="0"/>
              <w:keepLines w:val="0"/>
              <w:pageBreakBefore w:val="0"/>
              <w:widowControl w:val="0"/>
              <w:suppressLineNumbers w:val="0"/>
              <w:kinsoku/>
              <w:wordWrap/>
              <w:overflowPunct/>
              <w:topLinePunct w:val="0"/>
              <w:autoSpaceDE/>
              <w:autoSpaceDN/>
              <w:bidi w:val="0"/>
              <w:adjustRightInd/>
              <w:snapToGrid w:val="0"/>
              <w:spacing w:before="157" w:beforeLines="5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本项目的环境保护总投资270万元，占工程总投资</w:t>
            </w:r>
            <w:r>
              <w:rPr>
                <w:rFonts w:hint="eastAsia" w:ascii="Times New Roman" w:hAnsi="Times New Roman" w:eastAsia="宋体" w:cs="Times New Roman"/>
                <w:color w:val="auto"/>
                <w:sz w:val="24"/>
                <w:lang w:val="en-US" w:eastAsia="zh-CN"/>
              </w:rPr>
              <w:t>232600</w:t>
            </w:r>
            <w:r>
              <w:rPr>
                <w:rFonts w:hint="default" w:ascii="Times New Roman" w:hAnsi="Times New Roman" w:eastAsia="宋体" w:cs="Times New Roman"/>
                <w:color w:val="auto"/>
                <w:sz w:val="24"/>
              </w:rPr>
              <w:t>万元的0.</w:t>
            </w:r>
            <w:r>
              <w:rPr>
                <w:rFonts w:hint="eastAsia" w:ascii="Times New Roman" w:hAnsi="Times New Roman" w:eastAsia="宋体" w:cs="Times New Roman"/>
                <w:color w:val="auto"/>
                <w:sz w:val="24"/>
                <w:lang w:val="en-US" w:eastAsia="zh-CN"/>
              </w:rPr>
              <w:t>12</w:t>
            </w:r>
            <w:r>
              <w:rPr>
                <w:rFonts w:hint="default" w:ascii="Times New Roman" w:hAnsi="Times New Roman" w:eastAsia="宋体" w:cs="Times New Roman"/>
                <w:color w:val="auto"/>
                <w:sz w:val="24"/>
              </w:rPr>
              <w:t>%。</w:t>
            </w:r>
          </w:p>
          <w:p w14:paraId="68EAC0A6">
            <w:pPr>
              <w:keepNext w:val="0"/>
              <w:keepLines w:val="0"/>
              <w:pageBreakBefore w:val="0"/>
              <w:widowControl w:val="0"/>
              <w:suppressLineNumbers w:val="0"/>
              <w:kinsoku/>
              <w:wordWrap/>
              <w:overflowPunct/>
              <w:topLinePunct w:val="0"/>
              <w:autoSpaceDE/>
              <w:autoSpaceDN/>
              <w:bidi w:val="0"/>
              <w:adjustRightInd/>
              <w:snapToGrid w:val="0"/>
              <w:spacing w:before="157" w:beforeLines="5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rPr>
            </w:pPr>
          </w:p>
          <w:p w14:paraId="54886A3D">
            <w:pPr>
              <w:keepNext w:val="0"/>
              <w:keepLines w:val="0"/>
              <w:pageBreakBefore w:val="0"/>
              <w:widowControl w:val="0"/>
              <w:suppressLineNumbers w:val="0"/>
              <w:kinsoku/>
              <w:wordWrap/>
              <w:overflowPunct/>
              <w:topLinePunct w:val="0"/>
              <w:autoSpaceDE/>
              <w:autoSpaceDN/>
              <w:bidi w:val="0"/>
              <w:adjustRightInd/>
              <w:snapToGrid w:val="0"/>
              <w:spacing w:before="157" w:beforeLines="5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rPr>
            </w:pPr>
          </w:p>
          <w:p w14:paraId="3427DA94">
            <w:pPr>
              <w:keepNext w:val="0"/>
              <w:keepLines w:val="0"/>
              <w:pageBreakBefore w:val="0"/>
              <w:widowControl w:val="0"/>
              <w:suppressLineNumbers w:val="0"/>
              <w:kinsoku/>
              <w:wordWrap/>
              <w:overflowPunct/>
              <w:topLinePunct w:val="0"/>
              <w:autoSpaceDE/>
              <w:autoSpaceDN/>
              <w:bidi w:val="0"/>
              <w:adjustRightInd/>
              <w:snapToGrid w:val="0"/>
              <w:spacing w:before="157" w:beforeLines="5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rPr>
            </w:pPr>
          </w:p>
          <w:p w14:paraId="361FE79D">
            <w:pPr>
              <w:keepNext w:val="0"/>
              <w:keepLines w:val="0"/>
              <w:pageBreakBefore w:val="0"/>
              <w:widowControl w:val="0"/>
              <w:suppressLineNumbers w:val="0"/>
              <w:kinsoku/>
              <w:wordWrap/>
              <w:overflowPunct/>
              <w:topLinePunct w:val="0"/>
              <w:autoSpaceDE/>
              <w:autoSpaceDN/>
              <w:bidi w:val="0"/>
              <w:adjustRightInd/>
              <w:snapToGrid w:val="0"/>
              <w:spacing w:before="157" w:beforeLines="5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rPr>
            </w:pPr>
          </w:p>
          <w:p w14:paraId="13BED960">
            <w:pPr>
              <w:keepNext w:val="0"/>
              <w:keepLines w:val="0"/>
              <w:pageBreakBefore w:val="0"/>
              <w:widowControl w:val="0"/>
              <w:suppressLineNumbers w:val="0"/>
              <w:kinsoku/>
              <w:wordWrap/>
              <w:overflowPunct/>
              <w:topLinePunct w:val="0"/>
              <w:autoSpaceDE/>
              <w:autoSpaceDN/>
              <w:bidi w:val="0"/>
              <w:adjustRightInd/>
              <w:snapToGrid w:val="0"/>
              <w:spacing w:before="157" w:beforeLines="5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rPr>
            </w:pPr>
          </w:p>
          <w:p w14:paraId="453DA766">
            <w:pPr>
              <w:keepNext w:val="0"/>
              <w:keepLines w:val="0"/>
              <w:pageBreakBefore w:val="0"/>
              <w:widowControl w:val="0"/>
              <w:suppressLineNumbers w:val="0"/>
              <w:kinsoku/>
              <w:wordWrap/>
              <w:overflowPunct/>
              <w:topLinePunct w:val="0"/>
              <w:autoSpaceDE/>
              <w:autoSpaceDN/>
              <w:bidi w:val="0"/>
              <w:adjustRightInd/>
              <w:snapToGrid w:val="0"/>
              <w:spacing w:before="157" w:beforeLines="5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rPr>
            </w:pPr>
          </w:p>
          <w:p w14:paraId="647ACFC7">
            <w:pPr>
              <w:keepNext w:val="0"/>
              <w:keepLines w:val="0"/>
              <w:pageBreakBefore w:val="0"/>
              <w:widowControl w:val="0"/>
              <w:suppressLineNumbers w:val="0"/>
              <w:kinsoku/>
              <w:wordWrap/>
              <w:overflowPunct/>
              <w:topLinePunct w:val="0"/>
              <w:autoSpaceDE/>
              <w:autoSpaceDN/>
              <w:bidi w:val="0"/>
              <w:adjustRightInd/>
              <w:snapToGrid w:val="0"/>
              <w:spacing w:before="157" w:beforeLines="5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rPr>
            </w:pPr>
          </w:p>
          <w:p w14:paraId="6566C8BA">
            <w:pPr>
              <w:keepNext w:val="0"/>
              <w:keepLines w:val="0"/>
              <w:pageBreakBefore w:val="0"/>
              <w:widowControl w:val="0"/>
              <w:suppressLineNumbers w:val="0"/>
              <w:kinsoku/>
              <w:wordWrap/>
              <w:overflowPunct/>
              <w:topLinePunct w:val="0"/>
              <w:autoSpaceDE/>
              <w:autoSpaceDN/>
              <w:bidi w:val="0"/>
              <w:adjustRightInd/>
              <w:snapToGrid w:val="0"/>
              <w:spacing w:before="157" w:beforeLines="5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rPr>
            </w:pPr>
          </w:p>
          <w:p w14:paraId="0E82C9FA">
            <w:pPr>
              <w:keepNext w:val="0"/>
              <w:keepLines w:val="0"/>
              <w:pageBreakBefore w:val="0"/>
              <w:widowControl w:val="0"/>
              <w:suppressLineNumbers w:val="0"/>
              <w:kinsoku/>
              <w:wordWrap/>
              <w:overflowPunct/>
              <w:topLinePunct w:val="0"/>
              <w:autoSpaceDE/>
              <w:autoSpaceDN/>
              <w:bidi w:val="0"/>
              <w:adjustRightInd/>
              <w:snapToGrid w:val="0"/>
              <w:spacing w:before="157" w:beforeLines="5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rPr>
            </w:pPr>
          </w:p>
          <w:p w14:paraId="79921BB4">
            <w:pPr>
              <w:keepNext w:val="0"/>
              <w:keepLines w:val="0"/>
              <w:pageBreakBefore w:val="0"/>
              <w:widowControl w:val="0"/>
              <w:suppressLineNumbers w:val="0"/>
              <w:kinsoku/>
              <w:wordWrap/>
              <w:overflowPunct/>
              <w:topLinePunct w:val="0"/>
              <w:autoSpaceDE/>
              <w:autoSpaceDN/>
              <w:bidi w:val="0"/>
              <w:adjustRightInd/>
              <w:snapToGrid w:val="0"/>
              <w:spacing w:before="157" w:beforeLines="50" w:beforeAutospacing="0" w:after="0" w:afterAutospacing="0" w:line="480" w:lineRule="exact"/>
              <w:ind w:left="0" w:right="0" w:firstLine="480" w:firstLineChars="200"/>
              <w:jc w:val="both"/>
              <w:textAlignment w:val="auto"/>
              <w:rPr>
                <w:rFonts w:hint="default" w:ascii="Times New Roman" w:hAnsi="Times New Roman" w:eastAsia="宋体" w:cs="Times New Roman"/>
                <w:color w:val="auto"/>
                <w:sz w:val="24"/>
              </w:rPr>
            </w:pPr>
          </w:p>
          <w:p w14:paraId="038950EE">
            <w:pPr>
              <w:keepNext w:val="0"/>
              <w:keepLines w:val="0"/>
              <w:pageBreakBefore w:val="0"/>
              <w:widowControl w:val="0"/>
              <w:suppressLineNumbers w:val="0"/>
              <w:kinsoku/>
              <w:wordWrap/>
              <w:overflowPunct/>
              <w:topLinePunct w:val="0"/>
              <w:autoSpaceDE/>
              <w:autoSpaceDN/>
              <w:bidi w:val="0"/>
              <w:adjustRightInd/>
              <w:snapToGrid w:val="0"/>
              <w:spacing w:before="157" w:beforeLines="50" w:beforeAutospacing="0" w:after="0" w:afterAutospacing="0" w:line="480" w:lineRule="exact"/>
              <w:ind w:left="0" w:right="0"/>
              <w:jc w:val="both"/>
              <w:textAlignment w:val="auto"/>
              <w:rPr>
                <w:rFonts w:hint="default" w:ascii="Times New Roman" w:hAnsi="Times New Roman" w:eastAsia="宋体" w:cs="Times New Roman"/>
                <w:color w:val="auto"/>
                <w:sz w:val="24"/>
              </w:rPr>
            </w:pPr>
          </w:p>
        </w:tc>
      </w:tr>
    </w:tbl>
    <w:p w14:paraId="6990721B">
      <w:pPr>
        <w:rPr>
          <w:rFonts w:hint="default" w:ascii="Times New Roman" w:hAnsi="Times New Roman" w:cs="Times New Roman"/>
          <w:color w:val="000000"/>
        </w:rPr>
        <w:sectPr>
          <w:pgSz w:w="11907" w:h="16840"/>
          <w:pgMar w:top="1440" w:right="1797" w:bottom="1440" w:left="1797" w:header="851" w:footer="1077" w:gutter="0"/>
          <w:pgBorders>
            <w:top w:val="none" w:sz="0" w:space="0"/>
            <w:left w:val="none" w:sz="0" w:space="0"/>
            <w:bottom w:val="none" w:sz="0" w:space="0"/>
            <w:right w:val="none" w:sz="0" w:space="0"/>
          </w:pgBorders>
          <w:pgNumType w:fmt="decimal"/>
          <w:cols w:space="720" w:num="1"/>
          <w:docGrid w:linePitch="312" w:charSpace="0"/>
        </w:sectPr>
      </w:pPr>
    </w:p>
    <w:p w14:paraId="14C690BC">
      <w:pPr>
        <w:pStyle w:val="25"/>
        <w:jc w:val="center"/>
        <w:outlineLvl w:val="0"/>
        <w:rPr>
          <w:rFonts w:hint="default" w:ascii="Times New Roman" w:hAnsi="Times New Roman" w:eastAsia="黑体" w:cs="Times New Roman"/>
          <w:snapToGrid w:val="0"/>
          <w:color w:val="000000"/>
          <w:sz w:val="30"/>
          <w:szCs w:val="30"/>
        </w:rPr>
      </w:pPr>
      <w:bookmarkStart w:id="16" w:name="_Toc25208"/>
      <w:r>
        <w:rPr>
          <w:rFonts w:hint="default" w:ascii="Times New Roman" w:hAnsi="Times New Roman" w:eastAsia="黑体" w:cs="Times New Roman"/>
          <w:snapToGrid w:val="0"/>
          <w:color w:val="000000"/>
          <w:sz w:val="30"/>
          <w:szCs w:val="30"/>
        </w:rPr>
        <w:t>六、生态环境保护措施监督检查清单</w:t>
      </w:r>
      <w:bookmarkEnd w:id="16"/>
    </w:p>
    <w:tbl>
      <w:tblPr>
        <w:tblStyle w:val="29"/>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879"/>
        <w:gridCol w:w="1224"/>
        <w:gridCol w:w="2330"/>
        <w:gridCol w:w="1551"/>
      </w:tblGrid>
      <w:tr w14:paraId="617A63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2" w:type="pct"/>
            <w:vMerge w:val="restart"/>
            <w:tcBorders>
              <w:tl2br w:val="single" w:color="auto" w:sz="4" w:space="0"/>
            </w:tcBorders>
            <w:noWrap w:val="0"/>
            <w:vAlign w:val="top"/>
          </w:tcPr>
          <w:p w14:paraId="4D8F15D5">
            <w:pPr>
              <w:pStyle w:val="25"/>
              <w:keepNext w:val="0"/>
              <w:keepLines w:val="0"/>
              <w:pageBreakBefore w:val="0"/>
              <w:suppressLineNumbers w:val="0"/>
              <w:kinsoku/>
              <w:overflowPunct/>
              <w:autoSpaceDE/>
              <w:autoSpaceDN/>
              <w:bidi w:val="0"/>
              <w:adjustRightInd w:val="0"/>
              <w:snapToGrid w:val="0"/>
              <w:spacing w:before="72" w:beforeLines="30" w:beforeAutospacing="0" w:after="0" w:afterAutospacing="0"/>
              <w:ind w:left="0" w:right="0"/>
              <w:jc w:val="right"/>
              <w:textAlignment w:val="auto"/>
              <w:outlineLvl w:val="0"/>
              <w:rPr>
                <w:rFonts w:hint="default" w:ascii="Times New Roman" w:hAnsi="Times New Roman" w:eastAsia="黑体" w:cs="Times New Roman"/>
                <w:color w:val="000000"/>
                <w:kern w:val="2"/>
                <w:sz w:val="24"/>
                <w:szCs w:val="24"/>
              </w:rPr>
            </w:pPr>
            <w:r>
              <w:rPr>
                <w:rFonts w:hint="default" w:ascii="Times New Roman" w:hAnsi="Times New Roman" w:eastAsia="黑体" w:cs="Times New Roman"/>
                <w:color w:val="000000"/>
                <w:kern w:val="2"/>
                <w:sz w:val="24"/>
                <w:szCs w:val="24"/>
              </w:rPr>
              <w:t xml:space="preserve"> </w:t>
            </w:r>
            <w:bookmarkStart w:id="17" w:name="_Toc19327"/>
            <w:r>
              <w:rPr>
                <w:rFonts w:hint="default" w:ascii="Times New Roman" w:hAnsi="Times New Roman" w:eastAsia="黑体" w:cs="Times New Roman"/>
                <w:color w:val="000000"/>
                <w:kern w:val="2"/>
                <w:sz w:val="24"/>
                <w:szCs w:val="24"/>
              </w:rPr>
              <w:t>内容</w:t>
            </w:r>
            <w:bookmarkEnd w:id="17"/>
          </w:p>
          <w:p w14:paraId="535C985C">
            <w:pPr>
              <w:pStyle w:val="25"/>
              <w:keepNext w:val="0"/>
              <w:keepLines w:val="0"/>
              <w:pageBreakBefore w:val="0"/>
              <w:suppressLineNumbers w:val="0"/>
              <w:kinsoku/>
              <w:overflowPunct/>
              <w:autoSpaceDE/>
              <w:autoSpaceDN/>
              <w:bidi w:val="0"/>
              <w:adjustRightInd w:val="0"/>
              <w:snapToGrid w:val="0"/>
              <w:spacing w:before="0" w:beforeAutospacing="0" w:after="0" w:afterAutospacing="0" w:line="14" w:lineRule="auto"/>
              <w:ind w:left="0" w:right="0"/>
              <w:jc w:val="center"/>
              <w:textAlignment w:val="auto"/>
              <w:outlineLvl w:val="0"/>
              <w:rPr>
                <w:rFonts w:hint="default" w:ascii="Times New Roman" w:hAnsi="Times New Roman" w:eastAsia="黑体" w:cs="Times New Roman"/>
                <w:color w:val="000000"/>
                <w:kern w:val="2"/>
                <w:sz w:val="24"/>
                <w:szCs w:val="24"/>
              </w:rPr>
            </w:pPr>
            <w:r>
              <w:rPr>
                <w:rFonts w:hint="default" w:ascii="Times New Roman" w:hAnsi="Times New Roman" w:eastAsia="黑体" w:cs="Times New Roman"/>
                <w:color w:val="000000"/>
                <w:kern w:val="2"/>
                <w:sz w:val="24"/>
                <w:szCs w:val="24"/>
              </w:rPr>
              <w:t xml:space="preserve">  </w:t>
            </w:r>
          </w:p>
          <w:p w14:paraId="7BDEF7F0">
            <w:pPr>
              <w:pStyle w:val="25"/>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outlineLvl w:val="0"/>
              <w:rPr>
                <w:rFonts w:hint="default" w:ascii="Times New Roman" w:hAnsi="Times New Roman" w:eastAsia="黑体" w:cs="Times New Roman"/>
                <w:color w:val="000000"/>
                <w:kern w:val="2"/>
                <w:sz w:val="24"/>
                <w:szCs w:val="24"/>
              </w:rPr>
            </w:pPr>
            <w:bookmarkStart w:id="18" w:name="_Toc882"/>
          </w:p>
          <w:p w14:paraId="06C7852C">
            <w:pPr>
              <w:pStyle w:val="25"/>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outlineLvl w:val="0"/>
              <w:rPr>
                <w:rFonts w:hint="default" w:ascii="Times New Roman" w:hAnsi="Times New Roman" w:eastAsia="黑体" w:cs="Times New Roman"/>
                <w:color w:val="000000"/>
                <w:kern w:val="2"/>
                <w:sz w:val="24"/>
                <w:szCs w:val="24"/>
              </w:rPr>
            </w:pPr>
          </w:p>
          <w:p w14:paraId="1141E9E6">
            <w:pPr>
              <w:pStyle w:val="25"/>
              <w:keepNext w:val="0"/>
              <w:keepLines w:val="0"/>
              <w:pageBreakBefore w:val="0"/>
              <w:suppressLineNumbers w:val="0"/>
              <w:kinsoku/>
              <w:overflowPunct/>
              <w:autoSpaceDE/>
              <w:autoSpaceDN/>
              <w:bidi w:val="0"/>
              <w:adjustRightInd w:val="0"/>
              <w:snapToGrid w:val="0"/>
              <w:spacing w:before="0" w:beforeAutospacing="0" w:after="0" w:afterAutospacing="0"/>
              <w:ind w:left="0" w:right="0"/>
              <w:jc w:val="left"/>
              <w:textAlignment w:val="auto"/>
              <w:outlineLvl w:val="0"/>
              <w:rPr>
                <w:rFonts w:hint="default" w:ascii="Times New Roman" w:hAnsi="Times New Roman" w:eastAsia="黑体" w:cs="Times New Roman"/>
                <w:color w:val="000000"/>
                <w:kern w:val="2"/>
                <w:sz w:val="24"/>
                <w:szCs w:val="24"/>
              </w:rPr>
            </w:pPr>
            <w:r>
              <w:rPr>
                <w:rFonts w:hint="default" w:ascii="Times New Roman" w:hAnsi="Times New Roman" w:eastAsia="黑体" w:cs="Times New Roman"/>
                <w:color w:val="000000"/>
                <w:kern w:val="2"/>
                <w:sz w:val="24"/>
                <w:szCs w:val="24"/>
              </w:rPr>
              <w:t>要素</w:t>
            </w:r>
            <w:bookmarkEnd w:id="18"/>
          </w:p>
        </w:tc>
        <w:tc>
          <w:tcPr>
            <w:tcW w:w="1820" w:type="pct"/>
            <w:gridSpan w:val="2"/>
            <w:noWrap w:val="0"/>
            <w:vAlign w:val="center"/>
          </w:tcPr>
          <w:p w14:paraId="4E33B998">
            <w:pPr>
              <w:pStyle w:val="25"/>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outlineLvl w:val="0"/>
              <w:rPr>
                <w:rFonts w:hint="default" w:ascii="Times New Roman" w:hAnsi="Times New Roman" w:eastAsia="黑体" w:cs="Times New Roman"/>
                <w:color w:val="000000"/>
                <w:kern w:val="2"/>
                <w:sz w:val="24"/>
                <w:szCs w:val="24"/>
              </w:rPr>
            </w:pPr>
            <w:bookmarkStart w:id="19" w:name="_Toc28213"/>
            <w:r>
              <w:rPr>
                <w:rFonts w:hint="default" w:ascii="Times New Roman" w:hAnsi="Times New Roman" w:eastAsia="黑体" w:cs="Times New Roman"/>
                <w:color w:val="000000"/>
                <w:kern w:val="2"/>
                <w:sz w:val="24"/>
                <w:szCs w:val="24"/>
              </w:rPr>
              <w:t>施工期</w:t>
            </w:r>
            <w:bookmarkEnd w:id="19"/>
          </w:p>
        </w:tc>
        <w:tc>
          <w:tcPr>
            <w:tcW w:w="2277" w:type="pct"/>
            <w:gridSpan w:val="2"/>
            <w:noWrap w:val="0"/>
            <w:vAlign w:val="center"/>
          </w:tcPr>
          <w:p w14:paraId="25E3F98A">
            <w:pPr>
              <w:pStyle w:val="25"/>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outlineLvl w:val="0"/>
              <w:rPr>
                <w:rFonts w:hint="default" w:ascii="Times New Roman" w:hAnsi="Times New Roman" w:eastAsia="黑体" w:cs="Times New Roman"/>
                <w:color w:val="000000"/>
                <w:kern w:val="2"/>
                <w:sz w:val="24"/>
                <w:szCs w:val="24"/>
              </w:rPr>
            </w:pPr>
            <w:bookmarkStart w:id="20" w:name="_Toc29453"/>
            <w:r>
              <w:rPr>
                <w:rFonts w:hint="default" w:ascii="Times New Roman" w:hAnsi="Times New Roman" w:eastAsia="黑体" w:cs="Times New Roman"/>
                <w:color w:val="000000"/>
                <w:kern w:val="2"/>
                <w:sz w:val="24"/>
                <w:szCs w:val="24"/>
              </w:rPr>
              <w:t>运营期</w:t>
            </w:r>
            <w:bookmarkEnd w:id="20"/>
          </w:p>
        </w:tc>
      </w:tr>
      <w:tr w14:paraId="05B2AE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2" w:type="pct"/>
            <w:vMerge w:val="continue"/>
            <w:noWrap w:val="0"/>
            <w:vAlign w:val="top"/>
          </w:tcPr>
          <w:p w14:paraId="2BC3EF2D">
            <w:pPr>
              <w:pStyle w:val="25"/>
              <w:keepNext w:val="0"/>
              <w:keepLines w:val="0"/>
              <w:pageBreakBefore w:val="0"/>
              <w:suppressLineNumbers w:val="0"/>
              <w:kinsoku/>
              <w:overflowPunct/>
              <w:autoSpaceDE/>
              <w:autoSpaceDN/>
              <w:bidi w:val="0"/>
              <w:adjustRightInd w:val="0"/>
              <w:snapToGrid w:val="0"/>
              <w:spacing w:before="0" w:beforeAutospacing="0" w:after="0" w:afterAutospacing="0"/>
              <w:ind w:left="0" w:right="0" w:firstLine="840"/>
              <w:jc w:val="center"/>
              <w:textAlignment w:val="auto"/>
              <w:outlineLvl w:val="0"/>
              <w:rPr>
                <w:rFonts w:hint="default" w:ascii="Times New Roman" w:hAnsi="Times New Roman" w:eastAsia="黑体" w:cs="Times New Roman"/>
                <w:color w:val="000000"/>
                <w:kern w:val="2"/>
                <w:sz w:val="24"/>
                <w:szCs w:val="24"/>
              </w:rPr>
            </w:pPr>
          </w:p>
        </w:tc>
        <w:tc>
          <w:tcPr>
            <w:tcW w:w="1102" w:type="pct"/>
            <w:noWrap w:val="0"/>
            <w:vAlign w:val="center"/>
          </w:tcPr>
          <w:p w14:paraId="55866647">
            <w:pPr>
              <w:pStyle w:val="25"/>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outlineLvl w:val="0"/>
              <w:rPr>
                <w:rFonts w:hint="default" w:ascii="Times New Roman" w:hAnsi="Times New Roman" w:eastAsia="黑体" w:cs="Times New Roman"/>
                <w:color w:val="000000"/>
                <w:kern w:val="2"/>
                <w:sz w:val="24"/>
                <w:szCs w:val="24"/>
              </w:rPr>
            </w:pPr>
            <w:bookmarkStart w:id="21" w:name="_Toc24147"/>
            <w:r>
              <w:rPr>
                <w:rFonts w:hint="default" w:ascii="Times New Roman" w:hAnsi="Times New Roman" w:eastAsia="黑体" w:cs="Times New Roman"/>
                <w:color w:val="000000"/>
                <w:kern w:val="2"/>
                <w:sz w:val="24"/>
                <w:szCs w:val="24"/>
              </w:rPr>
              <w:t>环境保护措施</w:t>
            </w:r>
            <w:bookmarkEnd w:id="21"/>
          </w:p>
        </w:tc>
        <w:tc>
          <w:tcPr>
            <w:tcW w:w="718" w:type="pct"/>
            <w:noWrap w:val="0"/>
            <w:vAlign w:val="center"/>
          </w:tcPr>
          <w:p w14:paraId="6A0DEA7D">
            <w:pPr>
              <w:pStyle w:val="25"/>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outlineLvl w:val="0"/>
              <w:rPr>
                <w:rFonts w:hint="default" w:ascii="Times New Roman" w:hAnsi="Times New Roman" w:eastAsia="黑体" w:cs="Times New Roman"/>
                <w:color w:val="000000"/>
                <w:kern w:val="2"/>
                <w:sz w:val="24"/>
                <w:szCs w:val="24"/>
              </w:rPr>
            </w:pPr>
            <w:bookmarkStart w:id="22" w:name="_Toc4997"/>
            <w:r>
              <w:rPr>
                <w:rFonts w:hint="default" w:ascii="Times New Roman" w:hAnsi="Times New Roman" w:eastAsia="黑体" w:cs="Times New Roman"/>
                <w:color w:val="000000"/>
                <w:kern w:val="2"/>
                <w:sz w:val="24"/>
                <w:szCs w:val="24"/>
              </w:rPr>
              <w:t>验收要求</w:t>
            </w:r>
            <w:bookmarkEnd w:id="22"/>
          </w:p>
        </w:tc>
        <w:tc>
          <w:tcPr>
            <w:tcW w:w="1367" w:type="pct"/>
            <w:noWrap w:val="0"/>
            <w:vAlign w:val="center"/>
          </w:tcPr>
          <w:p w14:paraId="06547B3B">
            <w:pPr>
              <w:pStyle w:val="25"/>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outlineLvl w:val="0"/>
              <w:rPr>
                <w:rFonts w:hint="default" w:ascii="Times New Roman" w:hAnsi="Times New Roman" w:eastAsia="黑体" w:cs="Times New Roman"/>
                <w:color w:val="000000"/>
                <w:kern w:val="2"/>
                <w:sz w:val="24"/>
                <w:szCs w:val="24"/>
              </w:rPr>
            </w:pPr>
            <w:bookmarkStart w:id="23" w:name="_Toc8592"/>
            <w:r>
              <w:rPr>
                <w:rFonts w:hint="default" w:ascii="Times New Roman" w:hAnsi="Times New Roman" w:eastAsia="黑体" w:cs="Times New Roman"/>
                <w:color w:val="000000"/>
                <w:kern w:val="2"/>
                <w:sz w:val="24"/>
                <w:szCs w:val="24"/>
              </w:rPr>
              <w:t>环境保护措施</w:t>
            </w:r>
            <w:bookmarkEnd w:id="23"/>
          </w:p>
        </w:tc>
        <w:tc>
          <w:tcPr>
            <w:tcW w:w="909" w:type="pct"/>
            <w:noWrap w:val="0"/>
            <w:vAlign w:val="center"/>
          </w:tcPr>
          <w:p w14:paraId="3B8D6961">
            <w:pPr>
              <w:pStyle w:val="25"/>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outlineLvl w:val="0"/>
              <w:rPr>
                <w:rFonts w:hint="default" w:ascii="Times New Roman" w:hAnsi="Times New Roman" w:eastAsia="黑体" w:cs="Times New Roman"/>
                <w:color w:val="000000"/>
                <w:kern w:val="2"/>
                <w:sz w:val="24"/>
                <w:szCs w:val="24"/>
              </w:rPr>
            </w:pPr>
            <w:bookmarkStart w:id="24" w:name="_Toc30332"/>
            <w:r>
              <w:rPr>
                <w:rFonts w:hint="default" w:ascii="Times New Roman" w:hAnsi="Times New Roman" w:eastAsia="黑体" w:cs="Times New Roman"/>
                <w:color w:val="000000"/>
                <w:kern w:val="2"/>
                <w:sz w:val="24"/>
                <w:szCs w:val="24"/>
              </w:rPr>
              <w:t>验收要求</w:t>
            </w:r>
            <w:bookmarkEnd w:id="24"/>
          </w:p>
        </w:tc>
      </w:tr>
      <w:tr w14:paraId="27E2D1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2" w:type="pct"/>
            <w:noWrap w:val="0"/>
            <w:vAlign w:val="center"/>
          </w:tcPr>
          <w:p w14:paraId="2647DC09">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陆生生态</w:t>
            </w:r>
          </w:p>
        </w:tc>
        <w:tc>
          <w:tcPr>
            <w:tcW w:w="1102" w:type="pct"/>
            <w:noWrap w:val="0"/>
            <w:vAlign w:val="center"/>
          </w:tcPr>
          <w:p w14:paraId="36300BF8">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textAlignment w:val="auto"/>
              <w:rPr>
                <w:rFonts w:hint="default" w:ascii="Times New Roman" w:hAnsi="Times New Roman" w:cs="Times New Roman"/>
                <w:color w:val="000000"/>
                <w:sz w:val="24"/>
                <w:szCs w:val="24"/>
                <w:highlight w:val="yellow"/>
              </w:rPr>
            </w:pPr>
            <w:r>
              <w:rPr>
                <w:rFonts w:hint="default" w:ascii="Times New Roman" w:hAnsi="Times New Roman" w:cs="Times New Roman"/>
                <w:color w:val="000000"/>
                <w:sz w:val="24"/>
                <w:szCs w:val="24"/>
              </w:rPr>
              <w:t>施工扰动区地表进行平整，原地貌类型采用自然恢复措施。</w:t>
            </w:r>
          </w:p>
        </w:tc>
        <w:tc>
          <w:tcPr>
            <w:tcW w:w="718" w:type="pct"/>
            <w:noWrap w:val="0"/>
            <w:vAlign w:val="center"/>
          </w:tcPr>
          <w:p w14:paraId="3DA6FD90">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textAlignment w:val="auto"/>
              <w:rPr>
                <w:rFonts w:hint="default" w:ascii="Times New Roman" w:hAnsi="Times New Roman" w:cs="Times New Roman"/>
                <w:color w:val="000000"/>
                <w:sz w:val="24"/>
                <w:szCs w:val="24"/>
                <w:highlight w:val="yellow"/>
              </w:rPr>
            </w:pPr>
            <w:r>
              <w:rPr>
                <w:rFonts w:hint="default" w:ascii="Times New Roman" w:hAnsi="Times New Roman" w:cs="Times New Roman"/>
                <w:color w:val="000000"/>
                <w:sz w:val="24"/>
                <w:szCs w:val="24"/>
              </w:rPr>
              <w:t>土地平整，落实植被恢复措施。</w:t>
            </w:r>
          </w:p>
        </w:tc>
        <w:tc>
          <w:tcPr>
            <w:tcW w:w="1367" w:type="pct"/>
            <w:noWrap w:val="0"/>
            <w:vAlign w:val="center"/>
          </w:tcPr>
          <w:p w14:paraId="0D5570E3">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textAlignment w:val="auto"/>
              <w:rPr>
                <w:rFonts w:hint="default" w:ascii="Times New Roman" w:hAnsi="Times New Roman" w:cs="Times New Roman"/>
                <w:color w:val="000000"/>
                <w:sz w:val="24"/>
                <w:szCs w:val="24"/>
                <w:highlight w:val="yellow"/>
              </w:rPr>
            </w:pPr>
            <w:r>
              <w:rPr>
                <w:rFonts w:hint="default" w:ascii="Times New Roman" w:hAnsi="Times New Roman" w:cs="Times New Roman"/>
                <w:color w:val="000000"/>
                <w:sz w:val="24"/>
                <w:szCs w:val="24"/>
              </w:rPr>
              <w:t>运营期的检修道路需严格控制占地面积，不得随意扩大或变更行车道路的宽度和长度，避免行驶车辆及检修人员的行走路线对征地范围外地表原生植被的碾压扰动。</w:t>
            </w:r>
          </w:p>
        </w:tc>
        <w:tc>
          <w:tcPr>
            <w:tcW w:w="909" w:type="pct"/>
            <w:noWrap w:val="0"/>
            <w:vAlign w:val="center"/>
          </w:tcPr>
          <w:p w14:paraId="594A239F">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textAlignment w:val="auto"/>
              <w:rPr>
                <w:rFonts w:hint="default" w:ascii="Times New Roman" w:hAnsi="Times New Roman" w:cs="Times New Roman"/>
                <w:color w:val="000000"/>
                <w:sz w:val="24"/>
                <w:szCs w:val="24"/>
                <w:highlight w:val="yellow"/>
              </w:rPr>
            </w:pPr>
            <w:r>
              <w:rPr>
                <w:rFonts w:hint="default" w:ascii="Times New Roman" w:hAnsi="Times New Roman" w:cs="Times New Roman"/>
                <w:color w:val="000000"/>
                <w:sz w:val="24"/>
                <w:szCs w:val="24"/>
              </w:rPr>
              <w:t>生态环境水平不降低</w:t>
            </w:r>
          </w:p>
        </w:tc>
      </w:tr>
      <w:tr w14:paraId="2A73E5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02" w:type="pct"/>
            <w:noWrap w:val="0"/>
            <w:vAlign w:val="center"/>
          </w:tcPr>
          <w:p w14:paraId="475E7019">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水生生态</w:t>
            </w:r>
          </w:p>
        </w:tc>
        <w:tc>
          <w:tcPr>
            <w:tcW w:w="1102" w:type="pct"/>
            <w:noWrap w:val="0"/>
            <w:vAlign w:val="center"/>
          </w:tcPr>
          <w:p w14:paraId="64C102F0">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p>
        </w:tc>
        <w:tc>
          <w:tcPr>
            <w:tcW w:w="718" w:type="pct"/>
            <w:noWrap w:val="0"/>
            <w:vAlign w:val="center"/>
          </w:tcPr>
          <w:p w14:paraId="0F81B7C7">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p>
        </w:tc>
        <w:tc>
          <w:tcPr>
            <w:tcW w:w="1367" w:type="pct"/>
            <w:noWrap w:val="0"/>
            <w:vAlign w:val="center"/>
          </w:tcPr>
          <w:p w14:paraId="2A671A9A">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p>
        </w:tc>
        <w:tc>
          <w:tcPr>
            <w:tcW w:w="909" w:type="pct"/>
            <w:noWrap w:val="0"/>
            <w:vAlign w:val="center"/>
          </w:tcPr>
          <w:p w14:paraId="286AB4CF">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p>
        </w:tc>
      </w:tr>
      <w:tr w14:paraId="55AF2F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2" w:type="pct"/>
            <w:noWrap w:val="0"/>
            <w:vAlign w:val="center"/>
          </w:tcPr>
          <w:p w14:paraId="1634D086">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地表水环境</w:t>
            </w:r>
          </w:p>
        </w:tc>
        <w:tc>
          <w:tcPr>
            <w:tcW w:w="1102" w:type="pct"/>
            <w:noWrap w:val="0"/>
            <w:vAlign w:val="center"/>
          </w:tcPr>
          <w:p w14:paraId="0BE4C8D4">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textAlignment w:val="auto"/>
              <w:rPr>
                <w:rFonts w:hint="default" w:ascii="Times New Roman" w:hAnsi="Times New Roman" w:cs="Times New Roman"/>
                <w:color w:val="000000"/>
                <w:sz w:val="24"/>
                <w:szCs w:val="24"/>
                <w:highlight w:val="yellow"/>
              </w:rPr>
            </w:pPr>
            <w:r>
              <w:rPr>
                <w:rFonts w:hint="default" w:ascii="Times New Roman" w:hAnsi="Times New Roman" w:cs="Times New Roman"/>
                <w:color w:val="000000"/>
                <w:sz w:val="24"/>
                <w:szCs w:val="24"/>
              </w:rPr>
              <w:t>施工期营地食堂及洗漱废水排入防渗污水收集池，施工营地内设置移动卫生厕所用于解决施工人员生活排污，委托环卫部门拉运。</w:t>
            </w:r>
          </w:p>
        </w:tc>
        <w:tc>
          <w:tcPr>
            <w:tcW w:w="718" w:type="pct"/>
            <w:noWrap w:val="0"/>
            <w:vAlign w:val="center"/>
          </w:tcPr>
          <w:p w14:paraId="1B206B3E">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textAlignment w:val="auto"/>
              <w:rPr>
                <w:rFonts w:hint="default" w:ascii="Times New Roman" w:hAnsi="Times New Roman" w:cs="Times New Roman"/>
                <w:color w:val="000000"/>
                <w:sz w:val="24"/>
                <w:szCs w:val="24"/>
                <w:highlight w:val="yellow"/>
              </w:rPr>
            </w:pPr>
            <w:r>
              <w:rPr>
                <w:rFonts w:hint="default" w:ascii="Times New Roman" w:hAnsi="Times New Roman" w:cs="Times New Roman"/>
                <w:color w:val="000000"/>
                <w:sz w:val="24"/>
                <w:szCs w:val="24"/>
              </w:rPr>
              <w:t>不外排</w:t>
            </w:r>
          </w:p>
        </w:tc>
        <w:tc>
          <w:tcPr>
            <w:tcW w:w="1367" w:type="pct"/>
            <w:noWrap w:val="0"/>
            <w:vAlign w:val="center"/>
          </w:tcPr>
          <w:p w14:paraId="399FB07F">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textAlignment w:val="auto"/>
              <w:rPr>
                <w:rFonts w:hint="default" w:ascii="Times New Roman" w:hAnsi="Times New Roman" w:cs="Times New Roman"/>
                <w:color w:val="000000"/>
                <w:sz w:val="24"/>
                <w:szCs w:val="24"/>
                <w:highlight w:val="yellow"/>
              </w:rPr>
            </w:pPr>
            <w:r>
              <w:rPr>
                <w:rFonts w:hint="default" w:ascii="Times New Roman" w:hAnsi="Times New Roman" w:cs="Times New Roman"/>
                <w:color w:val="000000"/>
                <w:sz w:val="24"/>
                <w:szCs w:val="24"/>
              </w:rPr>
              <w:t>清洗废水沿光伏面板直接落入光伏组件下方，土壤入渗和蒸发，不会对周围水环境产生影响</w:t>
            </w:r>
          </w:p>
        </w:tc>
        <w:tc>
          <w:tcPr>
            <w:tcW w:w="909" w:type="pct"/>
            <w:noWrap w:val="0"/>
            <w:vAlign w:val="center"/>
          </w:tcPr>
          <w:p w14:paraId="267A3597">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textAlignment w:val="auto"/>
              <w:rPr>
                <w:rFonts w:hint="default" w:ascii="Times New Roman" w:hAnsi="Times New Roman" w:cs="Times New Roman"/>
                <w:color w:val="000000"/>
                <w:sz w:val="24"/>
                <w:szCs w:val="24"/>
                <w:highlight w:val="yellow"/>
              </w:rPr>
            </w:pPr>
            <w:r>
              <w:rPr>
                <w:rFonts w:hint="default" w:ascii="Times New Roman" w:hAnsi="Times New Roman" w:cs="Times New Roman"/>
                <w:color w:val="000000"/>
                <w:sz w:val="24"/>
                <w:szCs w:val="24"/>
              </w:rPr>
              <w:t>/</w:t>
            </w:r>
          </w:p>
        </w:tc>
      </w:tr>
      <w:tr w14:paraId="7FDD3B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902" w:type="pct"/>
            <w:noWrap w:val="0"/>
            <w:vAlign w:val="center"/>
          </w:tcPr>
          <w:p w14:paraId="7D2B5AC5">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地下水及土壤环境</w:t>
            </w:r>
          </w:p>
        </w:tc>
        <w:tc>
          <w:tcPr>
            <w:tcW w:w="1102" w:type="pct"/>
            <w:noWrap w:val="0"/>
            <w:vAlign w:val="center"/>
          </w:tcPr>
          <w:p w14:paraId="7C99594C">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p>
        </w:tc>
        <w:tc>
          <w:tcPr>
            <w:tcW w:w="718" w:type="pct"/>
            <w:noWrap w:val="0"/>
            <w:vAlign w:val="center"/>
          </w:tcPr>
          <w:p w14:paraId="0D0F4235">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p>
        </w:tc>
        <w:tc>
          <w:tcPr>
            <w:tcW w:w="1367" w:type="pct"/>
            <w:noWrap w:val="0"/>
            <w:vAlign w:val="center"/>
          </w:tcPr>
          <w:p w14:paraId="20AAFBF9">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事故油池防渗层为至少1m厚粘土层</w:t>
            </w:r>
            <w:r>
              <w:rPr>
                <w:rFonts w:hint="eastAsia" w:ascii="Times New Roman" w:hAnsi="Times New Roman" w:cs="Times New Roman"/>
                <w:color w:val="000000"/>
                <w:sz w:val="24"/>
                <w:szCs w:val="24"/>
                <w:lang w:eastAsia="zh-CN"/>
              </w:rPr>
              <w:t>（</w:t>
            </w:r>
            <w:r>
              <w:rPr>
                <w:rFonts w:hint="default" w:ascii="Times New Roman" w:hAnsi="Times New Roman" w:cs="Times New Roman"/>
                <w:color w:val="000000"/>
                <w:sz w:val="24"/>
                <w:szCs w:val="24"/>
              </w:rPr>
              <w:t>渗透系数≤10</w:t>
            </w:r>
            <w:r>
              <w:rPr>
                <w:rFonts w:hint="default" w:ascii="Times New Roman" w:hAnsi="Times New Roman" w:cs="Times New Roman"/>
                <w:color w:val="000000"/>
                <w:sz w:val="24"/>
                <w:szCs w:val="24"/>
                <w:vertAlign w:val="superscript"/>
              </w:rPr>
              <w:t>-7</w:t>
            </w:r>
            <w:r>
              <w:rPr>
                <w:rFonts w:hint="default" w:ascii="Times New Roman" w:hAnsi="Times New Roman" w:cs="Times New Roman"/>
                <w:color w:val="000000"/>
                <w:sz w:val="24"/>
                <w:szCs w:val="24"/>
              </w:rPr>
              <w:t>cm/s</w:t>
            </w:r>
            <w:r>
              <w:rPr>
                <w:rFonts w:hint="eastAsia" w:ascii="Times New Roman" w:hAnsi="Times New Roman" w:cs="Times New Roman"/>
                <w:color w:val="000000"/>
                <w:sz w:val="24"/>
                <w:szCs w:val="24"/>
                <w:lang w:eastAsia="zh-CN"/>
              </w:rPr>
              <w:t>）</w:t>
            </w:r>
            <w:r>
              <w:rPr>
                <w:rFonts w:hint="default" w:ascii="Times New Roman" w:hAnsi="Times New Roman" w:cs="Times New Roman"/>
                <w:color w:val="000000"/>
                <w:sz w:val="24"/>
                <w:szCs w:val="24"/>
              </w:rPr>
              <w:t>或2mm厚高密度聚乙烯，或至少2mm厚的</w:t>
            </w:r>
            <w:r>
              <w:rPr>
                <w:rFonts w:hint="eastAsia" w:ascii="Times New Roman" w:hAnsi="Times New Roman" w:cs="Times New Roman"/>
                <w:color w:val="000000"/>
                <w:sz w:val="24"/>
                <w:szCs w:val="24"/>
                <w:lang w:eastAsia="zh-CN"/>
              </w:rPr>
              <w:t>其他人工</w:t>
            </w:r>
            <w:r>
              <w:rPr>
                <w:rFonts w:hint="default" w:ascii="Times New Roman" w:hAnsi="Times New Roman" w:cs="Times New Roman"/>
                <w:color w:val="000000"/>
                <w:sz w:val="24"/>
                <w:szCs w:val="24"/>
              </w:rPr>
              <w:t>材料，渗透系数≤10</w:t>
            </w:r>
            <w:r>
              <w:rPr>
                <w:rFonts w:hint="default" w:ascii="Times New Roman" w:hAnsi="Times New Roman" w:cs="Times New Roman"/>
                <w:color w:val="000000"/>
                <w:sz w:val="24"/>
                <w:szCs w:val="24"/>
                <w:vertAlign w:val="superscript"/>
              </w:rPr>
              <w:t>-10</w:t>
            </w:r>
            <w:r>
              <w:rPr>
                <w:rFonts w:hint="default" w:ascii="Times New Roman" w:hAnsi="Times New Roman" w:cs="Times New Roman"/>
                <w:color w:val="000000"/>
                <w:sz w:val="24"/>
                <w:szCs w:val="24"/>
              </w:rPr>
              <w:t>cm/s</w:t>
            </w:r>
          </w:p>
        </w:tc>
        <w:tc>
          <w:tcPr>
            <w:tcW w:w="909" w:type="pct"/>
            <w:noWrap w:val="0"/>
            <w:vAlign w:val="center"/>
          </w:tcPr>
          <w:p w14:paraId="4D6C6CFA">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事故油池满足《危险废物贮存污染控制标准》（GB18597-2023）要求</w:t>
            </w:r>
          </w:p>
        </w:tc>
      </w:tr>
      <w:tr w14:paraId="68E89D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2" w:type="pct"/>
            <w:noWrap w:val="0"/>
            <w:vAlign w:val="center"/>
          </w:tcPr>
          <w:p w14:paraId="449694FF">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声环境</w:t>
            </w:r>
          </w:p>
        </w:tc>
        <w:tc>
          <w:tcPr>
            <w:tcW w:w="1102" w:type="pct"/>
            <w:noWrap w:val="0"/>
            <w:vAlign w:val="center"/>
          </w:tcPr>
          <w:p w14:paraId="54A2B4C7">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采用低噪声设备，加强维护保养，严格操作规程，限制夜间施工</w:t>
            </w:r>
          </w:p>
        </w:tc>
        <w:tc>
          <w:tcPr>
            <w:tcW w:w="718" w:type="pct"/>
            <w:noWrap w:val="0"/>
            <w:vAlign w:val="center"/>
          </w:tcPr>
          <w:p w14:paraId="2531A02C">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val="en-US" w:eastAsia="zh-CN"/>
              </w:rPr>
              <w:t>《建筑施工噪声排放标准》（GB12523-2025）</w:t>
            </w:r>
          </w:p>
        </w:tc>
        <w:tc>
          <w:tcPr>
            <w:tcW w:w="1367" w:type="pct"/>
            <w:noWrap w:val="0"/>
            <w:vAlign w:val="center"/>
          </w:tcPr>
          <w:p w14:paraId="263EEC75">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检查设备保持良好运行状态</w:t>
            </w:r>
          </w:p>
        </w:tc>
        <w:tc>
          <w:tcPr>
            <w:tcW w:w="909" w:type="pct"/>
            <w:noWrap w:val="0"/>
            <w:vAlign w:val="center"/>
          </w:tcPr>
          <w:p w14:paraId="5B243D3D">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《工业企业厂界环境噪声排放标准》</w:t>
            </w:r>
            <w:r>
              <w:rPr>
                <w:rFonts w:hint="eastAsia" w:ascii="Times New Roman" w:hAnsi="Times New Roman" w:cs="Times New Roman"/>
                <w:color w:val="000000"/>
                <w:sz w:val="24"/>
                <w:szCs w:val="24"/>
                <w:lang w:eastAsia="zh-CN"/>
              </w:rPr>
              <w:t>（</w:t>
            </w:r>
            <w:r>
              <w:rPr>
                <w:rFonts w:hint="default" w:ascii="Times New Roman" w:hAnsi="Times New Roman" w:cs="Times New Roman"/>
                <w:color w:val="000000"/>
                <w:sz w:val="24"/>
                <w:szCs w:val="24"/>
              </w:rPr>
              <w:t>GB12348-2008)2类标准</w:t>
            </w:r>
          </w:p>
        </w:tc>
      </w:tr>
      <w:tr w14:paraId="23DF0A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2" w:type="pct"/>
            <w:noWrap w:val="0"/>
            <w:vAlign w:val="center"/>
          </w:tcPr>
          <w:p w14:paraId="2872BFB3">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振动</w:t>
            </w:r>
          </w:p>
        </w:tc>
        <w:tc>
          <w:tcPr>
            <w:tcW w:w="1102" w:type="pct"/>
            <w:noWrap w:val="0"/>
            <w:vAlign w:val="center"/>
          </w:tcPr>
          <w:p w14:paraId="4905FA6B">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p>
        </w:tc>
        <w:tc>
          <w:tcPr>
            <w:tcW w:w="718" w:type="pct"/>
            <w:noWrap w:val="0"/>
            <w:vAlign w:val="center"/>
          </w:tcPr>
          <w:p w14:paraId="465ED4C5">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p>
        </w:tc>
        <w:tc>
          <w:tcPr>
            <w:tcW w:w="1367" w:type="pct"/>
            <w:noWrap w:val="0"/>
            <w:vAlign w:val="center"/>
          </w:tcPr>
          <w:p w14:paraId="757CCDC3">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p>
        </w:tc>
        <w:tc>
          <w:tcPr>
            <w:tcW w:w="909" w:type="pct"/>
            <w:noWrap w:val="0"/>
            <w:vAlign w:val="center"/>
          </w:tcPr>
          <w:p w14:paraId="27CA57BC">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p>
        </w:tc>
      </w:tr>
      <w:tr w14:paraId="0ADF95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2" w:type="pct"/>
            <w:noWrap w:val="0"/>
            <w:vAlign w:val="center"/>
          </w:tcPr>
          <w:p w14:paraId="4BE951F1">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大气环境</w:t>
            </w:r>
          </w:p>
        </w:tc>
        <w:tc>
          <w:tcPr>
            <w:tcW w:w="1102" w:type="pct"/>
            <w:noWrap w:val="0"/>
            <w:vAlign w:val="center"/>
          </w:tcPr>
          <w:p w14:paraId="23E635EB">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临时堆放土石方表面进行遮盖、四周进行围挡或定期对临时堆放土石方表面洒水。裸露地面应采</w:t>
            </w:r>
            <w:r>
              <w:rPr>
                <w:rFonts w:hint="eastAsia" w:ascii="Times New Roman" w:hAnsi="Times New Roman" w:cs="Times New Roman"/>
                <w:color w:val="000000"/>
                <w:sz w:val="24"/>
                <w:szCs w:val="24"/>
                <w:lang w:val="en-US" w:eastAsia="zh-CN"/>
              </w:rPr>
              <w:t>取</w:t>
            </w:r>
            <w:r>
              <w:rPr>
                <w:rFonts w:hint="default" w:ascii="Times New Roman" w:hAnsi="Times New Roman" w:cs="Times New Roman"/>
                <w:color w:val="000000"/>
                <w:sz w:val="24"/>
                <w:szCs w:val="24"/>
              </w:rPr>
              <w:t>覆盖防尘布或防尘网，定时定量洒水。车辆应加盖篷布或采取密闭运输方式</w:t>
            </w:r>
          </w:p>
        </w:tc>
        <w:tc>
          <w:tcPr>
            <w:tcW w:w="718" w:type="pct"/>
            <w:noWrap w:val="0"/>
            <w:vAlign w:val="center"/>
          </w:tcPr>
          <w:p w14:paraId="1B0528C7">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施工期扬尘防治措施有效落实</w:t>
            </w:r>
          </w:p>
        </w:tc>
        <w:tc>
          <w:tcPr>
            <w:tcW w:w="1367" w:type="pct"/>
            <w:noWrap w:val="0"/>
            <w:vAlign w:val="center"/>
          </w:tcPr>
          <w:p w14:paraId="6712A870">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p>
          <w:p w14:paraId="0EBB1D10">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p>
        </w:tc>
        <w:tc>
          <w:tcPr>
            <w:tcW w:w="909" w:type="pct"/>
            <w:noWrap w:val="0"/>
            <w:vAlign w:val="center"/>
          </w:tcPr>
          <w:p w14:paraId="66B960A7">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p>
        </w:tc>
      </w:tr>
      <w:tr w14:paraId="417A15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2" w:type="pct"/>
            <w:noWrap w:val="0"/>
            <w:vAlign w:val="center"/>
          </w:tcPr>
          <w:p w14:paraId="61676A56">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固体废物</w:t>
            </w:r>
          </w:p>
        </w:tc>
        <w:tc>
          <w:tcPr>
            <w:tcW w:w="1102" w:type="pct"/>
            <w:noWrap w:val="0"/>
            <w:vAlign w:val="center"/>
          </w:tcPr>
          <w:p w14:paraId="0CE02C93">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工程挖填方平衡，挖方全部回填，生活垃圾集中统一运至就近的垃圾填埋场处理</w:t>
            </w:r>
          </w:p>
        </w:tc>
        <w:tc>
          <w:tcPr>
            <w:tcW w:w="718" w:type="pct"/>
            <w:noWrap w:val="0"/>
            <w:vAlign w:val="center"/>
          </w:tcPr>
          <w:p w14:paraId="02812C37">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施工现场无遗留固体废弃物</w:t>
            </w:r>
          </w:p>
        </w:tc>
        <w:tc>
          <w:tcPr>
            <w:tcW w:w="1367" w:type="pct"/>
            <w:noWrap w:val="0"/>
            <w:vAlign w:val="center"/>
          </w:tcPr>
          <w:p w14:paraId="64302FF4">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检修维护人员的少量生活垃圾随身带离；废弃电池组件由厂家回收。废变压器油交</w:t>
            </w:r>
            <w:r>
              <w:rPr>
                <w:rFonts w:hint="eastAsia" w:ascii="Times New Roman" w:hAnsi="Times New Roman" w:cs="Times New Roman"/>
                <w:color w:val="000000"/>
                <w:sz w:val="24"/>
                <w:szCs w:val="24"/>
                <w:lang w:val="en-US" w:eastAsia="zh-CN"/>
              </w:rPr>
              <w:t>由</w:t>
            </w:r>
            <w:r>
              <w:rPr>
                <w:rFonts w:hint="default" w:ascii="Times New Roman" w:hAnsi="Times New Roman" w:cs="Times New Roman"/>
                <w:color w:val="000000"/>
                <w:sz w:val="24"/>
                <w:szCs w:val="24"/>
              </w:rPr>
              <w:t>有资质单位处理处置</w:t>
            </w:r>
          </w:p>
        </w:tc>
        <w:tc>
          <w:tcPr>
            <w:tcW w:w="909" w:type="pct"/>
            <w:noWrap w:val="0"/>
            <w:vAlign w:val="center"/>
          </w:tcPr>
          <w:p w14:paraId="041CD761">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《一般工业固体废物贮存和填埋污染控制标准》</w:t>
            </w:r>
            <w:r>
              <w:rPr>
                <w:rFonts w:hint="eastAsia" w:ascii="Times New Roman" w:hAnsi="Times New Roman" w:cs="Times New Roman"/>
                <w:color w:val="000000"/>
                <w:sz w:val="24"/>
                <w:szCs w:val="24"/>
                <w:lang w:eastAsia="zh-CN"/>
              </w:rPr>
              <w:t>（</w:t>
            </w:r>
            <w:r>
              <w:rPr>
                <w:rFonts w:hint="default" w:ascii="Times New Roman" w:hAnsi="Times New Roman" w:cs="Times New Roman"/>
                <w:color w:val="000000"/>
                <w:sz w:val="24"/>
                <w:szCs w:val="24"/>
              </w:rPr>
              <w:t>GB18599-2020</w:t>
            </w:r>
            <w:r>
              <w:rPr>
                <w:rFonts w:hint="eastAsia" w:ascii="Times New Roman" w:hAnsi="Times New Roman" w:cs="Times New Roman"/>
                <w:color w:val="000000"/>
                <w:sz w:val="24"/>
                <w:szCs w:val="24"/>
                <w:lang w:eastAsia="zh-CN"/>
              </w:rPr>
              <w:t>）</w:t>
            </w:r>
            <w:r>
              <w:rPr>
                <w:rFonts w:hint="default" w:ascii="Times New Roman" w:hAnsi="Times New Roman" w:cs="Times New Roman"/>
                <w:color w:val="000000"/>
                <w:sz w:val="24"/>
                <w:szCs w:val="24"/>
              </w:rPr>
              <w:t>，《危险废物贮存污染控制标准》</w:t>
            </w:r>
            <w:r>
              <w:rPr>
                <w:rFonts w:hint="eastAsia" w:ascii="Times New Roman" w:hAnsi="Times New Roman" w:cs="Times New Roman"/>
                <w:color w:val="000000"/>
                <w:sz w:val="24"/>
                <w:szCs w:val="24"/>
                <w:lang w:eastAsia="zh-CN"/>
              </w:rPr>
              <w:t>（</w:t>
            </w:r>
            <w:r>
              <w:rPr>
                <w:rFonts w:hint="default" w:ascii="Times New Roman" w:hAnsi="Times New Roman" w:cs="Times New Roman"/>
                <w:color w:val="000000"/>
                <w:sz w:val="24"/>
                <w:szCs w:val="24"/>
              </w:rPr>
              <w:t>GB18597-2023)</w:t>
            </w:r>
          </w:p>
        </w:tc>
      </w:tr>
      <w:tr w14:paraId="2CC252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2" w:type="pct"/>
            <w:noWrap w:val="0"/>
            <w:vAlign w:val="center"/>
          </w:tcPr>
          <w:p w14:paraId="054AA0B2">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电磁环境</w:t>
            </w:r>
          </w:p>
        </w:tc>
        <w:tc>
          <w:tcPr>
            <w:tcW w:w="1102" w:type="pct"/>
            <w:noWrap w:val="0"/>
            <w:vAlign w:val="center"/>
          </w:tcPr>
          <w:p w14:paraId="3AE10BBC">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p>
        </w:tc>
        <w:tc>
          <w:tcPr>
            <w:tcW w:w="718" w:type="pct"/>
            <w:noWrap w:val="0"/>
            <w:vAlign w:val="center"/>
          </w:tcPr>
          <w:p w14:paraId="22EC8A94">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p>
        </w:tc>
        <w:tc>
          <w:tcPr>
            <w:tcW w:w="1367" w:type="pct"/>
            <w:noWrap w:val="0"/>
            <w:vAlign w:val="center"/>
          </w:tcPr>
          <w:p w14:paraId="5E6F662E">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p>
        </w:tc>
        <w:tc>
          <w:tcPr>
            <w:tcW w:w="909" w:type="pct"/>
            <w:noWrap w:val="0"/>
            <w:vAlign w:val="center"/>
          </w:tcPr>
          <w:p w14:paraId="3491830B">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p>
        </w:tc>
      </w:tr>
      <w:tr w14:paraId="21738A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2" w:type="pct"/>
            <w:noWrap w:val="0"/>
            <w:vAlign w:val="center"/>
          </w:tcPr>
          <w:p w14:paraId="7435F9D7">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环境风险</w:t>
            </w:r>
          </w:p>
        </w:tc>
        <w:tc>
          <w:tcPr>
            <w:tcW w:w="1102" w:type="pct"/>
            <w:noWrap w:val="0"/>
            <w:vAlign w:val="center"/>
          </w:tcPr>
          <w:p w14:paraId="1D62F360">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p>
        </w:tc>
        <w:tc>
          <w:tcPr>
            <w:tcW w:w="718" w:type="pct"/>
            <w:noWrap w:val="0"/>
            <w:vAlign w:val="center"/>
          </w:tcPr>
          <w:p w14:paraId="4AEDEBD9">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p>
        </w:tc>
        <w:tc>
          <w:tcPr>
            <w:tcW w:w="1367" w:type="pct"/>
            <w:noWrap w:val="0"/>
            <w:vAlign w:val="center"/>
          </w:tcPr>
          <w:p w14:paraId="2097945A">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4"/>
                <w:szCs w:val="24"/>
                <w:lang w:eastAsia="zh-CN"/>
              </w:rPr>
            </w:pPr>
            <w:r>
              <w:rPr>
                <w:rFonts w:hint="default" w:ascii="Times New Roman" w:hAnsi="Times New Roman" w:cs="Times New Roman"/>
                <w:color w:val="000000"/>
                <w:sz w:val="24"/>
                <w:szCs w:val="24"/>
              </w:rPr>
              <w:t>每台箱式变压器下设1座</w:t>
            </w:r>
            <w:r>
              <w:rPr>
                <w:rFonts w:hint="eastAsia" w:ascii="Times New Roman" w:hAnsi="Times New Roman" w:cs="Times New Roman"/>
                <w:color w:val="000000"/>
                <w:sz w:val="24"/>
                <w:szCs w:val="24"/>
                <w:lang w:val="en-US" w:eastAsia="zh-CN"/>
              </w:rPr>
              <w:t>5</w:t>
            </w:r>
            <w:r>
              <w:rPr>
                <w:rFonts w:hint="default" w:ascii="Times New Roman" w:hAnsi="Times New Roman" w:cs="Times New Roman"/>
                <w:color w:val="000000"/>
                <w:sz w:val="24"/>
                <w:szCs w:val="24"/>
              </w:rPr>
              <w:t>m</w:t>
            </w:r>
            <w:r>
              <w:rPr>
                <w:rFonts w:hint="default" w:ascii="Times New Roman" w:hAnsi="Times New Roman" w:cs="Times New Roman"/>
                <w:color w:val="000000"/>
                <w:sz w:val="24"/>
                <w:szCs w:val="24"/>
                <w:vertAlign w:val="superscript"/>
              </w:rPr>
              <w:t>3</w:t>
            </w:r>
            <w:r>
              <w:rPr>
                <w:rFonts w:hint="default" w:ascii="Times New Roman" w:hAnsi="Times New Roman" w:cs="Times New Roman"/>
                <w:color w:val="000000"/>
                <w:sz w:val="24"/>
                <w:szCs w:val="24"/>
              </w:rPr>
              <w:t>事故油池，事故排油交由有资质的单位进行</w:t>
            </w:r>
            <w:r>
              <w:rPr>
                <w:rFonts w:hint="eastAsia" w:ascii="Times New Roman" w:hAnsi="Times New Roman" w:cs="Times New Roman"/>
                <w:color w:val="000000"/>
                <w:sz w:val="24"/>
                <w:szCs w:val="24"/>
                <w:lang w:val="en-US" w:eastAsia="zh-CN"/>
              </w:rPr>
              <w:t>处置</w:t>
            </w:r>
          </w:p>
        </w:tc>
        <w:tc>
          <w:tcPr>
            <w:tcW w:w="909" w:type="pct"/>
            <w:noWrap w:val="0"/>
            <w:vAlign w:val="center"/>
          </w:tcPr>
          <w:p w14:paraId="3979C3D6">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事故排油能够得到妥善处置</w:t>
            </w:r>
          </w:p>
        </w:tc>
      </w:tr>
      <w:tr w14:paraId="52C22C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2" w:type="pct"/>
            <w:noWrap w:val="0"/>
            <w:vAlign w:val="center"/>
          </w:tcPr>
          <w:p w14:paraId="3A3FB648">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环境监测</w:t>
            </w:r>
          </w:p>
        </w:tc>
        <w:tc>
          <w:tcPr>
            <w:tcW w:w="1102" w:type="pct"/>
            <w:noWrap w:val="0"/>
            <w:vAlign w:val="center"/>
          </w:tcPr>
          <w:p w14:paraId="25B97A63">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p>
        </w:tc>
        <w:tc>
          <w:tcPr>
            <w:tcW w:w="718" w:type="pct"/>
            <w:noWrap w:val="0"/>
            <w:vAlign w:val="center"/>
          </w:tcPr>
          <w:p w14:paraId="602E50C7">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p>
        </w:tc>
        <w:tc>
          <w:tcPr>
            <w:tcW w:w="1367" w:type="pct"/>
            <w:noWrap w:val="0"/>
            <w:vAlign w:val="center"/>
          </w:tcPr>
          <w:p w14:paraId="00E5F32F">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工程环保竣工验收监测一次，出现环保投诉时建设单位组织开展监测</w:t>
            </w:r>
          </w:p>
        </w:tc>
        <w:tc>
          <w:tcPr>
            <w:tcW w:w="909" w:type="pct"/>
            <w:noWrap w:val="0"/>
            <w:vAlign w:val="center"/>
          </w:tcPr>
          <w:p w14:paraId="719A6095">
            <w:pPr>
              <w:keepNext w:val="0"/>
              <w:keepLines w:val="0"/>
              <w:pageBreakBefore w:val="0"/>
              <w:suppressLineNumbers w:val="0"/>
              <w:kinsoku/>
              <w:wordWrap w:val="0"/>
              <w:overflowPunct/>
              <w:topLinePunct/>
              <w:autoSpaceDE/>
              <w:autoSpaceDN/>
              <w:bidi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委托有资质的单位开展监测或自行监测，监测记录完整</w:t>
            </w:r>
          </w:p>
        </w:tc>
      </w:tr>
      <w:tr w14:paraId="5E3037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2" w:type="pct"/>
            <w:noWrap w:val="0"/>
            <w:vAlign w:val="center"/>
          </w:tcPr>
          <w:p w14:paraId="274721E2">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其他</w:t>
            </w:r>
          </w:p>
        </w:tc>
        <w:tc>
          <w:tcPr>
            <w:tcW w:w="1102" w:type="pct"/>
            <w:noWrap w:val="0"/>
            <w:vAlign w:val="center"/>
          </w:tcPr>
          <w:p w14:paraId="441E9DD7">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p>
        </w:tc>
        <w:tc>
          <w:tcPr>
            <w:tcW w:w="718" w:type="pct"/>
            <w:noWrap w:val="0"/>
            <w:vAlign w:val="center"/>
          </w:tcPr>
          <w:p w14:paraId="2A1886D5">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p>
        </w:tc>
        <w:tc>
          <w:tcPr>
            <w:tcW w:w="1367" w:type="pct"/>
            <w:noWrap w:val="0"/>
            <w:vAlign w:val="center"/>
          </w:tcPr>
          <w:p w14:paraId="041780E5">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p>
        </w:tc>
        <w:tc>
          <w:tcPr>
            <w:tcW w:w="909" w:type="pct"/>
            <w:noWrap w:val="0"/>
            <w:vAlign w:val="center"/>
          </w:tcPr>
          <w:p w14:paraId="5598E084">
            <w:pPr>
              <w:keepNext w:val="0"/>
              <w:keepLines w:val="0"/>
              <w:pageBreakBefore w:val="0"/>
              <w:suppressLineNumbers w:val="0"/>
              <w:kinsoku/>
              <w:overflowPunct/>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w:t>
            </w:r>
          </w:p>
        </w:tc>
      </w:tr>
    </w:tbl>
    <w:p w14:paraId="043D03AB">
      <w:pPr>
        <w:pStyle w:val="25"/>
        <w:spacing w:before="0" w:beforeAutospacing="0"/>
        <w:jc w:val="center"/>
        <w:outlineLvl w:val="0"/>
        <w:rPr>
          <w:rFonts w:hint="default" w:ascii="Times New Roman" w:hAnsi="Times New Roman" w:eastAsia="黑体" w:cs="Times New Roman"/>
          <w:snapToGrid w:val="0"/>
          <w:color w:val="000000"/>
          <w:sz w:val="30"/>
          <w:szCs w:val="30"/>
        </w:rPr>
      </w:pPr>
      <w:r>
        <w:rPr>
          <w:rFonts w:hint="default" w:ascii="Times New Roman" w:hAnsi="Times New Roman" w:eastAsia="黑体" w:cs="Times New Roman"/>
          <w:snapToGrid w:val="0"/>
          <w:color w:val="000000"/>
          <w:sz w:val="30"/>
          <w:szCs w:val="30"/>
        </w:rPr>
        <w:br w:type="page"/>
      </w:r>
      <w:bookmarkStart w:id="25" w:name="_Toc8900"/>
      <w:r>
        <w:rPr>
          <w:rFonts w:hint="default" w:ascii="Times New Roman" w:hAnsi="Times New Roman" w:eastAsia="黑体" w:cs="Times New Roman"/>
          <w:snapToGrid w:val="0"/>
          <w:color w:val="000000"/>
          <w:sz w:val="30"/>
          <w:szCs w:val="30"/>
        </w:rPr>
        <w:t>七、结论</w:t>
      </w:r>
      <w:bookmarkEnd w:id="25"/>
    </w:p>
    <w:tbl>
      <w:tblPr>
        <w:tblStyle w:val="29"/>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14:paraId="5696E8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noWrap w:val="0"/>
            <w:vAlign w:val="top"/>
          </w:tcPr>
          <w:p w14:paraId="122961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80" w:lineRule="exact"/>
              <w:ind w:left="0" w:right="0" w:firstLine="480" w:firstLineChars="200"/>
              <w:textAlignment w:val="auto"/>
              <w:rPr>
                <w:rFonts w:hint="default" w:ascii="Times New Roman" w:hAnsi="Times New Roman" w:cs="Times New Roman"/>
                <w:color w:val="000000"/>
                <w:sz w:val="24"/>
              </w:rPr>
            </w:pPr>
            <w:r>
              <w:rPr>
                <w:rFonts w:hint="default" w:ascii="Times New Roman" w:hAnsi="Times New Roman" w:cs="Times New Roman"/>
                <w:color w:val="000000"/>
                <w:sz w:val="24"/>
              </w:rPr>
              <w:t>本项目在严格落实本次环评提出的</w:t>
            </w:r>
            <w:r>
              <w:rPr>
                <w:rFonts w:hint="eastAsia" w:ascii="Times New Roman" w:hAnsi="Times New Roman" w:cs="Times New Roman"/>
                <w:color w:val="000000"/>
                <w:sz w:val="24"/>
                <w:lang w:val="en-US" w:eastAsia="zh-CN"/>
              </w:rPr>
              <w:t>各项</w:t>
            </w:r>
            <w:r>
              <w:rPr>
                <w:rFonts w:hint="default" w:ascii="Times New Roman" w:hAnsi="Times New Roman" w:cs="Times New Roman"/>
                <w:color w:val="000000"/>
                <w:sz w:val="24"/>
              </w:rPr>
              <w:t>环保措施的前提下，施工期和运行期排放的各类污染物对区域环境影响不大，能够满足达标排放限值的要求，生态环境影响可以接受。因此，本建设项目的建设从环保角度分析是可行的。</w:t>
            </w:r>
          </w:p>
        </w:tc>
      </w:tr>
    </w:tbl>
    <w:p w14:paraId="7609A932">
      <w:pPr>
        <w:rPr>
          <w:rFonts w:hint="default" w:ascii="Times New Roman" w:hAnsi="Times New Roman" w:cs="Times New Roman"/>
          <w:color w:val="000000"/>
        </w:rPr>
      </w:pPr>
    </w:p>
    <w:p w14:paraId="1141B916">
      <w:pPr>
        <w:pStyle w:val="46"/>
        <w:rPr>
          <w:rFonts w:hint="default" w:ascii="Times New Roman" w:hAnsi="Times New Roman" w:cs="Times New Roman"/>
        </w:rPr>
      </w:pPr>
    </w:p>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CB4D12A-9047-4BB5-8A1D-169036BEFA9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方正仿宋_GB2312">
    <w:panose1 w:val="02000000000000000000"/>
    <w:charset w:val="86"/>
    <w:family w:val="auto"/>
    <w:pitch w:val="default"/>
    <w:sig w:usb0="A00002BF" w:usb1="184F6CFA" w:usb2="00000012" w:usb3="00000000" w:csb0="00040001" w:csb1="00000000"/>
    <w:embedRegular r:id="rId2" w:fontKey="{5CB2B9CF-D1C9-4C4B-9115-6694033F5FBA}"/>
  </w:font>
  <w:font w:name="华文中宋">
    <w:panose1 w:val="02010600040101010101"/>
    <w:charset w:val="86"/>
    <w:family w:val="auto"/>
    <w:pitch w:val="default"/>
    <w:sig w:usb0="00000287" w:usb1="080F0000" w:usb2="00000000" w:usb3="00000000" w:csb0="0004009F" w:csb1="DFD70000"/>
  </w:font>
  <w:font w:name="方正小标宋_GBK">
    <w:panose1 w:val="02000000000000000000"/>
    <w:charset w:val="86"/>
    <w:family w:val="script"/>
    <w:pitch w:val="default"/>
    <w:sig w:usb0="A00002BF" w:usb1="38CF7CFA" w:usb2="00082016" w:usb3="00000000" w:csb0="00040001" w:csb1="00000000"/>
  </w:font>
  <w:font w:name="方正楷体_GB2312">
    <w:panose1 w:val="02000000000000000000"/>
    <w:charset w:val="86"/>
    <w:family w:val="auto"/>
    <w:pitch w:val="default"/>
    <w:sig w:usb0="A00002BF" w:usb1="184F6CFA" w:usb2="00000012" w:usb3="00000000" w:csb0="00040001" w:csb1="00000000"/>
  </w:font>
  <w:font w:name="等线">
    <w:panose1 w:val="02010600030101010101"/>
    <w:charset w:val="86"/>
    <w:family w:val="auto"/>
    <w:pitch w:val="default"/>
    <w:sig w:usb0="A00002BF" w:usb1="38CF7CFA" w:usb2="00000016" w:usb3="00000000" w:csb0="0004000F" w:csb1="00000000"/>
  </w:font>
  <w:font w:name="Arial Unicode MS">
    <w:panose1 w:val="020B0604020202020204"/>
    <w:charset w:val="86"/>
    <w:family w:val="swiss"/>
    <w:pitch w:val="default"/>
    <w:sig w:usb0="F7FFAEFF" w:usb1="F9DFFFFF" w:usb2="0000007F" w:usb3="00000000" w:csb0="203F01FF" w:csb1="DFFF0000"/>
  </w:font>
  <w:font w:name="Wingdings 2">
    <w:panose1 w:val="05020102010507070707"/>
    <w:charset w:val="02"/>
    <w:family w:val="roman"/>
    <w:pitch w:val="default"/>
    <w:sig w:usb0="00000000" w:usb1="00000000" w:usb2="00000000" w:usb3="00000000" w:csb0="80000000" w:csb1="00000000"/>
    <w:embedRegular r:id="rId3" w:fontKey="{D656B0D2-7618-4ACB-B193-C8BAF32E1FAD}"/>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F6A92">
    <w:pPr>
      <w:pStyle w:val="18"/>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80845C">
                          <w:pPr>
                            <w:pStyle w:val="18"/>
                            <w:jc w:val="center"/>
                            <w:rPr>
                              <w:rStyle w:val="34"/>
                              <w:rFonts w:ascii="宋体" w:hAnsi="宋体"/>
                            </w:rPr>
                          </w:pPr>
                          <w:r>
                            <w:rPr>
                              <w:rStyle w:val="34"/>
                              <w:rFonts w:hint="eastAsia" w:ascii="宋体" w:hAnsi="宋体"/>
                            </w:rPr>
                            <w:t>—</w:t>
                          </w:r>
                          <w:r>
                            <w:rPr>
                              <w:rStyle w:val="34"/>
                              <w:rFonts w:hint="eastAsia" w:ascii="宋体" w:hAnsi="宋体"/>
                              <w:sz w:val="20"/>
                              <w:szCs w:val="20"/>
                            </w:rPr>
                            <w:t xml:space="preserve">  </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25</w:t>
                          </w:r>
                          <w:r>
                            <w:rPr>
                              <w:rFonts w:ascii="宋体" w:hAnsi="宋体"/>
                              <w:sz w:val="26"/>
                              <w:szCs w:val="26"/>
                            </w:rPr>
                            <w:fldChar w:fldCharType="end"/>
                          </w:r>
                          <w:r>
                            <w:rPr>
                              <w:rStyle w:val="34"/>
                              <w:rFonts w:hint="eastAsia" w:ascii="宋体" w:hAnsi="宋体"/>
                              <w:sz w:val="20"/>
                              <w:szCs w:val="20"/>
                            </w:rPr>
                            <w:t xml:space="preserve">  </w:t>
                          </w:r>
                          <w:r>
                            <w:rPr>
                              <w:rStyle w:val="34"/>
                              <w:rFonts w:hint="eastAsia" w:ascii="宋体" w:hAnsi="宋体"/>
                            </w:rPr>
                            <w:t>—</w:t>
                          </w:r>
                        </w:p>
                      </w:txbxContent>
                    </wps:txbx>
                    <wps:bodyPr vert="horz" wrap="none" lIns="0" tIns="0" rIns="0" bIns="0" anchor="t" anchorCtr="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HhJs+ABAADCAwAADgAAAGRycy9lMm9Eb2MueG1srVNBrtMwEN0jcQfL&#10;e5o0Eqiqmn4B1UdICJA+HMB1nMaS7bHGbpNyALgBKzbsOVfPwdhJ+uGz+Qs2yXhm/Gbem/HmZrCG&#10;nRQGDa7my0XJmXISGu0ONf/86fbZirMQhWuEAadqflaB32yfPtn0fq0q6MA0ChmBuLDufc27GP26&#10;KILslBVhAV45CraAVkQ64qFoUPSEbk1RleWLogdsPIJUIZB3Nwb5hIiPAYS21VLtQB6tcnFERWVE&#10;JEqh0z7wbe62bZWMH9o2qMhMzYlpzF8qQvY+fYvtRqwPKHyn5dSCeEwLDzhZoR0VvULtRBTsiPof&#10;KKslQoA2LiTYYiSSFSEWy/KBNned8CpzIamDv4oe/h+sfH/6iEw3tAkVZ05Ymvjl+7fLj1+Xn1/Z&#10;sqyeJ4l6H9aUeecpNw6vYKD02R/ImZgPLdr0J06M4iTw+SqwGiKT6dKqWq1KCkmKzQfCL+6vewzx&#10;jQLLklFzpAlmYcXpXYhj6pySqjm41cbkKRr3l4Mwk6dIvY89JisO+2EitIfmTHzoKVCdDvALZz0t&#10;Qs0d7T1n5q0jndPOzAbOxn42hJN0seaRs9F8HcfdOnrUhy5vW2oq+JfHSJ1mAqmNsfbUHY02SzCt&#10;YdqdP8856/7pb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EB4SbPgAQAAwgMAAA4AAAAA&#10;AAAAAQAgAAAAHgEAAGRycy9lMm9Eb2MueG1sUEsFBgAAAAAGAAYAWQEAAHAFAAAAAA==&#10;">
              <v:fill on="f" focussize="0,0"/>
              <v:stroke on="f"/>
              <v:imagedata o:title=""/>
              <o:lock v:ext="edit" aspectratio="f"/>
              <v:textbox inset="0mm,0mm,0mm,0mm" style="mso-fit-shape-to-text:t;">
                <w:txbxContent>
                  <w:p w14:paraId="5580845C">
                    <w:pPr>
                      <w:pStyle w:val="18"/>
                      <w:jc w:val="center"/>
                      <w:rPr>
                        <w:rStyle w:val="34"/>
                        <w:rFonts w:ascii="宋体" w:hAnsi="宋体"/>
                      </w:rPr>
                    </w:pPr>
                    <w:r>
                      <w:rPr>
                        <w:rStyle w:val="34"/>
                        <w:rFonts w:hint="eastAsia" w:ascii="宋体" w:hAnsi="宋体"/>
                      </w:rPr>
                      <w:t>—</w:t>
                    </w:r>
                    <w:r>
                      <w:rPr>
                        <w:rStyle w:val="34"/>
                        <w:rFonts w:hint="eastAsia" w:ascii="宋体" w:hAnsi="宋体"/>
                        <w:sz w:val="20"/>
                        <w:szCs w:val="20"/>
                      </w:rPr>
                      <w:t xml:space="preserve">  </w:t>
                    </w:r>
                    <w:r>
                      <w:rPr>
                        <w:rFonts w:ascii="宋体" w:hAnsi="宋体"/>
                        <w:sz w:val="26"/>
                        <w:szCs w:val="26"/>
                      </w:rPr>
                      <w:fldChar w:fldCharType="begin"/>
                    </w:r>
                    <w:r>
                      <w:rPr>
                        <w:rStyle w:val="34"/>
                        <w:rFonts w:ascii="宋体" w:hAnsi="宋体"/>
                        <w:sz w:val="26"/>
                        <w:szCs w:val="26"/>
                      </w:rPr>
                      <w:instrText xml:space="preserve">PAGE  </w:instrText>
                    </w:r>
                    <w:r>
                      <w:rPr>
                        <w:rFonts w:ascii="宋体" w:hAnsi="宋体"/>
                        <w:sz w:val="26"/>
                        <w:szCs w:val="26"/>
                      </w:rPr>
                      <w:fldChar w:fldCharType="separate"/>
                    </w:r>
                    <w:r>
                      <w:rPr>
                        <w:rStyle w:val="34"/>
                        <w:rFonts w:ascii="宋体" w:hAnsi="宋体"/>
                        <w:sz w:val="26"/>
                        <w:szCs w:val="26"/>
                      </w:rPr>
                      <w:t>25</w:t>
                    </w:r>
                    <w:r>
                      <w:rPr>
                        <w:rFonts w:ascii="宋体" w:hAnsi="宋体"/>
                        <w:sz w:val="26"/>
                        <w:szCs w:val="26"/>
                      </w:rPr>
                      <w:fldChar w:fldCharType="end"/>
                    </w:r>
                    <w:r>
                      <w:rPr>
                        <w:rStyle w:val="34"/>
                        <w:rFonts w:hint="eastAsia" w:ascii="宋体" w:hAnsi="宋体"/>
                        <w:sz w:val="20"/>
                        <w:szCs w:val="20"/>
                      </w:rPr>
                      <w:t xml:space="preserve">  </w:t>
                    </w:r>
                    <w:r>
                      <w:rPr>
                        <w:rStyle w:val="34"/>
                        <w:rFonts w:hint="eastAsia" w:ascii="宋体" w:hAnsi="宋体"/>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5137B7E"/>
    <w:multiLevelType w:val="multilevel"/>
    <w:tmpl w:val="55137B7E"/>
    <w:lvl w:ilvl="0" w:tentative="0">
      <w:start w:val="1"/>
      <w:numFmt w:val="decimal"/>
      <w:suff w:val="space"/>
      <w:lvlText w:val="%1"/>
      <w:lvlJc w:val="left"/>
      <w:pPr>
        <w:ind w:left="0" w:firstLine="0"/>
      </w:pPr>
      <w:rPr>
        <w:rFonts w:hint="default" w:ascii="Arial" w:hAnsi="Arial" w:eastAsia="黑体"/>
        <w:b w:val="0"/>
        <w:i w:val="0"/>
        <w:sz w:val="36"/>
        <w:szCs w:val="32"/>
      </w:rPr>
    </w:lvl>
    <w:lvl w:ilvl="1" w:tentative="0">
      <w:start w:val="1"/>
      <w:numFmt w:val="decimal"/>
      <w:suff w:val="space"/>
      <w:lvlText w:val="%1.%2"/>
      <w:lvlJc w:val="left"/>
      <w:pPr>
        <w:ind w:left="0" w:firstLine="0"/>
      </w:pPr>
      <w:rPr>
        <w:rFonts w:hint="default" w:ascii="Arial" w:hAnsi="Arial" w:eastAsia="黑体"/>
        <w:b w:val="0"/>
        <w:i w:val="0"/>
        <w:color w:val="auto"/>
        <w:sz w:val="32"/>
        <w:szCs w:val="28"/>
        <w:u w:val="none"/>
      </w:rPr>
    </w:lvl>
    <w:lvl w:ilvl="2" w:tentative="0">
      <w:start w:val="1"/>
      <w:numFmt w:val="decimal"/>
      <w:suff w:val="space"/>
      <w:lvlText w:val="%1.%2.%3"/>
      <w:lvlJc w:val="left"/>
      <w:pPr>
        <w:ind w:left="0" w:firstLine="0"/>
      </w:pPr>
      <w:rPr>
        <w:rFonts w:hint="default" w:ascii="Arial" w:hAnsi="Arial" w:eastAsia="方正小标宋_GBK"/>
        <w:b w:val="0"/>
        <w:i w:val="0"/>
        <w:sz w:val="28"/>
        <w:szCs w:val="24"/>
      </w:rPr>
    </w:lvl>
    <w:lvl w:ilvl="3" w:tentative="0">
      <w:start w:val="1"/>
      <w:numFmt w:val="decimal"/>
      <w:suff w:val="space"/>
      <w:lvlText w:val="%1.%2.%3.%4"/>
      <w:lvlJc w:val="left"/>
      <w:pPr>
        <w:ind w:left="0" w:firstLine="0"/>
      </w:pPr>
      <w:rPr>
        <w:rFonts w:hint="default" w:ascii="Arial" w:hAnsi="Arial" w:eastAsia="宋体"/>
        <w:b w:val="0"/>
        <w:i w:val="0"/>
        <w:sz w:val="28"/>
      </w:rPr>
    </w:lvl>
    <w:lvl w:ilvl="4" w:tentative="0">
      <w:start w:val="1"/>
      <w:numFmt w:val="decimal"/>
      <w:suff w:val="nothing"/>
      <w:lvlText w:val="%5）"/>
      <w:lvlJc w:val="left"/>
      <w:pPr>
        <w:ind w:left="0" w:firstLine="0"/>
      </w:pPr>
      <w:rPr>
        <w:rFonts w:hint="default" w:ascii="方正楷体_GB2312" w:hAnsi="Arial" w:eastAsia="方正楷体_GB2312"/>
        <w:b w:val="0"/>
        <w:i w:val="0"/>
        <w:sz w:val="28"/>
      </w:rPr>
    </w:lvl>
    <w:lvl w:ilvl="5" w:tentative="0">
      <w:start w:val="1"/>
      <w:numFmt w:val="decimal"/>
      <w:suff w:val="nothing"/>
      <w:lvlText w:val="（%6）"/>
      <w:lvlJc w:val="left"/>
      <w:pPr>
        <w:ind w:left="992" w:firstLine="0"/>
      </w:pPr>
      <w:rPr>
        <w:rFonts w:hint="default" w:ascii="方正仿宋_GB2312" w:hAnsi="Arial" w:eastAsia="方正仿宋_GB2312"/>
        <w:b w:val="0"/>
        <w:i w:val="0"/>
        <w:sz w:val="28"/>
      </w:rPr>
    </w:lvl>
    <w:lvl w:ilvl="6" w:tentative="0">
      <w:start w:val="1"/>
      <w:numFmt w:val="upperLetter"/>
      <w:suff w:val="nothing"/>
      <w:lvlText w:val="%7）"/>
      <w:lvlJc w:val="left"/>
      <w:pPr>
        <w:ind w:left="0" w:firstLine="0"/>
      </w:pPr>
      <w:rPr>
        <w:rFonts w:hint="default"/>
      </w:rPr>
    </w:lvl>
    <w:lvl w:ilvl="7" w:tentative="0">
      <w:start w:val="1"/>
      <w:numFmt w:val="decimal"/>
      <w:lvlRestart w:val="2"/>
      <w:suff w:val="nothing"/>
      <w:lvlText w:val="图%1.%2-%8"/>
      <w:lvlJc w:val="left"/>
      <w:pPr>
        <w:ind w:left="0" w:firstLine="0"/>
      </w:pPr>
      <w:rPr>
        <w:rFonts w:hint="eastAsia" w:ascii="黑体" w:eastAsia="黑体"/>
        <w:b w:val="0"/>
        <w:i w:val="0"/>
        <w:vanish w:val="0"/>
        <w:sz w:val="24"/>
      </w:rPr>
    </w:lvl>
    <w:lvl w:ilvl="8" w:tentative="0">
      <w:start w:val="1"/>
      <w:numFmt w:val="decimal"/>
      <w:lvlRestart w:val="2"/>
      <w:pStyle w:val="91"/>
      <w:suff w:val="nothing"/>
      <w:lvlText w:val="表%1.%2-%9"/>
      <w:lvlJc w:val="left"/>
      <w:pPr>
        <w:ind w:left="0" w:firstLine="0"/>
      </w:pPr>
      <w:rPr>
        <w:rFonts w:hint="eastAsia" w:ascii="黑体" w:hAnsi="黑体" w:eastAsia="黑体"/>
        <w:b w:val="0"/>
        <w:i w:val="0"/>
        <w:sz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cxZWQyYTk5MmM4MzJmNDgxOGVjNWZkN2NjYjU0NGMifQ=="/>
  </w:docVars>
  <w:rsids>
    <w:rsidRoot w:val="00172A27"/>
    <w:rsid w:val="00001CED"/>
    <w:rsid w:val="00001E67"/>
    <w:rsid w:val="00003CD8"/>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8610A"/>
    <w:rsid w:val="00092899"/>
    <w:rsid w:val="000A178E"/>
    <w:rsid w:val="000A557E"/>
    <w:rsid w:val="000B058F"/>
    <w:rsid w:val="000B693F"/>
    <w:rsid w:val="000C09AC"/>
    <w:rsid w:val="000C0A63"/>
    <w:rsid w:val="000C437E"/>
    <w:rsid w:val="000E5F16"/>
    <w:rsid w:val="000F4452"/>
    <w:rsid w:val="000F6DA1"/>
    <w:rsid w:val="000F701B"/>
    <w:rsid w:val="001056A0"/>
    <w:rsid w:val="00115279"/>
    <w:rsid w:val="00117459"/>
    <w:rsid w:val="0011749A"/>
    <w:rsid w:val="00127A6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9146B"/>
    <w:rsid w:val="00194398"/>
    <w:rsid w:val="001A7D2A"/>
    <w:rsid w:val="001B574C"/>
    <w:rsid w:val="001C0AF9"/>
    <w:rsid w:val="001C155A"/>
    <w:rsid w:val="001C48C0"/>
    <w:rsid w:val="001D6726"/>
    <w:rsid w:val="001F3347"/>
    <w:rsid w:val="001F4440"/>
    <w:rsid w:val="001F6433"/>
    <w:rsid w:val="001F69E4"/>
    <w:rsid w:val="00206A65"/>
    <w:rsid w:val="00212D31"/>
    <w:rsid w:val="002130C7"/>
    <w:rsid w:val="002218A8"/>
    <w:rsid w:val="0022306D"/>
    <w:rsid w:val="00224A93"/>
    <w:rsid w:val="00226574"/>
    <w:rsid w:val="002278EC"/>
    <w:rsid w:val="002357C7"/>
    <w:rsid w:val="002367C4"/>
    <w:rsid w:val="0025679E"/>
    <w:rsid w:val="00260C68"/>
    <w:rsid w:val="002648B0"/>
    <w:rsid w:val="00275271"/>
    <w:rsid w:val="0027535E"/>
    <w:rsid w:val="00275AA6"/>
    <w:rsid w:val="002807D5"/>
    <w:rsid w:val="00282CCD"/>
    <w:rsid w:val="002A168C"/>
    <w:rsid w:val="002A2C48"/>
    <w:rsid w:val="002A3EED"/>
    <w:rsid w:val="002A4A39"/>
    <w:rsid w:val="002A5A17"/>
    <w:rsid w:val="002A6425"/>
    <w:rsid w:val="002B49E2"/>
    <w:rsid w:val="002B7B00"/>
    <w:rsid w:val="002B7C44"/>
    <w:rsid w:val="002C1388"/>
    <w:rsid w:val="002C3C6A"/>
    <w:rsid w:val="002D42DB"/>
    <w:rsid w:val="002E1F3A"/>
    <w:rsid w:val="002E298A"/>
    <w:rsid w:val="002F02A4"/>
    <w:rsid w:val="002F272B"/>
    <w:rsid w:val="002F7C6D"/>
    <w:rsid w:val="003027E4"/>
    <w:rsid w:val="0030332C"/>
    <w:rsid w:val="00312296"/>
    <w:rsid w:val="0031340E"/>
    <w:rsid w:val="00316464"/>
    <w:rsid w:val="0032073A"/>
    <w:rsid w:val="00321D8E"/>
    <w:rsid w:val="00334996"/>
    <w:rsid w:val="00336969"/>
    <w:rsid w:val="00336C52"/>
    <w:rsid w:val="00341B3E"/>
    <w:rsid w:val="00341B42"/>
    <w:rsid w:val="00345154"/>
    <w:rsid w:val="0034560E"/>
    <w:rsid w:val="00350523"/>
    <w:rsid w:val="00352975"/>
    <w:rsid w:val="00356868"/>
    <w:rsid w:val="0036485B"/>
    <w:rsid w:val="00373B0D"/>
    <w:rsid w:val="00376988"/>
    <w:rsid w:val="00381A72"/>
    <w:rsid w:val="003A1948"/>
    <w:rsid w:val="003B152A"/>
    <w:rsid w:val="003B545B"/>
    <w:rsid w:val="003D3EE9"/>
    <w:rsid w:val="003E7681"/>
    <w:rsid w:val="003F0809"/>
    <w:rsid w:val="003F611C"/>
    <w:rsid w:val="003F755C"/>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E5B30"/>
    <w:rsid w:val="004F0779"/>
    <w:rsid w:val="004F1230"/>
    <w:rsid w:val="004F173F"/>
    <w:rsid w:val="004F177C"/>
    <w:rsid w:val="004F2DCE"/>
    <w:rsid w:val="005039CB"/>
    <w:rsid w:val="0050558F"/>
    <w:rsid w:val="005057E0"/>
    <w:rsid w:val="00506286"/>
    <w:rsid w:val="00510813"/>
    <w:rsid w:val="00511DE0"/>
    <w:rsid w:val="00517F02"/>
    <w:rsid w:val="00524547"/>
    <w:rsid w:val="005258A2"/>
    <w:rsid w:val="00530F7C"/>
    <w:rsid w:val="00534567"/>
    <w:rsid w:val="00534F43"/>
    <w:rsid w:val="00535A84"/>
    <w:rsid w:val="00536889"/>
    <w:rsid w:val="00542E07"/>
    <w:rsid w:val="00554A7B"/>
    <w:rsid w:val="0055572C"/>
    <w:rsid w:val="0056064F"/>
    <w:rsid w:val="00561B84"/>
    <w:rsid w:val="00571D98"/>
    <w:rsid w:val="005720AE"/>
    <w:rsid w:val="0058030D"/>
    <w:rsid w:val="00582045"/>
    <w:rsid w:val="00590AE3"/>
    <w:rsid w:val="005913A1"/>
    <w:rsid w:val="005918F1"/>
    <w:rsid w:val="005A06B7"/>
    <w:rsid w:val="005A1759"/>
    <w:rsid w:val="005D0369"/>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343AF"/>
    <w:rsid w:val="0063634A"/>
    <w:rsid w:val="0064250D"/>
    <w:rsid w:val="006535EB"/>
    <w:rsid w:val="00663016"/>
    <w:rsid w:val="00674605"/>
    <w:rsid w:val="006748B8"/>
    <w:rsid w:val="0068535B"/>
    <w:rsid w:val="0068736E"/>
    <w:rsid w:val="0069290A"/>
    <w:rsid w:val="00697032"/>
    <w:rsid w:val="006975AC"/>
    <w:rsid w:val="006A15FB"/>
    <w:rsid w:val="006A72BF"/>
    <w:rsid w:val="006B332A"/>
    <w:rsid w:val="006B33BD"/>
    <w:rsid w:val="006C3F75"/>
    <w:rsid w:val="006D170E"/>
    <w:rsid w:val="006E06AF"/>
    <w:rsid w:val="006F1789"/>
    <w:rsid w:val="00706C5D"/>
    <w:rsid w:val="007118E6"/>
    <w:rsid w:val="007225C9"/>
    <w:rsid w:val="00735CD7"/>
    <w:rsid w:val="00754034"/>
    <w:rsid w:val="00754BF1"/>
    <w:rsid w:val="00755A30"/>
    <w:rsid w:val="00755E1C"/>
    <w:rsid w:val="00756556"/>
    <w:rsid w:val="0076132B"/>
    <w:rsid w:val="007623AE"/>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FFB"/>
    <w:rsid w:val="00820568"/>
    <w:rsid w:val="00831A80"/>
    <w:rsid w:val="008332C8"/>
    <w:rsid w:val="00833743"/>
    <w:rsid w:val="008340A4"/>
    <w:rsid w:val="00836799"/>
    <w:rsid w:val="00837028"/>
    <w:rsid w:val="00837131"/>
    <w:rsid w:val="00845F57"/>
    <w:rsid w:val="008521E0"/>
    <w:rsid w:val="008525B0"/>
    <w:rsid w:val="00867CBC"/>
    <w:rsid w:val="00876C30"/>
    <w:rsid w:val="00877017"/>
    <w:rsid w:val="008773C0"/>
    <w:rsid w:val="00880364"/>
    <w:rsid w:val="00886C4C"/>
    <w:rsid w:val="0088711C"/>
    <w:rsid w:val="00892ECF"/>
    <w:rsid w:val="00892F06"/>
    <w:rsid w:val="00894285"/>
    <w:rsid w:val="008A40AE"/>
    <w:rsid w:val="008A4E19"/>
    <w:rsid w:val="008A67C5"/>
    <w:rsid w:val="008B22E1"/>
    <w:rsid w:val="008B3C78"/>
    <w:rsid w:val="008B4AE9"/>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72C7"/>
    <w:rsid w:val="009B0897"/>
    <w:rsid w:val="009C54FC"/>
    <w:rsid w:val="009D0852"/>
    <w:rsid w:val="009D1FBF"/>
    <w:rsid w:val="009E399C"/>
    <w:rsid w:val="009E43C1"/>
    <w:rsid w:val="009E7E95"/>
    <w:rsid w:val="009F116F"/>
    <w:rsid w:val="009F329E"/>
    <w:rsid w:val="009F7ED3"/>
    <w:rsid w:val="00A03607"/>
    <w:rsid w:val="00A047FF"/>
    <w:rsid w:val="00A04FEF"/>
    <w:rsid w:val="00A122CD"/>
    <w:rsid w:val="00A12A32"/>
    <w:rsid w:val="00A14248"/>
    <w:rsid w:val="00A14947"/>
    <w:rsid w:val="00A23DC5"/>
    <w:rsid w:val="00A34028"/>
    <w:rsid w:val="00A35568"/>
    <w:rsid w:val="00A37056"/>
    <w:rsid w:val="00A4358F"/>
    <w:rsid w:val="00A46F67"/>
    <w:rsid w:val="00A54AA1"/>
    <w:rsid w:val="00A561EB"/>
    <w:rsid w:val="00A568FF"/>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914"/>
    <w:rsid w:val="00AB5330"/>
    <w:rsid w:val="00AB7747"/>
    <w:rsid w:val="00AC2532"/>
    <w:rsid w:val="00AD1507"/>
    <w:rsid w:val="00AD5A70"/>
    <w:rsid w:val="00AD738B"/>
    <w:rsid w:val="00AE1BF4"/>
    <w:rsid w:val="00AE5D97"/>
    <w:rsid w:val="00AE6794"/>
    <w:rsid w:val="00B01110"/>
    <w:rsid w:val="00B02262"/>
    <w:rsid w:val="00B03CEC"/>
    <w:rsid w:val="00B1209F"/>
    <w:rsid w:val="00B12AD0"/>
    <w:rsid w:val="00B24F30"/>
    <w:rsid w:val="00B31ABF"/>
    <w:rsid w:val="00B335AE"/>
    <w:rsid w:val="00B37CE1"/>
    <w:rsid w:val="00B40ACF"/>
    <w:rsid w:val="00B46BAA"/>
    <w:rsid w:val="00B50B5F"/>
    <w:rsid w:val="00B52085"/>
    <w:rsid w:val="00B54128"/>
    <w:rsid w:val="00B55826"/>
    <w:rsid w:val="00B60426"/>
    <w:rsid w:val="00B622DD"/>
    <w:rsid w:val="00B63522"/>
    <w:rsid w:val="00B76F1D"/>
    <w:rsid w:val="00B92A19"/>
    <w:rsid w:val="00B9544C"/>
    <w:rsid w:val="00BA29E9"/>
    <w:rsid w:val="00BB3618"/>
    <w:rsid w:val="00BC0C9E"/>
    <w:rsid w:val="00BC32DC"/>
    <w:rsid w:val="00BD1B51"/>
    <w:rsid w:val="00BD47F6"/>
    <w:rsid w:val="00BE312D"/>
    <w:rsid w:val="00BE3FCA"/>
    <w:rsid w:val="00BE4059"/>
    <w:rsid w:val="00C05719"/>
    <w:rsid w:val="00C10578"/>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99B"/>
    <w:rsid w:val="00C82C79"/>
    <w:rsid w:val="00C84753"/>
    <w:rsid w:val="00C91611"/>
    <w:rsid w:val="00CA3585"/>
    <w:rsid w:val="00CA3D5A"/>
    <w:rsid w:val="00CA4C7C"/>
    <w:rsid w:val="00CB0183"/>
    <w:rsid w:val="00CB1EA3"/>
    <w:rsid w:val="00CB552C"/>
    <w:rsid w:val="00CB6A9E"/>
    <w:rsid w:val="00CC6181"/>
    <w:rsid w:val="00CD2BCD"/>
    <w:rsid w:val="00CD36AA"/>
    <w:rsid w:val="00CD3791"/>
    <w:rsid w:val="00CD65B0"/>
    <w:rsid w:val="00CE02CD"/>
    <w:rsid w:val="00CE10E9"/>
    <w:rsid w:val="00D0072E"/>
    <w:rsid w:val="00D156E8"/>
    <w:rsid w:val="00D15727"/>
    <w:rsid w:val="00D16332"/>
    <w:rsid w:val="00D24972"/>
    <w:rsid w:val="00D2515E"/>
    <w:rsid w:val="00D308ED"/>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A2DA3"/>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311B"/>
    <w:rsid w:val="00E65D97"/>
    <w:rsid w:val="00E67EFD"/>
    <w:rsid w:val="00E702DC"/>
    <w:rsid w:val="00E71FFB"/>
    <w:rsid w:val="00E76D1D"/>
    <w:rsid w:val="00E806F8"/>
    <w:rsid w:val="00E87752"/>
    <w:rsid w:val="00E8793B"/>
    <w:rsid w:val="00E90F81"/>
    <w:rsid w:val="00E91A6D"/>
    <w:rsid w:val="00E9242D"/>
    <w:rsid w:val="00EB041C"/>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61097"/>
    <w:rsid w:val="00F74345"/>
    <w:rsid w:val="00F74441"/>
    <w:rsid w:val="00F77F30"/>
    <w:rsid w:val="00F82589"/>
    <w:rsid w:val="00F82B19"/>
    <w:rsid w:val="00F90AA7"/>
    <w:rsid w:val="00F9212D"/>
    <w:rsid w:val="00FA301A"/>
    <w:rsid w:val="00FA406A"/>
    <w:rsid w:val="00FA5CB6"/>
    <w:rsid w:val="00FC66AC"/>
    <w:rsid w:val="00FD18F4"/>
    <w:rsid w:val="00FD74B4"/>
    <w:rsid w:val="00FF6FCE"/>
    <w:rsid w:val="00FF7518"/>
    <w:rsid w:val="00FF7FD8"/>
    <w:rsid w:val="01213882"/>
    <w:rsid w:val="013C5FF6"/>
    <w:rsid w:val="017A1DD9"/>
    <w:rsid w:val="01A45595"/>
    <w:rsid w:val="01AF4E35"/>
    <w:rsid w:val="01C30349"/>
    <w:rsid w:val="01E66FA5"/>
    <w:rsid w:val="01ED4F54"/>
    <w:rsid w:val="02117AEC"/>
    <w:rsid w:val="02266825"/>
    <w:rsid w:val="0234484C"/>
    <w:rsid w:val="024B544C"/>
    <w:rsid w:val="02800B41"/>
    <w:rsid w:val="0296016D"/>
    <w:rsid w:val="02A9377D"/>
    <w:rsid w:val="02B50726"/>
    <w:rsid w:val="02C2023F"/>
    <w:rsid w:val="033030C2"/>
    <w:rsid w:val="033965F8"/>
    <w:rsid w:val="03477597"/>
    <w:rsid w:val="03942A31"/>
    <w:rsid w:val="039D20DD"/>
    <w:rsid w:val="03D01D51"/>
    <w:rsid w:val="03D80CC7"/>
    <w:rsid w:val="03DE6187"/>
    <w:rsid w:val="03F77EA0"/>
    <w:rsid w:val="049359A0"/>
    <w:rsid w:val="049C52FD"/>
    <w:rsid w:val="04C32499"/>
    <w:rsid w:val="04E211FA"/>
    <w:rsid w:val="05665D07"/>
    <w:rsid w:val="05742AC8"/>
    <w:rsid w:val="0591676A"/>
    <w:rsid w:val="05A33A86"/>
    <w:rsid w:val="05F76A1B"/>
    <w:rsid w:val="060D6388"/>
    <w:rsid w:val="06352F05"/>
    <w:rsid w:val="063E7D85"/>
    <w:rsid w:val="06532DBB"/>
    <w:rsid w:val="069B32C0"/>
    <w:rsid w:val="06D31F41"/>
    <w:rsid w:val="06D80690"/>
    <w:rsid w:val="06E8713D"/>
    <w:rsid w:val="070875E0"/>
    <w:rsid w:val="07293586"/>
    <w:rsid w:val="07295285"/>
    <w:rsid w:val="076965EA"/>
    <w:rsid w:val="07770C56"/>
    <w:rsid w:val="077832B4"/>
    <w:rsid w:val="07B7452D"/>
    <w:rsid w:val="07D437A0"/>
    <w:rsid w:val="082F566C"/>
    <w:rsid w:val="0837398B"/>
    <w:rsid w:val="083D01CB"/>
    <w:rsid w:val="08557F6E"/>
    <w:rsid w:val="08583BB0"/>
    <w:rsid w:val="08DF0CEA"/>
    <w:rsid w:val="08EA12AB"/>
    <w:rsid w:val="08EC1CB3"/>
    <w:rsid w:val="08F70F16"/>
    <w:rsid w:val="09092C22"/>
    <w:rsid w:val="09102B59"/>
    <w:rsid w:val="092217DD"/>
    <w:rsid w:val="093A7294"/>
    <w:rsid w:val="094F3F30"/>
    <w:rsid w:val="095B772D"/>
    <w:rsid w:val="0984017F"/>
    <w:rsid w:val="099A0675"/>
    <w:rsid w:val="09A55453"/>
    <w:rsid w:val="09CF2E96"/>
    <w:rsid w:val="0A3E36F7"/>
    <w:rsid w:val="0A535C81"/>
    <w:rsid w:val="0ABD461B"/>
    <w:rsid w:val="0AE5145B"/>
    <w:rsid w:val="0B206B1D"/>
    <w:rsid w:val="0B7B15FC"/>
    <w:rsid w:val="0B837613"/>
    <w:rsid w:val="0B896BF3"/>
    <w:rsid w:val="0BC2288A"/>
    <w:rsid w:val="0BD27BF6"/>
    <w:rsid w:val="0C274D4E"/>
    <w:rsid w:val="0C8065AC"/>
    <w:rsid w:val="0C9E7634"/>
    <w:rsid w:val="0CE52D8B"/>
    <w:rsid w:val="0D1C3EF6"/>
    <w:rsid w:val="0D221BC0"/>
    <w:rsid w:val="0D4032E2"/>
    <w:rsid w:val="0D4E1EA3"/>
    <w:rsid w:val="0D9F44AC"/>
    <w:rsid w:val="0DA770AD"/>
    <w:rsid w:val="0DC44989"/>
    <w:rsid w:val="0DF77E44"/>
    <w:rsid w:val="0E0C722E"/>
    <w:rsid w:val="0E110D06"/>
    <w:rsid w:val="0E3A7C17"/>
    <w:rsid w:val="0EB421D9"/>
    <w:rsid w:val="0F13775A"/>
    <w:rsid w:val="0F295238"/>
    <w:rsid w:val="0F2A6D5A"/>
    <w:rsid w:val="0F4C197B"/>
    <w:rsid w:val="0F5F7B7C"/>
    <w:rsid w:val="0F7A2ADB"/>
    <w:rsid w:val="0F8E2FF5"/>
    <w:rsid w:val="0F9A112B"/>
    <w:rsid w:val="0FFE370C"/>
    <w:rsid w:val="100731DB"/>
    <w:rsid w:val="100E1475"/>
    <w:rsid w:val="101B634C"/>
    <w:rsid w:val="10327CDD"/>
    <w:rsid w:val="10522948"/>
    <w:rsid w:val="10525B91"/>
    <w:rsid w:val="10644356"/>
    <w:rsid w:val="106D2F64"/>
    <w:rsid w:val="10B63710"/>
    <w:rsid w:val="10EE3F0A"/>
    <w:rsid w:val="10FB5D31"/>
    <w:rsid w:val="10FD7E68"/>
    <w:rsid w:val="1113014D"/>
    <w:rsid w:val="111C2F7A"/>
    <w:rsid w:val="113013DE"/>
    <w:rsid w:val="117B6597"/>
    <w:rsid w:val="11C12C43"/>
    <w:rsid w:val="11C81293"/>
    <w:rsid w:val="12064327"/>
    <w:rsid w:val="121107E6"/>
    <w:rsid w:val="122B06C2"/>
    <w:rsid w:val="124C5858"/>
    <w:rsid w:val="12776924"/>
    <w:rsid w:val="129C19A7"/>
    <w:rsid w:val="129C5E4A"/>
    <w:rsid w:val="12D72FE5"/>
    <w:rsid w:val="12E110C3"/>
    <w:rsid w:val="12E16E66"/>
    <w:rsid w:val="133F3432"/>
    <w:rsid w:val="13411486"/>
    <w:rsid w:val="135D45ED"/>
    <w:rsid w:val="13951726"/>
    <w:rsid w:val="13B30CB1"/>
    <w:rsid w:val="14396509"/>
    <w:rsid w:val="14431A1F"/>
    <w:rsid w:val="14445909"/>
    <w:rsid w:val="1447165C"/>
    <w:rsid w:val="144E3163"/>
    <w:rsid w:val="149A08F2"/>
    <w:rsid w:val="14E8545A"/>
    <w:rsid w:val="14FD18BE"/>
    <w:rsid w:val="15021CC7"/>
    <w:rsid w:val="153A4CC5"/>
    <w:rsid w:val="155604DD"/>
    <w:rsid w:val="155D5B46"/>
    <w:rsid w:val="156A301A"/>
    <w:rsid w:val="15734ABF"/>
    <w:rsid w:val="15C1126D"/>
    <w:rsid w:val="16461969"/>
    <w:rsid w:val="16692794"/>
    <w:rsid w:val="16800B40"/>
    <w:rsid w:val="169A35CB"/>
    <w:rsid w:val="16AC6BD7"/>
    <w:rsid w:val="172D48D7"/>
    <w:rsid w:val="173F5CA5"/>
    <w:rsid w:val="175E5586"/>
    <w:rsid w:val="17626C76"/>
    <w:rsid w:val="17735226"/>
    <w:rsid w:val="17FB27EE"/>
    <w:rsid w:val="181C234A"/>
    <w:rsid w:val="181C4CC2"/>
    <w:rsid w:val="18247706"/>
    <w:rsid w:val="184419A9"/>
    <w:rsid w:val="18596180"/>
    <w:rsid w:val="190624B1"/>
    <w:rsid w:val="190D279C"/>
    <w:rsid w:val="196C0F5A"/>
    <w:rsid w:val="197C7FE6"/>
    <w:rsid w:val="19834C82"/>
    <w:rsid w:val="198F2BF1"/>
    <w:rsid w:val="19B03D42"/>
    <w:rsid w:val="19BB1F57"/>
    <w:rsid w:val="19C63F62"/>
    <w:rsid w:val="19ED45DB"/>
    <w:rsid w:val="1A0967D5"/>
    <w:rsid w:val="1A1C66C0"/>
    <w:rsid w:val="1A2B7399"/>
    <w:rsid w:val="1A42393B"/>
    <w:rsid w:val="1A68685D"/>
    <w:rsid w:val="1A7D1243"/>
    <w:rsid w:val="1AC03874"/>
    <w:rsid w:val="1B046F80"/>
    <w:rsid w:val="1B2B4DE4"/>
    <w:rsid w:val="1B3267B5"/>
    <w:rsid w:val="1B66485B"/>
    <w:rsid w:val="1B697529"/>
    <w:rsid w:val="1B747F9B"/>
    <w:rsid w:val="1BA01B1B"/>
    <w:rsid w:val="1BC25DC8"/>
    <w:rsid w:val="1BD972C9"/>
    <w:rsid w:val="1C224BDE"/>
    <w:rsid w:val="1C3D1BF7"/>
    <w:rsid w:val="1C4A7CD9"/>
    <w:rsid w:val="1C5E7925"/>
    <w:rsid w:val="1C5F49EB"/>
    <w:rsid w:val="1C6C40F3"/>
    <w:rsid w:val="1C887FC8"/>
    <w:rsid w:val="1C915840"/>
    <w:rsid w:val="1CBD6140"/>
    <w:rsid w:val="1CBF19E5"/>
    <w:rsid w:val="1D094DDC"/>
    <w:rsid w:val="1D130650"/>
    <w:rsid w:val="1D3578CC"/>
    <w:rsid w:val="1D5F6196"/>
    <w:rsid w:val="1D6132A5"/>
    <w:rsid w:val="1D8E56D5"/>
    <w:rsid w:val="1DA5273D"/>
    <w:rsid w:val="1E653C4E"/>
    <w:rsid w:val="1E656E43"/>
    <w:rsid w:val="1E796654"/>
    <w:rsid w:val="1E7A43DA"/>
    <w:rsid w:val="1E82313A"/>
    <w:rsid w:val="1EB277FE"/>
    <w:rsid w:val="1EBD4792"/>
    <w:rsid w:val="1EBD6915"/>
    <w:rsid w:val="1EBF2E27"/>
    <w:rsid w:val="1EC27986"/>
    <w:rsid w:val="1F043DD9"/>
    <w:rsid w:val="1F2B360E"/>
    <w:rsid w:val="1F4509D6"/>
    <w:rsid w:val="1F701EC5"/>
    <w:rsid w:val="1F8A1195"/>
    <w:rsid w:val="1F9A30E7"/>
    <w:rsid w:val="1FAB1F84"/>
    <w:rsid w:val="1FD11C73"/>
    <w:rsid w:val="1FE7539E"/>
    <w:rsid w:val="200B1B79"/>
    <w:rsid w:val="201F2FFE"/>
    <w:rsid w:val="204213F3"/>
    <w:rsid w:val="204F41C4"/>
    <w:rsid w:val="2068529D"/>
    <w:rsid w:val="20963CB8"/>
    <w:rsid w:val="20B07FB6"/>
    <w:rsid w:val="20C009E6"/>
    <w:rsid w:val="210144F8"/>
    <w:rsid w:val="21165B19"/>
    <w:rsid w:val="213B74B1"/>
    <w:rsid w:val="215A2310"/>
    <w:rsid w:val="219A2F64"/>
    <w:rsid w:val="21BB238C"/>
    <w:rsid w:val="21DE318A"/>
    <w:rsid w:val="21DE3C94"/>
    <w:rsid w:val="21E464DA"/>
    <w:rsid w:val="21EF5B80"/>
    <w:rsid w:val="224A1F01"/>
    <w:rsid w:val="22576990"/>
    <w:rsid w:val="22631AF5"/>
    <w:rsid w:val="227A5FA5"/>
    <w:rsid w:val="229C4EAB"/>
    <w:rsid w:val="229E2D1C"/>
    <w:rsid w:val="22E22A19"/>
    <w:rsid w:val="22EA7B20"/>
    <w:rsid w:val="22EE5862"/>
    <w:rsid w:val="2336663B"/>
    <w:rsid w:val="236C1B9C"/>
    <w:rsid w:val="23856AE3"/>
    <w:rsid w:val="239500C5"/>
    <w:rsid w:val="24414AC2"/>
    <w:rsid w:val="2460453E"/>
    <w:rsid w:val="24EA02AB"/>
    <w:rsid w:val="252D53FE"/>
    <w:rsid w:val="253B7F70"/>
    <w:rsid w:val="25422353"/>
    <w:rsid w:val="254C799E"/>
    <w:rsid w:val="25713633"/>
    <w:rsid w:val="2577547D"/>
    <w:rsid w:val="25791F56"/>
    <w:rsid w:val="25883A97"/>
    <w:rsid w:val="25AC6607"/>
    <w:rsid w:val="25EC2D81"/>
    <w:rsid w:val="25F17FAC"/>
    <w:rsid w:val="261926B1"/>
    <w:rsid w:val="264528BD"/>
    <w:rsid w:val="26606A77"/>
    <w:rsid w:val="266A423A"/>
    <w:rsid w:val="26AC45DF"/>
    <w:rsid w:val="26BD7B1D"/>
    <w:rsid w:val="26CF67F9"/>
    <w:rsid w:val="26EE11E8"/>
    <w:rsid w:val="2763311D"/>
    <w:rsid w:val="277975F7"/>
    <w:rsid w:val="27D15DD1"/>
    <w:rsid w:val="27DD5EA5"/>
    <w:rsid w:val="2879797C"/>
    <w:rsid w:val="28A76295"/>
    <w:rsid w:val="28AB3ACA"/>
    <w:rsid w:val="28D66314"/>
    <w:rsid w:val="290529C0"/>
    <w:rsid w:val="29206EB8"/>
    <w:rsid w:val="29440529"/>
    <w:rsid w:val="29474F87"/>
    <w:rsid w:val="29551256"/>
    <w:rsid w:val="296E7BF6"/>
    <w:rsid w:val="29847B4F"/>
    <w:rsid w:val="29A07246"/>
    <w:rsid w:val="29C94194"/>
    <w:rsid w:val="29E25416"/>
    <w:rsid w:val="29E325E0"/>
    <w:rsid w:val="2A1544BF"/>
    <w:rsid w:val="2A193D4E"/>
    <w:rsid w:val="2A265F88"/>
    <w:rsid w:val="2A452503"/>
    <w:rsid w:val="2A5C3C01"/>
    <w:rsid w:val="2A981AA3"/>
    <w:rsid w:val="2A982547"/>
    <w:rsid w:val="2A9860B3"/>
    <w:rsid w:val="2ABF0891"/>
    <w:rsid w:val="2B166C16"/>
    <w:rsid w:val="2B2A5356"/>
    <w:rsid w:val="2B30453E"/>
    <w:rsid w:val="2B5F165A"/>
    <w:rsid w:val="2BA31B7E"/>
    <w:rsid w:val="2BA936A8"/>
    <w:rsid w:val="2BB66A89"/>
    <w:rsid w:val="2BE5357A"/>
    <w:rsid w:val="2BEB356A"/>
    <w:rsid w:val="2BEC2B5B"/>
    <w:rsid w:val="2BFD7ED5"/>
    <w:rsid w:val="2C02237E"/>
    <w:rsid w:val="2C11611D"/>
    <w:rsid w:val="2C1F6FE5"/>
    <w:rsid w:val="2C315A5A"/>
    <w:rsid w:val="2C3A0B9C"/>
    <w:rsid w:val="2C5A1872"/>
    <w:rsid w:val="2C763484"/>
    <w:rsid w:val="2C7B185C"/>
    <w:rsid w:val="2C8E7E51"/>
    <w:rsid w:val="2CB94E55"/>
    <w:rsid w:val="2CFD6610"/>
    <w:rsid w:val="2D09635B"/>
    <w:rsid w:val="2D2B6BFD"/>
    <w:rsid w:val="2D343A9B"/>
    <w:rsid w:val="2D8F424F"/>
    <w:rsid w:val="2D9E1C33"/>
    <w:rsid w:val="2D9E56F5"/>
    <w:rsid w:val="2DB72CF5"/>
    <w:rsid w:val="2DB96D1C"/>
    <w:rsid w:val="2DCB39A0"/>
    <w:rsid w:val="2DE37F82"/>
    <w:rsid w:val="2E164621"/>
    <w:rsid w:val="2E427AAE"/>
    <w:rsid w:val="2E472B27"/>
    <w:rsid w:val="2E667F96"/>
    <w:rsid w:val="2E6E3330"/>
    <w:rsid w:val="2E7A1500"/>
    <w:rsid w:val="2E8226AB"/>
    <w:rsid w:val="2E822B0F"/>
    <w:rsid w:val="2E982B26"/>
    <w:rsid w:val="2EBD73B1"/>
    <w:rsid w:val="2ECA4BED"/>
    <w:rsid w:val="2ECB185D"/>
    <w:rsid w:val="2ED741E5"/>
    <w:rsid w:val="2EDF732E"/>
    <w:rsid w:val="2F832C79"/>
    <w:rsid w:val="2F856039"/>
    <w:rsid w:val="2F8C1DDE"/>
    <w:rsid w:val="2FAA0E8C"/>
    <w:rsid w:val="2FB8241F"/>
    <w:rsid w:val="2FBE7034"/>
    <w:rsid w:val="2FCC5E2A"/>
    <w:rsid w:val="2FE64978"/>
    <w:rsid w:val="2FEA5603"/>
    <w:rsid w:val="2FEF2D58"/>
    <w:rsid w:val="2FF144CC"/>
    <w:rsid w:val="2FFD70E5"/>
    <w:rsid w:val="3001433D"/>
    <w:rsid w:val="301C28DB"/>
    <w:rsid w:val="302240A7"/>
    <w:rsid w:val="302C79CA"/>
    <w:rsid w:val="304E16EE"/>
    <w:rsid w:val="30580BC9"/>
    <w:rsid w:val="309317F7"/>
    <w:rsid w:val="309E554A"/>
    <w:rsid w:val="30A31FF8"/>
    <w:rsid w:val="30A35F8A"/>
    <w:rsid w:val="30AE0D04"/>
    <w:rsid w:val="30F15439"/>
    <w:rsid w:val="31061CB7"/>
    <w:rsid w:val="311E2ED7"/>
    <w:rsid w:val="31223531"/>
    <w:rsid w:val="312268FC"/>
    <w:rsid w:val="3135447B"/>
    <w:rsid w:val="313A726C"/>
    <w:rsid w:val="315C449C"/>
    <w:rsid w:val="3179279B"/>
    <w:rsid w:val="317A6513"/>
    <w:rsid w:val="31965999"/>
    <w:rsid w:val="31B23EFF"/>
    <w:rsid w:val="31B82709"/>
    <w:rsid w:val="31D60709"/>
    <w:rsid w:val="31E66232"/>
    <w:rsid w:val="320F252E"/>
    <w:rsid w:val="321B2656"/>
    <w:rsid w:val="32250B75"/>
    <w:rsid w:val="32400B34"/>
    <w:rsid w:val="329B0F75"/>
    <w:rsid w:val="329D4CD5"/>
    <w:rsid w:val="329E6876"/>
    <w:rsid w:val="32E21258"/>
    <w:rsid w:val="32E93950"/>
    <w:rsid w:val="33110F0B"/>
    <w:rsid w:val="335C2374"/>
    <w:rsid w:val="338D33A8"/>
    <w:rsid w:val="33D576D7"/>
    <w:rsid w:val="33D934D4"/>
    <w:rsid w:val="33FE2F6A"/>
    <w:rsid w:val="34091A77"/>
    <w:rsid w:val="34136491"/>
    <w:rsid w:val="342377AD"/>
    <w:rsid w:val="343E577D"/>
    <w:rsid w:val="346D5E8C"/>
    <w:rsid w:val="34CF4FE9"/>
    <w:rsid w:val="34DB2D42"/>
    <w:rsid w:val="34E8702D"/>
    <w:rsid w:val="3528026F"/>
    <w:rsid w:val="35300CBF"/>
    <w:rsid w:val="357F3C19"/>
    <w:rsid w:val="35AA2C38"/>
    <w:rsid w:val="35AA3DAD"/>
    <w:rsid w:val="35AD55AD"/>
    <w:rsid w:val="35F1585E"/>
    <w:rsid w:val="35FE071F"/>
    <w:rsid w:val="36060EF8"/>
    <w:rsid w:val="36074A7F"/>
    <w:rsid w:val="36625EF3"/>
    <w:rsid w:val="36704443"/>
    <w:rsid w:val="36923549"/>
    <w:rsid w:val="369811DC"/>
    <w:rsid w:val="369D6F2B"/>
    <w:rsid w:val="36A7401E"/>
    <w:rsid w:val="36B05723"/>
    <w:rsid w:val="36B75FBF"/>
    <w:rsid w:val="36B900A8"/>
    <w:rsid w:val="36FB4891"/>
    <w:rsid w:val="371666B8"/>
    <w:rsid w:val="3770579F"/>
    <w:rsid w:val="37B02A33"/>
    <w:rsid w:val="37B33947"/>
    <w:rsid w:val="37F557DD"/>
    <w:rsid w:val="38077EA7"/>
    <w:rsid w:val="38150BC5"/>
    <w:rsid w:val="382513A9"/>
    <w:rsid w:val="385D3981"/>
    <w:rsid w:val="386A0AF7"/>
    <w:rsid w:val="386A5533"/>
    <w:rsid w:val="38B44A00"/>
    <w:rsid w:val="38C74C73"/>
    <w:rsid w:val="38CA7284"/>
    <w:rsid w:val="38F12CD3"/>
    <w:rsid w:val="38F94775"/>
    <w:rsid w:val="392971ED"/>
    <w:rsid w:val="396F5FA5"/>
    <w:rsid w:val="397C6DAD"/>
    <w:rsid w:val="39B27192"/>
    <w:rsid w:val="39BC28EC"/>
    <w:rsid w:val="39BE0F63"/>
    <w:rsid w:val="39CF260D"/>
    <w:rsid w:val="3A257964"/>
    <w:rsid w:val="3A3B0748"/>
    <w:rsid w:val="3A64418C"/>
    <w:rsid w:val="3A7E0724"/>
    <w:rsid w:val="3AC21EF5"/>
    <w:rsid w:val="3B307038"/>
    <w:rsid w:val="3B3763D1"/>
    <w:rsid w:val="3B4701E6"/>
    <w:rsid w:val="3B5748C0"/>
    <w:rsid w:val="3BC975D1"/>
    <w:rsid w:val="3BE27E2C"/>
    <w:rsid w:val="3BE46D34"/>
    <w:rsid w:val="3BE93A60"/>
    <w:rsid w:val="3BF33B3F"/>
    <w:rsid w:val="3C2A1191"/>
    <w:rsid w:val="3C5C7BB6"/>
    <w:rsid w:val="3C9A5CBB"/>
    <w:rsid w:val="3CD8662F"/>
    <w:rsid w:val="3CDA245A"/>
    <w:rsid w:val="3CEE0A37"/>
    <w:rsid w:val="3D235CB1"/>
    <w:rsid w:val="3D344362"/>
    <w:rsid w:val="3DB14D34"/>
    <w:rsid w:val="3DB204CF"/>
    <w:rsid w:val="3DCA31F2"/>
    <w:rsid w:val="3DCF11F6"/>
    <w:rsid w:val="3E395B74"/>
    <w:rsid w:val="3E5B75C1"/>
    <w:rsid w:val="3E8320A7"/>
    <w:rsid w:val="3E99749A"/>
    <w:rsid w:val="3ED6747E"/>
    <w:rsid w:val="3EED194B"/>
    <w:rsid w:val="3EF20030"/>
    <w:rsid w:val="3EFF4CAE"/>
    <w:rsid w:val="3F121A0E"/>
    <w:rsid w:val="3F141D96"/>
    <w:rsid w:val="3F3348D1"/>
    <w:rsid w:val="3F490649"/>
    <w:rsid w:val="3F577588"/>
    <w:rsid w:val="3F593C0C"/>
    <w:rsid w:val="3F65114F"/>
    <w:rsid w:val="3F660E74"/>
    <w:rsid w:val="3F756D6F"/>
    <w:rsid w:val="3F760C61"/>
    <w:rsid w:val="3F7A1889"/>
    <w:rsid w:val="3F867529"/>
    <w:rsid w:val="3FAA090B"/>
    <w:rsid w:val="3FAF5785"/>
    <w:rsid w:val="3FB57D8D"/>
    <w:rsid w:val="3FB7376C"/>
    <w:rsid w:val="3FC100FF"/>
    <w:rsid w:val="3FDC1BA6"/>
    <w:rsid w:val="3FE31A0B"/>
    <w:rsid w:val="3FF168D0"/>
    <w:rsid w:val="400241B0"/>
    <w:rsid w:val="40140F1A"/>
    <w:rsid w:val="401428DF"/>
    <w:rsid w:val="403A6A47"/>
    <w:rsid w:val="405F364B"/>
    <w:rsid w:val="407A6407"/>
    <w:rsid w:val="40836750"/>
    <w:rsid w:val="40AE2A78"/>
    <w:rsid w:val="40AF3B40"/>
    <w:rsid w:val="40C03FFB"/>
    <w:rsid w:val="40F858A1"/>
    <w:rsid w:val="413C7659"/>
    <w:rsid w:val="414645EF"/>
    <w:rsid w:val="41A02BDD"/>
    <w:rsid w:val="41DD51C9"/>
    <w:rsid w:val="41F66241"/>
    <w:rsid w:val="423A3BCC"/>
    <w:rsid w:val="430A3125"/>
    <w:rsid w:val="43204140"/>
    <w:rsid w:val="433A6FE6"/>
    <w:rsid w:val="4350713C"/>
    <w:rsid w:val="435421E5"/>
    <w:rsid w:val="436653E0"/>
    <w:rsid w:val="437F7B93"/>
    <w:rsid w:val="43825614"/>
    <w:rsid w:val="439548B7"/>
    <w:rsid w:val="43A02E11"/>
    <w:rsid w:val="43CF6927"/>
    <w:rsid w:val="43EA2ABB"/>
    <w:rsid w:val="44041B24"/>
    <w:rsid w:val="440D0FA5"/>
    <w:rsid w:val="44280C49"/>
    <w:rsid w:val="442867CD"/>
    <w:rsid w:val="442D3B0A"/>
    <w:rsid w:val="44360680"/>
    <w:rsid w:val="443D4668"/>
    <w:rsid w:val="4498495F"/>
    <w:rsid w:val="44A538EC"/>
    <w:rsid w:val="44CD14E0"/>
    <w:rsid w:val="451E486B"/>
    <w:rsid w:val="45332FEB"/>
    <w:rsid w:val="45441DF7"/>
    <w:rsid w:val="454B2248"/>
    <w:rsid w:val="45602621"/>
    <w:rsid w:val="458946E9"/>
    <w:rsid w:val="45991206"/>
    <w:rsid w:val="45A135D1"/>
    <w:rsid w:val="45A729A5"/>
    <w:rsid w:val="45D12FE8"/>
    <w:rsid w:val="45E23D94"/>
    <w:rsid w:val="45EE3761"/>
    <w:rsid w:val="46273657"/>
    <w:rsid w:val="465642E0"/>
    <w:rsid w:val="46CD2E21"/>
    <w:rsid w:val="46D955A7"/>
    <w:rsid w:val="46EB3B4E"/>
    <w:rsid w:val="47133957"/>
    <w:rsid w:val="4779329E"/>
    <w:rsid w:val="47A07E0C"/>
    <w:rsid w:val="47A214E0"/>
    <w:rsid w:val="47A47F2A"/>
    <w:rsid w:val="47E0417C"/>
    <w:rsid w:val="47E14B18"/>
    <w:rsid w:val="48012501"/>
    <w:rsid w:val="48144BDE"/>
    <w:rsid w:val="48680265"/>
    <w:rsid w:val="486D651E"/>
    <w:rsid w:val="4870272E"/>
    <w:rsid w:val="48AE2157"/>
    <w:rsid w:val="48B20A82"/>
    <w:rsid w:val="48BF5427"/>
    <w:rsid w:val="48C7608A"/>
    <w:rsid w:val="49470AB9"/>
    <w:rsid w:val="49A75188"/>
    <w:rsid w:val="49C935B1"/>
    <w:rsid w:val="49DC7715"/>
    <w:rsid w:val="4A023139"/>
    <w:rsid w:val="4A08695A"/>
    <w:rsid w:val="4A2C2648"/>
    <w:rsid w:val="4A314103"/>
    <w:rsid w:val="4A3D7A07"/>
    <w:rsid w:val="4A6C513B"/>
    <w:rsid w:val="4A77062F"/>
    <w:rsid w:val="4A7B576F"/>
    <w:rsid w:val="4A7B6E75"/>
    <w:rsid w:val="4ACC0DE0"/>
    <w:rsid w:val="4AD01873"/>
    <w:rsid w:val="4ADA6548"/>
    <w:rsid w:val="4AEB2504"/>
    <w:rsid w:val="4B1F03FF"/>
    <w:rsid w:val="4B201A23"/>
    <w:rsid w:val="4B3867C8"/>
    <w:rsid w:val="4BBE19C6"/>
    <w:rsid w:val="4BFE3EEA"/>
    <w:rsid w:val="4C03562B"/>
    <w:rsid w:val="4C3931E1"/>
    <w:rsid w:val="4C4718FB"/>
    <w:rsid w:val="4C4A0649"/>
    <w:rsid w:val="4C4F53C9"/>
    <w:rsid w:val="4C51118D"/>
    <w:rsid w:val="4C633567"/>
    <w:rsid w:val="4CBD1C7E"/>
    <w:rsid w:val="4CE470D3"/>
    <w:rsid w:val="4D1F0243"/>
    <w:rsid w:val="4D4C09F8"/>
    <w:rsid w:val="4D5048A0"/>
    <w:rsid w:val="4D614D97"/>
    <w:rsid w:val="4D7367E0"/>
    <w:rsid w:val="4DDF5630"/>
    <w:rsid w:val="4DEC4FB0"/>
    <w:rsid w:val="4DF17598"/>
    <w:rsid w:val="4E075D8A"/>
    <w:rsid w:val="4E0856F6"/>
    <w:rsid w:val="4E4971D8"/>
    <w:rsid w:val="4ECE1F10"/>
    <w:rsid w:val="4F12451C"/>
    <w:rsid w:val="4F4026F2"/>
    <w:rsid w:val="4F475D04"/>
    <w:rsid w:val="4F4B7123"/>
    <w:rsid w:val="4F703554"/>
    <w:rsid w:val="4F7312D3"/>
    <w:rsid w:val="4F736882"/>
    <w:rsid w:val="4FC62A8C"/>
    <w:rsid w:val="4FD572DE"/>
    <w:rsid w:val="4FE20F0D"/>
    <w:rsid w:val="4FE237A9"/>
    <w:rsid w:val="4FE614EB"/>
    <w:rsid w:val="4FE6580D"/>
    <w:rsid w:val="50145BFB"/>
    <w:rsid w:val="50146059"/>
    <w:rsid w:val="503A7C98"/>
    <w:rsid w:val="50504C4B"/>
    <w:rsid w:val="509C6E7C"/>
    <w:rsid w:val="50B60DFF"/>
    <w:rsid w:val="50BE186F"/>
    <w:rsid w:val="50C762E5"/>
    <w:rsid w:val="51121E6C"/>
    <w:rsid w:val="513A0F08"/>
    <w:rsid w:val="51567EE4"/>
    <w:rsid w:val="5162104E"/>
    <w:rsid w:val="51744241"/>
    <w:rsid w:val="519F5DF6"/>
    <w:rsid w:val="51D709B0"/>
    <w:rsid w:val="51DD247A"/>
    <w:rsid w:val="51ED38BE"/>
    <w:rsid w:val="52410C5B"/>
    <w:rsid w:val="526B5EEB"/>
    <w:rsid w:val="52F004AF"/>
    <w:rsid w:val="53132BD2"/>
    <w:rsid w:val="532923B1"/>
    <w:rsid w:val="533B7DA0"/>
    <w:rsid w:val="534A7FE3"/>
    <w:rsid w:val="53581FEF"/>
    <w:rsid w:val="536018A7"/>
    <w:rsid w:val="53812E00"/>
    <w:rsid w:val="53A039CC"/>
    <w:rsid w:val="53A1505A"/>
    <w:rsid w:val="53AF2F87"/>
    <w:rsid w:val="53CF48FF"/>
    <w:rsid w:val="53DA1367"/>
    <w:rsid w:val="54063E08"/>
    <w:rsid w:val="543437E8"/>
    <w:rsid w:val="543D0E4B"/>
    <w:rsid w:val="543F24E1"/>
    <w:rsid w:val="546B15B0"/>
    <w:rsid w:val="54786114"/>
    <w:rsid w:val="549466E5"/>
    <w:rsid w:val="54CC305A"/>
    <w:rsid w:val="54D23684"/>
    <w:rsid w:val="54EF7621"/>
    <w:rsid w:val="54F15395"/>
    <w:rsid w:val="55003069"/>
    <w:rsid w:val="550F3292"/>
    <w:rsid w:val="554B73F3"/>
    <w:rsid w:val="55821CB6"/>
    <w:rsid w:val="558B18B4"/>
    <w:rsid w:val="559B174B"/>
    <w:rsid w:val="55C0458D"/>
    <w:rsid w:val="55CE0CF4"/>
    <w:rsid w:val="56020701"/>
    <w:rsid w:val="561263A9"/>
    <w:rsid w:val="5627203B"/>
    <w:rsid w:val="565A75B4"/>
    <w:rsid w:val="565D15DF"/>
    <w:rsid w:val="568C56B8"/>
    <w:rsid w:val="56B17B54"/>
    <w:rsid w:val="56B22A9C"/>
    <w:rsid w:val="56B77A19"/>
    <w:rsid w:val="57025E1C"/>
    <w:rsid w:val="57236B81"/>
    <w:rsid w:val="57365FC3"/>
    <w:rsid w:val="57713333"/>
    <w:rsid w:val="57913924"/>
    <w:rsid w:val="57A001D2"/>
    <w:rsid w:val="57B72A76"/>
    <w:rsid w:val="57CB0CE4"/>
    <w:rsid w:val="57D42222"/>
    <w:rsid w:val="57E367B0"/>
    <w:rsid w:val="57E9601D"/>
    <w:rsid w:val="58372560"/>
    <w:rsid w:val="58827834"/>
    <w:rsid w:val="58831FCD"/>
    <w:rsid w:val="58954467"/>
    <w:rsid w:val="58A7023F"/>
    <w:rsid w:val="58BC54DF"/>
    <w:rsid w:val="58C93758"/>
    <w:rsid w:val="58D445F6"/>
    <w:rsid w:val="58EE79F7"/>
    <w:rsid w:val="59433B4F"/>
    <w:rsid w:val="595D139E"/>
    <w:rsid w:val="597943CF"/>
    <w:rsid w:val="59B13AF7"/>
    <w:rsid w:val="59C6328B"/>
    <w:rsid w:val="59F1541B"/>
    <w:rsid w:val="59FC39F4"/>
    <w:rsid w:val="5A2E3F61"/>
    <w:rsid w:val="5A3C747D"/>
    <w:rsid w:val="5A9B4681"/>
    <w:rsid w:val="5ABE2233"/>
    <w:rsid w:val="5AD7215D"/>
    <w:rsid w:val="5ADE0820"/>
    <w:rsid w:val="5B081F8A"/>
    <w:rsid w:val="5B276D18"/>
    <w:rsid w:val="5B3324F5"/>
    <w:rsid w:val="5B395940"/>
    <w:rsid w:val="5B525C87"/>
    <w:rsid w:val="5B6A6828"/>
    <w:rsid w:val="5BC252E8"/>
    <w:rsid w:val="5BC87734"/>
    <w:rsid w:val="5BCF44DB"/>
    <w:rsid w:val="5BD01203"/>
    <w:rsid w:val="5BDF5D95"/>
    <w:rsid w:val="5BE70A5E"/>
    <w:rsid w:val="5C0F521F"/>
    <w:rsid w:val="5C1B7A6D"/>
    <w:rsid w:val="5C715546"/>
    <w:rsid w:val="5C784177"/>
    <w:rsid w:val="5C7C31AE"/>
    <w:rsid w:val="5C9574EF"/>
    <w:rsid w:val="5D2A361F"/>
    <w:rsid w:val="5D9F5F84"/>
    <w:rsid w:val="5DB5145B"/>
    <w:rsid w:val="5DBA07FD"/>
    <w:rsid w:val="5DBC388C"/>
    <w:rsid w:val="5DCD349B"/>
    <w:rsid w:val="5DCF08BD"/>
    <w:rsid w:val="5DDB5188"/>
    <w:rsid w:val="5DDD1EEA"/>
    <w:rsid w:val="5DF31622"/>
    <w:rsid w:val="5DF87A0F"/>
    <w:rsid w:val="5DFD3AAC"/>
    <w:rsid w:val="5E244344"/>
    <w:rsid w:val="5E346DD4"/>
    <w:rsid w:val="5E373EF7"/>
    <w:rsid w:val="5E391A9C"/>
    <w:rsid w:val="5E477ADE"/>
    <w:rsid w:val="5F116ABC"/>
    <w:rsid w:val="5F194B85"/>
    <w:rsid w:val="5F1A2B43"/>
    <w:rsid w:val="5F452824"/>
    <w:rsid w:val="5F6363C1"/>
    <w:rsid w:val="5F7A755A"/>
    <w:rsid w:val="5F8209D5"/>
    <w:rsid w:val="5FA56CCD"/>
    <w:rsid w:val="5FB837BB"/>
    <w:rsid w:val="5FC46AEC"/>
    <w:rsid w:val="5FCC1698"/>
    <w:rsid w:val="601B6F8F"/>
    <w:rsid w:val="60255718"/>
    <w:rsid w:val="60431FAA"/>
    <w:rsid w:val="60937FAF"/>
    <w:rsid w:val="609E7B06"/>
    <w:rsid w:val="6102250A"/>
    <w:rsid w:val="618A702F"/>
    <w:rsid w:val="619E1560"/>
    <w:rsid w:val="61DF6433"/>
    <w:rsid w:val="62364782"/>
    <w:rsid w:val="62386BBC"/>
    <w:rsid w:val="627E29A8"/>
    <w:rsid w:val="628506F0"/>
    <w:rsid w:val="62BB6FB9"/>
    <w:rsid w:val="62DB582D"/>
    <w:rsid w:val="632979EC"/>
    <w:rsid w:val="63417D8B"/>
    <w:rsid w:val="634F04D5"/>
    <w:rsid w:val="63766989"/>
    <w:rsid w:val="63801280"/>
    <w:rsid w:val="63A63014"/>
    <w:rsid w:val="63A905D8"/>
    <w:rsid w:val="63AF0E5A"/>
    <w:rsid w:val="63BD4F8F"/>
    <w:rsid w:val="63CE2B4C"/>
    <w:rsid w:val="63D40BE9"/>
    <w:rsid w:val="63E0211F"/>
    <w:rsid w:val="63E34DCA"/>
    <w:rsid w:val="63ED75C0"/>
    <w:rsid w:val="63FF2724"/>
    <w:rsid w:val="64304F87"/>
    <w:rsid w:val="64350C1C"/>
    <w:rsid w:val="643572C3"/>
    <w:rsid w:val="643F3FB7"/>
    <w:rsid w:val="644564E3"/>
    <w:rsid w:val="64665D1E"/>
    <w:rsid w:val="64943F32"/>
    <w:rsid w:val="64B41760"/>
    <w:rsid w:val="64DF16AC"/>
    <w:rsid w:val="64DF6411"/>
    <w:rsid w:val="64E80DF3"/>
    <w:rsid w:val="65183A9D"/>
    <w:rsid w:val="651B06BC"/>
    <w:rsid w:val="6524447B"/>
    <w:rsid w:val="65373578"/>
    <w:rsid w:val="657234D0"/>
    <w:rsid w:val="65827550"/>
    <w:rsid w:val="65DA0D53"/>
    <w:rsid w:val="65FC3C73"/>
    <w:rsid w:val="66091638"/>
    <w:rsid w:val="660D5E44"/>
    <w:rsid w:val="661C37A2"/>
    <w:rsid w:val="662609B6"/>
    <w:rsid w:val="663F0969"/>
    <w:rsid w:val="665A456A"/>
    <w:rsid w:val="66E7630B"/>
    <w:rsid w:val="66EC03B6"/>
    <w:rsid w:val="67206831"/>
    <w:rsid w:val="67241EA7"/>
    <w:rsid w:val="673F2C7A"/>
    <w:rsid w:val="67437239"/>
    <w:rsid w:val="6753749F"/>
    <w:rsid w:val="6777311D"/>
    <w:rsid w:val="67786A75"/>
    <w:rsid w:val="67F4612D"/>
    <w:rsid w:val="681F6961"/>
    <w:rsid w:val="682E2460"/>
    <w:rsid w:val="683055A2"/>
    <w:rsid w:val="685A338C"/>
    <w:rsid w:val="68610A2F"/>
    <w:rsid w:val="686C6688"/>
    <w:rsid w:val="68775A4D"/>
    <w:rsid w:val="68805514"/>
    <w:rsid w:val="688C5948"/>
    <w:rsid w:val="689A2A1B"/>
    <w:rsid w:val="68AE57A2"/>
    <w:rsid w:val="68B92537"/>
    <w:rsid w:val="68E1239B"/>
    <w:rsid w:val="68EB585E"/>
    <w:rsid w:val="69287B7E"/>
    <w:rsid w:val="6930562F"/>
    <w:rsid w:val="6932495E"/>
    <w:rsid w:val="694E2071"/>
    <w:rsid w:val="69562DE6"/>
    <w:rsid w:val="695C7E70"/>
    <w:rsid w:val="696614DA"/>
    <w:rsid w:val="697A3B33"/>
    <w:rsid w:val="698E5129"/>
    <w:rsid w:val="699E2456"/>
    <w:rsid w:val="6A341771"/>
    <w:rsid w:val="6A364DE3"/>
    <w:rsid w:val="6A44043C"/>
    <w:rsid w:val="6A6121BF"/>
    <w:rsid w:val="6ACA7261"/>
    <w:rsid w:val="6B322639"/>
    <w:rsid w:val="6B9502BA"/>
    <w:rsid w:val="6BA37E39"/>
    <w:rsid w:val="6BD63649"/>
    <w:rsid w:val="6C522EFC"/>
    <w:rsid w:val="6C636C38"/>
    <w:rsid w:val="6C6E0447"/>
    <w:rsid w:val="6C7235FD"/>
    <w:rsid w:val="6C78404A"/>
    <w:rsid w:val="6C7A3398"/>
    <w:rsid w:val="6C821114"/>
    <w:rsid w:val="6C8400DD"/>
    <w:rsid w:val="6CA43BF2"/>
    <w:rsid w:val="6CDD1221"/>
    <w:rsid w:val="6CDD3EC2"/>
    <w:rsid w:val="6CE361A1"/>
    <w:rsid w:val="6CFF2C98"/>
    <w:rsid w:val="6D1257A6"/>
    <w:rsid w:val="6D160DBA"/>
    <w:rsid w:val="6D371BEA"/>
    <w:rsid w:val="6D764881"/>
    <w:rsid w:val="6DB34098"/>
    <w:rsid w:val="6DB545B6"/>
    <w:rsid w:val="6DEF1620"/>
    <w:rsid w:val="6E147C85"/>
    <w:rsid w:val="6E187D34"/>
    <w:rsid w:val="6E396EBA"/>
    <w:rsid w:val="6E4375A0"/>
    <w:rsid w:val="6E514CED"/>
    <w:rsid w:val="6E531FEA"/>
    <w:rsid w:val="6E6E2F89"/>
    <w:rsid w:val="6E79491A"/>
    <w:rsid w:val="6EA13CC1"/>
    <w:rsid w:val="6EB563D5"/>
    <w:rsid w:val="6EB615C1"/>
    <w:rsid w:val="6ECC76A7"/>
    <w:rsid w:val="6F2128F4"/>
    <w:rsid w:val="6F225983"/>
    <w:rsid w:val="6FAD74D8"/>
    <w:rsid w:val="6FD00211"/>
    <w:rsid w:val="6FD44A65"/>
    <w:rsid w:val="6FFC5590"/>
    <w:rsid w:val="701607D8"/>
    <w:rsid w:val="70301DA3"/>
    <w:rsid w:val="705B0CE2"/>
    <w:rsid w:val="705C41BD"/>
    <w:rsid w:val="70622071"/>
    <w:rsid w:val="706D1DD0"/>
    <w:rsid w:val="70856B87"/>
    <w:rsid w:val="70CA5729"/>
    <w:rsid w:val="70D31200"/>
    <w:rsid w:val="70D527EE"/>
    <w:rsid w:val="70E60FCA"/>
    <w:rsid w:val="711D41EA"/>
    <w:rsid w:val="714171F5"/>
    <w:rsid w:val="71534A0F"/>
    <w:rsid w:val="71597C3A"/>
    <w:rsid w:val="715B5300"/>
    <w:rsid w:val="715F4BD7"/>
    <w:rsid w:val="71A71409"/>
    <w:rsid w:val="71C6370A"/>
    <w:rsid w:val="71CF7BDA"/>
    <w:rsid w:val="71D27F8A"/>
    <w:rsid w:val="71E808FA"/>
    <w:rsid w:val="71F744C6"/>
    <w:rsid w:val="71F960CF"/>
    <w:rsid w:val="72130436"/>
    <w:rsid w:val="723726DF"/>
    <w:rsid w:val="724F7A03"/>
    <w:rsid w:val="727F3950"/>
    <w:rsid w:val="729C3B3E"/>
    <w:rsid w:val="72CE28C1"/>
    <w:rsid w:val="72F773E8"/>
    <w:rsid w:val="72FD2525"/>
    <w:rsid w:val="73041ED0"/>
    <w:rsid w:val="730504C9"/>
    <w:rsid w:val="730F7980"/>
    <w:rsid w:val="73117D7E"/>
    <w:rsid w:val="731F5D5E"/>
    <w:rsid w:val="73443385"/>
    <w:rsid w:val="737427E7"/>
    <w:rsid w:val="7394157E"/>
    <w:rsid w:val="73D00202"/>
    <w:rsid w:val="741E793C"/>
    <w:rsid w:val="74345E03"/>
    <w:rsid w:val="745039C7"/>
    <w:rsid w:val="7461363A"/>
    <w:rsid w:val="748F0302"/>
    <w:rsid w:val="74F17E67"/>
    <w:rsid w:val="754244D6"/>
    <w:rsid w:val="75640639"/>
    <w:rsid w:val="75657283"/>
    <w:rsid w:val="756729E1"/>
    <w:rsid w:val="757C47FB"/>
    <w:rsid w:val="757D0027"/>
    <w:rsid w:val="75866596"/>
    <w:rsid w:val="758824F4"/>
    <w:rsid w:val="758D75E2"/>
    <w:rsid w:val="75C11CC8"/>
    <w:rsid w:val="762C6F8D"/>
    <w:rsid w:val="76333914"/>
    <w:rsid w:val="7664301E"/>
    <w:rsid w:val="76A84F4D"/>
    <w:rsid w:val="76B60786"/>
    <w:rsid w:val="76DB3AAC"/>
    <w:rsid w:val="76E82598"/>
    <w:rsid w:val="773C5724"/>
    <w:rsid w:val="773F5116"/>
    <w:rsid w:val="77762421"/>
    <w:rsid w:val="77BC011E"/>
    <w:rsid w:val="780B2C4D"/>
    <w:rsid w:val="780F09F4"/>
    <w:rsid w:val="782A3DBC"/>
    <w:rsid w:val="78886D34"/>
    <w:rsid w:val="789C4F47"/>
    <w:rsid w:val="78A90480"/>
    <w:rsid w:val="78AD090C"/>
    <w:rsid w:val="78E116BA"/>
    <w:rsid w:val="79283FB3"/>
    <w:rsid w:val="794924ED"/>
    <w:rsid w:val="795077FB"/>
    <w:rsid w:val="79632B48"/>
    <w:rsid w:val="79696A95"/>
    <w:rsid w:val="79811327"/>
    <w:rsid w:val="79A15BE6"/>
    <w:rsid w:val="7A121E01"/>
    <w:rsid w:val="7A127B0F"/>
    <w:rsid w:val="7A364017"/>
    <w:rsid w:val="7A3647F1"/>
    <w:rsid w:val="7A786991"/>
    <w:rsid w:val="7A8265E1"/>
    <w:rsid w:val="7AA57248"/>
    <w:rsid w:val="7AD85D51"/>
    <w:rsid w:val="7B2D2C8B"/>
    <w:rsid w:val="7B48195C"/>
    <w:rsid w:val="7B6475E5"/>
    <w:rsid w:val="7B686D42"/>
    <w:rsid w:val="7B812260"/>
    <w:rsid w:val="7B841746"/>
    <w:rsid w:val="7B88349C"/>
    <w:rsid w:val="7B8D2B09"/>
    <w:rsid w:val="7BC80B73"/>
    <w:rsid w:val="7C2C2170"/>
    <w:rsid w:val="7C592646"/>
    <w:rsid w:val="7C773348"/>
    <w:rsid w:val="7C923FE6"/>
    <w:rsid w:val="7CAC7489"/>
    <w:rsid w:val="7CC851D3"/>
    <w:rsid w:val="7CF87C78"/>
    <w:rsid w:val="7D0239FF"/>
    <w:rsid w:val="7D19204D"/>
    <w:rsid w:val="7D262049"/>
    <w:rsid w:val="7D33186F"/>
    <w:rsid w:val="7D5E40CD"/>
    <w:rsid w:val="7D693BED"/>
    <w:rsid w:val="7D731530"/>
    <w:rsid w:val="7DC36F2F"/>
    <w:rsid w:val="7DD8026E"/>
    <w:rsid w:val="7DFA5FDE"/>
    <w:rsid w:val="7E275E8F"/>
    <w:rsid w:val="7E3C66FD"/>
    <w:rsid w:val="7E3E121F"/>
    <w:rsid w:val="7EB91123"/>
    <w:rsid w:val="7F1135E0"/>
    <w:rsid w:val="7F166E48"/>
    <w:rsid w:val="7F3E639F"/>
    <w:rsid w:val="7F4634CF"/>
    <w:rsid w:val="7FBB354B"/>
    <w:rsid w:val="7FBD6962"/>
    <w:rsid w:val="7FCB5E84"/>
    <w:rsid w:val="7FE47E50"/>
    <w:rsid w:val="7FEF6E5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qFormat="1" w:uiPriority="99" w:semiHidden="0" w:name="Signature"/>
    <w:lsdException w:qFormat="1" w:unhideWhenUsed="0" w:uiPriority="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qFormat/>
    <w:locked/>
    <w:uiPriority w:val="0"/>
    <w:pPr>
      <w:keepNext/>
      <w:keepLines/>
      <w:spacing w:before="260" w:beforeLines="0" w:beforeAutospacing="0" w:after="260" w:afterLines="0" w:afterAutospacing="0" w:line="413" w:lineRule="auto"/>
      <w:outlineLvl w:val="1"/>
    </w:pPr>
    <w:rPr>
      <w:rFonts w:ascii="Arial" w:hAnsi="Arial" w:eastAsia="黑体"/>
      <w:b/>
      <w:kern w:val="2"/>
      <w:sz w:val="32"/>
      <w:lang w:val="en-US" w:eastAsia="zh-CN"/>
    </w:rPr>
  </w:style>
  <w:style w:type="paragraph" w:styleId="6">
    <w:name w:val="heading 3"/>
    <w:basedOn w:val="1"/>
    <w:next w:val="1"/>
    <w:qFormat/>
    <w:locked/>
    <w:uiPriority w:val="0"/>
    <w:pPr>
      <w:adjustRightInd w:val="0"/>
      <w:spacing w:line="360" w:lineRule="auto"/>
      <w:textAlignment w:val="baseline"/>
      <w:outlineLvl w:val="2"/>
    </w:pPr>
    <w:rPr>
      <w:rFonts w:eastAsia="黑体"/>
      <w:kern w:val="2"/>
      <w:sz w:val="28"/>
      <w:lang w:val="en-US" w:eastAsia="zh-CN"/>
    </w:rPr>
  </w:style>
  <w:style w:type="paragraph" w:styleId="7">
    <w:name w:val="heading 4"/>
    <w:basedOn w:val="1"/>
    <w:next w:val="1"/>
    <w:unhideWhenUsed/>
    <w:qFormat/>
    <w:locked/>
    <w:uiPriority w:val="0"/>
    <w:pPr>
      <w:keepNext/>
      <w:keepLines/>
      <w:widowControl/>
      <w:spacing w:line="360" w:lineRule="auto"/>
      <w:ind w:firstLine="640" w:firstLineChars="200"/>
      <w:outlineLvl w:val="3"/>
    </w:pPr>
    <w:rPr>
      <w:b/>
      <w:bCs/>
      <w:color w:val="000000"/>
      <w:sz w:val="28"/>
      <w:szCs w:val="28"/>
    </w:rPr>
  </w:style>
  <w:style w:type="character" w:default="1" w:styleId="31">
    <w:name w:val="Default Paragraph Font"/>
    <w:link w:val="32"/>
    <w:semiHidden/>
    <w:qFormat/>
    <w:uiPriority w:val="0"/>
    <w:rPr>
      <w:rFonts w:ascii="Times New Roman" w:hAnsi="Times New Roman"/>
      <w:sz w:val="28"/>
      <w:szCs w:val="28"/>
    </w:rPr>
  </w:style>
  <w:style w:type="table" w:default="1" w:styleId="29">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link w:val="36"/>
    <w:qFormat/>
    <w:uiPriority w:val="0"/>
    <w:pPr>
      <w:widowControl/>
      <w:snapToGrid w:val="0"/>
      <w:spacing w:before="60" w:after="160" w:line="259" w:lineRule="auto"/>
      <w:ind w:right="113"/>
    </w:pPr>
    <w:rPr>
      <w:kern w:val="0"/>
      <w:sz w:val="18"/>
      <w:szCs w:val="20"/>
    </w:rPr>
  </w:style>
  <w:style w:type="paragraph" w:styleId="3">
    <w:name w:val="Body Text 2"/>
    <w:basedOn w:val="1"/>
    <w:qFormat/>
    <w:uiPriority w:val="0"/>
    <w:pPr>
      <w:spacing w:after="120" w:line="480" w:lineRule="auto"/>
    </w:pPr>
  </w:style>
  <w:style w:type="paragraph" w:styleId="8">
    <w:name w:val="Normal Indent"/>
    <w:basedOn w:val="1"/>
    <w:next w:val="9"/>
    <w:qFormat/>
    <w:uiPriority w:val="0"/>
    <w:pPr>
      <w:ind w:firstLine="420" w:firstLineChars="200"/>
    </w:pPr>
    <w:rPr>
      <w:szCs w:val="24"/>
    </w:rPr>
  </w:style>
  <w:style w:type="paragraph" w:customStyle="1" w:styleId="9">
    <w:name w:val="Char Char Char Char Char Char Char Char Char1 Char"/>
    <w:basedOn w:val="1"/>
    <w:qFormat/>
    <w:uiPriority w:val="0"/>
    <w:pPr>
      <w:spacing w:line="360" w:lineRule="auto"/>
      <w:ind w:firstLine="200" w:firstLineChars="200"/>
    </w:pPr>
    <w:rPr>
      <w:rFonts w:hAnsi="宋体" w:cs="宋体"/>
      <w:spacing w:val="0"/>
      <w:sz w:val="24"/>
      <w:szCs w:val="24"/>
    </w:rPr>
  </w:style>
  <w:style w:type="paragraph" w:styleId="10">
    <w:name w:val="caption"/>
    <w:basedOn w:val="11"/>
    <w:next w:val="1"/>
    <w:qFormat/>
    <w:locked/>
    <w:uiPriority w:val="0"/>
    <w:pPr>
      <w:adjustRightInd w:val="0"/>
      <w:snapToGrid w:val="0"/>
    </w:pPr>
    <w:rPr>
      <w:rFonts w:ascii="Calibri Light" w:hAnsi="Calibri Light" w:eastAsia="黑体"/>
      <w:szCs w:val="20"/>
    </w:rPr>
  </w:style>
  <w:style w:type="paragraph" w:styleId="11">
    <w:name w:val="Plain Text"/>
    <w:basedOn w:val="1"/>
    <w:next w:val="12"/>
    <w:qFormat/>
    <w:uiPriority w:val="0"/>
    <w:rPr>
      <w:rFonts w:ascii="宋体" w:hAnsi="Courier New" w:eastAsia="方正仿宋_GB2312"/>
      <w:kern w:val="2"/>
      <w:sz w:val="28"/>
      <w:lang w:val="en-US" w:eastAsia="zh-CN"/>
    </w:rPr>
  </w:style>
  <w:style w:type="paragraph" w:styleId="12">
    <w:name w:val="Signature"/>
    <w:basedOn w:val="1"/>
    <w:unhideWhenUsed/>
    <w:qFormat/>
    <w:uiPriority w:val="99"/>
    <w:pPr>
      <w:ind w:left="100" w:leftChars="2100"/>
    </w:pPr>
    <w:rPr>
      <w:sz w:val="21"/>
      <w:szCs w:val="24"/>
    </w:rPr>
  </w:style>
  <w:style w:type="paragraph" w:styleId="13">
    <w:name w:val="annotation text"/>
    <w:basedOn w:val="1"/>
    <w:link w:val="37"/>
    <w:semiHidden/>
    <w:qFormat/>
    <w:uiPriority w:val="0"/>
    <w:pPr>
      <w:jc w:val="left"/>
    </w:pPr>
    <w:rPr>
      <w:kern w:val="0"/>
      <w:sz w:val="24"/>
      <w:szCs w:val="20"/>
    </w:rPr>
  </w:style>
  <w:style w:type="paragraph" w:styleId="14">
    <w:name w:val="index 6"/>
    <w:basedOn w:val="1"/>
    <w:next w:val="1"/>
    <w:qFormat/>
    <w:uiPriority w:val="0"/>
    <w:pPr>
      <w:wordWrap w:val="0"/>
      <w:autoSpaceDE/>
      <w:autoSpaceDN/>
      <w:spacing w:line="240" w:lineRule="auto"/>
      <w:ind w:left="1000" w:leftChars="1000" w:firstLine="0" w:firstLineChars="0"/>
    </w:pPr>
    <w:rPr>
      <w:rFonts w:hAnsi="宋体"/>
      <w:color w:val="000000"/>
      <w:sz w:val="28"/>
      <w:szCs w:val="20"/>
    </w:rPr>
  </w:style>
  <w:style w:type="paragraph" w:styleId="15">
    <w:name w:val="Body Text Indent"/>
    <w:basedOn w:val="1"/>
    <w:next w:val="2"/>
    <w:link w:val="38"/>
    <w:semiHidden/>
    <w:qFormat/>
    <w:uiPriority w:val="0"/>
    <w:pPr>
      <w:spacing w:after="120"/>
      <w:ind w:left="420" w:leftChars="200"/>
    </w:pPr>
  </w:style>
  <w:style w:type="paragraph" w:styleId="16">
    <w:name w:val="Date"/>
    <w:basedOn w:val="1"/>
    <w:next w:val="1"/>
    <w:link w:val="39"/>
    <w:qFormat/>
    <w:uiPriority w:val="0"/>
    <w:pPr>
      <w:ind w:left="100" w:leftChars="2500"/>
    </w:pPr>
    <w:rPr>
      <w:kern w:val="0"/>
      <w:sz w:val="24"/>
      <w:szCs w:val="20"/>
    </w:rPr>
  </w:style>
  <w:style w:type="paragraph" w:styleId="17">
    <w:name w:val="Balloon Text"/>
    <w:basedOn w:val="1"/>
    <w:link w:val="40"/>
    <w:semiHidden/>
    <w:qFormat/>
    <w:uiPriority w:val="0"/>
    <w:rPr>
      <w:sz w:val="18"/>
      <w:szCs w:val="18"/>
    </w:rPr>
  </w:style>
  <w:style w:type="paragraph" w:styleId="18">
    <w:name w:val="footer"/>
    <w:basedOn w:val="1"/>
    <w:link w:val="41"/>
    <w:qFormat/>
    <w:uiPriority w:val="0"/>
    <w:pPr>
      <w:tabs>
        <w:tab w:val="center" w:pos="4153"/>
        <w:tab w:val="right" w:pos="8306"/>
      </w:tabs>
      <w:snapToGrid w:val="0"/>
      <w:jc w:val="left"/>
    </w:pPr>
    <w:rPr>
      <w:sz w:val="18"/>
      <w:szCs w:val="18"/>
    </w:rPr>
  </w:style>
  <w:style w:type="paragraph" w:styleId="19">
    <w:name w:val="header"/>
    <w:basedOn w:val="1"/>
    <w:link w:val="42"/>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locked/>
    <w:uiPriority w:val="0"/>
    <w:pPr>
      <w:adjustRightInd w:val="0"/>
      <w:snapToGrid w:val="0"/>
      <w:spacing w:line="360" w:lineRule="auto"/>
    </w:pPr>
    <w:rPr>
      <w:rFonts w:eastAsia="黑体"/>
      <w:sz w:val="28"/>
    </w:rPr>
  </w:style>
  <w:style w:type="paragraph" w:styleId="21">
    <w:name w:val="index heading"/>
    <w:basedOn w:val="1"/>
    <w:next w:val="22"/>
    <w:qFormat/>
    <w:uiPriority w:val="0"/>
    <w:rPr>
      <w:szCs w:val="20"/>
    </w:rPr>
  </w:style>
  <w:style w:type="paragraph" w:styleId="22">
    <w:name w:val="index 1"/>
    <w:basedOn w:val="1"/>
    <w:next w:val="1"/>
    <w:qFormat/>
    <w:uiPriority w:val="0"/>
    <w:pPr>
      <w:adjustRightInd w:val="0"/>
      <w:snapToGrid w:val="0"/>
      <w:spacing w:line="440" w:lineRule="atLeast"/>
      <w:ind w:left="240" w:hanging="240"/>
      <w:jc w:val="left"/>
    </w:pPr>
    <w:rPr>
      <w:rFonts w:ascii="宋体"/>
      <w:sz w:val="18"/>
    </w:rPr>
  </w:style>
  <w:style w:type="paragraph" w:styleId="23">
    <w:name w:val="List"/>
    <w:basedOn w:val="1"/>
    <w:next w:val="1"/>
    <w:qFormat/>
    <w:uiPriority w:val="0"/>
    <w:pPr>
      <w:numPr>
        <w:ilvl w:val="0"/>
        <w:numId w:val="0"/>
      </w:numPr>
      <w:adjustRightInd w:val="0"/>
      <w:spacing w:line="460" w:lineRule="exact"/>
      <w:ind w:left="1276" w:hanging="425"/>
      <w:jc w:val="left"/>
      <w:textAlignment w:val="baseline"/>
    </w:pPr>
    <w:rPr>
      <w:rFonts w:ascii="Times New Roman" w:hAnsi="Times New Roman"/>
      <w:kern w:val="0"/>
      <w:sz w:val="24"/>
    </w:rPr>
  </w:style>
  <w:style w:type="paragraph" w:styleId="24">
    <w:name w:val="toc 2"/>
    <w:basedOn w:val="1"/>
    <w:next w:val="1"/>
    <w:qFormat/>
    <w:locked/>
    <w:uiPriority w:val="0"/>
    <w:pPr>
      <w:adjustRightInd w:val="0"/>
      <w:snapToGrid w:val="0"/>
      <w:spacing w:line="360" w:lineRule="auto"/>
      <w:ind w:left="200" w:leftChars="200"/>
    </w:pPr>
    <w:rPr>
      <w:sz w:val="28"/>
    </w:rPr>
  </w:style>
  <w:style w:type="paragraph" w:styleId="25">
    <w:name w:val="Normal (Web)"/>
    <w:basedOn w:val="1"/>
    <w:link w:val="43"/>
    <w:qFormat/>
    <w:uiPriority w:val="0"/>
    <w:pPr>
      <w:widowControl/>
      <w:spacing w:before="100" w:beforeAutospacing="1" w:after="100" w:afterAutospacing="1"/>
      <w:jc w:val="left"/>
    </w:pPr>
    <w:rPr>
      <w:rFonts w:ascii="宋体" w:hAnsi="宋体"/>
      <w:kern w:val="0"/>
      <w:sz w:val="24"/>
      <w:szCs w:val="20"/>
    </w:rPr>
  </w:style>
  <w:style w:type="paragraph" w:styleId="26">
    <w:name w:val="annotation subject"/>
    <w:basedOn w:val="13"/>
    <w:next w:val="13"/>
    <w:link w:val="44"/>
    <w:semiHidden/>
    <w:qFormat/>
    <w:uiPriority w:val="0"/>
    <w:rPr>
      <w:b/>
      <w:bCs/>
    </w:rPr>
  </w:style>
  <w:style w:type="paragraph" w:styleId="27">
    <w:name w:val="Body Text First Indent"/>
    <w:basedOn w:val="2"/>
    <w:next w:val="14"/>
    <w:qFormat/>
    <w:uiPriority w:val="0"/>
    <w:pPr>
      <w:spacing w:after="120"/>
      <w:ind w:firstLine="420" w:firstLineChars="100"/>
    </w:pPr>
    <w:rPr>
      <w:sz w:val="21"/>
    </w:rPr>
  </w:style>
  <w:style w:type="paragraph" w:styleId="28">
    <w:name w:val="Body Text First Indent 2"/>
    <w:basedOn w:val="1"/>
    <w:next w:val="1"/>
    <w:qFormat/>
    <w:uiPriority w:val="0"/>
    <w:pPr>
      <w:ind w:firstLine="420"/>
    </w:pPr>
    <w:rPr>
      <w:rFonts w:eastAsia="华文中宋"/>
      <w:sz w:val="24"/>
    </w:rPr>
  </w:style>
  <w:style w:type="table" w:styleId="30">
    <w:name w:val="Table Grid"/>
    <w:basedOn w:val="29"/>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
    <w:name w:val="Char Char1"/>
    <w:basedOn w:val="1"/>
    <w:link w:val="31"/>
    <w:qFormat/>
    <w:uiPriority w:val="0"/>
    <w:pPr>
      <w:spacing w:before="156" w:beforeLines="50" w:after="156" w:afterLines="50" w:line="360" w:lineRule="auto"/>
    </w:pPr>
    <w:rPr>
      <w:rFonts w:ascii="Times New Roman" w:hAnsi="Times New Roman"/>
      <w:sz w:val="28"/>
      <w:szCs w:val="28"/>
    </w:rPr>
  </w:style>
  <w:style w:type="character" w:styleId="33">
    <w:name w:val="Strong"/>
    <w:basedOn w:val="31"/>
    <w:qFormat/>
    <w:locked/>
    <w:uiPriority w:val="0"/>
    <w:rPr>
      <w:b/>
    </w:rPr>
  </w:style>
  <w:style w:type="character" w:styleId="34">
    <w:name w:val="page number"/>
    <w:basedOn w:val="31"/>
    <w:qFormat/>
    <w:uiPriority w:val="0"/>
  </w:style>
  <w:style w:type="character" w:styleId="35">
    <w:name w:val="annotation reference"/>
    <w:semiHidden/>
    <w:qFormat/>
    <w:uiPriority w:val="0"/>
    <w:rPr>
      <w:rFonts w:ascii="Times New Roman" w:hAnsi="Times New Roman"/>
      <w:sz w:val="21"/>
      <w:szCs w:val="28"/>
    </w:rPr>
  </w:style>
  <w:style w:type="character" w:customStyle="1" w:styleId="36">
    <w:name w:val="正文文本 字符"/>
    <w:link w:val="2"/>
    <w:qFormat/>
    <w:locked/>
    <w:uiPriority w:val="0"/>
    <w:rPr>
      <w:sz w:val="18"/>
    </w:rPr>
  </w:style>
  <w:style w:type="character" w:customStyle="1" w:styleId="37">
    <w:name w:val="批注文字 字符"/>
    <w:link w:val="13"/>
    <w:qFormat/>
    <w:locked/>
    <w:uiPriority w:val="0"/>
    <w:rPr>
      <w:rFonts w:ascii="Times New Roman" w:hAnsi="Times New Roman" w:eastAsia="宋体"/>
      <w:sz w:val="24"/>
    </w:rPr>
  </w:style>
  <w:style w:type="character" w:customStyle="1" w:styleId="38">
    <w:name w:val="正文文本缩进 字符"/>
    <w:link w:val="15"/>
    <w:semiHidden/>
    <w:qFormat/>
    <w:locked/>
    <w:uiPriority w:val="0"/>
    <w:rPr>
      <w:rFonts w:ascii="Times New Roman" w:hAnsi="Times New Roman" w:eastAsia="宋体" w:cs="Times New Roman"/>
      <w:sz w:val="24"/>
      <w:szCs w:val="24"/>
    </w:rPr>
  </w:style>
  <w:style w:type="character" w:customStyle="1" w:styleId="39">
    <w:name w:val="日期 字符1"/>
    <w:link w:val="16"/>
    <w:qFormat/>
    <w:locked/>
    <w:uiPriority w:val="0"/>
    <w:rPr>
      <w:rFonts w:ascii="Times New Roman" w:hAnsi="Times New Roman" w:eastAsia="宋体"/>
      <w:sz w:val="24"/>
    </w:rPr>
  </w:style>
  <w:style w:type="character" w:customStyle="1" w:styleId="40">
    <w:name w:val="批注框文本 字符"/>
    <w:link w:val="17"/>
    <w:semiHidden/>
    <w:qFormat/>
    <w:locked/>
    <w:uiPriority w:val="0"/>
    <w:rPr>
      <w:rFonts w:ascii="Times New Roman" w:hAnsi="Times New Roman" w:eastAsia="宋体" w:cs="Times New Roman"/>
      <w:sz w:val="18"/>
      <w:szCs w:val="18"/>
    </w:rPr>
  </w:style>
  <w:style w:type="character" w:customStyle="1" w:styleId="41">
    <w:name w:val="页脚 字符"/>
    <w:link w:val="18"/>
    <w:qFormat/>
    <w:locked/>
    <w:uiPriority w:val="0"/>
    <w:rPr>
      <w:rFonts w:ascii="Times New Roman" w:hAnsi="Times New Roman" w:cs="Times New Roman"/>
      <w:sz w:val="18"/>
      <w:szCs w:val="18"/>
    </w:rPr>
  </w:style>
  <w:style w:type="character" w:customStyle="1" w:styleId="42">
    <w:name w:val="页眉 字符"/>
    <w:link w:val="19"/>
    <w:qFormat/>
    <w:locked/>
    <w:uiPriority w:val="0"/>
    <w:rPr>
      <w:rFonts w:ascii="Times New Roman" w:hAnsi="Times New Roman" w:cs="Times New Roman"/>
      <w:sz w:val="18"/>
      <w:szCs w:val="18"/>
    </w:rPr>
  </w:style>
  <w:style w:type="character" w:customStyle="1" w:styleId="43">
    <w:name w:val="普通(网站) 字符"/>
    <w:link w:val="25"/>
    <w:qFormat/>
    <w:locked/>
    <w:uiPriority w:val="0"/>
    <w:rPr>
      <w:rFonts w:ascii="宋体" w:hAnsi="宋体" w:eastAsia="宋体"/>
      <w:sz w:val="24"/>
    </w:rPr>
  </w:style>
  <w:style w:type="character" w:customStyle="1" w:styleId="44">
    <w:name w:val="批注主题 字符"/>
    <w:link w:val="26"/>
    <w:semiHidden/>
    <w:qFormat/>
    <w:locked/>
    <w:uiPriority w:val="0"/>
    <w:rPr>
      <w:rFonts w:ascii="Times New Roman" w:hAnsi="Times New Roman" w:eastAsia="宋体" w:cs="Times New Roman"/>
      <w:b/>
      <w:bCs/>
      <w:kern w:val="2"/>
      <w:sz w:val="24"/>
      <w:szCs w:val="24"/>
    </w:rPr>
  </w:style>
  <w:style w:type="paragraph" w:customStyle="1" w:styleId="45">
    <w:name w:val="！正文"/>
    <w:basedOn w:val="1"/>
    <w:qFormat/>
    <w:uiPriority w:val="0"/>
    <w:pPr>
      <w:spacing w:line="500" w:lineRule="exact"/>
      <w:ind w:firstLine="200" w:firstLineChars="200"/>
    </w:pPr>
    <w:rPr>
      <w:kern w:val="0"/>
      <w:sz w:val="24"/>
    </w:rPr>
  </w:style>
  <w:style w:type="paragraph" w:customStyle="1" w:styleId="46">
    <w:name w:val="Default"/>
    <w:basedOn w:val="47"/>
    <w:qFormat/>
    <w:uiPriority w:val="0"/>
    <w:pPr>
      <w:widowControl w:val="0"/>
      <w:tabs>
        <w:tab w:val="left" w:pos="2760"/>
      </w:tabs>
      <w:autoSpaceDE w:val="0"/>
      <w:autoSpaceDN w:val="0"/>
      <w:adjustRightInd w:val="0"/>
    </w:pPr>
    <w:rPr>
      <w:rFonts w:ascii="宋体" w:hAnsi="宋体"/>
      <w:color w:val="000000"/>
      <w:sz w:val="24"/>
      <w:lang w:val="en-US" w:eastAsia="zh-CN" w:bidi="ar-SA"/>
    </w:rPr>
  </w:style>
  <w:style w:type="paragraph" w:customStyle="1" w:styleId="47">
    <w:name w:val="纯文本1"/>
    <w:basedOn w:val="1"/>
    <w:qFormat/>
    <w:uiPriority w:val="0"/>
    <w:pPr>
      <w:tabs>
        <w:tab w:val="left" w:pos="2760"/>
      </w:tabs>
      <w:adjustRightInd w:val="0"/>
    </w:pPr>
    <w:rPr>
      <w:rFonts w:ascii="宋体" w:hAnsi="Courier New"/>
      <w:szCs w:val="20"/>
    </w:rPr>
  </w:style>
  <w:style w:type="paragraph" w:customStyle="1" w:styleId="48">
    <w:name w:val="样式1"/>
    <w:basedOn w:val="21"/>
    <w:next w:val="1"/>
    <w:qFormat/>
    <w:uiPriority w:val="0"/>
    <w:pPr>
      <w:ind w:firstLine="0"/>
    </w:pPr>
    <w:rPr>
      <w:rFonts w:ascii="Times New Roman"/>
      <w:b/>
      <w:sz w:val="30"/>
      <w:szCs w:val="30"/>
    </w:rPr>
  </w:style>
  <w:style w:type="character" w:customStyle="1" w:styleId="49">
    <w:name w:val="font31"/>
    <w:qFormat/>
    <w:uiPriority w:val="0"/>
    <w:rPr>
      <w:rFonts w:hint="default" w:ascii="Times New Roman" w:hAnsi="Times New Roman" w:cs="Times New Roman"/>
      <w:color w:val="000000"/>
      <w:sz w:val="21"/>
      <w:szCs w:val="21"/>
      <w:u w:val="none"/>
    </w:rPr>
  </w:style>
  <w:style w:type="character" w:customStyle="1" w:styleId="50">
    <w:name w:val="表头 Char Char"/>
    <w:link w:val="51"/>
    <w:qFormat/>
    <w:locked/>
    <w:uiPriority w:val="0"/>
    <w:rPr>
      <w:rFonts w:ascii="黑体" w:hAnsi="黑体" w:eastAsia="黑体"/>
      <w:sz w:val="24"/>
    </w:rPr>
  </w:style>
  <w:style w:type="paragraph" w:customStyle="1" w:styleId="51">
    <w:name w:val="表头"/>
    <w:basedOn w:val="1"/>
    <w:link w:val="50"/>
    <w:qFormat/>
    <w:uiPriority w:val="0"/>
    <w:pPr>
      <w:snapToGrid w:val="0"/>
      <w:spacing w:line="400" w:lineRule="atLeast"/>
    </w:pPr>
    <w:rPr>
      <w:rFonts w:ascii="黑体" w:hAnsi="黑体" w:eastAsia="黑体"/>
      <w:sz w:val="24"/>
    </w:rPr>
  </w:style>
  <w:style w:type="character" w:customStyle="1" w:styleId="52">
    <w:name w:val="批注文字 字符1"/>
    <w:semiHidden/>
    <w:qFormat/>
    <w:uiPriority w:val="0"/>
    <w:rPr>
      <w:rFonts w:ascii="Times New Roman" w:hAnsi="Times New Roman" w:eastAsia="宋体" w:cs="Times New Roman"/>
      <w:sz w:val="24"/>
      <w:szCs w:val="24"/>
    </w:rPr>
  </w:style>
  <w:style w:type="character" w:customStyle="1" w:styleId="53">
    <w:name w:val="fontstyle01"/>
    <w:qFormat/>
    <w:uiPriority w:val="0"/>
    <w:rPr>
      <w:rFonts w:ascii="宋体" w:hAnsi="宋体" w:eastAsia="宋体" w:cs="宋体"/>
      <w:color w:val="000000"/>
      <w:sz w:val="28"/>
      <w:szCs w:val="28"/>
    </w:rPr>
  </w:style>
  <w:style w:type="character" w:customStyle="1" w:styleId="54">
    <w:name w:val="日期 字符"/>
    <w:semiHidden/>
    <w:qFormat/>
    <w:uiPriority w:val="0"/>
    <w:rPr>
      <w:rFonts w:ascii="Times New Roman" w:hAnsi="Times New Roman" w:eastAsia="宋体" w:cs="Times New Roman"/>
      <w:sz w:val="24"/>
      <w:szCs w:val="24"/>
    </w:rPr>
  </w:style>
  <w:style w:type="character" w:customStyle="1" w:styleId="55">
    <w:name w:val="普通(网站) Char"/>
    <w:qFormat/>
    <w:locked/>
    <w:uiPriority w:val="0"/>
    <w:rPr>
      <w:rFonts w:ascii="宋体" w:hAnsi="宋体" w:eastAsia="宋体"/>
      <w:sz w:val="24"/>
    </w:rPr>
  </w:style>
  <w:style w:type="character" w:customStyle="1" w:styleId="56">
    <w:name w:val="font21"/>
    <w:qFormat/>
    <w:uiPriority w:val="0"/>
    <w:rPr>
      <w:rFonts w:hint="eastAsia" w:ascii="宋体" w:hAnsi="宋体" w:eastAsia="宋体" w:cs="宋体"/>
      <w:color w:val="000000"/>
      <w:sz w:val="21"/>
      <w:szCs w:val="21"/>
      <w:u w:val="none"/>
    </w:rPr>
  </w:style>
  <w:style w:type="character" w:customStyle="1" w:styleId="57">
    <w:name w:val="正文文本 字符1"/>
    <w:semiHidden/>
    <w:qFormat/>
    <w:uiPriority w:val="0"/>
    <w:rPr>
      <w:rFonts w:ascii="Times New Roman" w:hAnsi="Times New Roman" w:eastAsia="宋体" w:cs="Times New Roman"/>
      <w:sz w:val="24"/>
      <w:szCs w:val="24"/>
    </w:rPr>
  </w:style>
  <w:style w:type="character" w:customStyle="1" w:styleId="58">
    <w:name w:val="表格 Char"/>
    <w:link w:val="59"/>
    <w:qFormat/>
    <w:locked/>
    <w:uiPriority w:val="0"/>
    <w:rPr>
      <w:rFonts w:ascii="宋体"/>
      <w:sz w:val="21"/>
    </w:rPr>
  </w:style>
  <w:style w:type="paragraph" w:customStyle="1" w:styleId="59">
    <w:name w:val="表格"/>
    <w:basedOn w:val="1"/>
    <w:next w:val="1"/>
    <w:link w:val="58"/>
    <w:qFormat/>
    <w:uiPriority w:val="0"/>
    <w:pPr>
      <w:adjustRightInd w:val="0"/>
      <w:snapToGrid w:val="0"/>
      <w:spacing w:beforeLines="10" w:afterLines="10" w:line="259" w:lineRule="auto"/>
      <w:jc w:val="center"/>
    </w:pPr>
    <w:rPr>
      <w:rFonts w:ascii="宋体"/>
      <w:kern w:val="0"/>
      <w:szCs w:val="20"/>
    </w:rPr>
  </w:style>
  <w:style w:type="paragraph" w:customStyle="1" w:styleId="60">
    <w:name w:val="1正文"/>
    <w:basedOn w:val="1"/>
    <w:qFormat/>
    <w:uiPriority w:val="0"/>
    <w:pPr>
      <w:widowControl w:val="0"/>
      <w:adjustRightInd w:val="0"/>
      <w:snapToGrid w:val="0"/>
      <w:spacing w:line="360" w:lineRule="auto"/>
      <w:ind w:firstLine="200" w:firstLineChars="200"/>
      <w:jc w:val="both"/>
    </w:pPr>
    <w:rPr>
      <w:bCs/>
      <w:kern w:val="2"/>
    </w:rPr>
  </w:style>
  <w:style w:type="paragraph" w:customStyle="1" w:styleId="61">
    <w:name w:val="新地勘正文 Char Char"/>
    <w:qFormat/>
    <w:uiPriority w:val="0"/>
    <w:pPr>
      <w:snapToGrid w:val="0"/>
      <w:spacing w:line="480" w:lineRule="atLeast"/>
      <w:ind w:firstLine="480" w:firstLineChars="200"/>
    </w:pPr>
    <w:rPr>
      <w:rFonts w:ascii="Times New Roman" w:hAnsi="Times New Roman" w:eastAsia="宋体" w:cs="Times New Roman"/>
      <w:sz w:val="24"/>
      <w:szCs w:val="22"/>
      <w:lang w:val="en-US" w:eastAsia="zh-CN" w:bidi="ar-SA"/>
    </w:rPr>
  </w:style>
  <w:style w:type="paragraph" w:customStyle="1" w:styleId="62">
    <w:name w:val="Char"/>
    <w:basedOn w:val="1"/>
    <w:next w:val="1"/>
    <w:qFormat/>
    <w:uiPriority w:val="0"/>
    <w:rPr>
      <w:rFonts w:ascii="Arial" w:hAnsi="Arial" w:eastAsia="黑体"/>
      <w:b/>
      <w:kern w:val="2"/>
      <w:sz w:val="28"/>
      <w:lang w:val="en-US" w:eastAsia="zh-CN"/>
    </w:rPr>
  </w:style>
  <w:style w:type="paragraph" w:customStyle="1" w:styleId="6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4">
    <w:name w:val="表中字体"/>
    <w:basedOn w:val="8"/>
    <w:qFormat/>
    <w:uiPriority w:val="0"/>
    <w:pPr>
      <w:tabs>
        <w:tab w:val="left" w:pos="8176"/>
      </w:tabs>
      <w:spacing w:line="280" w:lineRule="exact"/>
      <w:ind w:firstLine="0" w:firstLineChars="0"/>
      <w:jc w:val="center"/>
    </w:pPr>
    <w:rPr>
      <w:rFonts w:ascii="宋体" w:hAnsi="宋体"/>
      <w:kern w:val="0"/>
      <w:sz w:val="20"/>
    </w:rPr>
  </w:style>
  <w:style w:type="paragraph" w:customStyle="1" w:styleId="65">
    <w:name w:val="p0"/>
    <w:basedOn w:val="1"/>
    <w:qFormat/>
    <w:uiPriority w:val="0"/>
    <w:pPr>
      <w:widowControl/>
    </w:pPr>
    <w:rPr>
      <w:kern w:val="0"/>
    </w:rPr>
  </w:style>
  <w:style w:type="paragraph" w:customStyle="1" w:styleId="66">
    <w:name w:val="报告正文"/>
    <w:basedOn w:val="67"/>
    <w:qFormat/>
    <w:uiPriority w:val="0"/>
    <w:pPr>
      <w:widowControl/>
      <w:suppressAutoHyphens/>
      <w:topLinePunct/>
      <w:adjustRightInd w:val="0"/>
      <w:snapToGrid w:val="0"/>
      <w:spacing w:line="360" w:lineRule="auto"/>
      <w:ind w:firstLine="200"/>
    </w:pPr>
    <w:rPr>
      <w:sz w:val="24"/>
      <w:szCs w:val="24"/>
    </w:rPr>
  </w:style>
  <w:style w:type="paragraph" w:customStyle="1" w:styleId="67">
    <w:name w:val="p17"/>
    <w:basedOn w:val="1"/>
    <w:qFormat/>
    <w:uiPriority w:val="0"/>
    <w:pPr>
      <w:widowControl/>
    </w:pPr>
    <w:rPr>
      <w:rFonts w:ascii="宋体" w:hAnsi="宋体" w:cs="宋体"/>
      <w:kern w:val="0"/>
      <w:szCs w:val="21"/>
    </w:rPr>
  </w:style>
  <w:style w:type="paragraph" w:customStyle="1" w:styleId="68">
    <w:name w:val="zw"/>
    <w:basedOn w:val="11"/>
    <w:qFormat/>
    <w:uiPriority w:val="0"/>
    <w:pPr>
      <w:spacing w:line="360" w:lineRule="auto"/>
      <w:ind w:firstLine="480" w:firstLineChars="200"/>
    </w:pPr>
    <w:rPr>
      <w:rFonts w:ascii="Times New Roman" w:hAnsi="Times New Roman"/>
      <w:sz w:val="24"/>
      <w:szCs w:val="20"/>
    </w:rPr>
  </w:style>
  <w:style w:type="paragraph" w:customStyle="1" w:styleId="69">
    <w:name w:val="表格文字"/>
    <w:qFormat/>
    <w:uiPriority w:val="0"/>
    <w:pPr>
      <w:jc w:val="center"/>
    </w:pPr>
    <w:rPr>
      <w:rFonts w:ascii="Calibri" w:hAnsi="Calibri" w:eastAsia="宋体" w:cs="Times New Roman"/>
      <w:kern w:val="2"/>
      <w:sz w:val="21"/>
      <w:szCs w:val="24"/>
      <w:lang w:val="en-US" w:eastAsia="zh-CN" w:bidi="ar-SA"/>
    </w:rPr>
  </w:style>
  <w:style w:type="paragraph" w:customStyle="1" w:styleId="70">
    <w:name w:val="文本"/>
    <w:basedOn w:val="1"/>
    <w:qFormat/>
    <w:uiPriority w:val="0"/>
    <w:pPr>
      <w:adjustRightInd w:val="0"/>
      <w:snapToGrid w:val="0"/>
      <w:spacing w:line="360" w:lineRule="auto"/>
      <w:ind w:firstLine="480" w:firstLineChars="200"/>
      <w:jc w:val="left"/>
    </w:pPr>
    <w:rPr>
      <w:rFonts w:ascii="Times New Roman" w:hAnsi="Times New Roman" w:eastAsia="宋体" w:cs="Times New Roman"/>
      <w:sz w:val="24"/>
      <w:szCs w:val="24"/>
    </w:rPr>
  </w:style>
  <w:style w:type="paragraph" w:customStyle="1" w:styleId="71">
    <w:name w:val="正文文本缩进1"/>
    <w:basedOn w:val="1"/>
    <w:qFormat/>
    <w:uiPriority w:val="99"/>
    <w:pPr>
      <w:spacing w:line="320" w:lineRule="exact"/>
      <w:ind w:firstLine="113"/>
      <w:jc w:val="center"/>
    </w:pPr>
    <w:rPr>
      <w:rFonts w:ascii="宋体" w:hAnsi="宋体"/>
      <w:bCs/>
      <w:color w:val="000000"/>
      <w:sz w:val="24"/>
      <w:szCs w:val="28"/>
    </w:rPr>
  </w:style>
  <w:style w:type="paragraph" w:customStyle="1" w:styleId="72">
    <w:name w:val="正文-1"/>
    <w:qFormat/>
    <w:uiPriority w:val="0"/>
    <w:pPr>
      <w:spacing w:line="480" w:lineRule="exact"/>
      <w:ind w:firstLine="200" w:firstLineChars="200"/>
      <w:jc w:val="both"/>
    </w:pPr>
    <w:rPr>
      <w:rFonts w:ascii="Times New Roman" w:hAnsi="Times New Roman" w:eastAsia="宋体" w:cs="宋体"/>
      <w:kern w:val="2"/>
      <w:sz w:val="24"/>
      <w:lang w:val="en-US" w:eastAsia="zh-CN" w:bidi="ar-SA"/>
    </w:rPr>
  </w:style>
  <w:style w:type="paragraph" w:customStyle="1" w:styleId="73">
    <w:name w:val="样式 首行缩进:  2 字符1"/>
    <w:basedOn w:val="1"/>
    <w:qFormat/>
    <w:uiPriority w:val="0"/>
    <w:pPr>
      <w:spacing w:before="120" w:line="400" w:lineRule="exact"/>
      <w:ind w:firstLine="200" w:firstLineChars="200"/>
    </w:pPr>
    <w:rPr>
      <w:rFonts w:ascii="宋体"/>
      <w:sz w:val="24"/>
      <w:szCs w:val="20"/>
    </w:rPr>
  </w:style>
  <w:style w:type="paragraph" w:customStyle="1" w:styleId="74">
    <w:name w:val="300"/>
    <w:basedOn w:val="1"/>
    <w:qFormat/>
    <w:uiPriority w:val="0"/>
    <w:pPr>
      <w:keepNext/>
      <w:keepLines/>
      <w:adjustRightInd w:val="0"/>
      <w:spacing w:line="600" w:lineRule="exact"/>
      <w:outlineLvl w:val="2"/>
    </w:pPr>
    <w:rPr>
      <w:b/>
      <w:bCs/>
      <w:sz w:val="28"/>
      <w:szCs w:val="24"/>
    </w:rPr>
  </w:style>
  <w:style w:type="paragraph" w:customStyle="1" w:styleId="75">
    <w:name w:val="邓表格文字"/>
    <w:basedOn w:val="1"/>
    <w:qFormat/>
    <w:uiPriority w:val="0"/>
    <w:pPr>
      <w:snapToGrid w:val="0"/>
      <w:spacing w:line="220" w:lineRule="exact"/>
      <w:jc w:val="center"/>
    </w:pPr>
    <w:rPr>
      <w:color w:val="000000"/>
      <w:sz w:val="15"/>
      <w:szCs w:val="15"/>
    </w:rPr>
  </w:style>
  <w:style w:type="paragraph" w:customStyle="1" w:styleId="76">
    <w:name w:val="环小四表内容"/>
    <w:basedOn w:val="1"/>
    <w:qFormat/>
    <w:uiPriority w:val="0"/>
    <w:pPr>
      <w:wordWrap w:val="0"/>
      <w:spacing w:line="240" w:lineRule="exact"/>
      <w:jc w:val="center"/>
    </w:pPr>
    <w:rPr>
      <w:rFonts w:ascii="宋体" w:hAnsi="宋体"/>
      <w:sz w:val="18"/>
      <w:szCs w:val="21"/>
    </w:rPr>
  </w:style>
  <w:style w:type="paragraph" w:customStyle="1" w:styleId="77">
    <w:name w:val="普通文字 Char Char Char Char Char"/>
    <w:basedOn w:val="1"/>
    <w:next w:val="11"/>
    <w:qFormat/>
    <w:uiPriority w:val="0"/>
    <w:rPr>
      <w:rFonts w:ascii="宋体" w:hAnsi="Courier New"/>
      <w:sz w:val="28"/>
    </w:rPr>
  </w:style>
  <w:style w:type="paragraph" w:styleId="78">
    <w:name w:val="List Paragraph"/>
    <w:basedOn w:val="1"/>
    <w:qFormat/>
    <w:uiPriority w:val="34"/>
    <w:pPr>
      <w:ind w:firstLine="420" w:firstLineChars="200"/>
    </w:pPr>
  </w:style>
  <w:style w:type="paragraph" w:customStyle="1" w:styleId="79">
    <w:name w:val="表格内容1"/>
    <w:basedOn w:val="1"/>
    <w:qFormat/>
    <w:uiPriority w:val="0"/>
    <w:pPr>
      <w:widowControl/>
      <w:spacing w:line="300" w:lineRule="exact"/>
      <w:jc w:val="center"/>
    </w:pPr>
    <w:rPr>
      <w:kern w:val="0"/>
      <w:szCs w:val="21"/>
    </w:rPr>
  </w:style>
  <w:style w:type="paragraph" w:customStyle="1" w:styleId="80">
    <w:name w:val="正文缩进1"/>
    <w:basedOn w:val="1"/>
    <w:qFormat/>
    <w:uiPriority w:val="0"/>
    <w:pPr>
      <w:ind w:firstLine="420" w:firstLineChars="200"/>
    </w:pPr>
    <w:rPr>
      <w:sz w:val="24"/>
    </w:rPr>
  </w:style>
  <w:style w:type="paragraph" w:customStyle="1" w:styleId="81">
    <w:name w:val="报告表正文"/>
    <w:basedOn w:val="66"/>
    <w:qFormat/>
    <w:uiPriority w:val="0"/>
    <w:pPr>
      <w:adjustRightInd w:val="0"/>
      <w:spacing w:line="312" w:lineRule="auto"/>
      <w:ind w:left="113" w:right="113" w:firstLine="482"/>
      <w:jc w:val="left"/>
    </w:pPr>
    <w:rPr>
      <w:rFonts w:ascii="宋体" w:hAnsi="宋体"/>
      <w:kern w:val="0"/>
      <w:sz w:val="24"/>
    </w:rPr>
  </w:style>
  <w:style w:type="paragraph" w:customStyle="1" w:styleId="82">
    <w:name w:val="样式2"/>
    <w:basedOn w:val="1"/>
    <w:qFormat/>
    <w:uiPriority w:val="0"/>
    <w:pPr>
      <w:tabs>
        <w:tab w:val="left" w:pos="634"/>
      </w:tabs>
      <w:adjustRightInd w:val="0"/>
      <w:snapToGrid w:val="0"/>
    </w:pPr>
    <w:rPr>
      <w:rFonts w:ascii="宋体" w:hAnsi="宋体"/>
    </w:rPr>
  </w:style>
  <w:style w:type="paragraph" w:customStyle="1" w:styleId="83">
    <w:name w:val="表格内文本"/>
    <w:qFormat/>
    <w:uiPriority w:val="0"/>
    <w:pPr>
      <w:adjustRightInd w:val="0"/>
      <w:jc w:val="center"/>
      <w:textAlignment w:val="baseline"/>
    </w:pPr>
    <w:rPr>
      <w:rFonts w:ascii="Times New Roman" w:hAnsi="Times New Roman" w:eastAsia="宋体" w:cs="Times New Roman"/>
      <w:sz w:val="21"/>
      <w:szCs w:val="21"/>
      <w:lang w:val="en-US" w:eastAsia="zh-CN" w:bidi="ar-SA"/>
    </w:rPr>
  </w:style>
  <w:style w:type="paragraph" w:customStyle="1" w:styleId="84">
    <w:name w:val="样式 ht正文 + 首行缩进:  2 字符"/>
    <w:basedOn w:val="1"/>
    <w:qFormat/>
    <w:uiPriority w:val="0"/>
    <w:pPr>
      <w:widowControl w:val="0"/>
      <w:spacing w:line="360" w:lineRule="auto"/>
      <w:ind w:firstLine="496" w:firstLineChars="200"/>
      <w:jc w:val="both"/>
    </w:pPr>
    <w:rPr>
      <w:spacing w:val="4"/>
      <w:kern w:val="2"/>
    </w:rPr>
  </w:style>
  <w:style w:type="table" w:customStyle="1" w:styleId="85">
    <w:name w:val="Table Normal"/>
    <w:semiHidden/>
    <w:qFormat/>
    <w:uiPriority w:val="2"/>
    <w:pPr>
      <w:widowControl w:val="0"/>
    </w:pPr>
    <w:rPr>
      <w:rFonts w:ascii="Calibri" w:hAnsi="Calibri"/>
      <w:sz w:val="22"/>
      <w:lang w:eastAsia="en-US"/>
    </w:rPr>
    <w:tblPr>
      <w:tblCellMar>
        <w:top w:w="0" w:type="dxa"/>
        <w:left w:w="0" w:type="dxa"/>
        <w:bottom w:w="0" w:type="dxa"/>
        <w:right w:w="0" w:type="dxa"/>
      </w:tblCellMar>
    </w:tblPr>
  </w:style>
  <w:style w:type="paragraph" w:customStyle="1" w:styleId="86">
    <w:name w:val="正文新"/>
    <w:basedOn w:val="1"/>
    <w:qFormat/>
    <w:uiPriority w:val="0"/>
    <w:pPr>
      <w:spacing w:line="460" w:lineRule="exact"/>
      <w:ind w:firstLine="480" w:firstLineChars="200"/>
    </w:pPr>
    <w:rPr>
      <w:sz w:val="24"/>
    </w:rPr>
  </w:style>
  <w:style w:type="character" w:customStyle="1" w:styleId="87">
    <w:name w:val="font41"/>
    <w:basedOn w:val="31"/>
    <w:qFormat/>
    <w:uiPriority w:val="0"/>
    <w:rPr>
      <w:rFonts w:ascii="宋体" w:hAnsi="宋体" w:eastAsia="宋体" w:cs="宋体"/>
      <w:color w:val="000000"/>
      <w:sz w:val="24"/>
      <w:szCs w:val="24"/>
      <w:u w:val="none"/>
    </w:rPr>
  </w:style>
  <w:style w:type="character" w:customStyle="1" w:styleId="88">
    <w:name w:val="font51"/>
    <w:basedOn w:val="31"/>
    <w:qFormat/>
    <w:uiPriority w:val="0"/>
    <w:rPr>
      <w:rFonts w:hint="default" w:ascii="Arial" w:hAnsi="Arial" w:cs="Arial"/>
      <w:color w:val="000000"/>
      <w:sz w:val="15"/>
      <w:szCs w:val="15"/>
      <w:u w:val="none"/>
    </w:rPr>
  </w:style>
  <w:style w:type="character" w:customStyle="1" w:styleId="89">
    <w:name w:val="font61"/>
    <w:basedOn w:val="31"/>
    <w:qFormat/>
    <w:uiPriority w:val="0"/>
    <w:rPr>
      <w:rFonts w:ascii="宋体" w:hAnsi="宋体" w:eastAsia="宋体" w:cs="宋体"/>
      <w:color w:val="000000"/>
      <w:sz w:val="26"/>
      <w:szCs w:val="26"/>
      <w:u w:val="none"/>
    </w:rPr>
  </w:style>
  <w:style w:type="paragraph" w:customStyle="1" w:styleId="90">
    <w:name w:val="表格内容"/>
    <w:basedOn w:val="1"/>
    <w:qFormat/>
    <w:uiPriority w:val="0"/>
    <w:pPr>
      <w:jc w:val="center"/>
    </w:pPr>
    <w:rPr>
      <w:rFonts w:cs="宋体"/>
    </w:rPr>
  </w:style>
  <w:style w:type="paragraph" w:customStyle="1" w:styleId="91">
    <w:name w:val="表格_表名B_A4竖向"/>
    <w:basedOn w:val="1"/>
    <w:next w:val="1"/>
    <w:qFormat/>
    <w:uiPriority w:val="0"/>
    <w:pPr>
      <w:keepNext/>
      <w:numPr>
        <w:ilvl w:val="8"/>
        <w:numId w:val="1"/>
      </w:numPr>
      <w:tabs>
        <w:tab w:val="center" w:pos="4515"/>
        <w:tab w:val="right" w:pos="9030"/>
      </w:tabs>
      <w:ind w:firstLine="560" w:firstLineChars="200"/>
      <w:outlineLvl w:val="9"/>
    </w:pPr>
    <w:rPr>
      <w:rFonts w:ascii="Times New Roman" w:hAnsi="Times New Roman" w:eastAsia="黑体"/>
      <w:sz w:val="21"/>
    </w:rPr>
  </w:style>
  <w:style w:type="paragraph" w:customStyle="1" w:styleId="92">
    <w:name w:val="表格_内容五号"/>
    <w:qFormat/>
    <w:uiPriority w:val="0"/>
    <w:pPr>
      <w:contextualSpacing/>
      <w:jc w:val="center"/>
    </w:pPr>
    <w:rPr>
      <w:rFonts w:ascii="Times New Roman" w:hAnsi="Times New Roman" w:eastAsia="宋体" w:cs="Times New Roman"/>
      <w:sz w:val="21"/>
      <w:szCs w:val="24"/>
      <w:lang w:val="en-US" w:eastAsia="zh-CN" w:bidi="ar-SA"/>
    </w:rPr>
  </w:style>
  <w:style w:type="table" w:customStyle="1" w:styleId="93">
    <w:name w:val="伊思曼"/>
    <w:basedOn w:val="29"/>
    <w:qFormat/>
    <w:uiPriority w:val="0"/>
    <w:pPr>
      <w:keepNext w:val="0"/>
      <w:keepLines w:val="0"/>
      <w:widowControl/>
      <w:suppressLineNumbers w:val="0"/>
      <w:spacing w:before="0" w:beforeAutospacing="0" w:after="0" w:afterAutospacing="0"/>
      <w:ind w:left="0" w:right="0"/>
    </w:pPr>
    <w:rPr>
      <w:rFonts w:hint="eastAsia" w:ascii="等线" w:hAnsi="Times New Roman" w:eastAsia="宋体" w:cs="Times New Roman"/>
      <w:sz w:val="20"/>
      <w:szCs w:val="20"/>
    </w:rPr>
    <w:tblP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customStyle="1" w:styleId="94">
    <w:name w:val="段落_段落P"/>
    <w:basedOn w:val="1"/>
    <w:qFormat/>
    <w:uiPriority w:val="0"/>
    <w:pPr>
      <w:tabs>
        <w:tab w:val="left" w:pos="420"/>
      </w:tabs>
      <w:spacing w:line="460" w:lineRule="exact"/>
      <w:ind w:firstLine="200" w:firstLineChars="200"/>
    </w:pPr>
    <w:rPr>
      <w:rFonts w:ascii="Times New Roman" w:hAnsi="Times New Roman" w:eastAsia="宋体" w:cs="Arial Unicode MS"/>
      <w:sz w:val="24"/>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70</Pages>
  <Words>20061</Words>
  <Characters>20965</Characters>
  <Lines>217</Lines>
  <Paragraphs>61</Paragraphs>
  <TotalTime>11</TotalTime>
  <ScaleCrop>false</ScaleCrop>
  <LinksUpToDate>false</LinksUpToDate>
  <CharactersWithSpaces>21028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马志伟</cp:lastModifiedBy>
  <cp:lastPrinted>2021-11-05T02:38:00Z</cp:lastPrinted>
  <dcterms:modified xsi:type="dcterms:W3CDTF">2026-04-29T02:09:40Z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A06AEF1A226F45EAB727C0581457A9DF_13</vt:lpwstr>
  </property>
  <property fmtid="{D5CDD505-2E9C-101B-9397-08002B2CF9AE}" pid="4" name="KSOTemplateDocerSaveRecord">
    <vt:lpwstr>eyJoZGlkIjoiMTY0OTNiY2I0NGU3MzRiYjMwYzY2ZDNmMWU2ZDk0YWIiLCJ1c2VySWQiOiIyNjc5MDk1NjMifQ==</vt:lpwstr>
  </property>
</Properties>
</file>